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55A" w:rsidRPr="004E3FE9" w:rsidRDefault="00C1355A" w:rsidP="00C1355A">
      <w:pPr>
        <w:spacing w:after="0" w:line="360" w:lineRule="auto"/>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МІНІСТЕРСТВО ОХОРОНИ ЗДОРОВ’Я УКРАЇНИ</w:t>
      </w:r>
    </w:p>
    <w:p w:rsidR="00C1355A" w:rsidRPr="004E3FE9" w:rsidRDefault="00C1355A" w:rsidP="00C1355A">
      <w:pPr>
        <w:spacing w:after="0" w:line="360" w:lineRule="auto"/>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ХАРКІВСЬКИЙ НАЦІОНАЛЬНИЙ МЕДИЧНИЙ УНІВЕРСИТЕТ</w:t>
      </w:r>
    </w:p>
    <w:p w:rsidR="00C1355A" w:rsidRPr="004E3FE9" w:rsidRDefault="007A3677" w:rsidP="00C1355A">
      <w:pPr>
        <w:spacing w:after="0" w:line="480" w:lineRule="exact"/>
        <w:jc w:val="right"/>
        <w:rPr>
          <w:rFonts w:ascii="Times New Roman" w:eastAsia="Times New Roman" w:hAnsi="Times New Roman" w:cs="Times New Roman"/>
          <w:bCs/>
          <w:iCs/>
          <w:sz w:val="28"/>
          <w:szCs w:val="28"/>
          <w:lang w:val="uk-UA" w:eastAsia="ru-RU"/>
        </w:rPr>
      </w:pPr>
      <w:r w:rsidRPr="004E3FE9">
        <w:rPr>
          <w:rFonts w:ascii="Times New Roman" w:eastAsia="Times New Roman" w:hAnsi="Times New Roman" w:cs="Times New Roman"/>
          <w:bCs/>
          <w:iCs/>
          <w:sz w:val="28"/>
          <w:szCs w:val="28"/>
          <w:lang w:val="uk-UA" w:eastAsia="ru-RU"/>
        </w:rPr>
        <w:t>УДК 616.5-005.1-053.2-018.74-073.432.19-078:57.088.6:612.071.1(043.3)</w:t>
      </w:r>
    </w:p>
    <w:p w:rsidR="00C1355A" w:rsidRPr="004E3FE9" w:rsidRDefault="00C1355A" w:rsidP="00C1355A">
      <w:pPr>
        <w:spacing w:after="0" w:line="480" w:lineRule="exact"/>
        <w:jc w:val="right"/>
        <w:rPr>
          <w:rFonts w:ascii="Times New Roman" w:eastAsia="Times New Roman" w:hAnsi="Times New Roman" w:cs="Times New Roman"/>
          <w:bCs/>
          <w:iCs/>
          <w:sz w:val="28"/>
          <w:szCs w:val="28"/>
          <w:lang w:val="uk-UA" w:eastAsia="ru-RU"/>
        </w:rPr>
      </w:pPr>
    </w:p>
    <w:p w:rsidR="00C1355A" w:rsidRPr="004E3FE9" w:rsidRDefault="00C1355A" w:rsidP="00C1355A">
      <w:pPr>
        <w:spacing w:after="0" w:line="480" w:lineRule="exact"/>
        <w:jc w:val="right"/>
        <w:rPr>
          <w:rFonts w:ascii="Times New Roman" w:eastAsia="Times New Roman" w:hAnsi="Times New Roman" w:cs="Times New Roman"/>
          <w:bCs/>
          <w:iCs/>
          <w:sz w:val="28"/>
          <w:szCs w:val="28"/>
          <w:lang w:val="uk-UA" w:eastAsia="ru-RU"/>
        </w:rPr>
      </w:pPr>
      <w:r w:rsidRPr="004E3FE9">
        <w:rPr>
          <w:rFonts w:ascii="Times New Roman" w:eastAsia="Times New Roman" w:hAnsi="Times New Roman" w:cs="Times New Roman"/>
          <w:bCs/>
          <w:iCs/>
          <w:sz w:val="28"/>
          <w:szCs w:val="28"/>
          <w:lang w:val="uk-UA" w:eastAsia="ru-RU"/>
        </w:rPr>
        <w:t>На правах рукопису</w:t>
      </w:r>
    </w:p>
    <w:p w:rsidR="00C1355A" w:rsidRPr="004E3FE9" w:rsidRDefault="00C1355A" w:rsidP="00C1355A">
      <w:pPr>
        <w:spacing w:after="0" w:line="360" w:lineRule="auto"/>
        <w:ind w:firstLine="720"/>
        <w:rPr>
          <w:rFonts w:ascii="Times New Roman" w:eastAsia="Times New Roman" w:hAnsi="Times New Roman" w:cs="Times New Roman"/>
          <w:sz w:val="28"/>
          <w:szCs w:val="28"/>
          <w:lang w:val="uk-UA" w:eastAsia="ru-RU"/>
        </w:rPr>
      </w:pPr>
    </w:p>
    <w:p w:rsidR="00C1355A" w:rsidRPr="004E3FE9" w:rsidRDefault="00C1355A" w:rsidP="00C1355A">
      <w:pPr>
        <w:tabs>
          <w:tab w:val="left" w:pos="5520"/>
        </w:tabs>
        <w:spacing w:after="0" w:line="360" w:lineRule="auto"/>
        <w:ind w:firstLine="720"/>
        <w:jc w:val="right"/>
        <w:rPr>
          <w:rFonts w:ascii="Times New Roman" w:eastAsia="Times New Roman" w:hAnsi="Times New Roman" w:cs="Times New Roman"/>
          <w:sz w:val="28"/>
          <w:szCs w:val="28"/>
          <w:lang w:val="uk-UA" w:eastAsia="ru-RU"/>
        </w:rPr>
      </w:pPr>
    </w:p>
    <w:p w:rsidR="00C1355A" w:rsidRPr="004E3FE9" w:rsidRDefault="00C1355A" w:rsidP="00C1355A">
      <w:pPr>
        <w:spacing w:after="0" w:line="360" w:lineRule="auto"/>
        <w:jc w:val="center"/>
        <w:rPr>
          <w:rFonts w:ascii="Times New Roman" w:eastAsia="Times New Roman" w:hAnsi="Times New Roman" w:cs="Times New Roman"/>
          <w:b/>
          <w:sz w:val="28"/>
          <w:szCs w:val="28"/>
          <w:lang w:val="uk-UA" w:eastAsia="ru-RU"/>
        </w:rPr>
      </w:pPr>
      <w:r w:rsidRPr="004E3FE9">
        <w:rPr>
          <w:rFonts w:ascii="Times New Roman" w:eastAsia="Times New Roman" w:hAnsi="Times New Roman" w:cs="Times New Roman"/>
          <w:b/>
          <w:sz w:val="28"/>
          <w:szCs w:val="28"/>
          <w:lang w:val="uk-UA" w:eastAsia="ru-RU"/>
        </w:rPr>
        <w:t>Яворович Марія Вадимівна</w:t>
      </w:r>
    </w:p>
    <w:p w:rsidR="00C1355A" w:rsidRPr="004E3FE9" w:rsidRDefault="00C1355A" w:rsidP="00C1355A">
      <w:pPr>
        <w:spacing w:after="0" w:line="360" w:lineRule="auto"/>
        <w:ind w:firstLine="720"/>
        <w:rPr>
          <w:rFonts w:ascii="Times New Roman" w:eastAsia="Times New Roman" w:hAnsi="Times New Roman" w:cs="Times New Roman"/>
          <w:sz w:val="28"/>
          <w:szCs w:val="28"/>
          <w:lang w:val="uk-UA" w:eastAsia="ru-RU"/>
        </w:rPr>
      </w:pPr>
    </w:p>
    <w:p w:rsidR="00C1355A" w:rsidRPr="004E3FE9" w:rsidRDefault="00C1355A" w:rsidP="00C1355A">
      <w:pPr>
        <w:spacing w:after="0" w:line="480" w:lineRule="exact"/>
        <w:jc w:val="right"/>
        <w:rPr>
          <w:rFonts w:ascii="Times New Roman" w:eastAsia="Times New Roman" w:hAnsi="Times New Roman" w:cs="Times New Roman"/>
          <w:bCs/>
          <w:iCs/>
          <w:sz w:val="28"/>
          <w:szCs w:val="28"/>
          <w:lang w:val="uk-UA" w:eastAsia="ru-RU"/>
        </w:rPr>
      </w:pPr>
    </w:p>
    <w:p w:rsidR="00C1355A" w:rsidRPr="004E3FE9" w:rsidRDefault="00C1355A" w:rsidP="00BD119A">
      <w:pPr>
        <w:spacing w:line="360" w:lineRule="auto"/>
        <w:jc w:val="center"/>
        <w:rPr>
          <w:rFonts w:ascii="Times New Roman" w:eastAsia="Times New Roman" w:hAnsi="Times New Roman" w:cs="Arial"/>
          <w:b/>
          <w:bCs/>
          <w:iCs/>
          <w:spacing w:val="-3"/>
          <w:sz w:val="28"/>
          <w:szCs w:val="28"/>
          <w:lang w:val="uk-UA" w:eastAsia="ru-RU"/>
        </w:rPr>
      </w:pPr>
      <w:r w:rsidRPr="004E3FE9">
        <w:rPr>
          <w:rFonts w:ascii="Times New Roman" w:hAnsi="Times New Roman" w:cs="Times New Roman"/>
          <w:b/>
          <w:sz w:val="28"/>
          <w:szCs w:val="28"/>
          <w:lang w:val="uk-UA"/>
        </w:rPr>
        <w:t>ДІАГНОСТИЧНА ТА ПРОГНОСТИЧНА ЗНАЧУЩІСТЬ СТАНУ ЕНДОТЕЛІАЛЬНОЇ ФУНКЦІЇ ТА ПРОФІБРОГЕННИХ МЕДІАТОРІВ У ДІТЕЙ, ХВОРИХ НА ГЕМОРАГІЧНИЙ ВАСКУЛІТ</w:t>
      </w:r>
    </w:p>
    <w:p w:rsidR="00C1355A" w:rsidRPr="004E3FE9" w:rsidRDefault="00C1355A" w:rsidP="00BD119A">
      <w:pPr>
        <w:spacing w:line="360" w:lineRule="auto"/>
        <w:jc w:val="center"/>
        <w:rPr>
          <w:rFonts w:ascii="Times New Roman" w:eastAsia="Times New Roman" w:hAnsi="Times New Roman" w:cs="Arial"/>
          <w:bCs/>
          <w:iCs/>
          <w:spacing w:val="-3"/>
          <w:sz w:val="28"/>
          <w:szCs w:val="28"/>
          <w:lang w:val="uk-UA" w:eastAsia="ru-RU"/>
        </w:rPr>
      </w:pPr>
      <w:r w:rsidRPr="004E3FE9">
        <w:rPr>
          <w:rFonts w:ascii="Times New Roman" w:eastAsia="Times New Roman" w:hAnsi="Times New Roman" w:cs="Arial"/>
          <w:bCs/>
          <w:iCs/>
          <w:spacing w:val="-3"/>
          <w:sz w:val="28"/>
          <w:szCs w:val="28"/>
          <w:lang w:val="uk-UA" w:eastAsia="ru-RU"/>
        </w:rPr>
        <w:t>14.01.10-педіатрія</w:t>
      </w:r>
    </w:p>
    <w:p w:rsidR="00C1355A" w:rsidRPr="004E3FE9" w:rsidRDefault="00C1355A" w:rsidP="00BD119A">
      <w:pPr>
        <w:spacing w:line="360" w:lineRule="auto"/>
        <w:rPr>
          <w:rFonts w:ascii="Times New Roman" w:eastAsia="Times New Roman" w:hAnsi="Times New Roman" w:cs="Arial"/>
          <w:bCs/>
          <w:iCs/>
          <w:spacing w:val="-3"/>
          <w:sz w:val="28"/>
          <w:szCs w:val="28"/>
          <w:lang w:val="uk-UA" w:eastAsia="ru-RU"/>
        </w:rPr>
      </w:pPr>
    </w:p>
    <w:p w:rsidR="00B92A63" w:rsidRPr="004E3FE9" w:rsidRDefault="00C1355A" w:rsidP="00BD119A">
      <w:pPr>
        <w:spacing w:line="360" w:lineRule="auto"/>
        <w:jc w:val="center"/>
        <w:rPr>
          <w:rFonts w:ascii="Times New Roman" w:eastAsia="Times New Roman" w:hAnsi="Times New Roman" w:cs="Arial"/>
          <w:bCs/>
          <w:iCs/>
          <w:spacing w:val="-3"/>
          <w:sz w:val="28"/>
          <w:szCs w:val="28"/>
          <w:lang w:val="uk-UA" w:eastAsia="ru-RU"/>
        </w:rPr>
      </w:pPr>
      <w:r w:rsidRPr="004E3FE9">
        <w:rPr>
          <w:rFonts w:ascii="Times New Roman" w:eastAsia="Times New Roman" w:hAnsi="Times New Roman" w:cs="Arial"/>
          <w:bCs/>
          <w:iCs/>
          <w:spacing w:val="-3"/>
          <w:sz w:val="28"/>
          <w:szCs w:val="28"/>
          <w:lang w:val="uk-UA" w:eastAsia="ru-RU"/>
        </w:rPr>
        <w:t xml:space="preserve">ДИСЕРТАЦІЯ </w:t>
      </w:r>
      <w:r w:rsidRPr="004E3FE9">
        <w:rPr>
          <w:rFonts w:ascii="Times New Roman" w:eastAsia="Times New Roman" w:hAnsi="Times New Roman" w:cs="Arial"/>
          <w:bCs/>
          <w:iCs/>
          <w:spacing w:val="-3"/>
          <w:sz w:val="28"/>
          <w:szCs w:val="28"/>
          <w:lang w:val="uk-UA" w:eastAsia="ru-RU"/>
        </w:rPr>
        <w:br/>
        <w:t>на здобуття наукового ступеня</w:t>
      </w:r>
      <w:r w:rsidRPr="004E3FE9">
        <w:rPr>
          <w:rFonts w:ascii="Times New Roman" w:eastAsia="Times New Roman" w:hAnsi="Times New Roman" w:cs="Arial"/>
          <w:bCs/>
          <w:iCs/>
          <w:spacing w:val="-3"/>
          <w:sz w:val="28"/>
          <w:szCs w:val="28"/>
          <w:lang w:val="uk-UA" w:eastAsia="ru-RU"/>
        </w:rPr>
        <w:br/>
        <w:t>кандидата медичних наук</w:t>
      </w:r>
    </w:p>
    <w:p w:rsidR="00C1355A" w:rsidRPr="004E3FE9" w:rsidRDefault="00C1355A" w:rsidP="00BD119A">
      <w:pPr>
        <w:rPr>
          <w:rFonts w:ascii="Times New Roman" w:eastAsia="Times New Roman" w:hAnsi="Times New Roman" w:cs="Arial"/>
          <w:bCs/>
          <w:iCs/>
          <w:spacing w:val="-3"/>
          <w:sz w:val="28"/>
          <w:szCs w:val="28"/>
          <w:lang w:val="uk-UA" w:eastAsia="ru-RU"/>
        </w:rPr>
      </w:pPr>
    </w:p>
    <w:p w:rsidR="00C1355A" w:rsidRPr="004E3FE9" w:rsidRDefault="00C1355A" w:rsidP="00BD119A">
      <w:pPr>
        <w:rPr>
          <w:rFonts w:ascii="Times New Roman" w:eastAsia="Times New Roman" w:hAnsi="Times New Roman" w:cs="Arial"/>
          <w:bCs/>
          <w:iCs/>
          <w:spacing w:val="-3"/>
          <w:sz w:val="28"/>
          <w:szCs w:val="28"/>
          <w:lang w:val="uk-UA" w:eastAsia="ru-RU"/>
        </w:rPr>
      </w:pPr>
    </w:p>
    <w:p w:rsidR="00C1355A" w:rsidRPr="004E3FE9" w:rsidRDefault="00C1355A" w:rsidP="00C1355A">
      <w:pPr>
        <w:spacing w:after="0" w:line="480" w:lineRule="exact"/>
        <w:jc w:val="right"/>
        <w:rPr>
          <w:rFonts w:ascii="Times New Roman" w:eastAsia="Times New Roman" w:hAnsi="Times New Roman" w:cs="Times New Roman"/>
          <w:bCs/>
          <w:iCs/>
          <w:sz w:val="28"/>
          <w:szCs w:val="28"/>
          <w:lang w:val="uk-UA" w:eastAsia="ru-RU"/>
        </w:rPr>
      </w:pPr>
      <w:r w:rsidRPr="004E3FE9">
        <w:rPr>
          <w:rFonts w:ascii="Times New Roman" w:eastAsia="Times New Roman" w:hAnsi="Times New Roman" w:cs="Times New Roman"/>
          <w:bCs/>
          <w:iCs/>
          <w:sz w:val="28"/>
          <w:szCs w:val="28"/>
          <w:lang w:val="uk-UA" w:eastAsia="ru-RU"/>
        </w:rPr>
        <w:t>Науковий керівник:</w:t>
      </w:r>
      <w:r w:rsidRPr="004E3FE9">
        <w:rPr>
          <w:rFonts w:ascii="Times New Roman" w:eastAsia="Times New Roman" w:hAnsi="Times New Roman" w:cs="Times New Roman"/>
          <w:bCs/>
          <w:iCs/>
          <w:sz w:val="28"/>
          <w:szCs w:val="28"/>
          <w:lang w:val="uk-UA" w:eastAsia="ru-RU"/>
        </w:rPr>
        <w:br/>
        <w:t>доктор медичних наук, професор</w:t>
      </w:r>
      <w:r w:rsidRPr="004E3FE9">
        <w:rPr>
          <w:rFonts w:ascii="Times New Roman" w:eastAsia="Times New Roman" w:hAnsi="Times New Roman" w:cs="Times New Roman"/>
          <w:bCs/>
          <w:iCs/>
          <w:sz w:val="28"/>
          <w:szCs w:val="28"/>
          <w:lang w:val="uk-UA" w:eastAsia="ru-RU"/>
        </w:rPr>
        <w:br/>
        <w:t xml:space="preserve">Одинець Юрій Васильович </w:t>
      </w:r>
    </w:p>
    <w:p w:rsidR="00C1355A" w:rsidRPr="004E3FE9" w:rsidRDefault="00C1355A" w:rsidP="00C1355A">
      <w:pPr>
        <w:spacing w:line="360" w:lineRule="auto"/>
        <w:contextualSpacing/>
        <w:rPr>
          <w:rFonts w:ascii="Times New Roman" w:eastAsia="Times New Roman" w:hAnsi="Times New Roman" w:cs="Times New Roman"/>
          <w:bCs/>
          <w:iCs/>
          <w:sz w:val="28"/>
          <w:szCs w:val="28"/>
          <w:lang w:val="uk-UA" w:eastAsia="ru-RU"/>
        </w:rPr>
      </w:pPr>
    </w:p>
    <w:p w:rsidR="00C1355A" w:rsidRPr="004E3FE9" w:rsidRDefault="00C1355A" w:rsidP="00C1355A">
      <w:pPr>
        <w:spacing w:line="360" w:lineRule="auto"/>
        <w:contextualSpacing/>
        <w:rPr>
          <w:rFonts w:ascii="Times New Roman" w:eastAsia="Times New Roman" w:hAnsi="Times New Roman" w:cs="Times New Roman"/>
          <w:bCs/>
          <w:iCs/>
          <w:sz w:val="28"/>
          <w:szCs w:val="28"/>
          <w:lang w:val="uk-UA" w:eastAsia="ru-RU"/>
        </w:rPr>
      </w:pPr>
    </w:p>
    <w:p w:rsidR="00C1355A" w:rsidRPr="004E3FE9" w:rsidRDefault="00C1355A" w:rsidP="00C1355A">
      <w:pPr>
        <w:spacing w:line="360" w:lineRule="auto"/>
        <w:contextualSpacing/>
        <w:rPr>
          <w:rFonts w:ascii="Times New Roman" w:eastAsia="Times New Roman" w:hAnsi="Times New Roman" w:cs="Times New Roman"/>
          <w:bCs/>
          <w:iCs/>
          <w:sz w:val="28"/>
          <w:szCs w:val="28"/>
          <w:lang w:val="uk-UA" w:eastAsia="ru-RU"/>
        </w:rPr>
      </w:pPr>
    </w:p>
    <w:p w:rsidR="00BD119A" w:rsidRPr="004E3FE9" w:rsidRDefault="00BD119A" w:rsidP="00C1355A">
      <w:pPr>
        <w:spacing w:line="360" w:lineRule="auto"/>
        <w:contextualSpacing/>
        <w:rPr>
          <w:rFonts w:ascii="Times New Roman" w:eastAsia="Times New Roman" w:hAnsi="Times New Roman" w:cs="Times New Roman"/>
          <w:bCs/>
          <w:iCs/>
          <w:sz w:val="28"/>
          <w:szCs w:val="28"/>
          <w:lang w:val="uk-UA" w:eastAsia="ru-RU"/>
        </w:rPr>
      </w:pPr>
    </w:p>
    <w:p w:rsidR="00BD0FE7" w:rsidRPr="00BD0FE7" w:rsidRDefault="00BD0FE7" w:rsidP="00BD0FE7">
      <w:pPr>
        <w:spacing w:line="360" w:lineRule="auto"/>
        <w:contextualSpacing/>
        <w:jc w:val="center"/>
        <w:rPr>
          <w:rFonts w:ascii="Times New Roman" w:eastAsia="Times New Roman" w:hAnsi="Times New Roman" w:cs="Times New Roman"/>
          <w:bCs/>
          <w:iCs/>
          <w:sz w:val="28"/>
          <w:szCs w:val="28"/>
          <w:lang w:val="en-US" w:eastAsia="ru-RU"/>
        </w:rPr>
      </w:pPr>
      <w:r>
        <w:rPr>
          <w:rFonts w:ascii="Times New Roman" w:eastAsia="Times New Roman" w:hAnsi="Times New Roman" w:cs="Times New Roman"/>
          <w:bCs/>
          <w:iCs/>
          <w:sz w:val="28"/>
          <w:szCs w:val="28"/>
          <w:lang w:val="uk-UA" w:eastAsia="ru-RU"/>
        </w:rPr>
        <w:t>Харків – 201</w:t>
      </w:r>
      <w:r>
        <w:rPr>
          <w:rFonts w:ascii="Times New Roman" w:eastAsia="Times New Roman" w:hAnsi="Times New Roman" w:cs="Times New Roman"/>
          <w:bCs/>
          <w:iCs/>
          <w:sz w:val="28"/>
          <w:szCs w:val="28"/>
          <w:lang w:val="en-US" w:eastAsia="ru-RU"/>
        </w:rPr>
        <w:t>7</w:t>
      </w:r>
    </w:p>
    <w:p w:rsidR="00C1355A" w:rsidRPr="004E3FE9" w:rsidRDefault="00B04014" w:rsidP="008C7C5D">
      <w:pPr>
        <w:spacing w:after="0" w:line="360" w:lineRule="auto"/>
        <w:ind w:firstLine="720"/>
        <w:jc w:val="center"/>
        <w:rPr>
          <w:rFonts w:ascii="Times New Roman" w:eastAsia="Times New Roman" w:hAnsi="Times New Roman" w:cs="Times New Roman"/>
          <w:b/>
          <w:color w:val="000000" w:themeColor="text1"/>
          <w:sz w:val="28"/>
          <w:szCs w:val="28"/>
          <w:lang w:val="uk-UA" w:eastAsia="ru-RU"/>
        </w:rPr>
      </w:pPr>
      <w:r w:rsidRPr="004E3FE9">
        <w:rPr>
          <w:rFonts w:ascii="Times New Roman" w:eastAsia="Times New Roman" w:hAnsi="Times New Roman" w:cs="Times New Roman"/>
          <w:b/>
          <w:color w:val="000000" w:themeColor="text1"/>
          <w:sz w:val="28"/>
          <w:szCs w:val="28"/>
          <w:lang w:val="uk-UA" w:eastAsia="ru-RU"/>
        </w:rPr>
        <w:lastRenderedPageBreak/>
        <w:t>ЗМІСТ</w:t>
      </w:r>
      <w:r w:rsidRPr="004E3FE9">
        <w:rPr>
          <w:rFonts w:ascii="Times New Roman" w:eastAsia="Times New Roman" w:hAnsi="Times New Roman" w:cs="Times New Roman"/>
          <w:b/>
          <w:color w:val="000000" w:themeColor="text1"/>
          <w:sz w:val="28"/>
          <w:szCs w:val="28"/>
          <w:lang w:val="uk-UA" w:eastAsia="ru-RU"/>
        </w:rPr>
        <w:br/>
      </w:r>
    </w:p>
    <w:p w:rsidR="008C7C5D" w:rsidRPr="004E3FE9" w:rsidRDefault="001B44D4"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eastAsia="Times New Roman" w:hAnsi="Times New Roman" w:cs="Times New Roman"/>
          <w:color w:val="000000" w:themeColor="text1"/>
          <w:sz w:val="28"/>
          <w:szCs w:val="28"/>
          <w:lang w:val="uk-UA" w:eastAsia="ru-RU"/>
        </w:rPr>
        <w:fldChar w:fldCharType="begin"/>
      </w:r>
      <w:r w:rsidR="008C7C5D" w:rsidRPr="004E3FE9">
        <w:rPr>
          <w:rFonts w:ascii="Times New Roman" w:eastAsia="Times New Roman" w:hAnsi="Times New Roman" w:cs="Times New Roman"/>
          <w:color w:val="000000" w:themeColor="text1"/>
          <w:sz w:val="28"/>
          <w:szCs w:val="28"/>
          <w:lang w:val="uk-UA" w:eastAsia="ru-RU"/>
        </w:rPr>
        <w:instrText xml:space="preserve"> TOC \o "1-2" \u </w:instrText>
      </w:r>
      <w:r w:rsidRPr="004E3FE9">
        <w:rPr>
          <w:rFonts w:ascii="Times New Roman" w:eastAsia="Times New Roman" w:hAnsi="Times New Roman" w:cs="Times New Roman"/>
          <w:color w:val="000000" w:themeColor="text1"/>
          <w:sz w:val="28"/>
          <w:szCs w:val="28"/>
          <w:lang w:val="uk-UA" w:eastAsia="ru-RU"/>
        </w:rPr>
        <w:fldChar w:fldCharType="separate"/>
      </w:r>
      <w:r w:rsidR="008C7C5D" w:rsidRPr="004E3FE9">
        <w:rPr>
          <w:rFonts w:ascii="Times New Roman" w:eastAsia="Times New Roman" w:hAnsi="Times New Roman" w:cs="Times New Roman"/>
          <w:noProof/>
          <w:color w:val="000000" w:themeColor="text1"/>
          <w:sz w:val="28"/>
          <w:szCs w:val="28"/>
          <w:lang w:val="uk-UA" w:eastAsia="ru-RU"/>
        </w:rPr>
        <w:t>ПЕРЕЛІК УМОВНИХ СКОРОЧЕНЬ</w:t>
      </w:r>
      <w:r w:rsidR="008C7C5D" w:rsidRPr="004E3FE9">
        <w:rPr>
          <w:rFonts w:ascii="Times New Roman" w:hAnsi="Times New Roman" w:cs="Times New Roman"/>
          <w:noProof/>
          <w:sz w:val="28"/>
          <w:szCs w:val="28"/>
          <w:lang w:val="uk-UA"/>
        </w:rPr>
        <w:tab/>
      </w:r>
      <w:r w:rsidRPr="004E3FE9">
        <w:rPr>
          <w:rFonts w:ascii="Times New Roman" w:hAnsi="Times New Roman" w:cs="Times New Roman"/>
          <w:noProof/>
          <w:sz w:val="28"/>
          <w:szCs w:val="28"/>
          <w:lang w:val="uk-UA"/>
        </w:rPr>
        <w:fldChar w:fldCharType="begin"/>
      </w:r>
      <w:r w:rsidR="008C7C5D" w:rsidRPr="004E3FE9">
        <w:rPr>
          <w:rFonts w:ascii="Times New Roman" w:hAnsi="Times New Roman" w:cs="Times New Roman"/>
          <w:noProof/>
          <w:sz w:val="28"/>
          <w:szCs w:val="28"/>
          <w:lang w:val="uk-UA"/>
        </w:rPr>
        <w:instrText xml:space="preserve"> PAGEREF _Toc465797598 \h </w:instrText>
      </w:r>
      <w:r w:rsidRPr="004E3FE9">
        <w:rPr>
          <w:rFonts w:ascii="Times New Roman" w:hAnsi="Times New Roman" w:cs="Times New Roman"/>
          <w:noProof/>
          <w:sz w:val="28"/>
          <w:szCs w:val="28"/>
          <w:lang w:val="uk-UA"/>
        </w:rPr>
      </w:r>
      <w:r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4</w:t>
      </w:r>
      <w:r w:rsidRPr="004E3FE9">
        <w:rPr>
          <w:rFonts w:ascii="Times New Roman" w:hAnsi="Times New Roman" w:cs="Times New Roman"/>
          <w:noProof/>
          <w:sz w:val="28"/>
          <w:szCs w:val="28"/>
          <w:lang w:val="uk-UA"/>
        </w:rPr>
        <w:fldChar w:fldCharType="end"/>
      </w:r>
    </w:p>
    <w:p w:rsidR="008C7C5D" w:rsidRPr="004E3FE9" w:rsidRDefault="008C7C5D"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ВСТУП</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_Toc465797599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7</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РОЗДІЛ 1</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ОГЛЯД ЛІТЕРАТУРИ СУЧАСНІ ПОГЛЯДИ НА МЕХАНІЗМИ РОЗВИТКУ, КЛІНІКУ ТА ПРОГНОСТИЧНІ ОЗНАКИ ПЕРЕБІГУ ГЕМОРАГІЧНОГО ВАСКУЛІТУ У ДІТЕЙ</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_Toc465797600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14</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1.1. Сучасні уявлення про клініко-патогенетичні та діагностичні особливості геморагічного васкуліту у дітей</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_Toc465797601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14</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1.2</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Сучасний погляд на функцію ендотелію.</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_Toc465797602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23</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РОЗДІЛ 2</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МАТЕРІАЛИ ТА МЕТОДИ</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_Toc465797603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34</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2.1. Об’єкт дослідження</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_Toc465797604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34</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2.2. Методи дослідження.</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_Toc465797605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35</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2.3 Контрольні дані</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_Toc465797606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40</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2.4. Методи статистичного аналізу</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_Toc465797607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44</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РОЗДІЛ 3</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КЛІНІЧНА ХАРАКТЕРИСТИКА ДІТЕЙ ХВОРИХ НА ГЕМОРАГІЧНИЙ ВАСКУЛІТ</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_Toc465797608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46</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3.1</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Загальна характеристика хворих</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_Toc465797609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46</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3.2</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Клініко-лабораторна характеристика дітей, хворих на геморагічний васкуліт, залежно від ступеня активності патологічного процесу.</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_Toc465797610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54</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3.3</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Характеристика системи гемостазу у дітей, хворих на геморагічний васкуліт.</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_Toc465797611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65</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3.4</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Показники клітинної, гуморальної ланок імунітету та фагоцитозу у дітей, хворих на геморагічний васкуліт.</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_Toc465797612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69</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РОЗДІЛ 4</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ХАРАКТЕРИСТИКА ФУНКЦІЇ ЕНДОТЕЛІЮ СУДИН У ДІТЕЙ, ХВОРИХ НА ГЕМОРАГІЧНИЙ ВАСКУЛІТ</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_Toc465797613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80</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lastRenderedPageBreak/>
        <w:t>4.1</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Вміст метаболітів оксиду азоту та </w:t>
      </w:r>
      <w:r w:rsidR="009A67C0" w:rsidRPr="004E3FE9">
        <w:rPr>
          <w:rFonts w:ascii="Times New Roman" w:hAnsi="Times New Roman" w:cs="Times New Roman"/>
          <w:noProof/>
          <w:color w:val="000000" w:themeColor="text1"/>
          <w:sz w:val="28"/>
          <w:szCs w:val="28"/>
          <w:lang w:val="uk-UA"/>
        </w:rPr>
        <w:t>ФВ</w:t>
      </w:r>
      <w:r w:rsidRPr="004E3FE9">
        <w:rPr>
          <w:rFonts w:ascii="Times New Roman" w:hAnsi="Times New Roman" w:cs="Times New Roman"/>
          <w:noProof/>
          <w:color w:val="000000" w:themeColor="text1"/>
          <w:sz w:val="28"/>
          <w:szCs w:val="28"/>
          <w:lang w:val="uk-UA"/>
        </w:rPr>
        <w:t xml:space="preserve"> в сироватці крові при геморагічному васкуліті у дітей.</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_Toc465797614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80</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21"/>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4.2</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Аналіз структурного та функціонального стану ендотелію у дітей з ГВ за даними ультразвукової доплерографії судин.</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_Toc465797615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98</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РОЗДІЛ 5</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ОЦІНКА ВМІСТУ В СИРОВАТЦІ КРОВІ МОНОЦИТАРНОГО ХЕМО</w:t>
      </w:r>
      <w:r w:rsidR="00E64508">
        <w:rPr>
          <w:rFonts w:ascii="Times New Roman" w:hAnsi="Times New Roman" w:cs="Times New Roman"/>
          <w:noProof/>
          <w:color w:val="000000" w:themeColor="text1"/>
          <w:sz w:val="28"/>
          <w:szCs w:val="28"/>
          <w:lang w:val="uk-UA"/>
        </w:rPr>
        <w:t>А</w:t>
      </w:r>
      <w:r w:rsidRPr="004E3FE9">
        <w:rPr>
          <w:rFonts w:ascii="Times New Roman" w:hAnsi="Times New Roman" w:cs="Times New Roman"/>
          <w:noProof/>
          <w:color w:val="000000" w:themeColor="text1"/>
          <w:sz w:val="28"/>
          <w:szCs w:val="28"/>
          <w:lang w:val="uk-UA"/>
        </w:rPr>
        <w:t>ТРАКТАНТНОГО ПРОТЕЇНУ 1 У ДІТЕЙ, ХВОРИХ НА ГЕМОРАГІЧНИЙ ВАСКУЛІТ</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_Toc465797616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121</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РОЗДІЛ 6</w:t>
      </w:r>
      <w:r w:rsidR="00D8103E">
        <w:rPr>
          <w:rFonts w:ascii="Times New Roman" w:hAnsi="Times New Roman" w:cs="Times New Roman"/>
          <w:noProof/>
          <w:color w:val="000000" w:themeColor="text1"/>
          <w:sz w:val="28"/>
          <w:szCs w:val="28"/>
          <w:lang w:val="uk-UA"/>
        </w:rPr>
        <w:t>.</w:t>
      </w:r>
      <w:r w:rsidRPr="004E3FE9">
        <w:rPr>
          <w:rFonts w:ascii="Times New Roman" w:hAnsi="Times New Roman" w:cs="Times New Roman"/>
          <w:noProof/>
          <w:color w:val="000000" w:themeColor="text1"/>
          <w:sz w:val="28"/>
          <w:szCs w:val="28"/>
          <w:lang w:val="uk-UA"/>
        </w:rPr>
        <w:t xml:space="preserve"> МАТЕМАТИЧНЕ ПРОГНОЗУВАННЯ РОЗВИТКУ НИРКОВОГО СИНДРОМУ У ДІТЕЙ, ХВОРИХ НА ГЕМОРАГІЧНИЙ ВАСКУЛІТ.</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_Toc465797617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139</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АНАЛІЗ І УЗАГАЛЬНЕННЯ РЕЗУЛЬТАТІВ ДОСЛІДЖЕННЯ</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_Toc465797618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146</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eastAsia="ru-RU"/>
        </w:rPr>
        <w:t>ВИСНОВКИ</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_Toc465797619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165</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hAnsi="Times New Roman" w:cs="Times New Roman"/>
          <w:noProof/>
          <w:color w:val="000000" w:themeColor="text1"/>
          <w:sz w:val="28"/>
          <w:szCs w:val="28"/>
          <w:lang w:val="uk-UA"/>
        </w:rPr>
        <w:t>ПРАКТИЧНІ РЕКОМЕНДАЦІЇ</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_Toc465797620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167</w:t>
      </w:r>
      <w:r w:rsidR="001B44D4" w:rsidRPr="004E3FE9">
        <w:rPr>
          <w:rFonts w:ascii="Times New Roman" w:hAnsi="Times New Roman" w:cs="Times New Roman"/>
          <w:noProof/>
          <w:sz w:val="28"/>
          <w:szCs w:val="28"/>
          <w:lang w:val="uk-UA"/>
        </w:rPr>
        <w:fldChar w:fldCharType="end"/>
      </w:r>
    </w:p>
    <w:p w:rsidR="008C7C5D" w:rsidRPr="004E3FE9" w:rsidRDefault="008C7C5D" w:rsidP="008C7C5D">
      <w:pPr>
        <w:pStyle w:val="12"/>
        <w:tabs>
          <w:tab w:val="right" w:leader="dot" w:pos="9345"/>
        </w:tabs>
        <w:spacing w:line="360" w:lineRule="auto"/>
        <w:rPr>
          <w:rFonts w:ascii="Times New Roman" w:eastAsiaTheme="minorEastAsia" w:hAnsi="Times New Roman" w:cs="Times New Roman"/>
          <w:noProof/>
          <w:sz w:val="28"/>
          <w:szCs w:val="28"/>
          <w:lang w:val="uk-UA" w:eastAsia="ru-RU"/>
        </w:rPr>
      </w:pPr>
      <w:r w:rsidRPr="004E3FE9">
        <w:rPr>
          <w:rFonts w:ascii="Times New Roman" w:eastAsia="Times New Roman" w:hAnsi="Times New Roman" w:cs="Times New Roman"/>
          <w:iCs/>
          <w:noProof/>
          <w:color w:val="000000" w:themeColor="text1"/>
          <w:sz w:val="28"/>
          <w:szCs w:val="28"/>
          <w:lang w:val="uk-UA" w:eastAsia="ru-RU"/>
        </w:rPr>
        <w:t>ПЕРЕЛІК ВИКОРИСТАНИХ ДЖЕРЕЛ</w:t>
      </w:r>
      <w:r w:rsidRPr="004E3FE9">
        <w:rPr>
          <w:rFonts w:ascii="Times New Roman" w:hAnsi="Times New Roman" w:cs="Times New Roman"/>
          <w:noProof/>
          <w:sz w:val="28"/>
          <w:szCs w:val="28"/>
          <w:lang w:val="uk-UA"/>
        </w:rPr>
        <w:tab/>
      </w:r>
      <w:r w:rsidR="001B44D4" w:rsidRPr="004E3FE9">
        <w:rPr>
          <w:rFonts w:ascii="Times New Roman" w:hAnsi="Times New Roman" w:cs="Times New Roman"/>
          <w:noProof/>
          <w:sz w:val="28"/>
          <w:szCs w:val="28"/>
          <w:lang w:val="uk-UA"/>
        </w:rPr>
        <w:fldChar w:fldCharType="begin"/>
      </w:r>
      <w:r w:rsidRPr="004E3FE9">
        <w:rPr>
          <w:rFonts w:ascii="Times New Roman" w:hAnsi="Times New Roman" w:cs="Times New Roman"/>
          <w:noProof/>
          <w:sz w:val="28"/>
          <w:szCs w:val="28"/>
          <w:lang w:val="uk-UA"/>
        </w:rPr>
        <w:instrText xml:space="preserve"> PAGEREF _Toc465797621 \h </w:instrText>
      </w:r>
      <w:r w:rsidR="001B44D4" w:rsidRPr="004E3FE9">
        <w:rPr>
          <w:rFonts w:ascii="Times New Roman" w:hAnsi="Times New Roman" w:cs="Times New Roman"/>
          <w:noProof/>
          <w:sz w:val="28"/>
          <w:szCs w:val="28"/>
          <w:lang w:val="uk-UA"/>
        </w:rPr>
      </w:r>
      <w:r w:rsidR="001B44D4" w:rsidRPr="004E3FE9">
        <w:rPr>
          <w:rFonts w:ascii="Times New Roman" w:hAnsi="Times New Roman" w:cs="Times New Roman"/>
          <w:noProof/>
          <w:sz w:val="28"/>
          <w:szCs w:val="28"/>
          <w:lang w:val="uk-UA"/>
        </w:rPr>
        <w:fldChar w:fldCharType="separate"/>
      </w:r>
      <w:r w:rsidR="0003517F">
        <w:rPr>
          <w:rFonts w:ascii="Times New Roman" w:hAnsi="Times New Roman" w:cs="Times New Roman"/>
          <w:noProof/>
          <w:sz w:val="28"/>
          <w:szCs w:val="28"/>
          <w:lang w:val="uk-UA"/>
        </w:rPr>
        <w:t>168</w:t>
      </w:r>
      <w:r w:rsidR="001B44D4" w:rsidRPr="004E3FE9">
        <w:rPr>
          <w:rFonts w:ascii="Times New Roman" w:hAnsi="Times New Roman" w:cs="Times New Roman"/>
          <w:noProof/>
          <w:sz w:val="28"/>
          <w:szCs w:val="28"/>
          <w:lang w:val="uk-UA"/>
        </w:rPr>
        <w:fldChar w:fldCharType="end"/>
      </w:r>
    </w:p>
    <w:p w:rsidR="00B92A63" w:rsidRPr="004E3FE9" w:rsidRDefault="001B44D4" w:rsidP="008C7C5D">
      <w:pPr>
        <w:spacing w:line="360" w:lineRule="auto"/>
        <w:rPr>
          <w:rFonts w:ascii="Times New Roman" w:eastAsia="Times New Roman" w:hAnsi="Times New Roman" w:cs="Times New Roman"/>
          <w:color w:val="000000" w:themeColor="text1"/>
          <w:sz w:val="28"/>
          <w:szCs w:val="28"/>
          <w:lang w:val="uk-UA" w:eastAsia="ru-RU"/>
        </w:rPr>
      </w:pPr>
      <w:r w:rsidRPr="004E3FE9">
        <w:rPr>
          <w:rFonts w:ascii="Times New Roman" w:eastAsia="Times New Roman" w:hAnsi="Times New Roman" w:cs="Times New Roman"/>
          <w:color w:val="000000" w:themeColor="text1"/>
          <w:sz w:val="28"/>
          <w:szCs w:val="28"/>
          <w:lang w:val="uk-UA" w:eastAsia="ru-RU"/>
        </w:rPr>
        <w:fldChar w:fldCharType="end"/>
      </w:r>
    </w:p>
    <w:p w:rsidR="00B92A63" w:rsidRPr="004E3FE9" w:rsidRDefault="00B92A63" w:rsidP="008C7C5D">
      <w:pPr>
        <w:spacing w:line="360" w:lineRule="auto"/>
        <w:rPr>
          <w:rFonts w:ascii="Times New Roman" w:eastAsia="Times New Roman" w:hAnsi="Times New Roman" w:cs="Times New Roman"/>
          <w:color w:val="000000" w:themeColor="text1"/>
          <w:sz w:val="28"/>
          <w:szCs w:val="28"/>
          <w:lang w:val="uk-UA" w:eastAsia="ru-RU"/>
        </w:rPr>
      </w:pPr>
    </w:p>
    <w:p w:rsidR="00B92A63" w:rsidRPr="004E3FE9" w:rsidRDefault="00B92A63" w:rsidP="00B92A63">
      <w:pPr>
        <w:rPr>
          <w:rFonts w:ascii="Times New Roman" w:eastAsia="Times New Roman" w:hAnsi="Times New Roman" w:cs="Times New Roman"/>
          <w:sz w:val="28"/>
          <w:szCs w:val="28"/>
          <w:lang w:val="uk-UA" w:eastAsia="ru-RU"/>
        </w:rPr>
      </w:pPr>
    </w:p>
    <w:p w:rsidR="00B92A63" w:rsidRPr="004E3FE9" w:rsidRDefault="00B92A63" w:rsidP="00B92A63">
      <w:pPr>
        <w:rPr>
          <w:rFonts w:ascii="Times New Roman" w:eastAsia="Times New Roman" w:hAnsi="Times New Roman" w:cs="Times New Roman"/>
          <w:sz w:val="28"/>
          <w:szCs w:val="28"/>
          <w:lang w:val="uk-UA" w:eastAsia="ru-RU"/>
        </w:rPr>
      </w:pPr>
    </w:p>
    <w:p w:rsidR="00B92A63" w:rsidRPr="004E3FE9" w:rsidRDefault="00B92A63" w:rsidP="00B92A63">
      <w:pPr>
        <w:rPr>
          <w:rFonts w:ascii="Times New Roman" w:eastAsia="Times New Roman" w:hAnsi="Times New Roman" w:cs="Times New Roman"/>
          <w:sz w:val="28"/>
          <w:szCs w:val="28"/>
          <w:lang w:val="uk-UA" w:eastAsia="ru-RU"/>
        </w:rPr>
      </w:pPr>
    </w:p>
    <w:p w:rsidR="00B92A63" w:rsidRPr="004E3FE9" w:rsidRDefault="00B92A63" w:rsidP="00B92A63">
      <w:pPr>
        <w:rPr>
          <w:rFonts w:ascii="Times New Roman" w:eastAsia="Times New Roman" w:hAnsi="Times New Roman" w:cs="Times New Roman"/>
          <w:sz w:val="28"/>
          <w:szCs w:val="28"/>
          <w:lang w:val="uk-UA" w:eastAsia="ru-RU"/>
        </w:rPr>
      </w:pPr>
    </w:p>
    <w:p w:rsidR="00B92A63" w:rsidRPr="004E3FE9" w:rsidRDefault="00B92A63" w:rsidP="00B92A63">
      <w:pPr>
        <w:rPr>
          <w:rFonts w:ascii="Times New Roman" w:eastAsia="Times New Roman" w:hAnsi="Times New Roman" w:cs="Times New Roman"/>
          <w:sz w:val="28"/>
          <w:szCs w:val="28"/>
          <w:lang w:val="uk-UA" w:eastAsia="ru-RU"/>
        </w:rPr>
      </w:pPr>
    </w:p>
    <w:p w:rsidR="00B92A63" w:rsidRPr="004E3FE9" w:rsidRDefault="00B92A63" w:rsidP="00B92A63">
      <w:pPr>
        <w:rPr>
          <w:rFonts w:ascii="Times New Roman" w:eastAsia="Times New Roman" w:hAnsi="Times New Roman" w:cs="Times New Roman"/>
          <w:sz w:val="28"/>
          <w:szCs w:val="28"/>
          <w:lang w:val="uk-UA" w:eastAsia="ru-RU"/>
        </w:rPr>
      </w:pPr>
    </w:p>
    <w:p w:rsidR="00B92A63" w:rsidRPr="004E3FE9" w:rsidRDefault="00B92A63" w:rsidP="00B92A63">
      <w:pPr>
        <w:rPr>
          <w:rFonts w:ascii="Times New Roman" w:eastAsia="Times New Roman" w:hAnsi="Times New Roman" w:cs="Times New Roman"/>
          <w:sz w:val="28"/>
          <w:szCs w:val="28"/>
          <w:lang w:val="uk-UA" w:eastAsia="ru-RU"/>
        </w:rPr>
      </w:pPr>
    </w:p>
    <w:p w:rsidR="00B92A63" w:rsidRPr="004E3FE9" w:rsidRDefault="00B92A63" w:rsidP="00B92A63">
      <w:pPr>
        <w:rPr>
          <w:rFonts w:ascii="Times New Roman" w:eastAsia="Times New Roman" w:hAnsi="Times New Roman" w:cs="Times New Roman"/>
          <w:sz w:val="28"/>
          <w:szCs w:val="28"/>
          <w:lang w:val="uk-UA" w:eastAsia="ru-RU"/>
        </w:rPr>
      </w:pPr>
    </w:p>
    <w:p w:rsidR="00B92A63" w:rsidRPr="004E3FE9" w:rsidRDefault="00B92A63" w:rsidP="00B92A63">
      <w:pPr>
        <w:rPr>
          <w:rFonts w:ascii="Times New Roman" w:eastAsia="Times New Roman" w:hAnsi="Times New Roman" w:cs="Times New Roman"/>
          <w:sz w:val="28"/>
          <w:szCs w:val="28"/>
          <w:lang w:val="uk-UA" w:eastAsia="ru-RU"/>
        </w:rPr>
      </w:pPr>
    </w:p>
    <w:p w:rsidR="00B92A63" w:rsidRPr="004E3FE9" w:rsidRDefault="00B92A63" w:rsidP="00B92A63">
      <w:pPr>
        <w:rPr>
          <w:lang w:val="uk-UA" w:eastAsia="ru-RU"/>
        </w:rPr>
      </w:pPr>
    </w:p>
    <w:p w:rsidR="0059777F" w:rsidRPr="004E3FE9" w:rsidRDefault="0059777F" w:rsidP="00A51BD1">
      <w:pPr>
        <w:pStyle w:val="1"/>
        <w:jc w:val="center"/>
        <w:rPr>
          <w:rFonts w:ascii="Times New Roman" w:eastAsia="Times New Roman" w:hAnsi="Times New Roman" w:cs="Times New Roman"/>
          <w:color w:val="000000" w:themeColor="text1"/>
          <w:lang w:val="uk-UA" w:eastAsia="ru-RU"/>
        </w:rPr>
      </w:pPr>
      <w:bookmarkStart w:id="0" w:name="_Toc465797598"/>
      <w:r w:rsidRPr="004E3FE9">
        <w:rPr>
          <w:rFonts w:ascii="Times New Roman" w:eastAsia="Times New Roman" w:hAnsi="Times New Roman" w:cs="Times New Roman"/>
          <w:color w:val="000000" w:themeColor="text1"/>
          <w:lang w:val="uk-UA" w:eastAsia="ru-RU"/>
        </w:rPr>
        <w:lastRenderedPageBreak/>
        <w:t>ПЕРЕЛІК УМОВНИХ СКОРОЧЕНЬ</w:t>
      </w:r>
      <w:bookmarkEnd w:id="0"/>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68"/>
        <w:gridCol w:w="7903"/>
      </w:tblGrid>
      <w:tr w:rsidR="00B74E43" w:rsidRPr="004E3FE9" w:rsidTr="00205137">
        <w:tc>
          <w:tcPr>
            <w:tcW w:w="1668" w:type="dxa"/>
          </w:tcPr>
          <w:p w:rsidR="00B74E43" w:rsidRPr="004E3FE9" w:rsidRDefault="00205137" w:rsidP="0071552F">
            <w:pPr>
              <w:spacing w:line="360" w:lineRule="auto"/>
              <w:jc w:val="both"/>
              <w:rPr>
                <w:rFonts w:ascii="Times New Roman" w:eastAsia="Times New Roman" w:hAnsi="Times New Roman" w:cs="Times New Roman"/>
                <w:sz w:val="28"/>
                <w:szCs w:val="28"/>
                <w:lang w:val="uk-UA"/>
              </w:rPr>
            </w:pPr>
            <w:bookmarkStart w:id="1" w:name="_GoBack"/>
            <w:r w:rsidRPr="004E3FE9">
              <w:rPr>
                <w:rFonts w:ascii="Times New Roman" w:hAnsi="Times New Roman" w:cs="Times New Roman"/>
                <w:sz w:val="28"/>
                <w:szCs w:val="28"/>
                <w:lang w:val="uk-UA"/>
              </w:rPr>
              <w:t xml:space="preserve">А – </w:t>
            </w:r>
          </w:p>
        </w:tc>
        <w:tc>
          <w:tcPr>
            <w:tcW w:w="7903" w:type="dxa"/>
          </w:tcPr>
          <w:p w:rsidR="00B74E43" w:rsidRPr="004E3FE9" w:rsidRDefault="00B74E43" w:rsidP="00205137">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згортаюча активність на другій хвилині</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АКТ</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аутокоагуляційний  тест </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АТ</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антитромбін </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АЧТЧ</w:t>
            </w:r>
            <w:r w:rsidR="00205137" w:rsidRPr="004E3FE9">
              <w:rPr>
                <w:rFonts w:ascii="Times New Roman" w:hAnsi="Times New Roman" w:cs="Times New Roman"/>
                <w:sz w:val="28"/>
                <w:szCs w:val="28"/>
                <w:lang w:val="uk-UA"/>
              </w:rPr>
              <w:t xml:space="preserve"> – </w:t>
            </w:r>
            <w:r w:rsidRPr="004E3FE9">
              <w:rPr>
                <w:rFonts w:ascii="Times New Roman" w:eastAsia="Times New Roman" w:hAnsi="Times New Roman" w:cs="Times New Roman"/>
                <w:sz w:val="28"/>
                <w:szCs w:val="28"/>
                <w:lang w:val="uk-UA" w:eastAsia="ru-RU"/>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активований частковий тромбопластиновий час</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ВООЗ</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Всесвітня Організація Охорони Здоров'я</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ВШГ</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8E47CF" w:rsidP="0071552F">
            <w:pPr>
              <w:spacing w:line="360" w:lineRule="auto"/>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васкуліт Шенлейн</w:t>
            </w:r>
            <w:r w:rsidR="00B74E43" w:rsidRPr="004E3FE9">
              <w:rPr>
                <w:rFonts w:ascii="Times New Roman" w:hAnsi="Times New Roman" w:cs="Times New Roman"/>
                <w:sz w:val="28"/>
                <w:szCs w:val="28"/>
                <w:lang w:val="uk-UA"/>
              </w:rPr>
              <w:t>-Геноха</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ГВ</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геморагічний васкуліт</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ГМК</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клітини гладеньких м'язів</w:t>
            </w:r>
          </w:p>
        </w:tc>
      </w:tr>
      <w:tr w:rsidR="00B74E43" w:rsidRPr="004E3FE9" w:rsidTr="00205137">
        <w:tc>
          <w:tcPr>
            <w:tcW w:w="1668" w:type="dxa"/>
          </w:tcPr>
          <w:p w:rsidR="00B74E43" w:rsidRPr="004E3FE9" w:rsidRDefault="00B74E43" w:rsidP="0071552F">
            <w:pPr>
              <w:spacing w:line="360" w:lineRule="auto"/>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ДВЗ</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дисеміноване внутрішньосудинне згортання</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ДІ </w:t>
            </w:r>
            <w:r w:rsidR="00205137" w:rsidRPr="004E3FE9">
              <w:rPr>
                <w:rFonts w:ascii="Times New Roman" w:hAnsi="Times New Roman" w:cs="Times New Roman"/>
                <w:sz w:val="28"/>
                <w:szCs w:val="28"/>
                <w:lang w:val="uk-UA"/>
              </w:rPr>
              <w:t>–</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довірчий інтервал</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ДМН</w:t>
            </w:r>
            <w:r w:rsidR="00205137" w:rsidRPr="004E3FE9">
              <w:rPr>
                <w:rFonts w:ascii="Times New Roman" w:hAnsi="Times New Roman" w:cs="Times New Roman"/>
                <w:sz w:val="28"/>
                <w:szCs w:val="28"/>
                <w:lang w:val="uk-UA"/>
              </w:rPr>
              <w:t xml:space="preserve"> – </w:t>
            </w:r>
            <w:r w:rsidRPr="004E3FE9">
              <w:rPr>
                <w:rFonts w:ascii="Times New Roman" w:eastAsia="Times New Roman" w:hAnsi="Times New Roman" w:cs="Times New Roman"/>
                <w:sz w:val="28"/>
                <w:szCs w:val="28"/>
                <w:lang w:val="uk-UA" w:eastAsia="ru-RU"/>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дисметаболічна нефропатія</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ЕЗВД</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ендотелійзалежна вазодилатація</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ЕКГ </w:t>
            </w:r>
            <w:r w:rsidR="00205137" w:rsidRPr="004E3FE9">
              <w:rPr>
                <w:rFonts w:ascii="Times New Roman" w:hAnsi="Times New Roman" w:cs="Times New Roman"/>
                <w:sz w:val="28"/>
                <w:szCs w:val="28"/>
                <w:lang w:val="uk-UA"/>
              </w:rPr>
              <w:t>–</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електрокардіограма</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ЗСА</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загальна сонна артерія</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ІІТ </w:t>
            </w:r>
            <w:r w:rsidR="00205137" w:rsidRPr="004E3FE9">
              <w:rPr>
                <w:rFonts w:ascii="Times New Roman" w:hAnsi="Times New Roman" w:cs="Times New Roman"/>
                <w:sz w:val="28"/>
                <w:szCs w:val="28"/>
                <w:lang w:val="uk-UA"/>
              </w:rPr>
              <w:t>–</w:t>
            </w:r>
          </w:p>
        </w:tc>
        <w:tc>
          <w:tcPr>
            <w:tcW w:w="7903" w:type="dxa"/>
          </w:tcPr>
          <w:p w:rsidR="00B74E43" w:rsidRPr="004E3FE9" w:rsidRDefault="00B74E43"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індекс інактивації тромбопластина</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ІЛ</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інтерлейкін</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КД </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коефіцієнт  дилатації</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КІМ</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комплекс інтима-медіа</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ЛКБ </w:t>
            </w:r>
            <w:r w:rsidR="00205137" w:rsidRPr="004E3FE9">
              <w:rPr>
                <w:rFonts w:ascii="Times New Roman" w:hAnsi="Times New Roman" w:cs="Times New Roman"/>
                <w:sz w:val="28"/>
                <w:szCs w:val="28"/>
                <w:lang w:val="uk-UA"/>
              </w:rPr>
              <w:t>–</w:t>
            </w:r>
          </w:p>
        </w:tc>
        <w:tc>
          <w:tcPr>
            <w:tcW w:w="7903" w:type="dxa"/>
          </w:tcPr>
          <w:p w:rsidR="00B74E43" w:rsidRPr="004E3FE9" w:rsidRDefault="00B74E43"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лізосомально-катіонні білки</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МА </w:t>
            </w:r>
            <w:r w:rsidR="00205137" w:rsidRPr="004E3FE9">
              <w:rPr>
                <w:rFonts w:ascii="Times New Roman" w:hAnsi="Times New Roman" w:cs="Times New Roman"/>
                <w:sz w:val="28"/>
                <w:szCs w:val="28"/>
                <w:lang w:val="uk-UA"/>
              </w:rPr>
              <w:t>–</w:t>
            </w:r>
          </w:p>
        </w:tc>
        <w:tc>
          <w:tcPr>
            <w:tcW w:w="7903" w:type="dxa"/>
          </w:tcPr>
          <w:p w:rsidR="00B74E43" w:rsidRPr="004E3FE9" w:rsidRDefault="00B74E43"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максимальна згортаюча активність</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МАК</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мембраноатакуючий комплекс</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МНС</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міжнародне нормалізоване співвідношення</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МОЗ</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міністерство охорони здоров’я </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МП </w:t>
            </w:r>
            <w:r w:rsidR="00205137" w:rsidRPr="004E3FE9">
              <w:rPr>
                <w:rFonts w:ascii="Times New Roman" w:hAnsi="Times New Roman" w:cs="Times New Roman"/>
                <w:sz w:val="28"/>
                <w:szCs w:val="28"/>
                <w:lang w:val="uk-UA"/>
              </w:rPr>
              <w:t>–</w:t>
            </w:r>
          </w:p>
        </w:tc>
        <w:tc>
          <w:tcPr>
            <w:tcW w:w="7903" w:type="dxa"/>
          </w:tcPr>
          <w:p w:rsidR="00B74E43" w:rsidRPr="004E3FE9" w:rsidRDefault="00B74E43"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мієлопероксидаза</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МСР-1</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моноцитарний хемоатрактантний протеїн-1</w:t>
            </w:r>
          </w:p>
        </w:tc>
      </w:tr>
      <w:tr w:rsidR="00B74E43" w:rsidRPr="004E3FE9" w:rsidTr="00205137">
        <w:tc>
          <w:tcPr>
            <w:tcW w:w="1668"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ПА</w:t>
            </w:r>
            <w:r w:rsidR="00205137" w:rsidRPr="004E3FE9">
              <w:rPr>
                <w:rFonts w:ascii="Times New Roman" w:hAnsi="Times New Roman" w:cs="Times New Roman"/>
                <w:sz w:val="28"/>
                <w:szCs w:val="28"/>
                <w:lang w:val="uk-UA"/>
              </w:rPr>
              <w:t xml:space="preserve"> –</w:t>
            </w:r>
          </w:p>
        </w:tc>
        <w:tc>
          <w:tcPr>
            <w:tcW w:w="7903" w:type="dxa"/>
          </w:tcPr>
          <w:p w:rsidR="00B74E43" w:rsidRPr="004E3FE9" w:rsidRDefault="00B74E43"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плечова артерія</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ПТІ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протромбіновий індекс</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СРБ</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С-реактивний білок</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СЦК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середній цитохімічний коефіцієнт</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lastRenderedPageBreak/>
              <w:t xml:space="preserve">Т1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час досягнення половини максимальної згортаючої активності </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Т2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час досягнення максимальної активності</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УЗД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ультразвукове дослідження </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Ф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фібриноліз</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ФВ</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ФНП</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фактор некрозу пухлини</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ХНН</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хронічна ниркова недостатність</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цГМФ</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циклічний гуанозинмонофосфат</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ЦІК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циркулюючі імунні комплекси</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ШКТ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шлунково-кишковий тракт</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ШОЕ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швидкість осідання еритроцитів</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CD16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НК-клітини</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CD22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В-лімфоцити</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CD3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Т-лімфоцити загальні</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CD4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Т-хелпери</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CD8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Т-кілери</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d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діаметр</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H</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4E3FE9" w:rsidP="0071552F">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eastAsia="ru-RU"/>
              </w:rPr>
              <w:t>критерій Краск</w:t>
            </w:r>
            <w:r w:rsidR="0077157A" w:rsidRPr="004E3FE9">
              <w:rPr>
                <w:rFonts w:ascii="Times New Roman" w:eastAsia="Times New Roman" w:hAnsi="Times New Roman" w:cs="Times New Roman"/>
                <w:sz w:val="28"/>
                <w:szCs w:val="28"/>
                <w:lang w:val="uk-UA" w:eastAsia="ru-RU"/>
              </w:rPr>
              <w:t>ла-Уолліса</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IgG</w:t>
            </w:r>
            <w:r w:rsidR="00205137" w:rsidRPr="004E3FE9">
              <w:rPr>
                <w:rFonts w:ascii="Times New Roman" w:hAnsi="Times New Roman" w:cs="Times New Roman"/>
                <w:sz w:val="28"/>
                <w:szCs w:val="28"/>
                <w:lang w:val="uk-UA"/>
              </w:rPr>
              <w:t xml:space="preserve"> – </w:t>
            </w:r>
            <w:r w:rsidRPr="004E3FE9">
              <w:rPr>
                <w:rFonts w:ascii="Times New Roman" w:eastAsia="Times New Roman" w:hAnsi="Times New Roman" w:cs="Times New Roman"/>
                <w:sz w:val="28"/>
                <w:szCs w:val="28"/>
                <w:lang w:val="uk-UA" w:eastAsia="ru-RU"/>
              </w:rPr>
              <w:t xml:space="preserve"> </w:t>
            </w:r>
          </w:p>
        </w:tc>
        <w:tc>
          <w:tcPr>
            <w:tcW w:w="7903" w:type="dxa"/>
          </w:tcPr>
          <w:p w:rsidR="0077157A" w:rsidRPr="004E3FE9" w:rsidRDefault="004E3FE9" w:rsidP="0071552F">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Імуноглобулін </w:t>
            </w:r>
            <w:r w:rsidR="0077157A" w:rsidRPr="004E3FE9">
              <w:rPr>
                <w:rFonts w:ascii="Times New Roman" w:eastAsia="Times New Roman" w:hAnsi="Times New Roman" w:cs="Times New Roman"/>
                <w:sz w:val="28"/>
                <w:szCs w:val="28"/>
                <w:lang w:val="uk-UA" w:eastAsia="ru-RU"/>
              </w:rPr>
              <w:t>G</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IgА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імуноглобулін А</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IgМ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імуноглобулін М</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KW</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4E3FE9" w:rsidP="0071552F">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eastAsia="ru-RU"/>
              </w:rPr>
              <w:t>дисперсійний аналіз Краск</w:t>
            </w:r>
            <w:r w:rsidR="0077157A" w:rsidRPr="004E3FE9">
              <w:rPr>
                <w:rFonts w:ascii="Times New Roman" w:eastAsia="Times New Roman" w:hAnsi="Times New Roman" w:cs="Times New Roman"/>
                <w:sz w:val="28"/>
                <w:szCs w:val="28"/>
                <w:lang w:val="uk-UA" w:eastAsia="ru-RU"/>
              </w:rPr>
              <w:t>ла-Уоліса</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LE </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lupus eritematosis (вовчакові клітини)</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Lq </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4E3FE9"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нижній</w:t>
            </w:r>
            <w:r w:rsidR="0077157A" w:rsidRPr="004E3FE9">
              <w:rPr>
                <w:rFonts w:ascii="Times New Roman" w:eastAsia="Times New Roman" w:hAnsi="Times New Roman" w:cs="Times New Roman"/>
                <w:sz w:val="28"/>
                <w:szCs w:val="28"/>
                <w:lang w:val="uk-UA" w:eastAsia="ru-RU"/>
              </w:rPr>
              <w:t xml:space="preserve"> квартиль</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Me</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медіана</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MW</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статистичний метод попарного порівняння Манна-Уітні </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NO</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4E3FE9"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оксид азоту</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NOS</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NO-синтаза</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NST-тест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тест спонтанного поглинання і відновлення нітросинього </w:t>
            </w:r>
            <w:r w:rsidRPr="004E3FE9">
              <w:rPr>
                <w:rFonts w:ascii="Times New Roman" w:eastAsia="Times New Roman" w:hAnsi="Times New Roman" w:cs="Times New Roman"/>
                <w:sz w:val="28"/>
                <w:szCs w:val="28"/>
                <w:lang w:val="uk-UA" w:eastAsia="ru-RU"/>
              </w:rPr>
              <w:lastRenderedPageBreak/>
              <w:t>тетразолію</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lastRenderedPageBreak/>
              <w:t>PI</w:t>
            </w:r>
            <w:r w:rsidR="00205137" w:rsidRPr="004E3FE9">
              <w:rPr>
                <w:rFonts w:ascii="Times New Roman" w:hAnsi="Times New Roman" w:cs="Times New Roman"/>
                <w:sz w:val="28"/>
                <w:szCs w:val="28"/>
                <w:lang w:val="uk-UA"/>
              </w:rPr>
              <w:t xml:space="preserve"> – </w:t>
            </w:r>
            <w:r w:rsidRPr="004E3FE9">
              <w:rPr>
                <w:rFonts w:ascii="Times New Roman" w:hAnsi="Times New Roman" w:cs="Times New Roman"/>
                <w:sz w:val="28"/>
                <w:szCs w:val="28"/>
                <w:lang w:val="uk-UA"/>
              </w:rPr>
              <w:t xml:space="preserve"> </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індекс пульсації</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r </w:t>
            </w:r>
            <w:r w:rsidR="00205137" w:rsidRPr="004E3FE9">
              <w:rPr>
                <w:rFonts w:ascii="Times New Roman" w:hAnsi="Times New Roman" w:cs="Times New Roman"/>
                <w:sz w:val="28"/>
                <w:szCs w:val="28"/>
                <w:lang w:val="uk-UA"/>
              </w:rPr>
              <w:t>–</w:t>
            </w:r>
          </w:p>
        </w:tc>
        <w:tc>
          <w:tcPr>
            <w:tcW w:w="7903" w:type="dxa"/>
          </w:tcPr>
          <w:p w:rsidR="0077157A" w:rsidRPr="004E3FE9" w:rsidRDefault="00DD4FBC" w:rsidP="00DD4FBC">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коефіцієнт</w:t>
            </w:r>
            <w:r w:rsidR="0077157A" w:rsidRPr="004E3FE9">
              <w:rPr>
                <w:rFonts w:ascii="Times New Roman" w:hAnsi="Times New Roman" w:cs="Times New Roman"/>
                <w:sz w:val="28"/>
                <w:szCs w:val="28"/>
                <w:lang w:val="uk-UA"/>
              </w:rPr>
              <w:t xml:space="preserve"> Спірмена</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RI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індекс резистивності</w:t>
            </w:r>
          </w:p>
        </w:tc>
      </w:tr>
      <w:tr w:rsidR="004E3FE9" w:rsidRPr="004E3FE9" w:rsidTr="00205137">
        <w:tc>
          <w:tcPr>
            <w:tcW w:w="1668" w:type="dxa"/>
          </w:tcPr>
          <w:p w:rsidR="004E3FE9" w:rsidRPr="004E3FE9" w:rsidRDefault="004E3FE9"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RR – </w:t>
            </w:r>
          </w:p>
        </w:tc>
        <w:tc>
          <w:tcPr>
            <w:tcW w:w="7903" w:type="dxa"/>
          </w:tcPr>
          <w:p w:rsidR="004E3FE9" w:rsidRPr="004E3FE9" w:rsidRDefault="004E3FE9" w:rsidP="0071552F">
            <w:pPr>
              <w:spacing w:line="360" w:lineRule="auto"/>
              <w:jc w:val="both"/>
              <w:rPr>
                <w:rFonts w:ascii="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relative risk</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SD </w:t>
            </w:r>
            <w:r w:rsidR="00205137" w:rsidRPr="004E3FE9">
              <w:rPr>
                <w:rFonts w:ascii="Times New Roman" w:hAnsi="Times New Roman" w:cs="Times New Roman"/>
                <w:sz w:val="28"/>
                <w:szCs w:val="28"/>
                <w:lang w:val="uk-UA"/>
              </w:rPr>
              <w:t xml:space="preserve"> –</w:t>
            </w:r>
          </w:p>
        </w:tc>
        <w:tc>
          <w:tcPr>
            <w:tcW w:w="7903" w:type="dxa"/>
          </w:tcPr>
          <w:p w:rsidR="0077157A" w:rsidRPr="004E3FE9" w:rsidRDefault="0077157A" w:rsidP="0071552F">
            <w:p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систолодіастолічне співвідношення</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T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критерій Вілкоксона</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 xml:space="preserve">Uq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eastAsia="ru-RU"/>
              </w:rPr>
              <w:t>верхній квартиль</w:t>
            </w:r>
          </w:p>
        </w:tc>
      </w:tr>
      <w:tr w:rsidR="0077157A" w:rsidRPr="004E3FE9" w:rsidTr="00205137">
        <w:tc>
          <w:tcPr>
            <w:tcW w:w="1668"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 xml:space="preserve">Ved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spacing w:line="360" w:lineRule="auto"/>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максимальна діастолічна швидкість</w:t>
            </w:r>
            <w:r w:rsidRPr="004E3FE9">
              <w:rPr>
                <w:rFonts w:ascii="Times New Roman" w:eastAsia="Times New Roman" w:hAnsi="Times New Roman" w:cs="Times New Roman"/>
                <w:spacing w:val="-38"/>
                <w:sz w:val="28"/>
                <w:szCs w:val="28"/>
                <w:lang w:val="uk-UA"/>
              </w:rPr>
              <w:t xml:space="preserve"> </w:t>
            </w:r>
            <w:r w:rsidRPr="004E3FE9">
              <w:rPr>
                <w:rFonts w:ascii="Times New Roman" w:eastAsia="Times New Roman" w:hAnsi="Times New Roman" w:cs="Times New Roman"/>
                <w:sz w:val="28"/>
                <w:szCs w:val="28"/>
                <w:lang w:val="uk-UA"/>
              </w:rPr>
              <w:t>кровотоку</w:t>
            </w:r>
          </w:p>
        </w:tc>
      </w:tr>
      <w:tr w:rsidR="0077157A" w:rsidRPr="004E3FE9" w:rsidTr="00205137">
        <w:tc>
          <w:tcPr>
            <w:tcW w:w="1668" w:type="dxa"/>
          </w:tcPr>
          <w:p w:rsidR="0077157A" w:rsidRPr="004E3FE9" w:rsidRDefault="0077157A" w:rsidP="0071552F">
            <w:pP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 xml:space="preserve">Vps </w:t>
            </w:r>
            <w:r w:rsidR="00205137" w:rsidRPr="004E3FE9">
              <w:rPr>
                <w:rFonts w:ascii="Times New Roman" w:hAnsi="Times New Roman" w:cs="Times New Roman"/>
                <w:sz w:val="28"/>
                <w:szCs w:val="28"/>
                <w:lang w:val="uk-UA"/>
              </w:rPr>
              <w:t>–</w:t>
            </w:r>
          </w:p>
        </w:tc>
        <w:tc>
          <w:tcPr>
            <w:tcW w:w="7903" w:type="dxa"/>
          </w:tcPr>
          <w:p w:rsidR="0077157A" w:rsidRPr="004E3FE9" w:rsidRDefault="0077157A" w:rsidP="0071552F">
            <w:pPr>
              <w:rPr>
                <w:lang w:val="uk-UA"/>
              </w:rPr>
            </w:pPr>
            <w:r w:rsidRPr="004E3FE9">
              <w:rPr>
                <w:rFonts w:ascii="Times New Roman" w:eastAsia="Times New Roman" w:hAnsi="Times New Roman" w:cs="Times New Roman"/>
                <w:sz w:val="28"/>
                <w:szCs w:val="28"/>
                <w:lang w:val="uk-UA"/>
              </w:rPr>
              <w:t>максимальна</w:t>
            </w:r>
            <w:r w:rsidRPr="004E3FE9">
              <w:rPr>
                <w:rFonts w:ascii="Times New Roman" w:eastAsia="Times New Roman" w:hAnsi="Times New Roman" w:cs="Times New Roman"/>
                <w:spacing w:val="-2"/>
                <w:sz w:val="28"/>
                <w:szCs w:val="28"/>
                <w:lang w:val="uk-UA"/>
              </w:rPr>
              <w:t xml:space="preserve"> </w:t>
            </w:r>
            <w:r w:rsidRPr="004E3FE9">
              <w:rPr>
                <w:rFonts w:ascii="Times New Roman" w:eastAsia="Times New Roman" w:hAnsi="Times New Roman" w:cs="Times New Roman"/>
                <w:sz w:val="28"/>
                <w:szCs w:val="28"/>
                <w:lang w:val="uk-UA"/>
              </w:rPr>
              <w:t>систолічна</w:t>
            </w:r>
            <w:r w:rsidRPr="004E3FE9">
              <w:rPr>
                <w:rFonts w:ascii="Times New Roman" w:eastAsia="Times New Roman" w:hAnsi="Times New Roman" w:cs="Times New Roman"/>
                <w:spacing w:val="-1"/>
                <w:sz w:val="28"/>
                <w:szCs w:val="28"/>
                <w:lang w:val="uk-UA"/>
              </w:rPr>
              <w:t xml:space="preserve"> </w:t>
            </w:r>
            <w:r w:rsidRPr="004E3FE9">
              <w:rPr>
                <w:rFonts w:ascii="Times New Roman" w:eastAsia="Times New Roman" w:hAnsi="Times New Roman" w:cs="Times New Roman"/>
                <w:sz w:val="28"/>
                <w:szCs w:val="28"/>
                <w:lang w:val="uk-UA"/>
              </w:rPr>
              <w:t>швидкість кровотоку</w:t>
            </w:r>
          </w:p>
        </w:tc>
      </w:tr>
      <w:bookmarkEnd w:id="1"/>
    </w:tbl>
    <w:p w:rsidR="00113493" w:rsidRPr="004E3FE9" w:rsidRDefault="00113493" w:rsidP="00205137">
      <w:pPr>
        <w:spacing w:after="0" w:line="360" w:lineRule="auto"/>
        <w:jc w:val="both"/>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eastAsia="Times New Roman" w:hAnsi="Times New Roman" w:cs="Times New Roman"/>
          <w:sz w:val="28"/>
          <w:szCs w:val="28"/>
          <w:lang w:val="uk-UA"/>
        </w:rPr>
      </w:pPr>
    </w:p>
    <w:p w:rsidR="00113493" w:rsidRPr="004E3FE9" w:rsidRDefault="00113493" w:rsidP="00113493">
      <w:pPr>
        <w:spacing w:line="360" w:lineRule="auto"/>
        <w:contextualSpacing/>
        <w:jc w:val="center"/>
        <w:rPr>
          <w:rFonts w:ascii="Times New Roman" w:hAnsi="Times New Roman" w:cs="Times New Roman"/>
          <w:b/>
          <w:sz w:val="28"/>
          <w:szCs w:val="28"/>
          <w:lang w:val="uk-UA"/>
        </w:rPr>
      </w:pPr>
    </w:p>
    <w:p w:rsidR="00113493" w:rsidRPr="004E3FE9" w:rsidRDefault="00113493" w:rsidP="00113493">
      <w:pPr>
        <w:spacing w:line="360" w:lineRule="auto"/>
        <w:contextualSpacing/>
        <w:jc w:val="center"/>
        <w:rPr>
          <w:rFonts w:ascii="Times New Roman" w:hAnsi="Times New Roman" w:cs="Times New Roman"/>
          <w:b/>
          <w:sz w:val="28"/>
          <w:szCs w:val="28"/>
          <w:lang w:val="uk-UA"/>
        </w:rPr>
      </w:pPr>
    </w:p>
    <w:p w:rsidR="00113493" w:rsidRPr="004E3FE9" w:rsidRDefault="00113493" w:rsidP="00113493">
      <w:pPr>
        <w:spacing w:line="360" w:lineRule="auto"/>
        <w:contextualSpacing/>
        <w:jc w:val="center"/>
        <w:rPr>
          <w:rFonts w:ascii="Times New Roman" w:hAnsi="Times New Roman" w:cs="Times New Roman"/>
          <w:b/>
          <w:sz w:val="28"/>
          <w:szCs w:val="28"/>
          <w:lang w:val="uk-UA"/>
        </w:rPr>
      </w:pPr>
    </w:p>
    <w:p w:rsidR="00113493" w:rsidRPr="004E3FE9" w:rsidRDefault="00113493" w:rsidP="00113493">
      <w:pPr>
        <w:spacing w:line="360" w:lineRule="auto"/>
        <w:contextualSpacing/>
        <w:jc w:val="center"/>
        <w:rPr>
          <w:rFonts w:ascii="Times New Roman" w:hAnsi="Times New Roman" w:cs="Times New Roman"/>
          <w:b/>
          <w:sz w:val="28"/>
          <w:szCs w:val="28"/>
          <w:lang w:val="uk-UA"/>
        </w:rPr>
      </w:pPr>
    </w:p>
    <w:p w:rsidR="00A51BD1" w:rsidRPr="004E3FE9" w:rsidRDefault="00A51BD1" w:rsidP="004E3FE9">
      <w:pPr>
        <w:spacing w:line="360" w:lineRule="auto"/>
        <w:contextualSpacing/>
        <w:rPr>
          <w:rFonts w:ascii="Times New Roman" w:hAnsi="Times New Roman" w:cs="Times New Roman"/>
          <w:b/>
          <w:sz w:val="28"/>
          <w:szCs w:val="28"/>
          <w:lang w:val="uk-UA"/>
        </w:rPr>
      </w:pPr>
    </w:p>
    <w:p w:rsidR="008524CA" w:rsidRDefault="008524CA" w:rsidP="00A51BD1">
      <w:pPr>
        <w:pStyle w:val="1"/>
        <w:jc w:val="center"/>
        <w:rPr>
          <w:rFonts w:ascii="Times New Roman" w:hAnsi="Times New Roman" w:cs="Times New Roman"/>
          <w:color w:val="000000" w:themeColor="text1"/>
          <w:lang w:val="uk-UA"/>
        </w:rPr>
      </w:pPr>
      <w:bookmarkStart w:id="2" w:name="_Toc465797599"/>
      <w:r w:rsidRPr="004E3FE9">
        <w:rPr>
          <w:rFonts w:ascii="Times New Roman" w:hAnsi="Times New Roman" w:cs="Times New Roman"/>
          <w:color w:val="000000" w:themeColor="text1"/>
          <w:lang w:val="uk-UA"/>
        </w:rPr>
        <w:lastRenderedPageBreak/>
        <w:t>ВСТУП</w:t>
      </w:r>
      <w:bookmarkEnd w:id="2"/>
    </w:p>
    <w:p w:rsidR="001C558E" w:rsidRDefault="001C558E" w:rsidP="001C558E">
      <w:pPr>
        <w:rPr>
          <w:lang w:val="uk-UA"/>
        </w:rPr>
      </w:pPr>
    </w:p>
    <w:p w:rsidR="001C558E" w:rsidRPr="001C558E" w:rsidRDefault="001C558E" w:rsidP="001C558E">
      <w:pPr>
        <w:rPr>
          <w:lang w:val="uk-UA"/>
        </w:rPr>
      </w:pPr>
    </w:p>
    <w:p w:rsidR="00923E99" w:rsidRPr="004E3FE9" w:rsidRDefault="00923E99" w:rsidP="00923E99">
      <w:pPr>
        <w:rPr>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b/>
          <w:sz w:val="28"/>
          <w:szCs w:val="28"/>
          <w:lang w:val="uk-UA"/>
        </w:rPr>
        <w:t xml:space="preserve">Актуальність теми. </w:t>
      </w:r>
      <w:r w:rsidRPr="004E3FE9">
        <w:rPr>
          <w:rFonts w:ascii="Times New Roman" w:hAnsi="Times New Roman" w:cs="Times New Roman"/>
          <w:sz w:val="28"/>
          <w:szCs w:val="28"/>
          <w:lang w:val="uk-UA"/>
        </w:rPr>
        <w:t>Геморагічний васкуліт</w:t>
      </w:r>
      <w:r w:rsidR="00DD4FBC" w:rsidRPr="004E3FE9">
        <w:rPr>
          <w:rFonts w:ascii="Times New Roman" w:hAnsi="Times New Roman" w:cs="Times New Roman"/>
          <w:sz w:val="28"/>
          <w:szCs w:val="28"/>
          <w:lang w:val="uk-UA"/>
        </w:rPr>
        <w:t xml:space="preserve"> (ГВ)</w:t>
      </w:r>
      <w:r w:rsidRPr="004E3FE9">
        <w:rPr>
          <w:rFonts w:ascii="Times New Roman" w:hAnsi="Times New Roman" w:cs="Times New Roman"/>
          <w:sz w:val="28"/>
          <w:szCs w:val="28"/>
          <w:lang w:val="uk-UA"/>
        </w:rPr>
        <w:t xml:space="preserve"> у країнах СНД, анафілактоїдна пурпура та хвороба Шенлейн-Геноха в англо-американській школі, синдром Шенлейн-Геноха в італ</w:t>
      </w:r>
      <w:r w:rsidR="004E3FE9">
        <w:rPr>
          <w:rFonts w:ascii="Times New Roman" w:hAnsi="Times New Roman" w:cs="Times New Roman"/>
          <w:sz w:val="28"/>
          <w:szCs w:val="28"/>
          <w:lang w:val="uk-UA"/>
        </w:rPr>
        <w:t>ійській</w:t>
      </w:r>
      <w:r w:rsidRPr="004E3FE9">
        <w:rPr>
          <w:rFonts w:ascii="Times New Roman" w:hAnsi="Times New Roman" w:cs="Times New Roman"/>
          <w:sz w:val="28"/>
          <w:szCs w:val="28"/>
          <w:lang w:val="uk-UA"/>
        </w:rPr>
        <w:t xml:space="preserve">, ревматоїдна пурпура у французькій. Існує багато назв даної хвороби, але визначення залишається одне: це розповсюджене захворювання, переважно дитячого віку, з групи системних васкулітів, яке характеризується системним ураженням капілярів, артеріол, венул, головним чином шкіри, суглобів, черевної порожнини та нирок. </w:t>
      </w:r>
    </w:p>
    <w:p w:rsidR="008524CA" w:rsidRPr="004E3FE9" w:rsidRDefault="008524CA" w:rsidP="008524CA">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t xml:space="preserve">У зв’язку зі значною поширеністю геморагічний васкуліт представляє серйозну медико-соціальну проблему, враховуючи нерідкі випадки блискавичних форм та ниркових ускладнень з формуванням </w:t>
      </w:r>
      <w:r w:rsidR="004036F3" w:rsidRPr="004E3FE9">
        <w:rPr>
          <w:rFonts w:ascii="Times New Roman" w:hAnsi="Times New Roman"/>
          <w:sz w:val="28"/>
          <w:szCs w:val="28"/>
          <w:lang w:val="uk-UA"/>
        </w:rPr>
        <w:t>у</w:t>
      </w:r>
      <w:r w:rsidRPr="004E3FE9">
        <w:rPr>
          <w:rFonts w:ascii="Times New Roman" w:hAnsi="Times New Roman"/>
          <w:sz w:val="28"/>
          <w:szCs w:val="28"/>
          <w:lang w:val="uk-UA"/>
        </w:rPr>
        <w:t xml:space="preserve"> подальшому хронічної ниркової недостатності</w:t>
      </w:r>
      <w:r w:rsidR="004036F3" w:rsidRPr="004E3FE9">
        <w:rPr>
          <w:rFonts w:ascii="Times New Roman" w:hAnsi="Times New Roman"/>
          <w:sz w:val="28"/>
          <w:szCs w:val="28"/>
          <w:lang w:val="uk-UA"/>
        </w:rPr>
        <w:t xml:space="preserve"> (ХНН)</w:t>
      </w:r>
      <w:r w:rsidRPr="004E3FE9">
        <w:rPr>
          <w:rFonts w:ascii="Times New Roman" w:hAnsi="Times New Roman"/>
          <w:sz w:val="28"/>
          <w:szCs w:val="28"/>
          <w:lang w:val="uk-UA"/>
        </w:rPr>
        <w:t xml:space="preserve">, </w:t>
      </w:r>
      <w:r w:rsidR="004036F3" w:rsidRPr="004E3FE9">
        <w:rPr>
          <w:rFonts w:ascii="Times New Roman" w:hAnsi="Times New Roman"/>
          <w:sz w:val="28"/>
          <w:szCs w:val="28"/>
          <w:lang w:val="uk-UA"/>
        </w:rPr>
        <w:t xml:space="preserve">яка </w:t>
      </w:r>
      <w:r w:rsidRPr="004E3FE9">
        <w:rPr>
          <w:rFonts w:ascii="Times New Roman" w:hAnsi="Times New Roman"/>
          <w:sz w:val="28"/>
          <w:szCs w:val="28"/>
          <w:lang w:val="uk-UA"/>
        </w:rPr>
        <w:t>потребу</w:t>
      </w:r>
      <w:r w:rsidR="004036F3" w:rsidRPr="004E3FE9">
        <w:rPr>
          <w:rFonts w:ascii="Times New Roman" w:hAnsi="Times New Roman"/>
          <w:sz w:val="28"/>
          <w:szCs w:val="28"/>
          <w:lang w:val="uk-UA"/>
        </w:rPr>
        <w:t>є</w:t>
      </w:r>
      <w:r w:rsidRPr="004E3FE9">
        <w:rPr>
          <w:rFonts w:ascii="Times New Roman" w:hAnsi="Times New Roman"/>
          <w:sz w:val="28"/>
          <w:szCs w:val="28"/>
          <w:lang w:val="uk-UA"/>
        </w:rPr>
        <w:t xml:space="preserve"> великих поєднаних медичних, фінансових (економічних), соціальних зусиль для тривалого збереження функціонального стану нирок, підтримки якості життя, подовження додіалізного періоду, запобігання дочасної інвалідності, проведення у випадках термінальної ниркової недостатності гемо- чи перитонеального діалізу або трансплантації нирок.</w:t>
      </w: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sz w:val="28"/>
          <w:szCs w:val="28"/>
          <w:lang w:val="uk-UA"/>
        </w:rPr>
        <w:t xml:space="preserve">Згідно літературних даних, геморагічний васкуліт є поліетіологічним захворюванням зі складними патогенетичними механізмами, які </w:t>
      </w:r>
      <w:r w:rsidR="004036F3" w:rsidRPr="004E3FE9">
        <w:rPr>
          <w:rFonts w:ascii="Times New Roman" w:hAnsi="Times New Roman"/>
          <w:sz w:val="28"/>
          <w:szCs w:val="28"/>
          <w:lang w:val="uk-UA"/>
        </w:rPr>
        <w:t>перебігають</w:t>
      </w:r>
      <w:r w:rsidRPr="004E3FE9">
        <w:rPr>
          <w:rFonts w:ascii="Times New Roman" w:hAnsi="Times New Roman"/>
          <w:sz w:val="28"/>
          <w:szCs w:val="28"/>
          <w:lang w:val="uk-UA"/>
        </w:rPr>
        <w:t xml:space="preserve"> з безпосереднім залученням </w:t>
      </w:r>
      <w:r w:rsidR="004036F3" w:rsidRPr="004E3FE9">
        <w:rPr>
          <w:rFonts w:ascii="Times New Roman" w:hAnsi="Times New Roman"/>
          <w:sz w:val="28"/>
          <w:szCs w:val="28"/>
          <w:lang w:val="uk-UA"/>
        </w:rPr>
        <w:t>у</w:t>
      </w:r>
      <w:r w:rsidRPr="004E3FE9">
        <w:rPr>
          <w:rFonts w:ascii="Times New Roman" w:hAnsi="Times New Roman"/>
          <w:sz w:val="28"/>
          <w:szCs w:val="28"/>
          <w:lang w:val="uk-UA"/>
        </w:rPr>
        <w:t xml:space="preserve"> патологічний процес ендотелію. </w:t>
      </w:r>
      <w:r w:rsidRPr="004E3FE9">
        <w:rPr>
          <w:rFonts w:ascii="Times New Roman" w:hAnsi="Times New Roman" w:cs="Times New Roman"/>
          <w:sz w:val="28"/>
          <w:szCs w:val="28"/>
          <w:lang w:val="uk-UA"/>
        </w:rPr>
        <w:t>За даними науковців порушення функції ендотелію є обов’язковим компонентом патогенезу будь-якого серцево-судинного, хронічного запального та автоімунного захворювання. Виконуючи величезну кількість функцій, таких як судинно-рухову, антитромбоцитарну, антикоагулянтну, тромболітичну, протизапальну, антиоксидантну та антипроліферативну, судинний ендотелій продовжує цікавити дослідників та клініцистів [</w:t>
      </w:r>
      <w:r w:rsidR="002A506C" w:rsidRPr="004E3FE9">
        <w:rPr>
          <w:rFonts w:ascii="Times New Roman" w:hAnsi="Times New Roman" w:cs="Times New Roman"/>
          <w:sz w:val="28"/>
          <w:szCs w:val="28"/>
          <w:lang w:val="uk-UA"/>
        </w:rPr>
        <w:t>31, 56</w:t>
      </w:r>
      <w:r w:rsidRPr="004E3FE9">
        <w:rPr>
          <w:rFonts w:ascii="Times New Roman" w:hAnsi="Times New Roman" w:cs="Times New Roman"/>
          <w:sz w:val="28"/>
          <w:szCs w:val="28"/>
          <w:lang w:val="uk-UA"/>
        </w:rPr>
        <w:t xml:space="preserve">]. </w:t>
      </w: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За даними літератури, важкість перебігу ГВ обумовлена залученн</w:t>
      </w:r>
      <w:r w:rsidR="00664BF5" w:rsidRPr="004E3FE9">
        <w:rPr>
          <w:rFonts w:ascii="Times New Roman" w:hAnsi="Times New Roman" w:cs="Times New Roman"/>
          <w:sz w:val="28"/>
          <w:szCs w:val="28"/>
          <w:lang w:val="uk-UA"/>
        </w:rPr>
        <w:t>ям в патологічний процес нирок.</w:t>
      </w:r>
      <w:r w:rsidRPr="004E3FE9">
        <w:rPr>
          <w:rFonts w:ascii="Times New Roman" w:hAnsi="Times New Roman" w:cs="Times New Roman"/>
          <w:sz w:val="28"/>
          <w:szCs w:val="28"/>
          <w:lang w:val="uk-UA"/>
        </w:rPr>
        <w:t xml:space="preserve"> У більшості розвинених країн спостерігається тенденція до неухильного зростання числа осіб зі стійким зниженням функції нирок, що потребують доволі дорогих методів лікування [</w:t>
      </w:r>
      <w:r w:rsidR="002A506C" w:rsidRPr="004E3FE9">
        <w:rPr>
          <w:rFonts w:ascii="Times New Roman" w:hAnsi="Times New Roman" w:cs="Times New Roman"/>
          <w:sz w:val="28"/>
          <w:szCs w:val="28"/>
          <w:lang w:val="uk-UA"/>
        </w:rPr>
        <w:t>66</w:t>
      </w:r>
      <w:r w:rsidRPr="004E3FE9">
        <w:rPr>
          <w:rFonts w:ascii="Times New Roman" w:hAnsi="Times New Roman" w:cs="Times New Roman"/>
          <w:sz w:val="28"/>
          <w:szCs w:val="28"/>
          <w:lang w:val="uk-UA"/>
        </w:rPr>
        <w:t xml:space="preserve">]. </w:t>
      </w:r>
      <w:r w:rsidR="004036F3" w:rsidRPr="004E3FE9">
        <w:rPr>
          <w:rFonts w:ascii="Times New Roman" w:hAnsi="Times New Roman" w:cs="Times New Roman"/>
          <w:sz w:val="28"/>
          <w:szCs w:val="28"/>
          <w:lang w:val="uk-UA"/>
        </w:rPr>
        <w:t>У цей</w:t>
      </w:r>
      <w:r w:rsidRPr="004E3FE9">
        <w:rPr>
          <w:rFonts w:ascii="Times New Roman" w:hAnsi="Times New Roman" w:cs="Times New Roman"/>
          <w:sz w:val="28"/>
          <w:szCs w:val="28"/>
          <w:lang w:val="uk-UA"/>
        </w:rPr>
        <w:t xml:space="preserve"> час вважається, що патоморфологічною основою прогресування ниркової недостатності є накопичення екстрацелюлярного матриксу та атрофія канальців з формуванням тубулоінтерстиціального фіброзу [</w:t>
      </w:r>
      <w:r w:rsidR="002A506C" w:rsidRPr="004E3FE9">
        <w:rPr>
          <w:rFonts w:ascii="Times New Roman" w:hAnsi="Times New Roman" w:cs="Times New Roman"/>
          <w:sz w:val="28"/>
          <w:szCs w:val="28"/>
          <w:lang w:val="uk-UA"/>
        </w:rPr>
        <w:t>44</w:t>
      </w:r>
      <w:r w:rsidRPr="004E3FE9">
        <w:rPr>
          <w:rFonts w:ascii="Times New Roman" w:hAnsi="Times New Roman" w:cs="Times New Roman"/>
          <w:sz w:val="28"/>
          <w:szCs w:val="28"/>
          <w:lang w:val="uk-UA"/>
        </w:rPr>
        <w:t xml:space="preserve">]. Крім того, прогресуючі захворювання нирок </w:t>
      </w:r>
      <w:r w:rsidR="004036F3" w:rsidRPr="004E3FE9">
        <w:rPr>
          <w:rFonts w:ascii="Times New Roman" w:hAnsi="Times New Roman" w:cs="Times New Roman"/>
          <w:sz w:val="28"/>
          <w:szCs w:val="28"/>
          <w:lang w:val="uk-UA"/>
        </w:rPr>
        <w:t>перебігають</w:t>
      </w:r>
      <w:r w:rsidRPr="004E3FE9">
        <w:rPr>
          <w:rFonts w:ascii="Times New Roman" w:hAnsi="Times New Roman" w:cs="Times New Roman"/>
          <w:sz w:val="28"/>
          <w:szCs w:val="28"/>
          <w:lang w:val="uk-UA"/>
        </w:rPr>
        <w:t xml:space="preserve"> в тісному зв'язку з порушенням функції судинного</w:t>
      </w:r>
      <w:r w:rsidR="004036F3" w:rsidRPr="004E3FE9">
        <w:rPr>
          <w:rFonts w:ascii="Times New Roman" w:hAnsi="Times New Roman" w:cs="Times New Roman"/>
          <w:sz w:val="28"/>
          <w:szCs w:val="28"/>
          <w:lang w:val="uk-UA"/>
        </w:rPr>
        <w:t xml:space="preserve"> ендотелію, в тому числ</w:t>
      </w:r>
      <w:r w:rsidRPr="004E3FE9">
        <w:rPr>
          <w:rFonts w:ascii="Times New Roman" w:hAnsi="Times New Roman" w:cs="Times New Roman"/>
          <w:sz w:val="28"/>
          <w:szCs w:val="28"/>
          <w:lang w:val="uk-UA"/>
        </w:rPr>
        <w:t>і</w:t>
      </w:r>
      <w:r w:rsidR="004036F3" w:rsidRPr="004E3FE9">
        <w:rPr>
          <w:rFonts w:ascii="Times New Roman" w:hAnsi="Times New Roman" w:cs="Times New Roman"/>
          <w:sz w:val="28"/>
          <w:szCs w:val="28"/>
          <w:lang w:val="uk-UA"/>
        </w:rPr>
        <w:t xml:space="preserve"> й</w:t>
      </w:r>
      <w:r w:rsidRPr="004E3FE9">
        <w:rPr>
          <w:rFonts w:ascii="Times New Roman" w:hAnsi="Times New Roman" w:cs="Times New Roman"/>
          <w:sz w:val="28"/>
          <w:szCs w:val="28"/>
          <w:lang w:val="uk-UA"/>
        </w:rPr>
        <w:t xml:space="preserve"> перитубулярних капілярів [</w:t>
      </w:r>
      <w:r w:rsidR="002A506C" w:rsidRPr="004E3FE9">
        <w:rPr>
          <w:rFonts w:ascii="Times New Roman" w:hAnsi="Times New Roman" w:cs="Times New Roman"/>
          <w:sz w:val="28"/>
          <w:szCs w:val="28"/>
          <w:lang w:val="uk-UA"/>
        </w:rPr>
        <w:t>29</w:t>
      </w:r>
      <w:r w:rsidRPr="004E3FE9">
        <w:rPr>
          <w:rFonts w:ascii="Times New Roman" w:hAnsi="Times New Roman" w:cs="Times New Roman"/>
          <w:sz w:val="28"/>
          <w:szCs w:val="28"/>
          <w:lang w:val="uk-UA"/>
        </w:rPr>
        <w:t>].</w:t>
      </w:r>
    </w:p>
    <w:p w:rsidR="008524CA" w:rsidRPr="004E3FE9" w:rsidRDefault="008524CA" w:rsidP="008524CA">
      <w:pPr>
        <w:spacing w:line="360" w:lineRule="auto"/>
        <w:ind w:firstLine="709"/>
        <w:contextualSpacing/>
        <w:jc w:val="both"/>
        <w:rPr>
          <w:rFonts w:ascii="Times New Roman" w:hAnsi="Times New Roman"/>
          <w:sz w:val="28"/>
          <w:szCs w:val="28"/>
          <w:lang w:val="uk-UA"/>
        </w:rPr>
      </w:pPr>
      <w:r w:rsidRPr="004E3FE9">
        <w:rPr>
          <w:rFonts w:ascii="Times New Roman" w:hAnsi="Times New Roman" w:cs="Times New Roman"/>
          <w:sz w:val="28"/>
          <w:szCs w:val="28"/>
          <w:lang w:val="uk-UA"/>
        </w:rPr>
        <w:t>Вазорегулююча функція ендотелію виконується на рівні автокринної регуляції завдяки синтезу ендотеліальними клітинами вазоконстрикторів (ендотелін-1) та вазодилятаторів (</w:t>
      </w:r>
      <w:r w:rsidR="004E3FE9" w:rsidRPr="004E3FE9">
        <w:rPr>
          <w:rFonts w:ascii="Times New Roman" w:hAnsi="Times New Roman" w:cs="Times New Roman"/>
          <w:sz w:val="28"/>
          <w:szCs w:val="28"/>
          <w:lang w:val="uk-UA"/>
        </w:rPr>
        <w:t>оксид азоту</w:t>
      </w:r>
      <w:r w:rsidRPr="004E3FE9">
        <w:rPr>
          <w:rFonts w:ascii="Times New Roman" w:hAnsi="Times New Roman" w:cs="Times New Roman"/>
          <w:sz w:val="28"/>
          <w:szCs w:val="28"/>
          <w:lang w:val="uk-UA"/>
        </w:rPr>
        <w:t>). Існують повідомлення, що такий потужний вазодилататор, як оксид азоту, синтезується в більших концентраціях на ендотелії судин саме малого калібру, а тому є важливим показником стану його функції при ГВ [</w:t>
      </w:r>
      <w:r w:rsidR="002A506C" w:rsidRPr="004E3FE9">
        <w:rPr>
          <w:rFonts w:ascii="Times New Roman" w:hAnsi="Times New Roman" w:cs="Times New Roman"/>
          <w:sz w:val="28"/>
          <w:szCs w:val="28"/>
          <w:lang w:val="uk-UA"/>
        </w:rPr>
        <w:t>48, 133</w:t>
      </w:r>
      <w:r w:rsidRPr="004E3FE9">
        <w:rPr>
          <w:rFonts w:ascii="Times New Roman" w:hAnsi="Times New Roman" w:cs="Times New Roman"/>
          <w:sz w:val="28"/>
          <w:szCs w:val="28"/>
          <w:lang w:val="uk-UA"/>
        </w:rPr>
        <w:t xml:space="preserve">]. </w:t>
      </w:r>
    </w:p>
    <w:p w:rsidR="008524CA" w:rsidRPr="004E3FE9" w:rsidRDefault="008524CA" w:rsidP="008524CA">
      <w:pPr>
        <w:spacing w:line="360" w:lineRule="auto"/>
        <w:ind w:firstLine="709"/>
        <w:contextualSpacing/>
        <w:jc w:val="both"/>
        <w:rPr>
          <w:rFonts w:ascii="Times New Roman" w:hAnsi="Times New Roman"/>
          <w:color w:val="000000"/>
          <w:sz w:val="28"/>
          <w:szCs w:val="28"/>
          <w:shd w:val="clear" w:color="auto" w:fill="FFFFFF"/>
          <w:lang w:val="uk-UA"/>
        </w:rPr>
      </w:pPr>
      <w:r w:rsidRPr="004E3FE9">
        <w:rPr>
          <w:rFonts w:ascii="Times New Roman" w:hAnsi="Times New Roman" w:cs="Times New Roman"/>
          <w:sz w:val="28"/>
          <w:szCs w:val="28"/>
          <w:lang w:val="uk-UA"/>
        </w:rPr>
        <w:t xml:space="preserve">Механізми, які лежать в основі розвитку геморагічного васкуліту та ураження при цьому ендотелію вивчені не достатньо. </w:t>
      </w:r>
      <w:r w:rsidRPr="004E3FE9">
        <w:rPr>
          <w:rFonts w:ascii="Times New Roman" w:hAnsi="Times New Roman"/>
          <w:color w:val="000000"/>
          <w:sz w:val="28"/>
          <w:szCs w:val="28"/>
          <w:shd w:val="clear" w:color="auto" w:fill="FFFFFF"/>
          <w:lang w:val="uk-UA"/>
        </w:rPr>
        <w:t>В якості міжклітинних месенжерів для контролю міграції та активації лейкоцитів, залучених в запальний процес і імунітет, заслуговує на увагу сімейство хемокінів, зокрема моноцитарний хемоатрактантний протеїн-1 (МСР-1), відомий також як моноцитарний хемотаксичний і активуючий фактор (MCAF), або моноцит-специфічний хемоатрактант.</w:t>
      </w:r>
    </w:p>
    <w:p w:rsidR="008524CA" w:rsidRPr="004E3FE9" w:rsidRDefault="008524CA" w:rsidP="008524CA">
      <w:pPr>
        <w:spacing w:line="360" w:lineRule="auto"/>
        <w:ind w:firstLine="709"/>
        <w:contextualSpacing/>
        <w:jc w:val="both"/>
        <w:rPr>
          <w:rFonts w:ascii="Times New Roman" w:hAnsi="Times New Roman"/>
          <w:color w:val="000000"/>
          <w:sz w:val="28"/>
          <w:szCs w:val="28"/>
          <w:shd w:val="clear" w:color="auto" w:fill="FFFFFF"/>
          <w:lang w:val="uk-UA"/>
        </w:rPr>
      </w:pPr>
      <w:r w:rsidRPr="004E3FE9">
        <w:rPr>
          <w:rFonts w:ascii="Times New Roman" w:hAnsi="Times New Roman"/>
          <w:sz w:val="28"/>
          <w:szCs w:val="28"/>
          <w:lang w:val="uk-UA"/>
        </w:rPr>
        <w:t xml:space="preserve">Порушення тканинних процесів в артеріальній стінці може призвести до певних морфофункціональних змін судин, </w:t>
      </w:r>
      <w:r w:rsidRPr="004E3FE9">
        <w:rPr>
          <w:rFonts w:ascii="Times New Roman" w:hAnsi="Times New Roman"/>
          <w:color w:val="000000"/>
          <w:sz w:val="28"/>
          <w:szCs w:val="28"/>
          <w:shd w:val="clear" w:color="auto" w:fill="FFFFFF"/>
          <w:lang w:val="uk-UA"/>
        </w:rPr>
        <w:t>тому існує таке поняття, як вазомоторна форма ендотеліальної дисфункції, яка є показником ступеня ризику розвитку серцево-судинних ускладнень при системних захворюваннях.</w:t>
      </w:r>
      <w:r w:rsidRPr="004E3FE9">
        <w:rPr>
          <w:rFonts w:ascii="Times New Roman" w:hAnsi="Times New Roman"/>
          <w:sz w:val="28"/>
          <w:szCs w:val="28"/>
          <w:lang w:val="uk-UA"/>
        </w:rPr>
        <w:t xml:space="preserve"> Збільшення комплексу інтима-медіа вважають предиктором розвитку серцево-судинної патології </w:t>
      </w:r>
      <w:r w:rsidR="002A506C" w:rsidRPr="004E3FE9">
        <w:rPr>
          <w:rFonts w:ascii="Times New Roman" w:hAnsi="Times New Roman"/>
          <w:sz w:val="28"/>
          <w:szCs w:val="28"/>
          <w:lang w:val="uk-UA"/>
        </w:rPr>
        <w:t>[</w:t>
      </w:r>
      <w:r w:rsidRPr="004E3FE9">
        <w:rPr>
          <w:rFonts w:ascii="Times New Roman" w:hAnsi="Times New Roman"/>
          <w:sz w:val="28"/>
          <w:szCs w:val="28"/>
          <w:lang w:val="uk-UA"/>
        </w:rPr>
        <w:t>70].</w:t>
      </w:r>
    </w:p>
    <w:p w:rsidR="00923E99" w:rsidRDefault="008524CA" w:rsidP="004E3FE9">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lastRenderedPageBreak/>
        <w:t>Таким чином, результати оцінки функції ендотелію у хворих на геморагічний васкуліт на фоні сучасних методів терапії можуть бути використані для визначення ступеня тяжкості захворювання, запобігання розвитку та своєчасн</w:t>
      </w:r>
      <w:r w:rsidR="004036F3" w:rsidRPr="004E3FE9">
        <w:rPr>
          <w:rFonts w:ascii="Times New Roman" w:hAnsi="Times New Roman"/>
          <w:sz w:val="28"/>
          <w:szCs w:val="28"/>
          <w:lang w:val="uk-UA"/>
        </w:rPr>
        <w:t>ого</w:t>
      </w:r>
      <w:r w:rsidRPr="004E3FE9">
        <w:rPr>
          <w:rFonts w:ascii="Times New Roman" w:hAnsi="Times New Roman"/>
          <w:sz w:val="28"/>
          <w:szCs w:val="28"/>
          <w:lang w:val="uk-UA"/>
        </w:rPr>
        <w:t xml:space="preserve"> виявлення ускладнень.</w:t>
      </w:r>
    </w:p>
    <w:p w:rsidR="008E47CF" w:rsidRPr="004E3FE9" w:rsidRDefault="008E47CF" w:rsidP="004E3FE9">
      <w:pPr>
        <w:spacing w:line="360" w:lineRule="auto"/>
        <w:ind w:firstLine="709"/>
        <w:contextualSpacing/>
        <w:jc w:val="both"/>
        <w:rPr>
          <w:rFonts w:ascii="Times New Roman" w:hAnsi="Times New Roman"/>
          <w:sz w:val="28"/>
          <w:szCs w:val="28"/>
          <w:lang w:val="uk-UA"/>
        </w:rPr>
      </w:pPr>
    </w:p>
    <w:p w:rsidR="00923E99" w:rsidRPr="008E47CF" w:rsidRDefault="008524CA" w:rsidP="008E47CF">
      <w:pPr>
        <w:spacing w:line="360" w:lineRule="auto"/>
        <w:ind w:firstLine="709"/>
        <w:contextualSpacing/>
        <w:jc w:val="both"/>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Зв’язок роботи з науковими програмами, темами. </w:t>
      </w:r>
      <w:r w:rsidR="00717BBE" w:rsidRPr="004E3FE9">
        <w:rPr>
          <w:rFonts w:ascii="Times New Roman" w:hAnsi="Times New Roman" w:cs="Times New Roman"/>
          <w:sz w:val="28"/>
          <w:szCs w:val="28"/>
          <w:lang w:val="uk-UA"/>
        </w:rPr>
        <w:t>Робота виконувалась відповідно до комплексної науково-дослідної роботи кафедр педіатрії Харківського національного медичного університету за темою: «Медико-біологічна адаптація дітей із соматичною патологією в сучасних умовах» (державний реєстраційний №0111U001400). Здобувачем здійснено аналіз вітчизняної та зарубіжної літератури за темою, проведено інформаційно-патентний пошук та аналіз наукової літе</w:t>
      </w:r>
      <w:r w:rsidR="004976A4">
        <w:rPr>
          <w:rFonts w:ascii="Times New Roman" w:hAnsi="Times New Roman" w:cs="Times New Roman"/>
          <w:sz w:val="28"/>
          <w:szCs w:val="28"/>
          <w:lang w:val="uk-UA"/>
        </w:rPr>
        <w:t>ратури з питань, що вивчали</w:t>
      </w:r>
      <w:r w:rsidR="00717BBE" w:rsidRPr="004E3FE9">
        <w:rPr>
          <w:rFonts w:ascii="Times New Roman" w:hAnsi="Times New Roman" w:cs="Times New Roman"/>
          <w:sz w:val="28"/>
          <w:szCs w:val="28"/>
          <w:lang w:val="uk-UA"/>
        </w:rPr>
        <w:t>сь, проведено обстеження й формування груп дітей з геморагічним васкулітом, виконано його систематизацію та аналіз.</w:t>
      </w:r>
      <w:r w:rsidRPr="004E3FE9">
        <w:rPr>
          <w:rFonts w:ascii="Times New Roman" w:hAnsi="Times New Roman" w:cs="Times New Roman"/>
          <w:sz w:val="28"/>
          <w:szCs w:val="28"/>
          <w:lang w:val="uk-UA"/>
        </w:rPr>
        <w:t xml:space="preserve"> </w:t>
      </w:r>
    </w:p>
    <w:p w:rsidR="008E47CF" w:rsidRPr="004E3FE9" w:rsidRDefault="008E47CF" w:rsidP="004E3FE9">
      <w:pPr>
        <w:spacing w:line="360" w:lineRule="auto"/>
        <w:ind w:firstLine="709"/>
        <w:contextualSpacing/>
        <w:jc w:val="both"/>
        <w:rPr>
          <w:rFonts w:ascii="Times New Roman" w:hAnsi="Times New Roman" w:cs="Times New Roman"/>
          <w:sz w:val="28"/>
          <w:szCs w:val="28"/>
          <w:lang w:val="uk-UA"/>
        </w:rPr>
      </w:pPr>
    </w:p>
    <w:p w:rsidR="008524CA" w:rsidRDefault="008524CA" w:rsidP="008524C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b/>
          <w:sz w:val="28"/>
          <w:szCs w:val="28"/>
          <w:lang w:val="uk-UA"/>
        </w:rPr>
        <w:t>Мета до</w:t>
      </w:r>
      <w:r w:rsidR="00923E99" w:rsidRPr="004E3FE9">
        <w:rPr>
          <w:rFonts w:ascii="Times New Roman" w:hAnsi="Times New Roman" w:cs="Times New Roman"/>
          <w:b/>
          <w:sz w:val="28"/>
          <w:szCs w:val="28"/>
          <w:lang w:val="uk-UA"/>
        </w:rPr>
        <w:t>слідження.</w:t>
      </w:r>
      <w:r w:rsidRPr="004E3FE9">
        <w:rPr>
          <w:rFonts w:ascii="Times New Roman" w:hAnsi="Times New Roman" w:cs="Times New Roman"/>
          <w:b/>
          <w:sz w:val="28"/>
          <w:szCs w:val="28"/>
          <w:lang w:val="uk-UA"/>
        </w:rPr>
        <w:t xml:space="preserve"> </w:t>
      </w:r>
      <w:r w:rsidR="004976A4">
        <w:rPr>
          <w:rFonts w:ascii="Times New Roman" w:hAnsi="Times New Roman" w:cs="Times New Roman"/>
          <w:sz w:val="28"/>
          <w:szCs w:val="28"/>
          <w:lang w:val="uk-UA"/>
        </w:rPr>
        <w:t>В</w:t>
      </w:r>
      <w:r w:rsidR="004976A4" w:rsidRPr="009A01C1">
        <w:rPr>
          <w:rFonts w:ascii="Times New Roman" w:hAnsi="Times New Roman" w:cs="Times New Roman"/>
          <w:sz w:val="28"/>
          <w:szCs w:val="28"/>
          <w:lang w:val="uk-UA"/>
        </w:rPr>
        <w:t>досконалення прогнозування перебігу та своєчасн</w:t>
      </w:r>
      <w:r w:rsidR="004976A4">
        <w:rPr>
          <w:rFonts w:ascii="Times New Roman" w:hAnsi="Times New Roman" w:cs="Times New Roman"/>
          <w:sz w:val="28"/>
          <w:szCs w:val="28"/>
          <w:lang w:val="uk-UA"/>
        </w:rPr>
        <w:t>ої</w:t>
      </w:r>
      <w:r w:rsidR="004976A4" w:rsidRPr="009A01C1">
        <w:rPr>
          <w:rFonts w:ascii="Times New Roman" w:hAnsi="Times New Roman" w:cs="Times New Roman"/>
          <w:sz w:val="28"/>
          <w:szCs w:val="28"/>
          <w:lang w:val="uk-UA"/>
        </w:rPr>
        <w:t xml:space="preserve"> діагностик</w:t>
      </w:r>
      <w:r w:rsidR="004976A4">
        <w:rPr>
          <w:rFonts w:ascii="Times New Roman" w:hAnsi="Times New Roman" w:cs="Times New Roman"/>
          <w:sz w:val="28"/>
          <w:szCs w:val="28"/>
          <w:lang w:val="uk-UA"/>
        </w:rPr>
        <w:t>и</w:t>
      </w:r>
      <w:r w:rsidR="004976A4" w:rsidRPr="009A01C1">
        <w:rPr>
          <w:rFonts w:ascii="Times New Roman" w:hAnsi="Times New Roman" w:cs="Times New Roman"/>
          <w:sz w:val="28"/>
          <w:szCs w:val="28"/>
          <w:lang w:val="uk-UA"/>
        </w:rPr>
        <w:t xml:space="preserve"> ускладнень геморагічного васкуліту у дітей на підставі вивчення моноцитарного хемотаксичного протеїну-1, метаболітів оксиду азоту, фактору Віллебранда та морфофункціонального стану судин, як показників вазорегуляторної функції ендотелію.</w:t>
      </w:r>
    </w:p>
    <w:p w:rsidR="008E47CF" w:rsidRPr="004E3FE9" w:rsidRDefault="008E47CF" w:rsidP="008524CA">
      <w:pPr>
        <w:spacing w:line="360" w:lineRule="auto"/>
        <w:ind w:firstLine="709"/>
        <w:contextualSpacing/>
        <w:jc w:val="both"/>
        <w:rPr>
          <w:rFonts w:ascii="Times New Roman" w:hAnsi="Times New Roman" w:cs="Times New Roman"/>
          <w:b/>
          <w:sz w:val="28"/>
          <w:szCs w:val="28"/>
          <w:lang w:val="uk-UA"/>
        </w:rPr>
      </w:pPr>
    </w:p>
    <w:p w:rsidR="008524CA" w:rsidRPr="004E3FE9" w:rsidRDefault="00923E99" w:rsidP="008524CA">
      <w:pPr>
        <w:spacing w:line="360" w:lineRule="auto"/>
        <w:ind w:firstLine="709"/>
        <w:contextualSpacing/>
        <w:jc w:val="both"/>
        <w:rPr>
          <w:rFonts w:ascii="Times New Roman" w:hAnsi="Times New Roman" w:cs="Times New Roman"/>
          <w:b/>
          <w:sz w:val="28"/>
          <w:szCs w:val="28"/>
          <w:lang w:val="uk-UA"/>
        </w:rPr>
      </w:pPr>
      <w:r w:rsidRPr="004E3FE9">
        <w:rPr>
          <w:rFonts w:ascii="Times New Roman" w:hAnsi="Times New Roman" w:cs="Times New Roman"/>
          <w:b/>
          <w:sz w:val="28"/>
          <w:szCs w:val="28"/>
          <w:lang w:val="uk-UA"/>
        </w:rPr>
        <w:t>З</w:t>
      </w:r>
      <w:r w:rsidR="008524CA" w:rsidRPr="004E3FE9">
        <w:rPr>
          <w:rFonts w:ascii="Times New Roman" w:hAnsi="Times New Roman" w:cs="Times New Roman"/>
          <w:b/>
          <w:sz w:val="28"/>
          <w:szCs w:val="28"/>
          <w:lang w:val="uk-UA"/>
        </w:rPr>
        <w:t>авдання</w:t>
      </w:r>
      <w:r w:rsidRPr="004E3FE9">
        <w:rPr>
          <w:rFonts w:ascii="Times New Roman" w:hAnsi="Times New Roman" w:cs="Times New Roman"/>
          <w:b/>
          <w:sz w:val="28"/>
          <w:szCs w:val="28"/>
          <w:lang w:val="uk-UA"/>
        </w:rPr>
        <w:t xml:space="preserve"> дослідження</w:t>
      </w:r>
      <w:r w:rsidR="008524CA" w:rsidRPr="004E3FE9">
        <w:rPr>
          <w:rFonts w:ascii="Times New Roman" w:hAnsi="Times New Roman" w:cs="Times New Roman"/>
          <w:b/>
          <w:sz w:val="28"/>
          <w:szCs w:val="28"/>
          <w:lang w:val="uk-UA"/>
        </w:rPr>
        <w:t>:</w:t>
      </w:r>
    </w:p>
    <w:p w:rsidR="008524CA" w:rsidRPr="004E3FE9" w:rsidRDefault="008524CA" w:rsidP="008524CA">
      <w:pPr>
        <w:numPr>
          <w:ilvl w:val="0"/>
          <w:numId w:val="4"/>
        </w:numPr>
        <w:spacing w:line="360" w:lineRule="auto"/>
        <w:ind w:left="0" w:firstLine="709"/>
        <w:contextualSpacing/>
        <w:jc w:val="both"/>
        <w:rPr>
          <w:rFonts w:ascii="Times New Roman" w:hAnsi="Times New Roman"/>
          <w:sz w:val="28"/>
          <w:szCs w:val="28"/>
          <w:lang w:val="uk-UA"/>
        </w:rPr>
      </w:pPr>
      <w:r w:rsidRPr="004E3FE9">
        <w:rPr>
          <w:rFonts w:ascii="Times New Roman" w:hAnsi="Times New Roman"/>
          <w:sz w:val="28"/>
          <w:szCs w:val="28"/>
          <w:lang w:val="uk-UA"/>
        </w:rPr>
        <w:t>Вивчити особливості вмісту МСР-1, метаболітів оксиду азоту та фактору Віллебранда в сироватці крові в динаміці в залежності від віку, статі дітей, особливості нозологічної структури та перебігу геморагічного васкуліту.</w:t>
      </w:r>
    </w:p>
    <w:p w:rsidR="008524CA" w:rsidRPr="004E3FE9" w:rsidRDefault="008524CA" w:rsidP="008524CA">
      <w:pPr>
        <w:numPr>
          <w:ilvl w:val="0"/>
          <w:numId w:val="4"/>
        </w:numPr>
        <w:spacing w:line="360" w:lineRule="auto"/>
        <w:ind w:left="0" w:firstLine="709"/>
        <w:contextualSpacing/>
        <w:jc w:val="both"/>
        <w:rPr>
          <w:rFonts w:ascii="Times New Roman" w:hAnsi="Times New Roman"/>
          <w:sz w:val="28"/>
          <w:szCs w:val="28"/>
          <w:lang w:val="uk-UA"/>
        </w:rPr>
      </w:pPr>
      <w:r w:rsidRPr="004E3FE9">
        <w:rPr>
          <w:rFonts w:ascii="Times New Roman" w:hAnsi="Times New Roman"/>
          <w:sz w:val="28"/>
          <w:szCs w:val="28"/>
          <w:lang w:val="uk-UA"/>
        </w:rPr>
        <w:t>Оцінити інформативність показників МСР-1, метаболітів оксиду азоту, фактору Віллебранда, товщини комплексу інтима-медіа та ендотелійзалежної дилатації плечової артерії в якості діагностично-прогностичних критеріїв перебігу геморагічного васкуліту.</w:t>
      </w:r>
    </w:p>
    <w:p w:rsidR="008524CA" w:rsidRPr="004E3FE9" w:rsidRDefault="008524CA" w:rsidP="008524CA">
      <w:pPr>
        <w:numPr>
          <w:ilvl w:val="0"/>
          <w:numId w:val="4"/>
        </w:numPr>
        <w:spacing w:line="360" w:lineRule="auto"/>
        <w:ind w:left="0" w:firstLine="709"/>
        <w:contextualSpacing/>
        <w:jc w:val="both"/>
        <w:rPr>
          <w:rFonts w:ascii="Times New Roman" w:hAnsi="Times New Roman"/>
          <w:sz w:val="28"/>
          <w:szCs w:val="28"/>
          <w:lang w:val="uk-UA"/>
        </w:rPr>
      </w:pPr>
      <w:r w:rsidRPr="004E3FE9">
        <w:rPr>
          <w:rFonts w:ascii="Times New Roman" w:hAnsi="Times New Roman"/>
          <w:sz w:val="28"/>
          <w:szCs w:val="28"/>
          <w:lang w:val="uk-UA"/>
        </w:rPr>
        <w:lastRenderedPageBreak/>
        <w:t>Визначити наявність взаємозв’язків клініко-лабораторних, імунологічних, інструментальних показників та рівня МСР-1 в сироватці крові.</w:t>
      </w:r>
    </w:p>
    <w:p w:rsidR="008524CA" w:rsidRPr="004E3FE9" w:rsidRDefault="008524CA" w:rsidP="008524CA">
      <w:pPr>
        <w:numPr>
          <w:ilvl w:val="0"/>
          <w:numId w:val="4"/>
        </w:numPr>
        <w:spacing w:line="360" w:lineRule="auto"/>
        <w:ind w:left="0" w:firstLine="709"/>
        <w:contextualSpacing/>
        <w:jc w:val="both"/>
        <w:rPr>
          <w:rFonts w:ascii="Times New Roman" w:hAnsi="Times New Roman"/>
          <w:sz w:val="28"/>
          <w:szCs w:val="28"/>
          <w:lang w:val="uk-UA"/>
        </w:rPr>
      </w:pPr>
      <w:r w:rsidRPr="004E3FE9">
        <w:rPr>
          <w:rFonts w:ascii="Times New Roman" w:hAnsi="Times New Roman"/>
          <w:sz w:val="28"/>
          <w:szCs w:val="28"/>
          <w:lang w:val="uk-UA"/>
        </w:rPr>
        <w:t>Розробити алгоритм прогнозу та діагностичної значимості визначення МСР-1, метаболітів оксиду азоту та фактору Віллебранда в сироватці крові, товщини комплексу інтима-медіа та ендотелійзалежної дилатації плечової артерії для монітогінгу перебігу геморагічного васкуліту.</w:t>
      </w:r>
    </w:p>
    <w:p w:rsidR="008524CA" w:rsidRPr="004E3FE9" w:rsidRDefault="008524CA" w:rsidP="008524CA">
      <w:pPr>
        <w:spacing w:line="360" w:lineRule="auto"/>
        <w:ind w:firstLine="709"/>
        <w:contextualSpacing/>
        <w:jc w:val="both"/>
        <w:rPr>
          <w:rFonts w:ascii="Times New Roman" w:hAnsi="Times New Roman"/>
          <w:sz w:val="28"/>
          <w:szCs w:val="28"/>
          <w:lang w:val="uk-UA"/>
        </w:rPr>
      </w:pPr>
      <w:r w:rsidRPr="00AC7D92">
        <w:rPr>
          <w:rFonts w:ascii="Times New Roman" w:hAnsi="Times New Roman"/>
          <w:b/>
          <w:i/>
          <w:sz w:val="28"/>
          <w:szCs w:val="28"/>
          <w:lang w:val="uk-UA"/>
        </w:rPr>
        <w:t>Об’єкт дослідження:</w:t>
      </w:r>
      <w:r w:rsidR="004036F3" w:rsidRPr="004E3FE9">
        <w:rPr>
          <w:rFonts w:ascii="Times New Roman" w:hAnsi="Times New Roman"/>
          <w:sz w:val="28"/>
          <w:szCs w:val="28"/>
          <w:lang w:val="uk-UA"/>
        </w:rPr>
        <w:t xml:space="preserve"> геморагічний васкуліт у дітей.</w:t>
      </w:r>
    </w:p>
    <w:p w:rsidR="008524CA" w:rsidRPr="004E3FE9" w:rsidRDefault="008524CA" w:rsidP="008524CA">
      <w:pPr>
        <w:spacing w:line="360" w:lineRule="auto"/>
        <w:ind w:firstLine="709"/>
        <w:contextualSpacing/>
        <w:jc w:val="both"/>
        <w:rPr>
          <w:rFonts w:ascii="Times New Roman" w:hAnsi="Times New Roman"/>
          <w:sz w:val="28"/>
          <w:szCs w:val="28"/>
          <w:lang w:val="uk-UA"/>
        </w:rPr>
      </w:pPr>
      <w:r w:rsidRPr="00AC7D92">
        <w:rPr>
          <w:rFonts w:ascii="Times New Roman" w:hAnsi="Times New Roman"/>
          <w:b/>
          <w:i/>
          <w:sz w:val="28"/>
          <w:szCs w:val="28"/>
          <w:lang w:val="uk-UA"/>
        </w:rPr>
        <w:t>Предмет дослідження:</w:t>
      </w:r>
      <w:r w:rsidRPr="004E3FE9">
        <w:rPr>
          <w:rFonts w:ascii="Times New Roman" w:hAnsi="Times New Roman"/>
          <w:sz w:val="28"/>
          <w:szCs w:val="28"/>
          <w:lang w:val="uk-UA"/>
        </w:rPr>
        <w:t xml:space="preserve"> </w:t>
      </w:r>
      <w:r w:rsidR="00717BBE" w:rsidRPr="004E3FE9">
        <w:rPr>
          <w:rFonts w:ascii="Times New Roman" w:hAnsi="Times New Roman" w:cs="Times New Roman"/>
          <w:sz w:val="28"/>
          <w:szCs w:val="28"/>
          <w:lang w:val="uk-UA"/>
        </w:rPr>
        <w:t>показники МСР-1, NO</w:t>
      </w:r>
      <w:r w:rsidR="00717BBE" w:rsidRPr="004E3FE9">
        <w:rPr>
          <w:rFonts w:ascii="Times New Roman" w:hAnsi="Times New Roman" w:cs="Times New Roman"/>
          <w:sz w:val="28"/>
          <w:szCs w:val="28"/>
          <w:vertAlign w:val="subscript"/>
          <w:lang w:val="uk-UA"/>
        </w:rPr>
        <w:t>2</w:t>
      </w:r>
      <w:r w:rsidR="00717BBE" w:rsidRPr="004E3FE9">
        <w:rPr>
          <w:rFonts w:ascii="Times New Roman" w:hAnsi="Times New Roman" w:cs="Times New Roman"/>
          <w:sz w:val="28"/>
          <w:szCs w:val="28"/>
          <w:lang w:val="uk-UA"/>
        </w:rPr>
        <w:t>, NO</w:t>
      </w:r>
      <w:r w:rsidR="00717BBE" w:rsidRPr="004E3FE9">
        <w:rPr>
          <w:rFonts w:ascii="Times New Roman" w:hAnsi="Times New Roman" w:cs="Times New Roman"/>
          <w:sz w:val="28"/>
          <w:szCs w:val="28"/>
          <w:vertAlign w:val="subscript"/>
          <w:lang w:val="uk-UA"/>
        </w:rPr>
        <w:t>3</w:t>
      </w:r>
      <w:r w:rsidR="00717BBE" w:rsidRPr="004E3FE9">
        <w:rPr>
          <w:rFonts w:ascii="Times New Roman" w:hAnsi="Times New Roman" w:cs="Times New Roman"/>
          <w:sz w:val="28"/>
          <w:szCs w:val="28"/>
          <w:lang w:val="uk-UA"/>
        </w:rPr>
        <w:t>, S-нітрозотіолу, фактору Віллебранда, товщина комплексу інтима-медіа загальної сонної артерії, ендотелійзалежна вазодилатація плечової артерії у дітей, хворих на геморагічний васкуліт.</w:t>
      </w:r>
    </w:p>
    <w:p w:rsidR="008524CA" w:rsidRDefault="00923E99" w:rsidP="00923E99">
      <w:pPr>
        <w:spacing w:line="360" w:lineRule="auto"/>
        <w:ind w:firstLine="709"/>
        <w:contextualSpacing/>
        <w:jc w:val="both"/>
        <w:rPr>
          <w:rFonts w:ascii="Times New Roman" w:hAnsi="Times New Roman" w:cs="Times New Roman"/>
          <w:sz w:val="28"/>
          <w:szCs w:val="28"/>
          <w:lang w:val="uk-UA"/>
        </w:rPr>
      </w:pPr>
      <w:r w:rsidRPr="00AC7D92">
        <w:rPr>
          <w:rFonts w:ascii="Times New Roman" w:hAnsi="Times New Roman" w:cs="Times New Roman"/>
          <w:b/>
          <w:i/>
          <w:sz w:val="28"/>
          <w:szCs w:val="28"/>
          <w:lang w:val="uk-UA"/>
        </w:rPr>
        <w:t>Методи дослідження:</w:t>
      </w:r>
      <w:r w:rsidRPr="004E3FE9">
        <w:rPr>
          <w:rFonts w:ascii="Times New Roman" w:hAnsi="Times New Roman" w:cs="Times New Roman"/>
          <w:b/>
          <w:sz w:val="28"/>
          <w:szCs w:val="28"/>
          <w:lang w:val="uk-UA"/>
        </w:rPr>
        <w:t xml:space="preserve"> </w:t>
      </w:r>
      <w:r w:rsidR="00717BBE" w:rsidRPr="004E3FE9">
        <w:rPr>
          <w:rFonts w:ascii="Times New Roman" w:hAnsi="Times New Roman" w:cs="Times New Roman"/>
          <w:sz w:val="28"/>
          <w:szCs w:val="28"/>
          <w:lang w:val="uk-UA"/>
        </w:rPr>
        <w:t>загально–клінічні, біохімічні, імунологічні, імуноферментні, інструментальні, аналітико-статистичні методи.</w:t>
      </w:r>
    </w:p>
    <w:p w:rsidR="008E47CF" w:rsidRPr="004E3FE9" w:rsidRDefault="008E47CF" w:rsidP="00923E99">
      <w:pPr>
        <w:spacing w:line="360" w:lineRule="auto"/>
        <w:ind w:firstLine="709"/>
        <w:contextualSpacing/>
        <w:jc w:val="both"/>
        <w:rPr>
          <w:rFonts w:ascii="Times New Roman" w:hAnsi="Times New Roman" w:cs="Times New Roman"/>
          <w:b/>
          <w:sz w:val="28"/>
          <w:szCs w:val="28"/>
          <w:lang w:val="uk-UA"/>
        </w:rPr>
      </w:pPr>
    </w:p>
    <w:p w:rsidR="004976A4" w:rsidRPr="008E47CF" w:rsidRDefault="008524CA" w:rsidP="008E47CF">
      <w:pPr>
        <w:spacing w:line="360" w:lineRule="auto"/>
        <w:ind w:firstLine="709"/>
        <w:contextualSpacing/>
        <w:jc w:val="both"/>
        <w:rPr>
          <w:rFonts w:ascii="Times New Roman" w:hAnsi="Times New Roman" w:cs="Times New Roman"/>
          <w:b/>
          <w:sz w:val="28"/>
          <w:szCs w:val="28"/>
          <w:lang w:val="uk-UA"/>
        </w:rPr>
      </w:pPr>
      <w:r w:rsidRPr="004E3FE9">
        <w:rPr>
          <w:rFonts w:ascii="Times New Roman" w:hAnsi="Times New Roman" w:cs="Times New Roman"/>
          <w:b/>
          <w:sz w:val="28"/>
          <w:szCs w:val="28"/>
          <w:lang w:val="uk-UA"/>
        </w:rPr>
        <w:t>Наукова новизна одержаних результатів.</w:t>
      </w:r>
      <w:r w:rsidR="008E47CF">
        <w:rPr>
          <w:rFonts w:ascii="Times New Roman" w:hAnsi="Times New Roman" w:cs="Times New Roman"/>
          <w:b/>
          <w:sz w:val="28"/>
          <w:szCs w:val="28"/>
          <w:lang w:val="uk-UA"/>
        </w:rPr>
        <w:t xml:space="preserve"> </w:t>
      </w:r>
      <w:r w:rsidR="004976A4" w:rsidRPr="004976A4">
        <w:rPr>
          <w:rFonts w:ascii="Times New Roman" w:hAnsi="Times New Roman" w:cs="Times New Roman"/>
          <w:sz w:val="28"/>
          <w:szCs w:val="28"/>
          <w:lang w:val="uk-UA"/>
        </w:rPr>
        <w:t>Уперше розроблено математичну модель прогнозування несприятливого перебігу та розвитку ниркового синдрому при геморагічному васкуліті у дітей з урахуванням показників товщини комплексу інтима-медіа загальної сонної артерії у сукупності з визначенням рівня моноцитарного хемотаксичного протеїну 1 та фактору Віллебранда.</w:t>
      </w:r>
    </w:p>
    <w:p w:rsidR="004976A4" w:rsidRPr="004976A4" w:rsidRDefault="004976A4" w:rsidP="004976A4">
      <w:pPr>
        <w:spacing w:line="360" w:lineRule="auto"/>
        <w:ind w:firstLine="709"/>
        <w:contextualSpacing/>
        <w:jc w:val="both"/>
        <w:rPr>
          <w:rFonts w:ascii="Times New Roman" w:hAnsi="Times New Roman" w:cs="Times New Roman"/>
          <w:sz w:val="28"/>
          <w:szCs w:val="28"/>
          <w:lang w:val="uk-UA"/>
        </w:rPr>
      </w:pPr>
      <w:r w:rsidRPr="004976A4">
        <w:rPr>
          <w:rFonts w:ascii="Times New Roman" w:hAnsi="Times New Roman" w:cs="Times New Roman"/>
          <w:sz w:val="28"/>
          <w:szCs w:val="28"/>
          <w:lang w:val="uk-UA"/>
        </w:rPr>
        <w:t>Уперше створено та впроваджено спосіб ранньої діагностики розвитку ниркового синдрому у дітей, хворих на геморагічний васкуліт, на підставі визначення стабільних метаболітів оксиду азоту (NO2, NO3, S-нітрозотіолу).</w:t>
      </w:r>
    </w:p>
    <w:p w:rsidR="004976A4" w:rsidRPr="004976A4" w:rsidRDefault="004976A4" w:rsidP="004976A4">
      <w:pPr>
        <w:spacing w:line="360" w:lineRule="auto"/>
        <w:ind w:firstLine="709"/>
        <w:contextualSpacing/>
        <w:jc w:val="both"/>
        <w:rPr>
          <w:rFonts w:ascii="Times New Roman" w:hAnsi="Times New Roman" w:cs="Times New Roman"/>
          <w:sz w:val="28"/>
          <w:szCs w:val="28"/>
          <w:lang w:val="uk-UA"/>
        </w:rPr>
      </w:pPr>
      <w:r w:rsidRPr="004976A4">
        <w:rPr>
          <w:rFonts w:ascii="Times New Roman" w:hAnsi="Times New Roman" w:cs="Times New Roman"/>
          <w:sz w:val="28"/>
          <w:szCs w:val="28"/>
          <w:lang w:val="uk-UA"/>
        </w:rPr>
        <w:t>Доведено вплив МСР-1, NO та фактору Віллебранда на перебіг запальних процесів судинної стінки, коагуляційний потенціал крові та специфічні і неспецифічні фактори захисту організму.</w:t>
      </w:r>
    </w:p>
    <w:p w:rsidR="004976A4" w:rsidRPr="004976A4" w:rsidRDefault="004976A4" w:rsidP="004976A4">
      <w:pPr>
        <w:spacing w:line="360" w:lineRule="auto"/>
        <w:ind w:firstLine="709"/>
        <w:contextualSpacing/>
        <w:jc w:val="both"/>
        <w:rPr>
          <w:rFonts w:ascii="Times New Roman" w:hAnsi="Times New Roman" w:cs="Times New Roman"/>
          <w:sz w:val="28"/>
          <w:szCs w:val="28"/>
          <w:lang w:val="uk-UA"/>
        </w:rPr>
      </w:pPr>
      <w:r w:rsidRPr="004976A4">
        <w:rPr>
          <w:rFonts w:ascii="Times New Roman" w:hAnsi="Times New Roman" w:cs="Times New Roman"/>
          <w:sz w:val="28"/>
          <w:szCs w:val="28"/>
          <w:lang w:val="uk-UA"/>
        </w:rPr>
        <w:t xml:space="preserve">Отримані нові дані біохімічних та ультразвукових маркерів дисфункції ендотелію та МСР-1 у дітей, хворих на ГВ, в залежності від форми та активності захворювання в гострий період та період клініко-лабораторної </w:t>
      </w:r>
      <w:r w:rsidRPr="004976A4">
        <w:rPr>
          <w:rFonts w:ascii="Times New Roman" w:hAnsi="Times New Roman" w:cs="Times New Roman"/>
          <w:sz w:val="28"/>
          <w:szCs w:val="28"/>
          <w:lang w:val="uk-UA"/>
        </w:rPr>
        <w:lastRenderedPageBreak/>
        <w:t>ремісії. Визначено вагомі порушення функції ендотелію у дітей із важким перебігом ГВ та при наявності ниркового синдрому.</w:t>
      </w:r>
    </w:p>
    <w:p w:rsidR="004976A4" w:rsidRPr="004976A4" w:rsidRDefault="004976A4" w:rsidP="004976A4">
      <w:pPr>
        <w:spacing w:line="360" w:lineRule="auto"/>
        <w:ind w:firstLine="709"/>
        <w:contextualSpacing/>
        <w:jc w:val="both"/>
        <w:rPr>
          <w:rFonts w:ascii="Times New Roman" w:hAnsi="Times New Roman" w:cs="Times New Roman"/>
          <w:sz w:val="28"/>
          <w:szCs w:val="28"/>
          <w:lang w:val="uk-UA"/>
        </w:rPr>
      </w:pPr>
      <w:r w:rsidRPr="004976A4">
        <w:rPr>
          <w:rFonts w:ascii="Times New Roman" w:hAnsi="Times New Roman" w:cs="Times New Roman"/>
          <w:sz w:val="28"/>
          <w:szCs w:val="28"/>
          <w:lang w:val="uk-UA"/>
        </w:rPr>
        <w:t>Доведено наявність морфологічних та функціональних змін судин у дітей із геморагічним васкулітом за даними товщини комплексу інтима-медіа загальної сонної артерії, ендотелійзалежної вазодилатації плечової артерії та показників ультразвукової доплерографії плечової артерії, які найбільш вагомі у дітей із важким перебігом захворювання та змішаною формою ГВ з нирковим синдромом.</w:t>
      </w:r>
    </w:p>
    <w:p w:rsidR="008524CA" w:rsidRDefault="004976A4" w:rsidP="004976A4">
      <w:pPr>
        <w:spacing w:line="360" w:lineRule="auto"/>
        <w:ind w:firstLine="709"/>
        <w:contextualSpacing/>
        <w:jc w:val="both"/>
        <w:rPr>
          <w:rFonts w:ascii="Times New Roman" w:hAnsi="Times New Roman" w:cs="Times New Roman"/>
          <w:sz w:val="28"/>
          <w:szCs w:val="28"/>
          <w:lang w:val="uk-UA"/>
        </w:rPr>
      </w:pPr>
      <w:r w:rsidRPr="004976A4">
        <w:rPr>
          <w:rFonts w:ascii="Times New Roman" w:hAnsi="Times New Roman" w:cs="Times New Roman"/>
          <w:sz w:val="28"/>
          <w:szCs w:val="28"/>
          <w:lang w:val="uk-UA"/>
        </w:rPr>
        <w:t>Наукова новизна одержаних результатів підтверджена 2 державними патентами України на корисну модель.</w:t>
      </w:r>
    </w:p>
    <w:p w:rsidR="008E47CF" w:rsidRPr="004E3FE9" w:rsidRDefault="008E47CF" w:rsidP="004976A4">
      <w:pPr>
        <w:spacing w:line="360" w:lineRule="auto"/>
        <w:ind w:firstLine="709"/>
        <w:contextualSpacing/>
        <w:jc w:val="both"/>
        <w:rPr>
          <w:rFonts w:ascii="Times New Roman" w:hAnsi="Times New Roman"/>
          <w:sz w:val="28"/>
          <w:szCs w:val="28"/>
          <w:lang w:val="uk-UA"/>
        </w:rPr>
      </w:pPr>
    </w:p>
    <w:p w:rsidR="004976A4" w:rsidRPr="008E47CF" w:rsidRDefault="008524CA" w:rsidP="008E47CF">
      <w:pPr>
        <w:spacing w:line="360" w:lineRule="auto"/>
        <w:ind w:firstLine="709"/>
        <w:contextualSpacing/>
        <w:jc w:val="both"/>
        <w:rPr>
          <w:rFonts w:ascii="Times New Roman" w:hAnsi="Times New Roman"/>
          <w:b/>
          <w:sz w:val="28"/>
          <w:szCs w:val="28"/>
          <w:lang w:val="uk-UA"/>
        </w:rPr>
      </w:pPr>
      <w:r w:rsidRPr="004E3FE9">
        <w:rPr>
          <w:rFonts w:ascii="Times New Roman" w:hAnsi="Times New Roman"/>
          <w:b/>
          <w:sz w:val="28"/>
          <w:szCs w:val="28"/>
          <w:lang w:val="uk-UA"/>
        </w:rPr>
        <w:t>Практичне значення одержаних результатів.</w:t>
      </w:r>
      <w:r w:rsidR="008E47CF">
        <w:rPr>
          <w:rFonts w:ascii="Times New Roman" w:hAnsi="Times New Roman"/>
          <w:b/>
          <w:sz w:val="28"/>
          <w:szCs w:val="28"/>
          <w:lang w:val="uk-UA"/>
        </w:rPr>
        <w:t xml:space="preserve"> </w:t>
      </w:r>
      <w:r w:rsidR="004976A4" w:rsidRPr="004976A4">
        <w:rPr>
          <w:rFonts w:ascii="Times New Roman" w:eastAsia="Times New Roman" w:hAnsi="Times New Roman" w:cs="Times New Roman"/>
          <w:sz w:val="28"/>
          <w:szCs w:val="28"/>
          <w:lang w:val="uk-UA" w:eastAsia="ru-RU"/>
        </w:rPr>
        <w:t xml:space="preserve">Обґрунтовано необхідність лікуючому лікарю виявляти негативні чинники: наявність хронічних вогнищ інфекції ЛОР-органів та обтяжливий алергоанамнез, що сприяють виникненню та розвитку геморагічного васкуліту у дітей. Означені чинники слід ураховувати під час визначення тактики лікування та імовірності формування ниркового синдрому у дітей з ГВ. </w:t>
      </w:r>
    </w:p>
    <w:p w:rsidR="004976A4" w:rsidRPr="004976A4" w:rsidRDefault="004976A4" w:rsidP="004976A4">
      <w:pPr>
        <w:spacing w:line="360" w:lineRule="auto"/>
        <w:ind w:firstLine="709"/>
        <w:contextualSpacing/>
        <w:jc w:val="both"/>
        <w:rPr>
          <w:rFonts w:ascii="Times New Roman" w:eastAsia="Times New Roman" w:hAnsi="Times New Roman" w:cs="Times New Roman"/>
          <w:sz w:val="28"/>
          <w:szCs w:val="28"/>
          <w:lang w:val="uk-UA" w:eastAsia="ru-RU"/>
        </w:rPr>
      </w:pPr>
      <w:r w:rsidRPr="004976A4">
        <w:rPr>
          <w:rFonts w:ascii="Times New Roman" w:eastAsia="Times New Roman" w:hAnsi="Times New Roman" w:cs="Times New Roman"/>
          <w:sz w:val="28"/>
          <w:szCs w:val="28"/>
          <w:lang w:val="uk-UA" w:eastAsia="ru-RU"/>
        </w:rPr>
        <w:t>Використання показників метаболітів оксиду азоту, фактору Віллебранда, МСР-1 в сироватці крові, товщини комплексу інтима-медіа загальної сонної артерії (КІМ ЗСА) та ендотелійзалежної вазодилатації плечової артерії (ЕЗВД ПА) в ролі маркерів важкості перебігу та ускладнень захворювання дозволить лікарю педіатру та загальної практики підвищити якість діагностики тяжких форм ГВ.</w:t>
      </w:r>
    </w:p>
    <w:p w:rsidR="004976A4" w:rsidRPr="004976A4" w:rsidRDefault="004976A4" w:rsidP="004976A4">
      <w:pPr>
        <w:spacing w:line="360" w:lineRule="auto"/>
        <w:ind w:firstLine="709"/>
        <w:contextualSpacing/>
        <w:jc w:val="both"/>
        <w:rPr>
          <w:rFonts w:ascii="Times New Roman" w:eastAsia="Times New Roman" w:hAnsi="Times New Roman" w:cs="Times New Roman"/>
          <w:sz w:val="28"/>
          <w:szCs w:val="28"/>
          <w:lang w:val="uk-UA" w:eastAsia="ru-RU"/>
        </w:rPr>
      </w:pPr>
      <w:r w:rsidRPr="004976A4">
        <w:rPr>
          <w:rFonts w:ascii="Times New Roman" w:eastAsia="Times New Roman" w:hAnsi="Times New Roman" w:cs="Times New Roman"/>
          <w:sz w:val="28"/>
          <w:szCs w:val="28"/>
          <w:lang w:val="uk-UA" w:eastAsia="ru-RU"/>
        </w:rPr>
        <w:t xml:space="preserve">Впровадження в роботу дитячих лікарень алгоритму прогнозування виникнення ниркового синдрому (додаткове визначення рівнів МСР-1, фактору Віллебранда, товщини КІМ ЗСА) сприятиме своєчасній діагностиці ускладнень та покращенню ефективності лікування ГВ. </w:t>
      </w:r>
    </w:p>
    <w:p w:rsidR="008524CA" w:rsidRDefault="004976A4" w:rsidP="004976A4">
      <w:pPr>
        <w:spacing w:line="360" w:lineRule="auto"/>
        <w:ind w:firstLine="709"/>
        <w:contextualSpacing/>
        <w:jc w:val="both"/>
        <w:rPr>
          <w:rFonts w:ascii="Times New Roman" w:eastAsia="Times New Roman" w:hAnsi="Times New Roman" w:cs="Times New Roman"/>
          <w:sz w:val="28"/>
          <w:szCs w:val="28"/>
          <w:lang w:val="uk-UA" w:eastAsia="ru-RU"/>
        </w:rPr>
      </w:pPr>
      <w:r w:rsidRPr="004976A4">
        <w:rPr>
          <w:rFonts w:ascii="Times New Roman" w:eastAsia="Times New Roman" w:hAnsi="Times New Roman" w:cs="Times New Roman"/>
          <w:sz w:val="28"/>
          <w:szCs w:val="28"/>
          <w:lang w:val="uk-UA" w:eastAsia="ru-RU"/>
        </w:rPr>
        <w:t xml:space="preserve">Результати дослідження впроваджено в роботу відділень КЗОЗ «Харківська міська клінічна дитяча лікарня №16», КУТОР «Тернопільська обласна дитяча клінічна лікарня», «Дорожньої» дитячої клінічної лікарні ДП </w:t>
      </w:r>
      <w:r w:rsidRPr="004976A4">
        <w:rPr>
          <w:rFonts w:ascii="Times New Roman" w:eastAsia="Times New Roman" w:hAnsi="Times New Roman" w:cs="Times New Roman"/>
          <w:sz w:val="28"/>
          <w:szCs w:val="28"/>
          <w:lang w:val="uk-UA" w:eastAsia="ru-RU"/>
        </w:rPr>
        <w:lastRenderedPageBreak/>
        <w:t>«Одеська залізниця», Вінницької обласної дитячої клінічної лікарні, Комунального закладу Львівської обласної ради «Західноукраїнський спеціалізований дитячий медичний центр», відділу охорони здоров’я Сумської міської ради «Сумська міська дитяча клінічна лікарня Святої Зінаїди», Комунальної установи «Запорізька обласна дитяча клінічна лікарня».</w:t>
      </w:r>
    </w:p>
    <w:p w:rsidR="008E47CF" w:rsidRPr="004E3FE9" w:rsidRDefault="008E47CF" w:rsidP="004976A4">
      <w:pPr>
        <w:spacing w:line="360" w:lineRule="auto"/>
        <w:ind w:firstLine="709"/>
        <w:contextualSpacing/>
        <w:jc w:val="both"/>
        <w:rPr>
          <w:rFonts w:ascii="Times New Roman" w:hAnsi="Times New Roman" w:cs="Times New Roman"/>
          <w:b/>
          <w:sz w:val="28"/>
          <w:szCs w:val="28"/>
          <w:lang w:val="uk-UA"/>
        </w:rPr>
      </w:pPr>
    </w:p>
    <w:p w:rsidR="008524CA" w:rsidRDefault="008524CA" w:rsidP="008E47CF">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b/>
          <w:sz w:val="28"/>
          <w:szCs w:val="28"/>
          <w:lang w:val="uk-UA"/>
        </w:rPr>
        <w:t>Особистий внесок здобувача</w:t>
      </w:r>
      <w:r w:rsidR="008E47CF">
        <w:rPr>
          <w:rFonts w:ascii="Times New Roman" w:hAnsi="Times New Roman" w:cs="Times New Roman"/>
          <w:b/>
          <w:sz w:val="28"/>
          <w:szCs w:val="28"/>
          <w:lang w:val="uk-UA"/>
        </w:rPr>
        <w:t xml:space="preserve">. </w:t>
      </w:r>
      <w:r w:rsidR="00717BBE" w:rsidRPr="004E3FE9">
        <w:rPr>
          <w:rFonts w:ascii="Times New Roman" w:hAnsi="Times New Roman" w:cs="Times New Roman"/>
          <w:sz w:val="28"/>
          <w:szCs w:val="28"/>
          <w:lang w:val="uk-UA"/>
        </w:rPr>
        <w:t>Самостійно здійснено підбір хворих, розроблено та заповнено карти обстеження та опитування анамнезу, проведено клінічне обстеження дітей. Самостійно проведено об’єктивне обстеження дітей, трактування отриманих результатів лабораторних та інструментальних методів дослідження. Автором сформовано комп’ютерну базу даних та проаналізовано матеріали клініко-інструментальних досліджень хворих, проведений статистичний аналіз отриманих результатів дослідження, написані розділи наукової роботи, сформульовано висновки та практичні рекомендації, підготовлено матеріали до публікацій.</w:t>
      </w:r>
    </w:p>
    <w:p w:rsidR="008E47CF" w:rsidRPr="008E47CF" w:rsidRDefault="008E47CF" w:rsidP="008E47CF">
      <w:pPr>
        <w:spacing w:line="360" w:lineRule="auto"/>
        <w:ind w:firstLine="709"/>
        <w:contextualSpacing/>
        <w:jc w:val="both"/>
        <w:rPr>
          <w:rFonts w:ascii="Times New Roman" w:hAnsi="Times New Roman" w:cs="Times New Roman"/>
          <w:b/>
          <w:sz w:val="28"/>
          <w:szCs w:val="28"/>
          <w:lang w:val="uk-UA"/>
        </w:rPr>
      </w:pPr>
    </w:p>
    <w:p w:rsidR="00717BBE" w:rsidRPr="008E47CF" w:rsidRDefault="008524CA" w:rsidP="008E47CF">
      <w:pPr>
        <w:spacing w:line="360" w:lineRule="auto"/>
        <w:ind w:firstLine="709"/>
        <w:contextualSpacing/>
        <w:jc w:val="both"/>
        <w:rPr>
          <w:rFonts w:ascii="Times New Roman" w:hAnsi="Times New Roman" w:cs="Times New Roman"/>
          <w:b/>
          <w:sz w:val="28"/>
          <w:szCs w:val="28"/>
          <w:lang w:val="uk-UA"/>
        </w:rPr>
      </w:pPr>
      <w:r w:rsidRPr="004E3FE9">
        <w:rPr>
          <w:rFonts w:ascii="Times New Roman" w:hAnsi="Times New Roman" w:cs="Times New Roman"/>
          <w:b/>
          <w:sz w:val="28"/>
          <w:szCs w:val="28"/>
          <w:lang w:val="uk-UA"/>
        </w:rPr>
        <w:t>Апробація роботи.</w:t>
      </w:r>
      <w:r w:rsidR="008E47CF">
        <w:rPr>
          <w:rFonts w:ascii="Times New Roman" w:hAnsi="Times New Roman" w:cs="Times New Roman"/>
          <w:b/>
          <w:sz w:val="28"/>
          <w:szCs w:val="28"/>
          <w:lang w:val="uk-UA"/>
        </w:rPr>
        <w:t xml:space="preserve"> </w:t>
      </w:r>
      <w:r w:rsidR="00717BBE" w:rsidRPr="004E3FE9">
        <w:rPr>
          <w:rFonts w:ascii="Times New Roman" w:hAnsi="Times New Roman" w:cs="Times New Roman"/>
          <w:sz w:val="28"/>
          <w:szCs w:val="28"/>
          <w:lang w:val="uk-UA"/>
        </w:rPr>
        <w:t>Результати д</w:t>
      </w:r>
      <w:r w:rsidR="004976A4">
        <w:rPr>
          <w:rFonts w:ascii="Times New Roman" w:hAnsi="Times New Roman" w:cs="Times New Roman"/>
          <w:sz w:val="28"/>
          <w:szCs w:val="28"/>
          <w:lang w:val="uk-UA"/>
        </w:rPr>
        <w:t>исертаційної роботи представлено</w:t>
      </w:r>
      <w:r w:rsidR="00717BBE" w:rsidRPr="004E3FE9">
        <w:rPr>
          <w:rFonts w:ascii="Times New Roman" w:hAnsi="Times New Roman" w:cs="Times New Roman"/>
          <w:sz w:val="28"/>
          <w:szCs w:val="28"/>
          <w:lang w:val="uk-UA"/>
        </w:rPr>
        <w:t xml:space="preserve"> на </w:t>
      </w:r>
      <w:r w:rsidR="00717BBE" w:rsidRPr="004E3FE9">
        <w:rPr>
          <w:rFonts w:ascii="Times New Roman" w:hAnsi="Times New Roman" w:cs="Times New Roman"/>
          <w:color w:val="000000"/>
          <w:sz w:val="28"/>
          <w:szCs w:val="28"/>
          <w:lang w:val="uk-UA"/>
        </w:rPr>
        <w:t>науково-практичній конференції молодих вчених з міжнародною участю (ХМАПО, м. Харків, 27 листопада 2014 р.), міжвузівській конференції молодих вчених та студентів "Медицина третього тисячоліття" (м. Харків, ХНМУ, 20 січня 2015 р., 20 січня 2016 р.), міжнародній науково-практичній конференції "Забезпечення здоров’я нації та здоров’я особистості як пріоритетна функція держави"(м. Одеса, 23-24 січня 2015 р.), українській науково-практичній конференції лікарів-педіатрів з міжнародною участю "Проблемні питання діагностики та лікування дітей з соматичною патологією" (м. Харків, 20 березня 2015 р., 18 березня 2016 р.), 7</w:t>
      </w:r>
      <w:r w:rsidR="00717BBE" w:rsidRPr="004E3FE9">
        <w:rPr>
          <w:rFonts w:ascii="Times New Roman" w:hAnsi="Times New Roman" w:cs="Times New Roman"/>
          <w:color w:val="000000"/>
          <w:sz w:val="28"/>
          <w:szCs w:val="28"/>
          <w:vertAlign w:val="superscript"/>
          <w:lang w:val="uk-UA"/>
        </w:rPr>
        <w:t>th</w:t>
      </w:r>
      <w:r w:rsidR="00717BBE" w:rsidRPr="004E3FE9">
        <w:rPr>
          <w:rFonts w:ascii="Times New Roman" w:hAnsi="Times New Roman" w:cs="Times New Roman"/>
          <w:color w:val="000000"/>
          <w:sz w:val="28"/>
          <w:szCs w:val="28"/>
          <w:lang w:val="uk-UA"/>
        </w:rPr>
        <w:t xml:space="preserve"> International Student Medical Congress in Kosice (м. Кошице, 24-26 червня 2015 р.), міжвузівській науково-практичній конференції "Актуальні проблеми експериментальної та клінічної біохімії" (м. Харків, 12-13 жовтня 2015 р.), </w:t>
      </w:r>
      <w:r w:rsidR="00717BBE" w:rsidRPr="004E3FE9">
        <w:rPr>
          <w:rFonts w:ascii="Times New Roman" w:hAnsi="Times New Roman" w:cs="Times New Roman"/>
          <w:color w:val="000000"/>
          <w:sz w:val="28"/>
          <w:szCs w:val="28"/>
          <w:lang w:val="uk-UA"/>
        </w:rPr>
        <w:lastRenderedPageBreak/>
        <w:t>всеукраїнській науково-практичній конференції «Медична наука в практику охорони здоров’я» (м. Полтава, 20 листопада 2015р.), І науково-практичній конференції молодих вчених з міжнародною участю "Проблеми сьогодення в педіатрії" (м. Харків, 16 березня 2016р.), 12th Warsaw International Medical Congress (м. Варшава, 12-15 травня 2016 р.).</w:t>
      </w:r>
    </w:p>
    <w:p w:rsidR="004976A4" w:rsidRPr="004E3FE9" w:rsidRDefault="004976A4" w:rsidP="004E3FE9">
      <w:pPr>
        <w:spacing w:line="360" w:lineRule="auto"/>
        <w:ind w:firstLine="709"/>
        <w:contextualSpacing/>
        <w:jc w:val="both"/>
        <w:rPr>
          <w:rFonts w:ascii="Times New Roman" w:hAnsi="Times New Roman" w:cs="Times New Roman"/>
          <w:color w:val="000000"/>
          <w:sz w:val="28"/>
          <w:szCs w:val="28"/>
          <w:lang w:val="uk-UA"/>
        </w:rPr>
      </w:pPr>
    </w:p>
    <w:p w:rsidR="008524CA" w:rsidRDefault="008524CA" w:rsidP="008E47CF">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b/>
          <w:sz w:val="28"/>
          <w:szCs w:val="28"/>
          <w:lang w:val="uk-UA"/>
        </w:rPr>
        <w:t xml:space="preserve">Публікації. </w:t>
      </w:r>
      <w:r w:rsidR="00717BBE" w:rsidRPr="004E3FE9">
        <w:rPr>
          <w:rFonts w:ascii="Times New Roman" w:hAnsi="Times New Roman" w:cs="Times New Roman"/>
          <w:sz w:val="28"/>
          <w:szCs w:val="28"/>
          <w:lang w:val="uk-UA"/>
        </w:rPr>
        <w:t>За матері</w:t>
      </w:r>
      <w:r w:rsidR="001C558E">
        <w:rPr>
          <w:rFonts w:ascii="Times New Roman" w:hAnsi="Times New Roman" w:cs="Times New Roman"/>
          <w:sz w:val="28"/>
          <w:szCs w:val="28"/>
          <w:lang w:val="uk-UA"/>
        </w:rPr>
        <w:t>алами дисертації опубліковано 23 наукові праці, з них 6</w:t>
      </w:r>
      <w:r w:rsidR="00717BBE" w:rsidRPr="004E3FE9">
        <w:rPr>
          <w:rFonts w:ascii="Times New Roman" w:hAnsi="Times New Roman" w:cs="Times New Roman"/>
          <w:sz w:val="28"/>
          <w:szCs w:val="28"/>
          <w:lang w:val="uk-UA"/>
        </w:rPr>
        <w:t xml:space="preserve"> – статей у фахових виданнях, рекомендованих МОЗ України, 2 деклараційні патенти на корисну модель, 15 тез у матеріалах конференцій.</w:t>
      </w:r>
      <w:r w:rsidR="00923E99" w:rsidRPr="004E3FE9">
        <w:rPr>
          <w:rFonts w:ascii="Times New Roman" w:hAnsi="Times New Roman" w:cs="Times New Roman"/>
          <w:sz w:val="28"/>
          <w:szCs w:val="28"/>
          <w:lang w:val="uk-UA"/>
        </w:rPr>
        <w:t xml:space="preserve"> </w:t>
      </w:r>
    </w:p>
    <w:p w:rsidR="008E47CF" w:rsidRPr="008E47CF" w:rsidRDefault="008E47CF" w:rsidP="008E47CF">
      <w:pPr>
        <w:spacing w:line="360" w:lineRule="auto"/>
        <w:ind w:firstLine="709"/>
        <w:contextualSpacing/>
        <w:jc w:val="both"/>
        <w:rPr>
          <w:rFonts w:ascii="Times New Roman" w:hAnsi="Times New Roman" w:cs="Times New Roman"/>
          <w:b/>
          <w:sz w:val="28"/>
          <w:szCs w:val="28"/>
          <w:lang w:val="uk-UA"/>
        </w:rPr>
      </w:pPr>
    </w:p>
    <w:p w:rsidR="00923E99" w:rsidRPr="008E47CF" w:rsidRDefault="008524CA" w:rsidP="008E47CF">
      <w:pPr>
        <w:spacing w:line="360" w:lineRule="auto"/>
        <w:ind w:firstLine="709"/>
        <w:contextualSpacing/>
        <w:jc w:val="both"/>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Обсяг і структура дисертації. </w:t>
      </w:r>
      <w:r w:rsidR="00AB06A4" w:rsidRPr="00AB06A4">
        <w:rPr>
          <w:rFonts w:ascii="Times New Roman" w:hAnsi="Times New Roman" w:cs="Times New Roman"/>
          <w:sz w:val="28"/>
          <w:szCs w:val="28"/>
          <w:lang w:val="uk-UA"/>
        </w:rPr>
        <w:t>Дисертація викладена українською мовою на 166 сторінках друкованого тексту, ілюстрована 16 рисунками, 63 таблицями. Дисертаційна робота складається з вступу, аналітичного огляду літератури, 5 розділів власних досліджень, аналізу та узагальнення результатів, висновків, практичних рекомендацій. Перелік використаної літератури містить 175 найменувань (68 – кирилицею, 107 – латиницею).</w:t>
      </w: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8524CA" w:rsidRPr="004E3FE9" w:rsidRDefault="008524CA" w:rsidP="008524CA">
      <w:pPr>
        <w:spacing w:line="360" w:lineRule="auto"/>
        <w:ind w:firstLine="709"/>
        <w:contextualSpacing/>
        <w:jc w:val="both"/>
        <w:rPr>
          <w:rFonts w:ascii="Times New Roman" w:hAnsi="Times New Roman" w:cs="Times New Roman"/>
          <w:sz w:val="28"/>
          <w:szCs w:val="28"/>
          <w:lang w:val="uk-UA"/>
        </w:rPr>
      </w:pPr>
    </w:p>
    <w:p w:rsidR="004B41E5" w:rsidRPr="004E3FE9" w:rsidRDefault="004B41E5" w:rsidP="00DD7A88">
      <w:pPr>
        <w:spacing w:line="360" w:lineRule="auto"/>
        <w:contextualSpacing/>
        <w:rPr>
          <w:rFonts w:ascii="Times New Roman" w:hAnsi="Times New Roman" w:cs="Times New Roman"/>
          <w:b/>
          <w:sz w:val="28"/>
          <w:szCs w:val="28"/>
          <w:lang w:val="uk-UA"/>
        </w:rPr>
      </w:pPr>
    </w:p>
    <w:p w:rsidR="008E47CF" w:rsidRDefault="00BD0BF2" w:rsidP="008E47CF">
      <w:pPr>
        <w:pStyle w:val="1"/>
        <w:spacing w:line="360" w:lineRule="auto"/>
        <w:jc w:val="center"/>
        <w:rPr>
          <w:rFonts w:ascii="Times New Roman" w:hAnsi="Times New Roman" w:cs="Times New Roman"/>
          <w:color w:val="000000" w:themeColor="text1"/>
          <w:lang w:val="uk-UA"/>
        </w:rPr>
      </w:pPr>
      <w:bookmarkStart w:id="3" w:name="_Toc465797600"/>
      <w:r w:rsidRPr="004E3FE9">
        <w:rPr>
          <w:rFonts w:ascii="Times New Roman" w:hAnsi="Times New Roman" w:cs="Times New Roman"/>
          <w:color w:val="000000" w:themeColor="text1"/>
          <w:lang w:val="uk-UA"/>
        </w:rPr>
        <w:lastRenderedPageBreak/>
        <w:t>РОЗДІЛ 1</w:t>
      </w:r>
      <w:r w:rsidR="00A51BD1" w:rsidRPr="004E3FE9">
        <w:rPr>
          <w:rFonts w:ascii="Times New Roman" w:hAnsi="Times New Roman" w:cs="Times New Roman"/>
          <w:color w:val="000000" w:themeColor="text1"/>
          <w:lang w:val="uk-UA"/>
        </w:rPr>
        <w:br/>
      </w:r>
      <w:r w:rsidRPr="004E3FE9">
        <w:rPr>
          <w:rFonts w:ascii="Times New Roman" w:hAnsi="Times New Roman" w:cs="Times New Roman"/>
          <w:color w:val="000000" w:themeColor="text1"/>
          <w:lang w:val="uk-UA"/>
        </w:rPr>
        <w:t>СУЧАСНІ ПОГЛЯДИ НА МЕХАНІЗМИ РОЗВИТКУ, КЛІНІКУ ТА ПРОГНОСТИЧНІ ОЗНАКИ ПЕРЕБІГУ ГЕМОРАГІЧНОГО ВАСКУЛІТУ У ДІТЕЙ</w:t>
      </w:r>
      <w:bookmarkEnd w:id="3"/>
    </w:p>
    <w:p w:rsidR="00BB51E4" w:rsidRDefault="008E47CF" w:rsidP="00D90B50">
      <w:pPr>
        <w:jc w:val="center"/>
        <w:rPr>
          <w:rFonts w:ascii="Times New Roman" w:hAnsi="Times New Roman" w:cs="Times New Roman"/>
          <w:b/>
          <w:color w:val="000000" w:themeColor="text1"/>
          <w:sz w:val="28"/>
          <w:szCs w:val="28"/>
          <w:lang w:val="uk-UA"/>
        </w:rPr>
      </w:pPr>
      <w:r w:rsidRPr="008E47CF">
        <w:rPr>
          <w:rFonts w:ascii="Times New Roman" w:hAnsi="Times New Roman" w:cs="Times New Roman"/>
          <w:b/>
          <w:color w:val="000000" w:themeColor="text1"/>
          <w:sz w:val="28"/>
          <w:szCs w:val="28"/>
          <w:lang w:val="uk-UA"/>
        </w:rPr>
        <w:t>ОГЛЯД ЛІТЕРАТУРИ</w:t>
      </w:r>
    </w:p>
    <w:p w:rsidR="00D90B50" w:rsidRDefault="00D90B50" w:rsidP="00D90B50">
      <w:pPr>
        <w:rPr>
          <w:rFonts w:ascii="Times New Roman" w:hAnsi="Times New Roman" w:cs="Times New Roman"/>
          <w:b/>
          <w:color w:val="000000" w:themeColor="text1"/>
          <w:sz w:val="28"/>
          <w:szCs w:val="28"/>
          <w:lang w:val="uk-UA"/>
        </w:rPr>
      </w:pPr>
    </w:p>
    <w:p w:rsidR="00D90B50" w:rsidRDefault="00D90B50" w:rsidP="00D90B50">
      <w:pPr>
        <w:rPr>
          <w:rFonts w:ascii="Times New Roman" w:hAnsi="Times New Roman" w:cs="Times New Roman"/>
          <w:b/>
          <w:color w:val="000000" w:themeColor="text1"/>
          <w:sz w:val="28"/>
          <w:szCs w:val="28"/>
          <w:lang w:val="uk-UA"/>
        </w:rPr>
      </w:pPr>
    </w:p>
    <w:p w:rsidR="00D90B50" w:rsidRPr="00D90B50" w:rsidRDefault="00D90B50" w:rsidP="00D90B50">
      <w:pPr>
        <w:rPr>
          <w:rFonts w:ascii="Times New Roman" w:hAnsi="Times New Roman" w:cs="Times New Roman"/>
          <w:b/>
          <w:color w:val="000000" w:themeColor="text1"/>
          <w:sz w:val="28"/>
          <w:szCs w:val="28"/>
          <w:lang w:val="uk-UA"/>
        </w:rPr>
      </w:pPr>
    </w:p>
    <w:p w:rsidR="00BD0BF2" w:rsidRPr="004E3FE9" w:rsidRDefault="00BD0BF2" w:rsidP="00BB51E4">
      <w:pPr>
        <w:pStyle w:val="2"/>
        <w:numPr>
          <w:ilvl w:val="1"/>
          <w:numId w:val="10"/>
        </w:numPr>
        <w:spacing w:line="360" w:lineRule="auto"/>
        <w:rPr>
          <w:rFonts w:ascii="Times New Roman" w:hAnsi="Times New Roman" w:cs="Times New Roman"/>
          <w:color w:val="000000" w:themeColor="text1"/>
          <w:sz w:val="28"/>
          <w:szCs w:val="28"/>
          <w:lang w:val="uk-UA"/>
        </w:rPr>
      </w:pPr>
      <w:bookmarkStart w:id="4" w:name="_Toc465797601"/>
      <w:r w:rsidRPr="004E3FE9">
        <w:rPr>
          <w:rFonts w:ascii="Times New Roman" w:hAnsi="Times New Roman" w:cs="Times New Roman"/>
          <w:color w:val="000000" w:themeColor="text1"/>
          <w:sz w:val="28"/>
          <w:szCs w:val="28"/>
          <w:lang w:val="uk-UA"/>
        </w:rPr>
        <w:t>Сучасні уявлення про клініко-патогенетичні та діагностичні особливості геморагічного васкуліту у дітей</w:t>
      </w:r>
      <w:bookmarkEnd w:id="4"/>
    </w:p>
    <w:p w:rsidR="00BB51E4" w:rsidRPr="004E3FE9" w:rsidRDefault="00BB51E4" w:rsidP="00BB51E4">
      <w:pPr>
        <w:rPr>
          <w:lang w:val="uk-UA"/>
        </w:rPr>
      </w:pPr>
    </w:p>
    <w:p w:rsidR="00BD0BF2" w:rsidRPr="004E3FE9" w:rsidRDefault="00BD0BF2" w:rsidP="00BD119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Геморагічний васкуліт входить до складу системних васкуліт</w:t>
      </w:r>
      <w:r w:rsidR="00205137" w:rsidRPr="004E3FE9">
        <w:rPr>
          <w:rFonts w:ascii="Times New Roman" w:hAnsi="Times New Roman" w:cs="Times New Roman"/>
          <w:sz w:val="28"/>
          <w:szCs w:val="28"/>
          <w:lang w:val="uk-UA"/>
        </w:rPr>
        <w:t>ів</w:t>
      </w:r>
      <w:r w:rsidRPr="004E3FE9">
        <w:rPr>
          <w:rFonts w:ascii="Times New Roman" w:hAnsi="Times New Roman" w:cs="Times New Roman"/>
          <w:sz w:val="28"/>
          <w:szCs w:val="28"/>
          <w:lang w:val="uk-UA"/>
        </w:rPr>
        <w:t xml:space="preserve"> та уявляє собою ген</w:t>
      </w:r>
      <w:r w:rsidR="00EB08AD" w:rsidRPr="004E3FE9">
        <w:rPr>
          <w:rFonts w:ascii="Times New Roman" w:hAnsi="Times New Roman" w:cs="Times New Roman"/>
          <w:sz w:val="28"/>
          <w:szCs w:val="28"/>
          <w:lang w:val="uk-UA"/>
        </w:rPr>
        <w:t xml:space="preserve">ералізований, імунокомплексний </w:t>
      </w:r>
      <w:r w:rsidRPr="004E3FE9">
        <w:rPr>
          <w:rFonts w:ascii="Times New Roman" w:hAnsi="Times New Roman" w:cs="Times New Roman"/>
          <w:sz w:val="28"/>
          <w:szCs w:val="28"/>
          <w:lang w:val="uk-UA"/>
        </w:rPr>
        <w:t>мікротромбоваскуліт [</w:t>
      </w:r>
      <w:r w:rsidR="004065BA" w:rsidRPr="004E3FE9">
        <w:rPr>
          <w:rFonts w:ascii="Times New Roman" w:hAnsi="Times New Roman" w:cs="Times New Roman"/>
          <w:sz w:val="28"/>
          <w:szCs w:val="28"/>
          <w:lang w:val="uk-UA"/>
        </w:rPr>
        <w:t>57, 140, 143</w:t>
      </w:r>
      <w:r w:rsidRPr="004E3FE9">
        <w:rPr>
          <w:rFonts w:ascii="Times New Roman" w:hAnsi="Times New Roman" w:cs="Times New Roman"/>
          <w:sz w:val="28"/>
          <w:szCs w:val="28"/>
          <w:lang w:val="uk-UA"/>
        </w:rPr>
        <w:t>]. За даними літератури, щорічно реєструють від</w:t>
      </w:r>
      <w:r w:rsidR="00EB08AD" w:rsidRPr="004E3FE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10 до 20 випадків ГВ на 100000 дитячого населення віком до 17 років [</w:t>
      </w:r>
      <w:r w:rsidR="003E300A" w:rsidRPr="004E3FE9">
        <w:rPr>
          <w:rFonts w:ascii="Times New Roman" w:hAnsi="Times New Roman" w:cs="Times New Roman"/>
          <w:sz w:val="28"/>
          <w:szCs w:val="28"/>
          <w:lang w:val="uk-UA"/>
        </w:rPr>
        <w:t xml:space="preserve">139, </w:t>
      </w:r>
      <w:r w:rsidR="004065BA" w:rsidRPr="004E3FE9">
        <w:rPr>
          <w:rFonts w:ascii="Times New Roman" w:hAnsi="Times New Roman" w:cs="Times New Roman"/>
          <w:sz w:val="28"/>
          <w:szCs w:val="28"/>
          <w:lang w:val="uk-UA"/>
        </w:rPr>
        <w:t>143</w:t>
      </w:r>
      <w:r w:rsidRPr="004E3FE9">
        <w:rPr>
          <w:rFonts w:ascii="Times New Roman" w:hAnsi="Times New Roman" w:cs="Times New Roman"/>
          <w:sz w:val="28"/>
          <w:szCs w:val="28"/>
          <w:lang w:val="uk-UA"/>
        </w:rPr>
        <w:t>,</w:t>
      </w:r>
      <w:r w:rsidR="003E300A" w:rsidRPr="004E3FE9">
        <w:rPr>
          <w:rFonts w:ascii="Times New Roman" w:hAnsi="Times New Roman" w:cs="Times New Roman"/>
          <w:sz w:val="28"/>
          <w:szCs w:val="28"/>
          <w:lang w:val="uk-UA"/>
        </w:rPr>
        <w:t xml:space="preserve"> 144, </w:t>
      </w:r>
      <w:r w:rsidR="004065BA" w:rsidRPr="004E3FE9">
        <w:rPr>
          <w:rFonts w:ascii="Times New Roman" w:hAnsi="Times New Roman" w:cs="Times New Roman"/>
          <w:sz w:val="28"/>
          <w:szCs w:val="28"/>
          <w:lang w:val="uk-UA"/>
        </w:rPr>
        <w:t>162</w:t>
      </w:r>
      <w:r w:rsidRPr="004E3FE9">
        <w:rPr>
          <w:rFonts w:ascii="Times New Roman" w:hAnsi="Times New Roman" w:cs="Times New Roman"/>
          <w:sz w:val="28"/>
          <w:szCs w:val="28"/>
          <w:lang w:val="uk-UA"/>
        </w:rPr>
        <w:t xml:space="preserve">]. Більш ніж 75% дітей, хворих на ГВ, молодше 10 років; пік захворюваності приходиться </w:t>
      </w:r>
      <w:r w:rsidR="00EB08AD" w:rsidRPr="004E3FE9">
        <w:rPr>
          <w:rFonts w:ascii="Times New Roman" w:hAnsi="Times New Roman" w:cs="Times New Roman"/>
          <w:sz w:val="28"/>
          <w:szCs w:val="28"/>
          <w:lang w:val="uk-UA"/>
        </w:rPr>
        <w:t>н</w:t>
      </w:r>
      <w:r w:rsidRPr="004E3FE9">
        <w:rPr>
          <w:rFonts w:ascii="Times New Roman" w:hAnsi="Times New Roman" w:cs="Times New Roman"/>
          <w:sz w:val="28"/>
          <w:szCs w:val="28"/>
          <w:lang w:val="uk-UA"/>
        </w:rPr>
        <w:t>а вік від 4 до 6 років [</w:t>
      </w:r>
      <w:r w:rsidR="004065BA" w:rsidRPr="004E3FE9">
        <w:rPr>
          <w:rFonts w:ascii="Times New Roman" w:hAnsi="Times New Roman" w:cs="Times New Roman"/>
          <w:sz w:val="28"/>
          <w:szCs w:val="28"/>
          <w:lang w:val="uk-UA"/>
        </w:rPr>
        <w:t>73</w:t>
      </w:r>
      <w:r w:rsidRPr="004E3FE9">
        <w:rPr>
          <w:rFonts w:ascii="Times New Roman" w:hAnsi="Times New Roman" w:cs="Times New Roman"/>
          <w:sz w:val="28"/>
          <w:szCs w:val="28"/>
          <w:lang w:val="uk-UA"/>
        </w:rPr>
        <w:t xml:space="preserve">]. Як вітчизняними, так і закордонними дослідженнями доведена сезонність, яка притаманна даному захворюванню, а найбільшу частоту захворювання зафіксовано восени та взимку, що майже вдвічі більше ніж </w:t>
      </w:r>
      <w:r w:rsidR="00205137"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весняно-літній період [</w:t>
      </w:r>
      <w:r w:rsidR="004065BA" w:rsidRPr="004E3FE9">
        <w:rPr>
          <w:rFonts w:ascii="Times New Roman" w:hAnsi="Times New Roman" w:cs="Times New Roman"/>
          <w:sz w:val="28"/>
          <w:szCs w:val="28"/>
          <w:lang w:val="uk-UA"/>
        </w:rPr>
        <w:t>57</w:t>
      </w:r>
      <w:r w:rsidRPr="004E3FE9">
        <w:rPr>
          <w:rFonts w:ascii="Times New Roman" w:hAnsi="Times New Roman" w:cs="Times New Roman"/>
          <w:sz w:val="28"/>
          <w:szCs w:val="28"/>
          <w:lang w:val="uk-UA"/>
        </w:rPr>
        <w:t>,</w:t>
      </w:r>
      <w:r w:rsidR="004065BA" w:rsidRPr="004E3FE9">
        <w:rPr>
          <w:rFonts w:ascii="Times New Roman" w:hAnsi="Times New Roman" w:cs="Times New Roman"/>
          <w:sz w:val="28"/>
          <w:szCs w:val="28"/>
          <w:lang w:val="uk-UA"/>
        </w:rPr>
        <w:t>139</w:t>
      </w:r>
      <w:r w:rsidRPr="004E3FE9">
        <w:rPr>
          <w:rFonts w:ascii="Times New Roman" w:hAnsi="Times New Roman" w:cs="Times New Roman"/>
          <w:sz w:val="28"/>
          <w:szCs w:val="28"/>
          <w:lang w:val="uk-UA"/>
        </w:rPr>
        <w:t>,</w:t>
      </w:r>
      <w:r w:rsidR="004065BA" w:rsidRPr="004E3FE9">
        <w:rPr>
          <w:rFonts w:ascii="Times New Roman" w:hAnsi="Times New Roman" w:cs="Times New Roman"/>
          <w:sz w:val="28"/>
          <w:szCs w:val="28"/>
          <w:lang w:val="uk-UA"/>
        </w:rPr>
        <w:t>122</w:t>
      </w:r>
      <w:r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 2010 році EULAR/PRINTO/PReS опубліковано новий склад діагностичних критеріїв ГВ. Згідно цих критеріїв, обов’язкова наявність пурпури та одного з наступних проявів: дифузний абдомінальний біль, підтверджені гістологічно IgA депозити в біоптаті шкіри, артрит або артралгії будь-якого суглоба та  ураження нирок, про що свідчить протеїнурія та/або гематурія. Чутливість і специфічність цих критеріїв класифікації складає 100% і 87% відповідно [</w:t>
      </w:r>
      <w:r w:rsidR="004065BA" w:rsidRPr="004E3FE9">
        <w:rPr>
          <w:rFonts w:ascii="Times New Roman" w:hAnsi="Times New Roman" w:cs="Times New Roman"/>
          <w:sz w:val="28"/>
          <w:szCs w:val="28"/>
          <w:lang w:val="uk-UA"/>
        </w:rPr>
        <w:t>136</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Аналізуючи дані вітчизняної та закордонної літератури щодо причин виникнення ГВ, ми зіткнулись з великою кількістю різноманітних </w:t>
      </w:r>
      <w:r w:rsidR="00205137" w:rsidRPr="004E3FE9">
        <w:rPr>
          <w:rFonts w:ascii="Times New Roman" w:hAnsi="Times New Roman" w:cs="Times New Roman"/>
          <w:sz w:val="28"/>
          <w:szCs w:val="28"/>
          <w:lang w:val="uk-UA"/>
        </w:rPr>
        <w:t>чинників</w:t>
      </w:r>
      <w:r w:rsidRPr="004E3FE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lastRenderedPageBreak/>
        <w:t>Це супроводжується складнощами у діагностиці на ранніх етапах та підвищенням захворюваності в усіх вікових групах. Підвищення захворюваності в осіннє-зимовий період вказує на інфекційну природу виникнення ГВ, що підтверджується низкою досліджень, які вказують на зв'язок маніфестації клінічних проявів хвороби та перенесених напередодні гострих респіраторних інфекцій [</w:t>
      </w:r>
      <w:r w:rsidR="004065BA" w:rsidRPr="004E3FE9">
        <w:rPr>
          <w:rFonts w:ascii="Times New Roman" w:hAnsi="Times New Roman" w:cs="Times New Roman"/>
          <w:sz w:val="28"/>
          <w:szCs w:val="28"/>
          <w:lang w:val="uk-UA"/>
        </w:rPr>
        <w:t>24, 63</w:t>
      </w:r>
      <w:r w:rsidRPr="004E3FE9">
        <w:rPr>
          <w:rFonts w:ascii="Times New Roman" w:hAnsi="Times New Roman" w:cs="Times New Roman"/>
          <w:sz w:val="28"/>
          <w:szCs w:val="28"/>
          <w:lang w:val="uk-UA"/>
        </w:rPr>
        <w:t>]</w:t>
      </w:r>
      <w:r w:rsidR="00205137" w:rsidRPr="004E3FE9">
        <w:rPr>
          <w:rFonts w:ascii="Times New Roman" w:hAnsi="Times New Roman" w:cs="Times New Roman"/>
          <w:sz w:val="28"/>
          <w:szCs w:val="28"/>
          <w:lang w:val="uk-UA"/>
        </w:rPr>
        <w:t>. Кількість патогенів, які</w:t>
      </w:r>
      <w:r w:rsidRPr="004E3FE9">
        <w:rPr>
          <w:rFonts w:ascii="Times New Roman" w:hAnsi="Times New Roman" w:cs="Times New Roman"/>
          <w:sz w:val="28"/>
          <w:szCs w:val="28"/>
          <w:lang w:val="uk-UA"/>
        </w:rPr>
        <w:t xml:space="preserve"> пов’я</w:t>
      </w:r>
      <w:r w:rsidR="00205137" w:rsidRPr="004E3FE9">
        <w:rPr>
          <w:rFonts w:ascii="Times New Roman" w:hAnsi="Times New Roman" w:cs="Times New Roman"/>
          <w:sz w:val="28"/>
          <w:szCs w:val="28"/>
          <w:lang w:val="uk-UA"/>
        </w:rPr>
        <w:t>зані</w:t>
      </w:r>
      <w:r w:rsidRPr="004E3FE9">
        <w:rPr>
          <w:rFonts w:ascii="Times New Roman" w:hAnsi="Times New Roman" w:cs="Times New Roman"/>
          <w:sz w:val="28"/>
          <w:szCs w:val="28"/>
          <w:lang w:val="uk-UA"/>
        </w:rPr>
        <w:t xml:space="preserve"> з розвитком ГВ, вражає своєю безліччю, включаючи бактеріальні (β-гемолітичний стрептокок групи А, Streptococcus pneumoniae, Staphylococcus aureus, Mycoplasma pneumoniae, Bordetella pertussis, Chlamydia pneumonia, Legionella longbeachae, Helicobacter pylori, Salmonella enterocolitica, Yersinia enterocolitica, Neisseria meningitidis, Kingella kingae, Pseudomonas aeruginosa, Proteus mirabilis, Bartonella henselae, Brucella, Mycobacterium tuberculosis, Mycobacterium avium), вірусні (парвовірус В19, вірус Коксакі, аденовірус, гепатити А і В,  герпетична інфекція, Haemophilus influenzae та parainfluenzae, ВІЧ-інфекція) та паразитарні інвазії (Toxocara canis, Entamoeba histolytica) [</w:t>
      </w:r>
      <w:r w:rsidR="004065BA" w:rsidRPr="004E3FE9">
        <w:rPr>
          <w:rFonts w:ascii="Times New Roman" w:hAnsi="Times New Roman" w:cs="Times New Roman"/>
          <w:sz w:val="28"/>
          <w:szCs w:val="28"/>
          <w:lang w:val="uk-UA"/>
        </w:rPr>
        <w:t>7, 24, 30, 60, 63, 109, 144, 145, 157,</w:t>
      </w:r>
      <w:r w:rsidRPr="004E3FE9">
        <w:rPr>
          <w:rFonts w:ascii="Times New Roman" w:hAnsi="Times New Roman" w:cs="Times New Roman"/>
          <w:sz w:val="28"/>
          <w:szCs w:val="28"/>
          <w:lang w:val="uk-UA"/>
        </w:rPr>
        <w:t xml:space="preserve"> </w:t>
      </w:r>
      <w:r w:rsidR="004065BA" w:rsidRPr="004E3FE9">
        <w:rPr>
          <w:rFonts w:ascii="Times New Roman" w:hAnsi="Times New Roman" w:cs="Times New Roman"/>
          <w:sz w:val="28"/>
          <w:szCs w:val="28"/>
          <w:lang w:val="uk-UA"/>
        </w:rPr>
        <w:t>171</w:t>
      </w:r>
      <w:r w:rsidRPr="004E3FE9">
        <w:rPr>
          <w:rFonts w:ascii="Times New Roman" w:hAnsi="Times New Roman" w:cs="Times New Roman"/>
          <w:sz w:val="28"/>
          <w:szCs w:val="28"/>
          <w:lang w:val="uk-UA"/>
        </w:rPr>
        <w:t>]. Наступним після інфекційних чинників розвитку ГВ є алергезуюча дія харчових продуктів, побутових алергенів та лікарських препаратів [</w:t>
      </w:r>
      <w:r w:rsidR="004065BA" w:rsidRPr="004E3FE9">
        <w:rPr>
          <w:rFonts w:ascii="Times New Roman" w:hAnsi="Times New Roman" w:cs="Times New Roman"/>
          <w:sz w:val="28"/>
          <w:szCs w:val="28"/>
          <w:lang w:val="uk-UA"/>
        </w:rPr>
        <w:t>60</w:t>
      </w:r>
      <w:r w:rsidRPr="004E3FE9">
        <w:rPr>
          <w:rFonts w:ascii="Times New Roman" w:hAnsi="Times New Roman" w:cs="Times New Roman"/>
          <w:sz w:val="28"/>
          <w:szCs w:val="28"/>
          <w:lang w:val="uk-UA"/>
        </w:rPr>
        <w:t xml:space="preserve">, </w:t>
      </w:r>
      <w:r w:rsidR="004065BA" w:rsidRPr="004E3FE9">
        <w:rPr>
          <w:rFonts w:ascii="Times New Roman" w:hAnsi="Times New Roman" w:cs="Times New Roman"/>
          <w:sz w:val="28"/>
          <w:szCs w:val="28"/>
          <w:lang w:val="uk-UA"/>
        </w:rPr>
        <w:t>32</w:t>
      </w:r>
      <w:r w:rsidRPr="004E3FE9">
        <w:rPr>
          <w:rFonts w:ascii="Times New Roman" w:hAnsi="Times New Roman" w:cs="Times New Roman"/>
          <w:sz w:val="28"/>
          <w:szCs w:val="28"/>
          <w:lang w:val="uk-UA"/>
        </w:rPr>
        <w:t>]. Аналіз зв’язку між вакцинацією та ГВ представлено в роботі закордонних досліджень, які вказують на 11 випадків виникнення хвороби протягом місяця після імунізації з 2000 року [</w:t>
      </w:r>
      <w:r w:rsidR="004065BA" w:rsidRPr="004E3FE9">
        <w:rPr>
          <w:rFonts w:ascii="Times New Roman" w:hAnsi="Times New Roman" w:cs="Times New Roman"/>
          <w:sz w:val="28"/>
          <w:szCs w:val="28"/>
          <w:lang w:val="uk-UA"/>
        </w:rPr>
        <w:t>141</w:t>
      </w:r>
      <w:r w:rsidRPr="004E3FE9">
        <w:rPr>
          <w:rFonts w:ascii="Times New Roman" w:hAnsi="Times New Roman" w:cs="Times New Roman"/>
          <w:sz w:val="28"/>
          <w:szCs w:val="28"/>
          <w:lang w:val="uk-UA"/>
        </w:rPr>
        <w:t>]. Крім вказаних вище, провокуючими факторами сенсибілізованого напередодні організму може бути психічна та фізична травма, переохолодження та перегрівання організму [</w:t>
      </w:r>
      <w:r w:rsidR="004065BA" w:rsidRPr="004E3FE9">
        <w:rPr>
          <w:rFonts w:ascii="Times New Roman" w:hAnsi="Times New Roman" w:cs="Times New Roman"/>
          <w:sz w:val="28"/>
          <w:szCs w:val="28"/>
          <w:lang w:val="uk-UA"/>
        </w:rPr>
        <w:t>60</w:t>
      </w:r>
      <w:r w:rsidRPr="004E3FE9">
        <w:rPr>
          <w:rFonts w:ascii="Times New Roman" w:hAnsi="Times New Roman" w:cs="Times New Roman"/>
          <w:sz w:val="28"/>
          <w:szCs w:val="28"/>
          <w:lang w:val="uk-UA"/>
        </w:rPr>
        <w:t xml:space="preserve">]. Активно ведуться пошуки генетичних особливостей осіб, що захворюють на геморагічний васкуліт. Встановлено, що сімейна схильність пов'язана з наявністю антигенів HLA В8, Bw35, А1, А2, А10, а також з дефіцитом компонента комплементу С7, а при розвитку нефриту </w:t>
      </w:r>
      <w:r w:rsidR="00205137"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компонента С3. Представляють інтерес результати дослідників з Китаю, які проаналізували варіанти алелей гена трансформуючого фактора росту β (TGF-β-509) у хворих. Виявилося, що </w:t>
      </w:r>
      <w:r w:rsidR="00205137" w:rsidRPr="004E3FE9">
        <w:rPr>
          <w:rFonts w:ascii="Times New Roman" w:hAnsi="Times New Roman" w:cs="Times New Roman"/>
          <w:sz w:val="28"/>
          <w:szCs w:val="28"/>
          <w:lang w:val="uk-UA"/>
        </w:rPr>
        <w:t>вірогідно</w:t>
      </w:r>
      <w:r w:rsidRPr="004E3FE9">
        <w:rPr>
          <w:rFonts w:ascii="Times New Roman" w:hAnsi="Times New Roman" w:cs="Times New Roman"/>
          <w:sz w:val="28"/>
          <w:szCs w:val="28"/>
          <w:lang w:val="uk-UA"/>
        </w:rPr>
        <w:t xml:space="preserve"> частіше</w:t>
      </w:r>
      <w:r w:rsidR="00205137" w:rsidRPr="004E3FE9">
        <w:rPr>
          <w:rFonts w:ascii="Times New Roman" w:hAnsi="Times New Roman" w:cs="Times New Roman"/>
          <w:sz w:val="28"/>
          <w:szCs w:val="28"/>
          <w:lang w:val="uk-UA"/>
        </w:rPr>
        <w:t>,</w:t>
      </w:r>
      <w:r w:rsidR="00AD3587">
        <w:rPr>
          <w:rFonts w:ascii="Times New Roman" w:hAnsi="Times New Roman" w:cs="Times New Roman"/>
          <w:sz w:val="28"/>
          <w:szCs w:val="28"/>
          <w:lang w:val="uk-UA"/>
        </w:rPr>
        <w:t xml:space="preserve"> порівнян</w:t>
      </w:r>
      <w:r w:rsidR="00205137" w:rsidRPr="004E3FE9">
        <w:rPr>
          <w:rFonts w:ascii="Times New Roman" w:hAnsi="Times New Roman" w:cs="Times New Roman"/>
          <w:sz w:val="28"/>
          <w:szCs w:val="28"/>
          <w:lang w:val="uk-UA"/>
        </w:rPr>
        <w:t>о</w:t>
      </w:r>
      <w:r w:rsidRPr="004E3FE9">
        <w:rPr>
          <w:rFonts w:ascii="Times New Roman" w:hAnsi="Times New Roman" w:cs="Times New Roman"/>
          <w:sz w:val="28"/>
          <w:szCs w:val="28"/>
          <w:lang w:val="uk-UA"/>
        </w:rPr>
        <w:t xml:space="preserve"> з контролем</w:t>
      </w:r>
      <w:r w:rsidR="00205137"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у хворих на геморагічний васкуліт виявлявся генотип ТТ TGF-β-</w:t>
      </w:r>
      <w:r w:rsidRPr="004E3FE9">
        <w:rPr>
          <w:rFonts w:ascii="Times New Roman" w:hAnsi="Times New Roman" w:cs="Times New Roman"/>
          <w:sz w:val="28"/>
          <w:szCs w:val="28"/>
          <w:lang w:val="uk-UA"/>
        </w:rPr>
        <w:lastRenderedPageBreak/>
        <w:t>509. Причому у цих пацієнтів відзначал</w:t>
      </w:r>
      <w:r w:rsidR="00EB08AD" w:rsidRPr="004E3FE9">
        <w:rPr>
          <w:rFonts w:ascii="Times New Roman" w:hAnsi="Times New Roman" w:cs="Times New Roman"/>
          <w:sz w:val="28"/>
          <w:szCs w:val="28"/>
          <w:lang w:val="uk-UA"/>
        </w:rPr>
        <w:t>и</w:t>
      </w:r>
      <w:r w:rsidRPr="004E3FE9">
        <w:rPr>
          <w:rFonts w:ascii="Times New Roman" w:hAnsi="Times New Roman" w:cs="Times New Roman"/>
          <w:sz w:val="28"/>
          <w:szCs w:val="28"/>
          <w:lang w:val="uk-UA"/>
        </w:rPr>
        <w:t xml:space="preserve"> </w:t>
      </w:r>
      <w:r w:rsidR="003B79E9"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тяжчі в прогностичному відношенні </w:t>
      </w:r>
      <w:r w:rsidR="00EB08AD" w:rsidRPr="004E3FE9">
        <w:rPr>
          <w:rFonts w:ascii="Times New Roman" w:hAnsi="Times New Roman" w:cs="Times New Roman"/>
          <w:sz w:val="28"/>
          <w:szCs w:val="28"/>
          <w:lang w:val="uk-UA"/>
        </w:rPr>
        <w:t>прояви</w:t>
      </w:r>
      <w:r w:rsidRPr="004E3FE9">
        <w:rPr>
          <w:rFonts w:ascii="Times New Roman" w:hAnsi="Times New Roman" w:cs="Times New Roman"/>
          <w:sz w:val="28"/>
          <w:szCs w:val="28"/>
          <w:lang w:val="uk-UA"/>
        </w:rPr>
        <w:t xml:space="preserve"> ниркового синдрому, ніж при наявності у хворого ТС + СС генотипів зазначеного гена [</w:t>
      </w:r>
      <w:r w:rsidR="004065BA" w:rsidRPr="004E3FE9">
        <w:rPr>
          <w:rFonts w:ascii="Times New Roman" w:hAnsi="Times New Roman" w:cs="Times New Roman"/>
          <w:sz w:val="28"/>
          <w:szCs w:val="28"/>
          <w:lang w:val="uk-UA"/>
        </w:rPr>
        <w:t>57</w:t>
      </w:r>
      <w:r w:rsidRPr="004E3FE9">
        <w:rPr>
          <w:rFonts w:ascii="Times New Roman" w:hAnsi="Times New Roman" w:cs="Times New Roman"/>
          <w:sz w:val="28"/>
          <w:szCs w:val="28"/>
          <w:lang w:val="uk-UA"/>
        </w:rPr>
        <w:t>]. Не зважаючи на різноманітність відомих на сучасному етапі етіологічних чинників, діагностика ГВ буває не досить вчасною та визначити провокуючий фактор вдається далеко не у всіх випадках.</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Хоча патогенетичні механізми розвитку ГВ ще не повністю з'ясовані, спостерігається активне залучення до патологічного процесу імунної системи. На сучасному етапі більшість дослідників вважають, що при васкулітах </w:t>
      </w:r>
      <w:r w:rsidR="003B79E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розвитку пошкодження судин одночасно грають роль кілька імунних, а можливо, і не імунних патогенетичних механізмів [</w:t>
      </w:r>
      <w:r w:rsidR="004065BA" w:rsidRPr="004E3FE9">
        <w:rPr>
          <w:rFonts w:ascii="Times New Roman" w:hAnsi="Times New Roman" w:cs="Times New Roman"/>
          <w:sz w:val="28"/>
          <w:szCs w:val="28"/>
          <w:lang w:val="uk-UA"/>
        </w:rPr>
        <w:t>36</w:t>
      </w:r>
      <w:r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Сьогодні вже доказана імунокомплексна природа захворювання, при якому в судинах дрібного калібру розвивається «асептичне запалення» з деструкцією стінок, </w:t>
      </w:r>
      <w:r w:rsidR="00EB08AD" w:rsidRPr="004E3FE9">
        <w:rPr>
          <w:rFonts w:ascii="Times New Roman" w:hAnsi="Times New Roman" w:cs="Times New Roman"/>
          <w:sz w:val="28"/>
          <w:szCs w:val="28"/>
          <w:lang w:val="uk-UA"/>
        </w:rPr>
        <w:t xml:space="preserve">з </w:t>
      </w:r>
      <w:r w:rsidRPr="004E3FE9">
        <w:rPr>
          <w:rFonts w:ascii="Times New Roman" w:hAnsi="Times New Roman" w:cs="Times New Roman"/>
          <w:sz w:val="28"/>
          <w:szCs w:val="28"/>
          <w:lang w:val="uk-UA"/>
        </w:rPr>
        <w:t>подальшим тромбуванням та виникненням пу</w:t>
      </w:r>
      <w:r w:rsidR="00AD3587">
        <w:rPr>
          <w:rFonts w:ascii="Times New Roman" w:hAnsi="Times New Roman" w:cs="Times New Roman"/>
          <w:sz w:val="28"/>
          <w:szCs w:val="28"/>
          <w:lang w:val="uk-UA"/>
        </w:rPr>
        <w:t>рпури внаслідок пошкодження низькомолекулярними імунними комплексами та активованими компонентами</w:t>
      </w:r>
      <w:r w:rsidRPr="004E3FE9">
        <w:rPr>
          <w:rFonts w:ascii="Times New Roman" w:hAnsi="Times New Roman" w:cs="Times New Roman"/>
          <w:sz w:val="28"/>
          <w:szCs w:val="28"/>
          <w:lang w:val="uk-UA"/>
        </w:rPr>
        <w:t xml:space="preserve"> системи комплементу [</w:t>
      </w:r>
      <w:r w:rsidR="008628D7" w:rsidRPr="004E3FE9">
        <w:rPr>
          <w:rFonts w:ascii="Times New Roman" w:hAnsi="Times New Roman" w:cs="Times New Roman"/>
          <w:sz w:val="28"/>
          <w:szCs w:val="28"/>
          <w:lang w:val="uk-UA"/>
        </w:rPr>
        <w:t>16, 173</w:t>
      </w:r>
      <w:r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Як правило, </w:t>
      </w:r>
      <w:r w:rsidR="003B79E9" w:rsidRPr="004E3FE9">
        <w:rPr>
          <w:rFonts w:ascii="Times New Roman" w:hAnsi="Times New Roman" w:cs="Times New Roman"/>
          <w:sz w:val="28"/>
          <w:szCs w:val="28"/>
          <w:lang w:val="uk-UA"/>
        </w:rPr>
        <w:t>чинники</w:t>
      </w:r>
      <w:r w:rsidRPr="004E3FE9">
        <w:rPr>
          <w:rFonts w:ascii="Times New Roman" w:hAnsi="Times New Roman" w:cs="Times New Roman"/>
          <w:sz w:val="28"/>
          <w:szCs w:val="28"/>
          <w:lang w:val="uk-UA"/>
        </w:rPr>
        <w:t xml:space="preserve"> ушкодження (наприклад, мікробні ендотоксини, продукти розпаду колагену) активують відразу кілька структурних складових програми запалення, до яких можна віднести: плазмові системи комплементу </w:t>
      </w:r>
      <w:r w:rsidR="003B79E9"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гемостазу, ендотеліоцити 2-го типу посткапілярних венул, мастоцити </w:t>
      </w:r>
      <w:r w:rsidR="003B79E9"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мігруючі в осередок запалення лейкоцити. У той же час, виражена активація будь-якої ланки може залучити всю систему запальної реактивності в цілому, оскільки всі вони взаємопов'язані </w:t>
      </w:r>
      <w:r w:rsidR="003B79E9" w:rsidRPr="004E3FE9">
        <w:rPr>
          <w:rFonts w:ascii="Times New Roman" w:hAnsi="Times New Roman" w:cs="Times New Roman"/>
          <w:sz w:val="28"/>
          <w:szCs w:val="28"/>
          <w:lang w:val="uk-UA"/>
        </w:rPr>
        <w:t>та</w:t>
      </w:r>
      <w:r w:rsidRPr="004E3FE9">
        <w:rPr>
          <w:rFonts w:ascii="Times New Roman" w:hAnsi="Times New Roman" w:cs="Times New Roman"/>
          <w:sz w:val="28"/>
          <w:szCs w:val="28"/>
          <w:lang w:val="uk-UA"/>
        </w:rPr>
        <w:t xml:space="preserve"> діють </w:t>
      </w:r>
      <w:r w:rsidR="003B79E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w:t>
      </w:r>
      <w:r w:rsidR="003B79E9" w:rsidRPr="004E3FE9">
        <w:rPr>
          <w:rFonts w:ascii="Times New Roman" w:hAnsi="Times New Roman" w:cs="Times New Roman"/>
          <w:sz w:val="28"/>
          <w:szCs w:val="28"/>
          <w:lang w:val="uk-UA"/>
        </w:rPr>
        <w:t>межах</w:t>
      </w:r>
      <w:r w:rsidRPr="004E3FE9">
        <w:rPr>
          <w:rFonts w:ascii="Times New Roman" w:hAnsi="Times New Roman" w:cs="Times New Roman"/>
          <w:sz w:val="28"/>
          <w:szCs w:val="28"/>
          <w:lang w:val="uk-UA"/>
        </w:rPr>
        <w:t xml:space="preserve"> єдиного процесу, </w:t>
      </w:r>
      <w:r w:rsidR="003B79E9" w:rsidRPr="004E3FE9">
        <w:rPr>
          <w:rFonts w:ascii="Times New Roman" w:hAnsi="Times New Roman" w:cs="Times New Roman"/>
          <w:sz w:val="28"/>
          <w:szCs w:val="28"/>
          <w:lang w:val="uk-UA"/>
        </w:rPr>
        <w:t>який</w:t>
      </w:r>
      <w:r w:rsidRPr="004E3FE9">
        <w:rPr>
          <w:rFonts w:ascii="Times New Roman" w:hAnsi="Times New Roman" w:cs="Times New Roman"/>
          <w:sz w:val="28"/>
          <w:szCs w:val="28"/>
          <w:lang w:val="uk-UA"/>
        </w:rPr>
        <w:t xml:space="preserve"> і визначає високу чутливість розвитку запалення до альтерації будь-якої природи [</w:t>
      </w:r>
      <w:r w:rsidR="008628D7" w:rsidRPr="004E3FE9">
        <w:rPr>
          <w:rFonts w:ascii="Times New Roman" w:hAnsi="Times New Roman" w:cs="Times New Roman"/>
          <w:sz w:val="28"/>
          <w:szCs w:val="28"/>
          <w:lang w:val="uk-UA"/>
        </w:rPr>
        <w:t>17</w:t>
      </w:r>
      <w:r w:rsidRPr="004E3FE9">
        <w:rPr>
          <w:rFonts w:ascii="Times New Roman" w:hAnsi="Times New Roman" w:cs="Times New Roman"/>
          <w:sz w:val="28"/>
          <w:szCs w:val="28"/>
          <w:lang w:val="uk-UA"/>
        </w:rPr>
        <w:t>].</w:t>
      </w:r>
    </w:p>
    <w:p w:rsidR="00BD0BF2" w:rsidRPr="004E3FE9" w:rsidRDefault="003B79E9"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w:t>
      </w:r>
      <w:r w:rsidR="00BD0BF2" w:rsidRPr="004E3FE9">
        <w:rPr>
          <w:rFonts w:ascii="Times New Roman" w:hAnsi="Times New Roman" w:cs="Times New Roman"/>
          <w:sz w:val="28"/>
          <w:szCs w:val="28"/>
          <w:lang w:val="uk-UA"/>
        </w:rPr>
        <w:t>раховуючи імунопатологічні основи запуску імунної реакції, ГВ можна віднести до типу імунокомплексної гіперчутливості або артюсоподібного ІІІ типу [</w:t>
      </w:r>
      <w:r w:rsidR="008628D7" w:rsidRPr="004E3FE9">
        <w:rPr>
          <w:rFonts w:ascii="Times New Roman" w:hAnsi="Times New Roman" w:cs="Times New Roman"/>
          <w:sz w:val="28"/>
          <w:szCs w:val="28"/>
          <w:lang w:val="uk-UA"/>
        </w:rPr>
        <w:t>10</w:t>
      </w:r>
      <w:r w:rsidR="00BD0BF2"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Згідно механізмів гіперчутливості ІІІ типу, імунні комплекси здатні ініціювати різноманітні запальні процеси. Вони взаємодіють з системою </w:t>
      </w:r>
      <w:r w:rsidRPr="004E3FE9">
        <w:rPr>
          <w:rFonts w:ascii="Times New Roman" w:hAnsi="Times New Roman" w:cs="Times New Roman"/>
          <w:sz w:val="28"/>
          <w:szCs w:val="28"/>
          <w:lang w:val="uk-UA"/>
        </w:rPr>
        <w:lastRenderedPageBreak/>
        <w:t>комплементу</w:t>
      </w:r>
      <w:r w:rsidR="00EB08AD"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сприяючи утворенню анафілатоксинів С3а та С</w:t>
      </w:r>
      <w:r w:rsidR="00EB08AD" w:rsidRPr="004E3FE9">
        <w:rPr>
          <w:rFonts w:ascii="Times New Roman" w:hAnsi="Times New Roman" w:cs="Times New Roman"/>
          <w:sz w:val="28"/>
          <w:szCs w:val="28"/>
          <w:lang w:val="uk-UA"/>
        </w:rPr>
        <w:t>5а,</w:t>
      </w:r>
      <w:r w:rsidRPr="004E3FE9">
        <w:rPr>
          <w:rFonts w:ascii="Times New Roman" w:hAnsi="Times New Roman" w:cs="Times New Roman"/>
          <w:sz w:val="28"/>
          <w:szCs w:val="28"/>
          <w:lang w:val="uk-UA"/>
        </w:rPr>
        <w:t xml:space="preserve"> які стимулюють виділення вазоактивних амінів та хемотаксичних чинників із опасистих клітин і базофілів. Компонент С5 служить також хемо</w:t>
      </w:r>
      <w:r w:rsidR="00E64508">
        <w:rPr>
          <w:rFonts w:ascii="Times New Roman" w:hAnsi="Times New Roman" w:cs="Times New Roman"/>
          <w:sz w:val="28"/>
          <w:szCs w:val="28"/>
          <w:lang w:val="uk-UA"/>
        </w:rPr>
        <w:t>а</w:t>
      </w:r>
      <w:r w:rsidRPr="004E3FE9">
        <w:rPr>
          <w:rFonts w:ascii="Times New Roman" w:hAnsi="Times New Roman" w:cs="Times New Roman"/>
          <w:sz w:val="28"/>
          <w:szCs w:val="28"/>
          <w:lang w:val="uk-UA"/>
        </w:rPr>
        <w:t xml:space="preserve">трактантом для базофілів, еозинофілів і нейтрофілів. </w:t>
      </w:r>
      <w:r w:rsidR="003B79E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присутності імунних комплексів активуються макрофаги, що вивільняють цитокіни, зокрема ФН</w:t>
      </w:r>
      <w:r w:rsidR="0059777F" w:rsidRPr="004E3FE9">
        <w:rPr>
          <w:rFonts w:ascii="Times New Roman" w:hAnsi="Times New Roman" w:cs="Times New Roman"/>
          <w:sz w:val="28"/>
          <w:szCs w:val="28"/>
          <w:lang w:val="uk-UA"/>
        </w:rPr>
        <w:t>П</w:t>
      </w:r>
      <w:r w:rsidRPr="004E3FE9">
        <w:rPr>
          <w:rFonts w:ascii="Times New Roman" w:hAnsi="Times New Roman" w:cs="Times New Roman"/>
          <w:sz w:val="28"/>
          <w:szCs w:val="28"/>
          <w:lang w:val="uk-UA"/>
        </w:rPr>
        <w:t xml:space="preserve">α та ІЛ-І, які грають важливу роль в процесах запалення.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Вазоактивні аміни, які виділяються тромбоцитами, базофілами і опасистими клітинами викликають ретракцію клітин ендотелію, збільшуючи тим самим проникність судин, і створюють можливість відкладення імунних комплексів на їх стінках [</w:t>
      </w:r>
      <w:r w:rsidR="008628D7" w:rsidRPr="004E3FE9">
        <w:rPr>
          <w:rFonts w:ascii="Times New Roman" w:hAnsi="Times New Roman" w:cs="Times New Roman"/>
          <w:sz w:val="28"/>
          <w:szCs w:val="28"/>
          <w:lang w:val="uk-UA"/>
        </w:rPr>
        <w:t>20</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Система комплементу активується в каскаді протеолітичних реакцій і складається з більш ніж 60 розчинних і мембранозв'язуючих білків, включаючи рецептори </w:t>
      </w:r>
      <w:r w:rsidR="003B79E9"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регулятори. Існують т</w:t>
      </w:r>
      <w:r w:rsidR="00EB08AD" w:rsidRPr="004E3FE9">
        <w:rPr>
          <w:rFonts w:ascii="Times New Roman" w:hAnsi="Times New Roman" w:cs="Times New Roman"/>
          <w:sz w:val="28"/>
          <w:szCs w:val="28"/>
          <w:lang w:val="uk-UA"/>
        </w:rPr>
        <w:t>ри шляхи активації комплементу –</w:t>
      </w:r>
      <w:r w:rsidRPr="004E3FE9">
        <w:rPr>
          <w:rFonts w:ascii="Times New Roman" w:hAnsi="Times New Roman" w:cs="Times New Roman"/>
          <w:sz w:val="28"/>
          <w:szCs w:val="28"/>
          <w:lang w:val="uk-UA"/>
        </w:rPr>
        <w:t xml:space="preserve"> класичний, альтернативний та лектиновий, </w:t>
      </w:r>
      <w:r w:rsidR="003B79E9" w:rsidRPr="004E3FE9">
        <w:rPr>
          <w:rFonts w:ascii="Times New Roman" w:hAnsi="Times New Roman" w:cs="Times New Roman"/>
          <w:sz w:val="28"/>
          <w:szCs w:val="28"/>
          <w:lang w:val="uk-UA"/>
        </w:rPr>
        <w:t>які</w:t>
      </w:r>
      <w:r w:rsidRPr="004E3FE9">
        <w:rPr>
          <w:rFonts w:ascii="Times New Roman" w:hAnsi="Times New Roman" w:cs="Times New Roman"/>
          <w:sz w:val="28"/>
          <w:szCs w:val="28"/>
          <w:lang w:val="uk-UA"/>
        </w:rPr>
        <w:t xml:space="preserve"> відрізняються складом компонентів і пусковими механізмами. Кінцевий етап, так званий термінальний каскад комплементу, ідентичний для всіх трьох шляхів. Цей каскад запускається розщепленням С3 компонентів комплементу на активні фрагменти під дією С3-конвертази і призводить до формування мембраноатакуючого (С6-С9) комплексу (МАК) або кінцевого продукту активації комплементу. Вбудовуючись </w:t>
      </w:r>
      <w:r w:rsidR="003B79E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плазматичну мембрану, </w:t>
      </w:r>
      <w:r w:rsidR="003B79E9" w:rsidRPr="004E3FE9">
        <w:rPr>
          <w:rFonts w:ascii="Times New Roman" w:hAnsi="Times New Roman" w:cs="Times New Roman"/>
          <w:sz w:val="28"/>
          <w:szCs w:val="28"/>
          <w:lang w:val="uk-UA"/>
        </w:rPr>
        <w:t>МАК</w:t>
      </w:r>
      <w:r w:rsidRPr="004E3FE9">
        <w:rPr>
          <w:rFonts w:ascii="Times New Roman" w:hAnsi="Times New Roman" w:cs="Times New Roman"/>
          <w:sz w:val="28"/>
          <w:szCs w:val="28"/>
          <w:lang w:val="uk-UA"/>
        </w:rPr>
        <w:t xml:space="preserve"> при</w:t>
      </w:r>
      <w:r w:rsidR="003B79E9" w:rsidRPr="004E3FE9">
        <w:rPr>
          <w:rFonts w:ascii="Times New Roman" w:hAnsi="Times New Roman" w:cs="Times New Roman"/>
          <w:sz w:val="28"/>
          <w:szCs w:val="28"/>
          <w:lang w:val="uk-UA"/>
        </w:rPr>
        <w:t>з</w:t>
      </w:r>
      <w:r w:rsidRPr="004E3FE9">
        <w:rPr>
          <w:rFonts w:ascii="Times New Roman" w:hAnsi="Times New Roman" w:cs="Times New Roman"/>
          <w:sz w:val="28"/>
          <w:szCs w:val="28"/>
          <w:lang w:val="uk-UA"/>
        </w:rPr>
        <w:t>водить до її перфорації та лізису клітини. МАК може також виступати тригером апоптозу, ініціювати продукцію клітинами медіаторів запалення, цитокінів, простагландинів, тромбоксанів, лейкотрієнів, активних форм кисню і експресію адгезивних молекул [</w:t>
      </w:r>
      <w:r w:rsidR="008628D7" w:rsidRPr="004E3FE9">
        <w:rPr>
          <w:rFonts w:ascii="Times New Roman" w:hAnsi="Times New Roman" w:cs="Times New Roman"/>
          <w:sz w:val="28"/>
          <w:szCs w:val="28"/>
          <w:lang w:val="uk-UA"/>
        </w:rPr>
        <w:t>2</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Активований комплемент викликає вторинну альтернацію у вогнищі імунного запалення. Побічні продукти його активації (С3а та С5а) </w:t>
      </w:r>
      <w:r w:rsidR="003B79E9" w:rsidRPr="004E3FE9">
        <w:rPr>
          <w:rFonts w:ascii="Times New Roman" w:hAnsi="Times New Roman" w:cs="Times New Roman"/>
          <w:sz w:val="28"/>
          <w:szCs w:val="28"/>
          <w:lang w:val="uk-UA"/>
        </w:rPr>
        <w:t>провокують</w:t>
      </w:r>
      <w:r w:rsidRPr="004E3FE9">
        <w:rPr>
          <w:rFonts w:ascii="Times New Roman" w:hAnsi="Times New Roman" w:cs="Times New Roman"/>
          <w:sz w:val="28"/>
          <w:szCs w:val="28"/>
          <w:lang w:val="uk-UA"/>
        </w:rPr>
        <w:t xml:space="preserve"> дегрануляцію тканевих базофілів та є потужними хемотаксинами для нейтрофілів. Проміжн</w:t>
      </w:r>
      <w:r w:rsidR="003B79E9" w:rsidRPr="004E3FE9">
        <w:rPr>
          <w:rFonts w:ascii="Times New Roman" w:hAnsi="Times New Roman" w:cs="Times New Roman"/>
          <w:sz w:val="28"/>
          <w:szCs w:val="28"/>
          <w:lang w:val="uk-UA"/>
        </w:rPr>
        <w:t>ий продукт</w:t>
      </w:r>
      <w:r w:rsidRPr="004E3FE9">
        <w:rPr>
          <w:rFonts w:ascii="Times New Roman" w:hAnsi="Times New Roman" w:cs="Times New Roman"/>
          <w:sz w:val="28"/>
          <w:szCs w:val="28"/>
          <w:lang w:val="uk-UA"/>
        </w:rPr>
        <w:t xml:space="preserve">, </w:t>
      </w:r>
      <w:r w:rsidR="003B79E9" w:rsidRPr="004E3FE9">
        <w:rPr>
          <w:rFonts w:ascii="Times New Roman" w:hAnsi="Times New Roman" w:cs="Times New Roman"/>
          <w:sz w:val="28"/>
          <w:szCs w:val="28"/>
          <w:lang w:val="uk-UA"/>
        </w:rPr>
        <w:t>такий як</w:t>
      </w:r>
      <w:r w:rsidRPr="004E3FE9">
        <w:rPr>
          <w:rFonts w:ascii="Times New Roman" w:hAnsi="Times New Roman" w:cs="Times New Roman"/>
          <w:sz w:val="28"/>
          <w:szCs w:val="28"/>
          <w:lang w:val="uk-UA"/>
        </w:rPr>
        <w:t xml:space="preserve"> С3б, ма</w:t>
      </w:r>
      <w:r w:rsidR="003B79E9" w:rsidRPr="004E3FE9">
        <w:rPr>
          <w:rFonts w:ascii="Times New Roman" w:hAnsi="Times New Roman" w:cs="Times New Roman"/>
          <w:sz w:val="28"/>
          <w:szCs w:val="28"/>
          <w:lang w:val="uk-UA"/>
        </w:rPr>
        <w:t>є</w:t>
      </w:r>
      <w:r w:rsidRPr="004E3FE9">
        <w:rPr>
          <w:rFonts w:ascii="Times New Roman" w:hAnsi="Times New Roman" w:cs="Times New Roman"/>
          <w:sz w:val="28"/>
          <w:szCs w:val="28"/>
          <w:lang w:val="uk-UA"/>
        </w:rPr>
        <w:t xml:space="preserve"> властив</w:t>
      </w:r>
      <w:r w:rsidR="003B79E9" w:rsidRPr="004E3FE9">
        <w:rPr>
          <w:rFonts w:ascii="Times New Roman" w:hAnsi="Times New Roman" w:cs="Times New Roman"/>
          <w:sz w:val="28"/>
          <w:szCs w:val="28"/>
          <w:lang w:val="uk-UA"/>
        </w:rPr>
        <w:t>о</w:t>
      </w:r>
      <w:r w:rsidRPr="004E3FE9">
        <w:rPr>
          <w:rFonts w:ascii="Times New Roman" w:hAnsi="Times New Roman" w:cs="Times New Roman"/>
          <w:sz w:val="28"/>
          <w:szCs w:val="28"/>
          <w:lang w:val="uk-UA"/>
        </w:rPr>
        <w:t xml:space="preserve">сті опсонінів, чим </w:t>
      </w:r>
      <w:r w:rsidR="00AD3587" w:rsidRPr="004E3FE9">
        <w:rPr>
          <w:rFonts w:ascii="Times New Roman" w:hAnsi="Times New Roman" w:cs="Times New Roman"/>
          <w:sz w:val="28"/>
          <w:szCs w:val="28"/>
          <w:lang w:val="uk-UA"/>
        </w:rPr>
        <w:t>спрощує</w:t>
      </w:r>
      <w:r w:rsidRPr="004E3FE9">
        <w:rPr>
          <w:rFonts w:ascii="Times New Roman" w:hAnsi="Times New Roman" w:cs="Times New Roman"/>
          <w:sz w:val="28"/>
          <w:szCs w:val="28"/>
          <w:lang w:val="uk-UA"/>
        </w:rPr>
        <w:t xml:space="preserve"> процес фагоцитозу. Окрім цього, проміжні продукти, </w:t>
      </w:r>
      <w:r w:rsidRPr="004E3FE9">
        <w:rPr>
          <w:rFonts w:ascii="Times New Roman" w:hAnsi="Times New Roman" w:cs="Times New Roman"/>
          <w:sz w:val="28"/>
          <w:szCs w:val="28"/>
          <w:lang w:val="uk-UA"/>
        </w:rPr>
        <w:lastRenderedPageBreak/>
        <w:t>які проявляють протеазну активність, можуть активувати калікреїн-кінінову систему та систему зсідання крові [</w:t>
      </w:r>
      <w:r w:rsidR="008628D7" w:rsidRPr="004E3FE9">
        <w:rPr>
          <w:rFonts w:ascii="Times New Roman" w:hAnsi="Times New Roman" w:cs="Times New Roman"/>
          <w:sz w:val="28"/>
          <w:szCs w:val="28"/>
          <w:lang w:val="uk-UA"/>
        </w:rPr>
        <w:t>3</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Науковцями з’ясовано, що підвищення вмісту С3, С4 та IgA </w:t>
      </w:r>
      <w:r w:rsidR="003B79E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сироватці крові у дітей з ГВ вказує на залучення імунологічних компонентів </w:t>
      </w:r>
      <w:r w:rsidR="003B79E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патогенез захворювання. Оскільки IgA активує систему комплементу за альтернативним шляхом, тому для ГВ притаманна участь </w:t>
      </w:r>
      <w:r w:rsidR="003B79E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патогенетичних механізмах саме альтернативного шляху [</w:t>
      </w:r>
      <w:r w:rsidR="008628D7" w:rsidRPr="004E3FE9">
        <w:rPr>
          <w:rFonts w:ascii="Times New Roman" w:hAnsi="Times New Roman" w:cs="Times New Roman"/>
          <w:sz w:val="28"/>
          <w:szCs w:val="28"/>
          <w:lang w:val="uk-UA"/>
        </w:rPr>
        <w:t>172</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Проте існує декілька досліджень, які </w:t>
      </w:r>
      <w:r w:rsidR="003B79E9" w:rsidRPr="004E3FE9">
        <w:rPr>
          <w:rFonts w:ascii="Times New Roman" w:hAnsi="Times New Roman" w:cs="Times New Roman"/>
          <w:sz w:val="28"/>
          <w:szCs w:val="28"/>
          <w:lang w:val="uk-UA"/>
        </w:rPr>
        <w:t>демонструють наявність</w:t>
      </w:r>
      <w:r w:rsidRPr="004E3FE9">
        <w:rPr>
          <w:rFonts w:ascii="Times New Roman" w:hAnsi="Times New Roman" w:cs="Times New Roman"/>
          <w:sz w:val="28"/>
          <w:szCs w:val="28"/>
          <w:lang w:val="uk-UA"/>
        </w:rPr>
        <w:t xml:space="preserve"> гіпокомплементемі</w:t>
      </w:r>
      <w:r w:rsidR="003B79E9" w:rsidRPr="004E3FE9">
        <w:rPr>
          <w:rFonts w:ascii="Times New Roman" w:hAnsi="Times New Roman" w:cs="Times New Roman"/>
          <w:sz w:val="28"/>
          <w:szCs w:val="28"/>
          <w:lang w:val="uk-UA"/>
        </w:rPr>
        <w:t>ї</w:t>
      </w:r>
      <w:r w:rsidRPr="004E3FE9">
        <w:rPr>
          <w:rFonts w:ascii="Times New Roman" w:hAnsi="Times New Roman" w:cs="Times New Roman"/>
          <w:sz w:val="28"/>
          <w:szCs w:val="28"/>
          <w:lang w:val="uk-UA"/>
        </w:rPr>
        <w:t xml:space="preserve"> у дітей з ГВ, а саме низький вміст С3 та/або С4, що трактується як транзиторне явище [</w:t>
      </w:r>
      <w:r w:rsidR="008628D7" w:rsidRPr="004E3FE9">
        <w:rPr>
          <w:rFonts w:ascii="Times New Roman" w:hAnsi="Times New Roman" w:cs="Times New Roman"/>
          <w:sz w:val="28"/>
          <w:szCs w:val="28"/>
          <w:lang w:val="uk-UA"/>
        </w:rPr>
        <w:t>127, 132</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До речі, неконтрольована активація комплементу, яка веде до гіперпродукції опсонінів, медіаторів запального процесу і цитолітичних комплексів, </w:t>
      </w:r>
      <w:r w:rsidR="003B79E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патологічних умовах може призводити до пошкодження здорових тканин організму [</w:t>
      </w:r>
      <w:r w:rsidR="008628D7" w:rsidRPr="004E3FE9">
        <w:rPr>
          <w:rFonts w:ascii="Times New Roman" w:hAnsi="Times New Roman" w:cs="Times New Roman"/>
          <w:sz w:val="28"/>
          <w:szCs w:val="28"/>
          <w:lang w:val="uk-UA"/>
        </w:rPr>
        <w:t>2</w:t>
      </w:r>
      <w:r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За даними літератури, інтраваскулярний імунітет є </w:t>
      </w:r>
      <w:r w:rsidR="003B79E9" w:rsidRPr="004E3FE9">
        <w:rPr>
          <w:rFonts w:ascii="Times New Roman" w:hAnsi="Times New Roman" w:cs="Times New Roman"/>
          <w:sz w:val="28"/>
          <w:szCs w:val="28"/>
          <w:lang w:val="uk-UA"/>
        </w:rPr>
        <w:t xml:space="preserve">наслідком взаємодії гуморальної, </w:t>
      </w:r>
      <w:r w:rsidRPr="004E3FE9">
        <w:rPr>
          <w:rFonts w:ascii="Times New Roman" w:hAnsi="Times New Roman" w:cs="Times New Roman"/>
          <w:sz w:val="28"/>
          <w:szCs w:val="28"/>
          <w:lang w:val="uk-UA"/>
        </w:rPr>
        <w:t>клітинної складов</w:t>
      </w:r>
      <w:r w:rsidR="003B79E9" w:rsidRPr="004E3FE9">
        <w:rPr>
          <w:rFonts w:ascii="Times New Roman" w:hAnsi="Times New Roman" w:cs="Times New Roman"/>
          <w:sz w:val="28"/>
          <w:szCs w:val="28"/>
          <w:lang w:val="uk-UA"/>
        </w:rPr>
        <w:t>их</w:t>
      </w:r>
      <w:r w:rsidRPr="004E3FE9">
        <w:rPr>
          <w:rFonts w:ascii="Times New Roman" w:hAnsi="Times New Roman" w:cs="Times New Roman"/>
          <w:sz w:val="28"/>
          <w:szCs w:val="28"/>
          <w:lang w:val="uk-UA"/>
        </w:rPr>
        <w:t xml:space="preserve"> імунної системи та інфекційного агента [</w:t>
      </w:r>
      <w:r w:rsidR="008628D7" w:rsidRPr="004E3FE9">
        <w:rPr>
          <w:rFonts w:ascii="Times New Roman" w:hAnsi="Times New Roman" w:cs="Times New Roman"/>
          <w:sz w:val="28"/>
          <w:szCs w:val="28"/>
          <w:lang w:val="uk-UA"/>
        </w:rPr>
        <w:t>108</w:t>
      </w:r>
      <w:r w:rsidRPr="004E3FE9">
        <w:rPr>
          <w:rFonts w:ascii="Times New Roman" w:hAnsi="Times New Roman" w:cs="Times New Roman"/>
          <w:sz w:val="28"/>
          <w:szCs w:val="28"/>
          <w:lang w:val="uk-UA"/>
        </w:rPr>
        <w:t>].</w:t>
      </w:r>
    </w:p>
    <w:p w:rsidR="00BD0BF2" w:rsidRPr="004E3FE9" w:rsidRDefault="003B79E9"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w:t>
      </w:r>
      <w:r w:rsidR="00BD0BF2" w:rsidRPr="004E3FE9">
        <w:rPr>
          <w:rFonts w:ascii="Times New Roman" w:hAnsi="Times New Roman" w:cs="Times New Roman"/>
          <w:sz w:val="28"/>
          <w:szCs w:val="28"/>
          <w:lang w:val="uk-UA"/>
        </w:rPr>
        <w:t xml:space="preserve"> дослідженні Pan Y. та співавт. [</w:t>
      </w:r>
      <w:r w:rsidR="008628D7" w:rsidRPr="004E3FE9">
        <w:rPr>
          <w:rFonts w:ascii="Times New Roman" w:hAnsi="Times New Roman" w:cs="Times New Roman"/>
          <w:sz w:val="28"/>
          <w:szCs w:val="28"/>
          <w:lang w:val="uk-UA"/>
        </w:rPr>
        <w:t>137</w:t>
      </w:r>
      <w:r w:rsidR="00BD0BF2" w:rsidRPr="004E3FE9">
        <w:rPr>
          <w:rFonts w:ascii="Times New Roman" w:hAnsi="Times New Roman" w:cs="Times New Roman"/>
          <w:sz w:val="28"/>
          <w:szCs w:val="28"/>
          <w:lang w:val="uk-UA"/>
        </w:rPr>
        <w:t>], як</w:t>
      </w:r>
      <w:r w:rsidRPr="004E3FE9">
        <w:rPr>
          <w:rFonts w:ascii="Times New Roman" w:hAnsi="Times New Roman" w:cs="Times New Roman"/>
          <w:sz w:val="28"/>
          <w:szCs w:val="28"/>
          <w:lang w:val="uk-UA"/>
        </w:rPr>
        <w:t xml:space="preserve">е було присвячене </w:t>
      </w:r>
      <w:r w:rsidR="00BD0BF2" w:rsidRPr="004E3FE9">
        <w:rPr>
          <w:rFonts w:ascii="Times New Roman" w:hAnsi="Times New Roman" w:cs="Times New Roman"/>
          <w:sz w:val="28"/>
          <w:szCs w:val="28"/>
          <w:lang w:val="uk-UA"/>
        </w:rPr>
        <w:t>вивч</w:t>
      </w:r>
      <w:r w:rsidRPr="004E3FE9">
        <w:rPr>
          <w:rFonts w:ascii="Times New Roman" w:hAnsi="Times New Roman" w:cs="Times New Roman"/>
          <w:sz w:val="28"/>
          <w:szCs w:val="28"/>
          <w:lang w:val="uk-UA"/>
        </w:rPr>
        <w:t>енню</w:t>
      </w:r>
      <w:r w:rsidR="00BD0BF2" w:rsidRPr="004E3FE9">
        <w:rPr>
          <w:rFonts w:ascii="Times New Roman" w:hAnsi="Times New Roman" w:cs="Times New Roman"/>
          <w:sz w:val="28"/>
          <w:szCs w:val="28"/>
          <w:lang w:val="uk-UA"/>
        </w:rPr>
        <w:t xml:space="preserve"> стан</w:t>
      </w:r>
      <w:r w:rsidRPr="004E3FE9">
        <w:rPr>
          <w:rFonts w:ascii="Times New Roman" w:hAnsi="Times New Roman" w:cs="Times New Roman"/>
          <w:sz w:val="28"/>
          <w:szCs w:val="28"/>
          <w:lang w:val="uk-UA"/>
        </w:rPr>
        <w:t>у</w:t>
      </w:r>
      <w:r w:rsidR="00BD0BF2" w:rsidRPr="004E3FE9">
        <w:rPr>
          <w:rFonts w:ascii="Times New Roman" w:hAnsi="Times New Roman" w:cs="Times New Roman"/>
          <w:sz w:val="28"/>
          <w:szCs w:val="28"/>
          <w:lang w:val="uk-UA"/>
        </w:rPr>
        <w:t xml:space="preserve"> імунної системи при ГВ, рівні CD4 </w:t>
      </w:r>
      <w:r w:rsidRPr="004E3FE9">
        <w:rPr>
          <w:rFonts w:ascii="Times New Roman" w:hAnsi="Times New Roman" w:cs="Times New Roman"/>
          <w:sz w:val="28"/>
          <w:szCs w:val="28"/>
          <w:lang w:val="uk-UA"/>
        </w:rPr>
        <w:t xml:space="preserve">були </w:t>
      </w:r>
      <w:r w:rsidR="00BD0BF2" w:rsidRPr="004E3FE9">
        <w:rPr>
          <w:rFonts w:ascii="Times New Roman" w:hAnsi="Times New Roman" w:cs="Times New Roman"/>
          <w:sz w:val="28"/>
          <w:szCs w:val="28"/>
          <w:lang w:val="uk-UA"/>
        </w:rPr>
        <w:t xml:space="preserve">знижені, та, як наслідок, зафіксовано зниження співвідношення CD4/CD8. Також виявлено зниження рівнів ІЛ-2 та CD3. А як відомо, ІЛ-2 бере участь </w:t>
      </w:r>
      <w:r w:rsidRPr="004E3FE9">
        <w:rPr>
          <w:rFonts w:ascii="Times New Roman" w:hAnsi="Times New Roman" w:cs="Times New Roman"/>
          <w:sz w:val="28"/>
          <w:szCs w:val="28"/>
          <w:lang w:val="uk-UA"/>
        </w:rPr>
        <w:t>у</w:t>
      </w:r>
      <w:r w:rsidR="00BD0BF2" w:rsidRPr="004E3FE9">
        <w:rPr>
          <w:rFonts w:ascii="Times New Roman" w:hAnsi="Times New Roman" w:cs="Times New Roman"/>
          <w:sz w:val="28"/>
          <w:szCs w:val="28"/>
          <w:lang w:val="uk-UA"/>
        </w:rPr>
        <w:t xml:space="preserve"> диференціації та проліферації Т-лімфоцитів [</w:t>
      </w:r>
      <w:r w:rsidR="008628D7" w:rsidRPr="004E3FE9">
        <w:rPr>
          <w:rFonts w:ascii="Times New Roman" w:hAnsi="Times New Roman" w:cs="Times New Roman"/>
          <w:sz w:val="28"/>
          <w:szCs w:val="28"/>
          <w:lang w:val="uk-UA"/>
        </w:rPr>
        <w:t>100</w:t>
      </w:r>
      <w:r w:rsidR="00BD0BF2" w:rsidRPr="004E3FE9">
        <w:rPr>
          <w:rFonts w:ascii="Times New Roman" w:hAnsi="Times New Roman" w:cs="Times New Roman"/>
          <w:sz w:val="28"/>
          <w:szCs w:val="28"/>
          <w:lang w:val="uk-UA"/>
        </w:rPr>
        <w:t>], що обумовлює їх односпрямоване зниження.</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Комплекси антиген-антитіло при еквімолярн</w:t>
      </w:r>
      <w:r w:rsidR="003B79E9" w:rsidRPr="004E3FE9">
        <w:rPr>
          <w:rFonts w:ascii="Times New Roman" w:hAnsi="Times New Roman" w:cs="Times New Roman"/>
          <w:sz w:val="28"/>
          <w:szCs w:val="28"/>
          <w:lang w:val="uk-UA"/>
        </w:rPr>
        <w:t>ому</w:t>
      </w:r>
      <w:r w:rsidRPr="004E3FE9">
        <w:rPr>
          <w:rFonts w:ascii="Times New Roman" w:hAnsi="Times New Roman" w:cs="Times New Roman"/>
          <w:sz w:val="28"/>
          <w:szCs w:val="28"/>
          <w:lang w:val="uk-UA"/>
        </w:rPr>
        <w:t xml:space="preserve"> їх співвідношенні в плазмі, як відомо, преципітують і елімінуються з циркуляції фагоцитуючими клітинами. Розчинні або циркулюючі комплекси утворюються при значному кількісному переважанні антигену над антитілами. Саме вони </w:t>
      </w:r>
      <w:r w:rsidR="003B79E9" w:rsidRPr="004E3FE9">
        <w:rPr>
          <w:rFonts w:ascii="Times New Roman" w:hAnsi="Times New Roman" w:cs="Times New Roman"/>
          <w:sz w:val="28"/>
          <w:szCs w:val="28"/>
          <w:lang w:val="uk-UA"/>
        </w:rPr>
        <w:t>та</w:t>
      </w:r>
      <w:r w:rsidRPr="004E3FE9">
        <w:rPr>
          <w:rFonts w:ascii="Times New Roman" w:hAnsi="Times New Roman" w:cs="Times New Roman"/>
          <w:sz w:val="28"/>
          <w:szCs w:val="28"/>
          <w:lang w:val="uk-UA"/>
        </w:rPr>
        <w:t xml:space="preserve"> активований ними комплемент викликають васкуліт </w:t>
      </w:r>
      <w:r w:rsidR="003B79E9" w:rsidRPr="004E3FE9">
        <w:rPr>
          <w:rFonts w:ascii="Times New Roman" w:hAnsi="Times New Roman" w:cs="Times New Roman"/>
          <w:sz w:val="28"/>
          <w:szCs w:val="28"/>
          <w:lang w:val="uk-UA"/>
        </w:rPr>
        <w:t>і</w:t>
      </w:r>
      <w:r w:rsidRPr="004E3FE9">
        <w:rPr>
          <w:rFonts w:ascii="Times New Roman" w:hAnsi="Times New Roman" w:cs="Times New Roman"/>
          <w:sz w:val="28"/>
          <w:szCs w:val="28"/>
          <w:lang w:val="uk-UA"/>
        </w:rPr>
        <w:t xml:space="preserve">з фібриноїдним некрозом, периваскулярним набряком, блокадою мікроциркуляції, лейкоцитарною </w:t>
      </w:r>
      <w:r w:rsidRPr="004E3FE9">
        <w:rPr>
          <w:rFonts w:ascii="Times New Roman" w:hAnsi="Times New Roman" w:cs="Times New Roman"/>
          <w:sz w:val="28"/>
          <w:szCs w:val="28"/>
          <w:lang w:val="uk-UA"/>
        </w:rPr>
        <w:lastRenderedPageBreak/>
        <w:t xml:space="preserve">інфільтрацією, геморагіями і дистрофічними змінами аж до некрозів </w:t>
      </w:r>
      <w:r w:rsidR="003B79E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осередках ураження [</w:t>
      </w:r>
      <w:r w:rsidR="008628D7" w:rsidRPr="004E3FE9">
        <w:rPr>
          <w:rFonts w:ascii="Times New Roman" w:hAnsi="Times New Roman" w:cs="Times New Roman"/>
          <w:sz w:val="28"/>
          <w:szCs w:val="28"/>
          <w:lang w:val="uk-UA"/>
        </w:rPr>
        <w:t>34</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Виникнення геморагічного синдрому при васкулітах обумовлено первинним ураженням судинної стінки з можливим вторинним розвитком коагуляційних та тромбоцитарних порушень [</w:t>
      </w:r>
      <w:r w:rsidR="008628D7" w:rsidRPr="004E3FE9">
        <w:rPr>
          <w:rFonts w:ascii="Times New Roman" w:hAnsi="Times New Roman" w:cs="Times New Roman"/>
          <w:sz w:val="28"/>
          <w:szCs w:val="28"/>
          <w:lang w:val="uk-UA"/>
        </w:rPr>
        <w:t>33</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Пошкодження судинної стінки служить ініціатором активації тромбоцитарної, а потім </w:t>
      </w:r>
      <w:r w:rsidR="003B79E9" w:rsidRPr="004E3FE9">
        <w:rPr>
          <w:rFonts w:ascii="Times New Roman" w:hAnsi="Times New Roman" w:cs="Times New Roman"/>
          <w:sz w:val="28"/>
          <w:szCs w:val="28"/>
          <w:lang w:val="uk-UA"/>
        </w:rPr>
        <w:t>і</w:t>
      </w:r>
      <w:r w:rsidRPr="004E3FE9">
        <w:rPr>
          <w:rFonts w:ascii="Times New Roman" w:hAnsi="Times New Roman" w:cs="Times New Roman"/>
          <w:sz w:val="28"/>
          <w:szCs w:val="28"/>
          <w:lang w:val="uk-UA"/>
        </w:rPr>
        <w:t xml:space="preserve"> коагуляційної ланок системи гемостазу. Активація системи зсідання призводить до розвитку мікротромбозів. Характерний також тромбоз лімфатичних судин з підвищенням їх проникності, припиненням резорбції білка і рідини з тканин і розвитком гострих набряків. Зміни в системі гемостазу при геморагічному васкуліті схожі з такими при ДВЗ-синдромі, проте є відмінності від «класичного» ДВЗ. При ГВ процес відрізняється дрібновогнищевим пристінковим ураженням і обмежується І (гіперкоагуляційною) стадією [</w:t>
      </w:r>
      <w:r w:rsidR="008628D7" w:rsidRPr="004E3FE9">
        <w:rPr>
          <w:rFonts w:ascii="Times New Roman" w:hAnsi="Times New Roman" w:cs="Times New Roman"/>
          <w:sz w:val="28"/>
          <w:szCs w:val="28"/>
          <w:lang w:val="uk-UA"/>
        </w:rPr>
        <w:t>146</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Науковцями відзначено, що при ГВ резерв антитромбінової активності крові знижений за рахунок зменшення фізіологічного антикоагулянту, </w:t>
      </w:r>
      <w:r w:rsidR="00196381" w:rsidRPr="004E3FE9">
        <w:rPr>
          <w:rFonts w:ascii="Times New Roman" w:hAnsi="Times New Roman" w:cs="Times New Roman"/>
          <w:sz w:val="28"/>
          <w:szCs w:val="28"/>
          <w:lang w:val="uk-UA"/>
        </w:rPr>
        <w:t>який</w:t>
      </w:r>
      <w:r w:rsidRPr="004E3FE9">
        <w:rPr>
          <w:rFonts w:ascii="Times New Roman" w:hAnsi="Times New Roman" w:cs="Times New Roman"/>
          <w:sz w:val="28"/>
          <w:szCs w:val="28"/>
          <w:lang w:val="uk-UA"/>
        </w:rPr>
        <w:t xml:space="preserve"> є кофактором гепарину - антитромбіну III (АТ III). Його дефіцит, </w:t>
      </w:r>
      <w:r w:rsidR="00196381" w:rsidRPr="004E3FE9">
        <w:rPr>
          <w:rFonts w:ascii="Times New Roman" w:hAnsi="Times New Roman" w:cs="Times New Roman"/>
          <w:sz w:val="28"/>
          <w:szCs w:val="28"/>
          <w:lang w:val="uk-UA"/>
        </w:rPr>
        <w:t>вочевидь</w:t>
      </w:r>
      <w:r w:rsidRPr="004E3FE9">
        <w:rPr>
          <w:rFonts w:ascii="Times New Roman" w:hAnsi="Times New Roman" w:cs="Times New Roman"/>
          <w:sz w:val="28"/>
          <w:szCs w:val="28"/>
          <w:lang w:val="uk-UA"/>
        </w:rPr>
        <w:t>, обумовлений інтенсивним споживанням АТ III на початкових стадіях захворювання, так як він витрачається на блокування активованих факторів згортання крові. Крім цього, настає виснаження резерву фібринолітичної системи [</w:t>
      </w:r>
      <w:r w:rsidR="008628D7" w:rsidRPr="004E3FE9">
        <w:rPr>
          <w:rFonts w:ascii="Times New Roman" w:hAnsi="Times New Roman" w:cs="Times New Roman"/>
          <w:sz w:val="28"/>
          <w:szCs w:val="28"/>
          <w:lang w:val="uk-UA"/>
        </w:rPr>
        <w:t>54, 57</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Згідно досліджень вітчизняних науковців, стан вторинного гемостазу при геморагічному васкуліті у дітей характеризується змішаними змінами: гіпокоагуляція за АЧТЧ, за значенням тромбінового часу і протромбінового індексу; гіперкоагуляція за рівнем фібриногену і МН</w:t>
      </w:r>
      <w:r w:rsidR="00B94A3E" w:rsidRPr="004E3FE9">
        <w:rPr>
          <w:rFonts w:ascii="Times New Roman" w:hAnsi="Times New Roman" w:cs="Times New Roman"/>
          <w:sz w:val="28"/>
          <w:szCs w:val="28"/>
          <w:lang w:val="uk-UA"/>
        </w:rPr>
        <w:t>С</w:t>
      </w:r>
      <w:r w:rsidRPr="004E3FE9">
        <w:rPr>
          <w:rFonts w:ascii="Times New Roman" w:hAnsi="Times New Roman" w:cs="Times New Roman"/>
          <w:sz w:val="28"/>
          <w:szCs w:val="28"/>
          <w:lang w:val="uk-UA"/>
        </w:rPr>
        <w:t>. Зміни в коагулограммі та ступінь їх вираженості при ГВ у дітей залежать від клінічної форми захворювання, ступеня тяжкості та варіанту перебігу. Найбільш значимі зрушення в бік гіперкоагуляції відзначені при шкірній формі захворювання. При наявності ниркового синдрому відзнача</w:t>
      </w:r>
      <w:r w:rsidR="00196381" w:rsidRPr="004E3FE9">
        <w:rPr>
          <w:rFonts w:ascii="Times New Roman" w:hAnsi="Times New Roman" w:cs="Times New Roman"/>
          <w:sz w:val="28"/>
          <w:szCs w:val="28"/>
          <w:lang w:val="uk-UA"/>
        </w:rPr>
        <w:t>ю</w:t>
      </w:r>
      <w:r w:rsidRPr="004E3FE9">
        <w:rPr>
          <w:rFonts w:ascii="Times New Roman" w:hAnsi="Times New Roman" w:cs="Times New Roman"/>
          <w:sz w:val="28"/>
          <w:szCs w:val="28"/>
          <w:lang w:val="uk-UA"/>
        </w:rPr>
        <w:t>ться гіпокоагу</w:t>
      </w:r>
      <w:r w:rsidR="00196381" w:rsidRPr="004E3FE9">
        <w:rPr>
          <w:rFonts w:ascii="Times New Roman" w:hAnsi="Times New Roman" w:cs="Times New Roman"/>
          <w:sz w:val="28"/>
          <w:szCs w:val="28"/>
          <w:lang w:val="uk-UA"/>
        </w:rPr>
        <w:t>ляція по АЧТЧ і гіперкоагуляція</w:t>
      </w:r>
      <w:r w:rsidRPr="004E3FE9">
        <w:rPr>
          <w:rFonts w:ascii="Times New Roman" w:hAnsi="Times New Roman" w:cs="Times New Roman"/>
          <w:sz w:val="28"/>
          <w:szCs w:val="28"/>
          <w:lang w:val="uk-UA"/>
        </w:rPr>
        <w:t xml:space="preserve"> за рівнем фібриногену [</w:t>
      </w:r>
      <w:r w:rsidR="008628D7" w:rsidRPr="004E3FE9">
        <w:rPr>
          <w:rFonts w:ascii="Times New Roman" w:hAnsi="Times New Roman" w:cs="Times New Roman"/>
          <w:sz w:val="28"/>
          <w:szCs w:val="28"/>
          <w:lang w:val="uk-UA"/>
        </w:rPr>
        <w:t>61</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 xml:space="preserve">Таким чином, багатогранність та складність патогенетичних механізмів розвитку ГВ обумовлює можливість виникнення рецидивів захворювання, перехід </w:t>
      </w:r>
      <w:r w:rsidR="00196381"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хронічну форму з залученням внутрішніх органів, розвитком нефриту, </w:t>
      </w:r>
      <w:r w:rsidR="00497D96" w:rsidRPr="004E3FE9">
        <w:rPr>
          <w:rFonts w:ascii="Times New Roman" w:hAnsi="Times New Roman" w:cs="Times New Roman"/>
          <w:sz w:val="28"/>
          <w:szCs w:val="28"/>
          <w:lang w:val="uk-UA"/>
        </w:rPr>
        <w:t>ХНН</w:t>
      </w:r>
      <w:r w:rsidRPr="004E3FE9">
        <w:rPr>
          <w:rFonts w:ascii="Times New Roman" w:hAnsi="Times New Roman" w:cs="Times New Roman"/>
          <w:sz w:val="28"/>
          <w:szCs w:val="28"/>
          <w:lang w:val="uk-UA"/>
        </w:rPr>
        <w:t>, що може призвести до інвалідизації дитини та летальн</w:t>
      </w:r>
      <w:r w:rsidR="00EF6D89" w:rsidRPr="004E3FE9">
        <w:rPr>
          <w:rFonts w:ascii="Times New Roman" w:hAnsi="Times New Roman" w:cs="Times New Roman"/>
          <w:sz w:val="28"/>
          <w:szCs w:val="28"/>
          <w:lang w:val="uk-UA"/>
        </w:rPr>
        <w:t>ого наслідку</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Вира</w:t>
      </w:r>
      <w:r w:rsidR="00B40288">
        <w:rPr>
          <w:rFonts w:ascii="Times New Roman" w:hAnsi="Times New Roman" w:cs="Times New Roman"/>
          <w:sz w:val="28"/>
          <w:szCs w:val="28"/>
          <w:lang w:val="uk-UA"/>
        </w:rPr>
        <w:t>з</w:t>
      </w:r>
      <w:r w:rsidRPr="004E3FE9">
        <w:rPr>
          <w:rFonts w:ascii="Times New Roman" w:hAnsi="Times New Roman" w:cs="Times New Roman"/>
          <w:sz w:val="28"/>
          <w:szCs w:val="28"/>
          <w:lang w:val="uk-UA"/>
        </w:rPr>
        <w:t>ність клінічних проявів та наслідків ГВ за багатьма джерелами різниться між собою, що може бути пов’язано з різноманітністю критеріїв постановки діагнозу, які досить часто змінюються [</w:t>
      </w:r>
      <w:r w:rsidR="00DF64EC" w:rsidRPr="004E3FE9">
        <w:rPr>
          <w:rFonts w:ascii="Times New Roman" w:hAnsi="Times New Roman" w:cs="Times New Roman"/>
          <w:sz w:val="28"/>
          <w:szCs w:val="28"/>
          <w:lang w:val="uk-UA"/>
        </w:rPr>
        <w:t>77</w:t>
      </w:r>
      <w:r w:rsidRPr="004E3FE9">
        <w:rPr>
          <w:rFonts w:ascii="Times New Roman" w:hAnsi="Times New Roman" w:cs="Times New Roman"/>
          <w:sz w:val="28"/>
          <w:szCs w:val="28"/>
          <w:lang w:val="uk-UA"/>
        </w:rPr>
        <w:t xml:space="preserve">]. Окрім діагностичних критеріїв, </w:t>
      </w:r>
      <w:r w:rsidR="00EF6D89" w:rsidRPr="004E3FE9">
        <w:rPr>
          <w:rFonts w:ascii="Times New Roman" w:hAnsi="Times New Roman" w:cs="Times New Roman"/>
          <w:sz w:val="28"/>
          <w:szCs w:val="28"/>
          <w:lang w:val="uk-UA"/>
        </w:rPr>
        <w:t>які опубліковані</w:t>
      </w:r>
      <w:r w:rsidRPr="004E3FE9">
        <w:rPr>
          <w:rFonts w:ascii="Times New Roman" w:hAnsi="Times New Roman" w:cs="Times New Roman"/>
          <w:sz w:val="28"/>
          <w:szCs w:val="28"/>
          <w:lang w:val="uk-UA"/>
        </w:rPr>
        <w:t xml:space="preserve"> EULAR/PRINTO/PReS </w:t>
      </w:r>
      <w:r w:rsidR="00EF6D8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2010 році, виділяють діагностичні критерії ГВ, </w:t>
      </w:r>
      <w:r w:rsidR="00EF6D89" w:rsidRPr="004E3FE9">
        <w:rPr>
          <w:rFonts w:ascii="Times New Roman" w:hAnsi="Times New Roman" w:cs="Times New Roman"/>
          <w:sz w:val="28"/>
          <w:szCs w:val="28"/>
          <w:lang w:val="uk-UA"/>
        </w:rPr>
        <w:t>Американської асоціації</w:t>
      </w:r>
      <w:r w:rsidRPr="004E3FE9">
        <w:rPr>
          <w:rFonts w:ascii="Times New Roman" w:hAnsi="Times New Roman" w:cs="Times New Roman"/>
          <w:sz w:val="28"/>
          <w:szCs w:val="28"/>
          <w:lang w:val="uk-UA"/>
        </w:rPr>
        <w:t xml:space="preserve"> ревматологів (1990)</w:t>
      </w:r>
      <w:r w:rsidR="00EF6D89" w:rsidRPr="004E3FE9">
        <w:rPr>
          <w:rFonts w:ascii="Times New Roman" w:hAnsi="Times New Roman" w:cs="Times New Roman"/>
          <w:sz w:val="28"/>
          <w:szCs w:val="28"/>
          <w:lang w:val="uk-UA"/>
        </w:rPr>
        <w:t>, а саме</w:t>
      </w:r>
      <w:r w:rsidRPr="004E3FE9">
        <w:rPr>
          <w:rFonts w:ascii="Times New Roman" w:hAnsi="Times New Roman" w:cs="Times New Roman"/>
          <w:sz w:val="28"/>
          <w:szCs w:val="28"/>
          <w:lang w:val="uk-UA"/>
        </w:rPr>
        <w:t xml:space="preserve">: геморагічний висип, що пальпується на шкірі і не пов`язаний із тромбоцитопенією; початок хвороби у пацієнтів віком до 20 років; ішемія кишківника (дифузний біль </w:t>
      </w:r>
      <w:r w:rsidR="00EF6D8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животі, який посилюється після прийому їжі, діарея з геморагічним вмістом); виявлення нашарувань гранулоцитів у стінках артеріол та венул </w:t>
      </w:r>
      <w:r w:rsidR="00EF6D89" w:rsidRPr="004E3FE9">
        <w:rPr>
          <w:rFonts w:ascii="Times New Roman" w:hAnsi="Times New Roman" w:cs="Times New Roman"/>
          <w:sz w:val="28"/>
          <w:szCs w:val="28"/>
          <w:lang w:val="uk-UA"/>
        </w:rPr>
        <w:t>під час</w:t>
      </w:r>
      <w:r w:rsidRPr="004E3FE9">
        <w:rPr>
          <w:rFonts w:ascii="Times New Roman" w:hAnsi="Times New Roman" w:cs="Times New Roman"/>
          <w:sz w:val="28"/>
          <w:szCs w:val="28"/>
          <w:lang w:val="uk-UA"/>
        </w:rPr>
        <w:t xml:space="preserve"> біопсії. Наявність у хворого двох і більше критеріїв дозволяє діагностувати ГВ з чутливістю 87,1% і специфічністю 87,7%. Для того, щоб розрізняти гіперсенсетивний васкуліт і ГВ, Michel і співавт., провели дослідження в порівнянні 93 хворих з гіперсенситивним васкулітом і 85 пацієнтів з ГВ та визначили 6 критеріїв останнього: наявна пурпура, яка не пов'язана з тромбоцитопенією, ішемія кишечника, шлунково-кишкові кровотечі, гематурія, вік ≤20 років на початку хвороби і відсутність інформації про прийом ліків на початку захворювання [</w:t>
      </w:r>
      <w:r w:rsidR="00DF64EC" w:rsidRPr="004E3FE9">
        <w:rPr>
          <w:rFonts w:ascii="Times New Roman" w:hAnsi="Times New Roman" w:cs="Times New Roman"/>
          <w:sz w:val="28"/>
          <w:szCs w:val="28"/>
          <w:lang w:val="uk-UA"/>
        </w:rPr>
        <w:t>129</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Вважається, пошкодження нирок при ГВ є головним чинником, що детермінує результат захворювання [</w:t>
      </w:r>
      <w:r w:rsidR="00DF64EC" w:rsidRPr="004E3FE9">
        <w:rPr>
          <w:rFonts w:ascii="Times New Roman" w:hAnsi="Times New Roman" w:cs="Times New Roman"/>
          <w:sz w:val="28"/>
          <w:szCs w:val="28"/>
          <w:lang w:val="uk-UA"/>
        </w:rPr>
        <w:t>154</w:t>
      </w:r>
      <w:r w:rsidRPr="004E3FE9">
        <w:rPr>
          <w:rFonts w:ascii="Times New Roman" w:hAnsi="Times New Roman" w:cs="Times New Roman"/>
          <w:sz w:val="28"/>
          <w:szCs w:val="28"/>
          <w:lang w:val="uk-UA"/>
        </w:rPr>
        <w:t>]. За даними літератури, у більшості дітей з нефритом при ГВ процес закінчується майже повним одужанням, в той час як у 40% дорослих зберігається персистуюча</w:t>
      </w:r>
      <w:r w:rsidR="00EF6D89" w:rsidRPr="004E3FE9">
        <w:rPr>
          <w:rFonts w:ascii="Times New Roman" w:hAnsi="Times New Roman" w:cs="Times New Roman"/>
          <w:sz w:val="28"/>
          <w:szCs w:val="28"/>
          <w:lang w:val="uk-UA"/>
        </w:rPr>
        <w:t xml:space="preserve"> гематурія, а у 10% –</w:t>
      </w:r>
      <w:r w:rsidRPr="004E3FE9">
        <w:rPr>
          <w:rFonts w:ascii="Times New Roman" w:hAnsi="Times New Roman" w:cs="Times New Roman"/>
          <w:sz w:val="28"/>
          <w:szCs w:val="28"/>
          <w:lang w:val="uk-UA"/>
        </w:rPr>
        <w:t>розвивається ХНН [</w:t>
      </w:r>
      <w:r w:rsidR="00DF64EC" w:rsidRPr="004E3FE9">
        <w:rPr>
          <w:rFonts w:ascii="Times New Roman" w:hAnsi="Times New Roman" w:cs="Times New Roman"/>
          <w:sz w:val="28"/>
          <w:szCs w:val="28"/>
          <w:lang w:val="uk-UA"/>
        </w:rPr>
        <w:t>113</w:t>
      </w:r>
      <w:r w:rsidRPr="004E3FE9">
        <w:rPr>
          <w:rFonts w:ascii="Times New Roman" w:hAnsi="Times New Roman" w:cs="Times New Roman"/>
          <w:sz w:val="28"/>
          <w:szCs w:val="28"/>
          <w:lang w:val="uk-UA"/>
        </w:rPr>
        <w:t xml:space="preserve">]. Розвиток патології нирок в цілому не пов'язано з позанирковими проявами. Педіатри описують системне захворювання з помірним і транзиторним нирковим ураженням, </w:t>
      </w:r>
      <w:r w:rsidR="00EF6D89"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той час як нефрологи відзначають набагато більш тя</w:t>
      </w:r>
      <w:r w:rsidR="00EF6D89" w:rsidRPr="004E3FE9">
        <w:rPr>
          <w:rFonts w:ascii="Times New Roman" w:hAnsi="Times New Roman" w:cs="Times New Roman"/>
          <w:sz w:val="28"/>
          <w:szCs w:val="28"/>
          <w:lang w:val="uk-UA"/>
        </w:rPr>
        <w:t>жке ушкодження нирок</w:t>
      </w:r>
      <w:r w:rsidRPr="004E3FE9">
        <w:rPr>
          <w:rFonts w:ascii="Times New Roman" w:hAnsi="Times New Roman" w:cs="Times New Roman"/>
          <w:sz w:val="28"/>
          <w:szCs w:val="28"/>
          <w:lang w:val="uk-UA"/>
        </w:rPr>
        <w:t xml:space="preserve"> як у дітей, так і у </w:t>
      </w:r>
      <w:r w:rsidRPr="004E3FE9">
        <w:rPr>
          <w:rFonts w:ascii="Times New Roman" w:hAnsi="Times New Roman" w:cs="Times New Roman"/>
          <w:sz w:val="28"/>
          <w:szCs w:val="28"/>
          <w:lang w:val="uk-UA"/>
        </w:rPr>
        <w:lastRenderedPageBreak/>
        <w:t>дорослих. Ретроспективне дослідження в Італії 95 дорослих і 57 дітей за 5-річний термін виявило, що зміни в аналізах сечі зберігаються у 31% дорослих і 24% дітей, а ХНН у дорослих розвивалася в 2 рази частіше, ніж у дітей (15,8% і 7, 0% відповідно) [</w:t>
      </w:r>
      <w:r w:rsidR="00DF64EC" w:rsidRPr="004E3FE9">
        <w:rPr>
          <w:rFonts w:ascii="Times New Roman" w:hAnsi="Times New Roman" w:cs="Times New Roman"/>
          <w:sz w:val="28"/>
          <w:szCs w:val="28"/>
          <w:lang w:val="uk-UA"/>
        </w:rPr>
        <w:t>140</w:t>
      </w:r>
      <w:r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Існують роботи авторів, в яких вивчали різницю клінічних проявів та результатів захворювання серед дітей та дорослих. Так, за даними Hung S. P. та співавт. [</w:t>
      </w:r>
      <w:r w:rsidR="00DF64EC" w:rsidRPr="004E3FE9">
        <w:rPr>
          <w:rFonts w:ascii="Times New Roman" w:hAnsi="Times New Roman" w:cs="Times New Roman"/>
          <w:sz w:val="28"/>
          <w:szCs w:val="28"/>
          <w:lang w:val="uk-UA"/>
        </w:rPr>
        <w:t>111</w:t>
      </w:r>
      <w:r w:rsidRPr="004E3FE9">
        <w:rPr>
          <w:rFonts w:ascii="Times New Roman" w:hAnsi="Times New Roman" w:cs="Times New Roman"/>
          <w:sz w:val="28"/>
          <w:szCs w:val="28"/>
          <w:lang w:val="uk-UA"/>
        </w:rPr>
        <w:t>], під час проведення ретроспективного аналізу нефрит при ГВ у дорослих має підвищений ризик до прогресування ниркової недостатності. Схожі результати представлені корейськими дослідниками, які з’ясували, що у дітей переважає змішана форм</w:t>
      </w:r>
      <w:r w:rsidR="00490C6D">
        <w:rPr>
          <w:rFonts w:ascii="Times New Roman" w:hAnsi="Times New Roman" w:cs="Times New Roman"/>
          <w:sz w:val="28"/>
          <w:szCs w:val="28"/>
          <w:lang w:val="uk-UA"/>
        </w:rPr>
        <w:t>а ГВ,</w:t>
      </w:r>
      <w:r w:rsidRPr="004E3FE9">
        <w:rPr>
          <w:rFonts w:ascii="Times New Roman" w:hAnsi="Times New Roman" w:cs="Times New Roman"/>
          <w:sz w:val="28"/>
          <w:szCs w:val="28"/>
          <w:lang w:val="uk-UA"/>
        </w:rPr>
        <w:t xml:space="preserve"> ураження нирок у дорослих склало 79,2 %, а у дітей – 30,4 % [</w:t>
      </w:r>
      <w:r w:rsidR="00DF64EC" w:rsidRPr="004E3FE9">
        <w:rPr>
          <w:rFonts w:ascii="Times New Roman" w:hAnsi="Times New Roman" w:cs="Times New Roman"/>
          <w:sz w:val="28"/>
          <w:szCs w:val="28"/>
          <w:lang w:val="uk-UA"/>
        </w:rPr>
        <w:t>118</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Важливо відмітити, що багаточисленні дослідники розглядають ГВ, як одну з серйозних та частих причин ураження нирок у дітей [</w:t>
      </w:r>
      <w:r w:rsidR="00DF64EC" w:rsidRPr="004E3FE9">
        <w:rPr>
          <w:rFonts w:ascii="Times New Roman" w:hAnsi="Times New Roman" w:cs="Times New Roman"/>
          <w:sz w:val="28"/>
          <w:szCs w:val="28"/>
          <w:lang w:val="uk-UA"/>
        </w:rPr>
        <w:t>103, 150, 151, 160</w:t>
      </w:r>
      <w:r w:rsidRPr="004E3FE9">
        <w:rPr>
          <w:rFonts w:ascii="Times New Roman" w:hAnsi="Times New Roman" w:cs="Times New Roman"/>
          <w:sz w:val="28"/>
          <w:szCs w:val="28"/>
          <w:lang w:val="uk-UA"/>
        </w:rPr>
        <w:t>]. За даними Т.В. Єгорової [</w:t>
      </w:r>
      <w:r w:rsidR="00DF64EC" w:rsidRPr="004E3FE9">
        <w:rPr>
          <w:rFonts w:ascii="Times New Roman" w:hAnsi="Times New Roman" w:cs="Times New Roman"/>
          <w:sz w:val="28"/>
          <w:szCs w:val="28"/>
          <w:lang w:val="uk-UA"/>
        </w:rPr>
        <w:t>22</w:t>
      </w:r>
      <w:r w:rsidRPr="004E3FE9">
        <w:rPr>
          <w:rFonts w:ascii="Times New Roman" w:hAnsi="Times New Roman" w:cs="Times New Roman"/>
          <w:sz w:val="28"/>
          <w:szCs w:val="28"/>
          <w:lang w:val="uk-UA"/>
        </w:rPr>
        <w:t xml:space="preserve">], </w:t>
      </w:r>
      <w:r w:rsidR="00CB3FD0"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Прибайкаллі спостерігається висока частота ураження нирок у хворих на ГВ, а саме</w:t>
      </w:r>
      <w:r w:rsidR="00CB3FD0"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гломерулонефрит виявляється у 69,4% хворих на ГВ, причому у більшості (85%) він набуває хронічного перебігу. У пацієнтів, </w:t>
      </w:r>
      <w:r w:rsidR="00CB3FD0" w:rsidRPr="004E3FE9">
        <w:rPr>
          <w:rFonts w:ascii="Times New Roman" w:hAnsi="Times New Roman" w:cs="Times New Roman"/>
          <w:sz w:val="28"/>
          <w:szCs w:val="28"/>
          <w:lang w:val="uk-UA"/>
        </w:rPr>
        <w:t>старших</w:t>
      </w:r>
      <w:r w:rsidRPr="004E3FE9">
        <w:rPr>
          <w:rFonts w:ascii="Times New Roman" w:hAnsi="Times New Roman" w:cs="Times New Roman"/>
          <w:sz w:val="28"/>
          <w:szCs w:val="28"/>
          <w:lang w:val="uk-UA"/>
        </w:rPr>
        <w:t xml:space="preserve"> </w:t>
      </w:r>
      <w:r w:rsidR="00CB3FD0" w:rsidRPr="004E3FE9">
        <w:rPr>
          <w:rFonts w:ascii="Times New Roman" w:hAnsi="Times New Roman" w:cs="Times New Roman"/>
          <w:sz w:val="28"/>
          <w:szCs w:val="28"/>
          <w:lang w:val="uk-UA"/>
        </w:rPr>
        <w:t xml:space="preserve">за </w:t>
      </w:r>
      <w:r w:rsidRPr="004E3FE9">
        <w:rPr>
          <w:rFonts w:ascii="Times New Roman" w:hAnsi="Times New Roman" w:cs="Times New Roman"/>
          <w:sz w:val="28"/>
          <w:szCs w:val="28"/>
          <w:lang w:val="uk-UA"/>
        </w:rPr>
        <w:t>15 років, нефротичний і гіпертонічний синдроми гломерулонефриту реєструються частіше</w:t>
      </w:r>
      <w:r w:rsidR="00CB3FD0"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w:t>
      </w:r>
      <w:r w:rsidR="00CB3FD0"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порівнянні з пацієнтами, хворими в дитячому віці.</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За даними літературних джерел, геморагічний васкуліт є зазвичай самовиліковним захворюванням, триваючим </w:t>
      </w:r>
      <w:r w:rsidR="00CB3FD0"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середньому 4 тижні. Рецидиви відзначаються у невеликої частини пацієнтів. Однак частота рецидивів зазвичай знижується після 6 місяців від початку захворювання. Нефрит зустрічається у 40% пацієнтів (протягом 1 місяця від початку захворювання в 85% випадків і майже у всіх протягом 6 місяців) [</w:t>
      </w:r>
      <w:r w:rsidR="00DF64EC" w:rsidRPr="004E3FE9">
        <w:rPr>
          <w:rFonts w:ascii="Times New Roman" w:hAnsi="Times New Roman" w:cs="Times New Roman"/>
          <w:sz w:val="28"/>
          <w:szCs w:val="28"/>
          <w:lang w:val="uk-UA"/>
        </w:rPr>
        <w:t>123</w:t>
      </w:r>
      <w:r w:rsidRPr="004E3FE9">
        <w:rPr>
          <w:rFonts w:ascii="Times New Roman" w:hAnsi="Times New Roman" w:cs="Times New Roman"/>
          <w:sz w:val="28"/>
          <w:szCs w:val="28"/>
          <w:lang w:val="uk-UA"/>
        </w:rPr>
        <w:t xml:space="preserve">]. Стійка пурпура, важкі абдомінальні симптоми і більш старший вік є значними факторами ризику розвитку подальшої нефропатії. </w:t>
      </w:r>
      <w:r w:rsidR="00CB3FD0"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цілому, у пацієнтів з мікрогематурією і невеликою протеїнурією відзначається сприятливий прогноз. Навпаки, наявність нефритичного або нефротичного синдрому має </w:t>
      </w:r>
      <w:r w:rsidR="00CB3FD0" w:rsidRPr="004E3FE9">
        <w:rPr>
          <w:rFonts w:ascii="Times New Roman" w:hAnsi="Times New Roman" w:cs="Times New Roman"/>
          <w:sz w:val="28"/>
          <w:szCs w:val="28"/>
          <w:lang w:val="uk-UA"/>
        </w:rPr>
        <w:t>несприятливий</w:t>
      </w:r>
      <w:r w:rsidRPr="004E3FE9">
        <w:rPr>
          <w:rFonts w:ascii="Times New Roman" w:hAnsi="Times New Roman" w:cs="Times New Roman"/>
          <w:sz w:val="28"/>
          <w:szCs w:val="28"/>
          <w:lang w:val="uk-UA"/>
        </w:rPr>
        <w:t xml:space="preserve"> прогноз, з розвитком у 20-40% пацієнтів стійкого порушення функції нирок. </w:t>
      </w:r>
      <w:r w:rsidRPr="004E3FE9">
        <w:rPr>
          <w:rFonts w:ascii="Times New Roman" w:hAnsi="Times New Roman" w:cs="Times New Roman"/>
          <w:sz w:val="28"/>
          <w:szCs w:val="28"/>
          <w:lang w:val="uk-UA"/>
        </w:rPr>
        <w:lastRenderedPageBreak/>
        <w:t>Описана слабка кореляція між гістологічними проявами і наслідками захворювання [</w:t>
      </w:r>
      <w:r w:rsidR="00DF64EC" w:rsidRPr="004E3FE9">
        <w:rPr>
          <w:rFonts w:ascii="Times New Roman" w:hAnsi="Times New Roman" w:cs="Times New Roman"/>
          <w:sz w:val="28"/>
          <w:szCs w:val="28"/>
          <w:lang w:val="uk-UA"/>
        </w:rPr>
        <w:t>119</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Клінічний протокол надання медичної допом</w:t>
      </w:r>
      <w:r w:rsidR="00AD3587">
        <w:rPr>
          <w:rFonts w:ascii="Times New Roman" w:hAnsi="Times New Roman" w:cs="Times New Roman"/>
          <w:sz w:val="28"/>
          <w:szCs w:val="28"/>
          <w:lang w:val="uk-UA"/>
        </w:rPr>
        <w:t>оги хворим на васкуліт Шенлейн-</w:t>
      </w:r>
      <w:r w:rsidRPr="004E3FE9">
        <w:rPr>
          <w:rFonts w:ascii="Times New Roman" w:hAnsi="Times New Roman" w:cs="Times New Roman"/>
          <w:sz w:val="28"/>
          <w:szCs w:val="28"/>
          <w:lang w:val="uk-UA"/>
        </w:rPr>
        <w:t>Геноха (геморагічн</w:t>
      </w:r>
      <w:r w:rsidR="00AD3587">
        <w:rPr>
          <w:rFonts w:ascii="Times New Roman" w:hAnsi="Times New Roman" w:cs="Times New Roman"/>
          <w:sz w:val="28"/>
          <w:szCs w:val="28"/>
          <w:lang w:val="uk-UA"/>
        </w:rPr>
        <w:t>ий васкуліт, пурпура Шенлейн-</w:t>
      </w:r>
      <w:r w:rsidRPr="004E3FE9">
        <w:rPr>
          <w:rFonts w:ascii="Times New Roman" w:hAnsi="Times New Roman" w:cs="Times New Roman"/>
          <w:sz w:val="28"/>
          <w:szCs w:val="28"/>
          <w:lang w:val="uk-UA"/>
        </w:rPr>
        <w:t xml:space="preserve">Геноха) (ВШГ) №676 затверджено в Україні у 2006 році. Таким чином, за останні 10 років не переглядались алгоритми ранньої клініко-лабораторної діагностики патологічного процесу та профілактичні заходи, що дали б змогу попередити рецидиви захворювання та перехід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хронічну форму.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Лікування ГВ повинно бути раннім, активним, комплексним, </w:t>
      </w:r>
      <w:r w:rsidR="00717BBE" w:rsidRPr="004E3FE9">
        <w:rPr>
          <w:rFonts w:ascii="Times New Roman" w:hAnsi="Times New Roman" w:cs="Times New Roman"/>
          <w:sz w:val="28"/>
          <w:szCs w:val="28"/>
          <w:lang w:val="uk-UA"/>
        </w:rPr>
        <w:t>і</w:t>
      </w:r>
      <w:r w:rsidRPr="004E3FE9">
        <w:rPr>
          <w:rFonts w:ascii="Times New Roman" w:hAnsi="Times New Roman" w:cs="Times New Roman"/>
          <w:sz w:val="28"/>
          <w:szCs w:val="28"/>
          <w:lang w:val="uk-UA"/>
        </w:rPr>
        <w:t xml:space="preserve">з включенням заходів щодо усунення етіологічних чинників з урахуванням патогенезу захворювання, форми </w:t>
      </w:r>
      <w:r w:rsidR="00717BBE"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тяжкості клінічних проявів [</w:t>
      </w:r>
      <w:r w:rsidR="00DF64EC" w:rsidRPr="004E3FE9">
        <w:rPr>
          <w:rFonts w:ascii="Times New Roman" w:hAnsi="Times New Roman" w:cs="Times New Roman"/>
          <w:sz w:val="28"/>
          <w:szCs w:val="28"/>
          <w:lang w:val="uk-UA"/>
        </w:rPr>
        <w:t>58</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Патогенетична терапія передбачає вплив на основні механізми патогенезу шляхом: блокування утворювання циркулюючих імунних комплексів та їх елімінації, припинення імунокомплексного запалення та корекції гемостазу.</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За даними літератури, раннє призначення глюкокортикостероїдів скорочує тривалість абдомінального болю, знижує ризик інвагінації та як наслідок знижується ризик хірургічного втручання [</w:t>
      </w:r>
      <w:r w:rsidR="00DF64EC" w:rsidRPr="004E3FE9">
        <w:rPr>
          <w:rFonts w:ascii="Times New Roman" w:hAnsi="Times New Roman" w:cs="Times New Roman"/>
          <w:sz w:val="28"/>
          <w:szCs w:val="28"/>
          <w:lang w:val="uk-UA"/>
        </w:rPr>
        <w:t>147, 168, 169</w:t>
      </w:r>
      <w:r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Хоча деякі науковці вважають, що раннє призначення ГКС запобігає розвитку нефриту та хронічної ниркової недостатності [</w:t>
      </w:r>
      <w:r w:rsidR="00DF64EC" w:rsidRPr="004E3FE9">
        <w:rPr>
          <w:rFonts w:ascii="Times New Roman" w:hAnsi="Times New Roman" w:cs="Times New Roman"/>
          <w:sz w:val="28"/>
          <w:szCs w:val="28"/>
          <w:lang w:val="uk-UA"/>
        </w:rPr>
        <w:t>169</w:t>
      </w:r>
      <w:r w:rsidRPr="004E3FE9">
        <w:rPr>
          <w:rFonts w:ascii="Times New Roman" w:hAnsi="Times New Roman" w:cs="Times New Roman"/>
          <w:sz w:val="28"/>
          <w:szCs w:val="28"/>
          <w:lang w:val="uk-UA"/>
        </w:rPr>
        <w:t>]</w:t>
      </w:r>
      <w:r w:rsidR="00DB3EE5" w:rsidRPr="004E3FE9">
        <w:rPr>
          <w:rFonts w:ascii="Times New Roman" w:hAnsi="Times New Roman" w:cs="Times New Roman"/>
          <w:sz w:val="28"/>
          <w:szCs w:val="28"/>
          <w:lang w:val="uk-UA"/>
        </w:rPr>
        <w:t>, в</w:t>
      </w:r>
      <w:r w:rsidRPr="004E3FE9">
        <w:rPr>
          <w:rFonts w:ascii="Times New Roman" w:hAnsi="Times New Roman" w:cs="Times New Roman"/>
          <w:sz w:val="28"/>
          <w:szCs w:val="28"/>
          <w:lang w:val="uk-UA"/>
        </w:rPr>
        <w:t xml:space="preserve"> огляді Hahn D. та співавт. [</w:t>
      </w:r>
      <w:r w:rsidR="00DF64EC" w:rsidRPr="004E3FE9">
        <w:rPr>
          <w:rFonts w:ascii="Times New Roman" w:hAnsi="Times New Roman" w:cs="Times New Roman"/>
          <w:sz w:val="28"/>
          <w:szCs w:val="28"/>
          <w:lang w:val="uk-UA"/>
        </w:rPr>
        <w:t>102</w:t>
      </w:r>
      <w:r w:rsidRPr="004E3FE9">
        <w:rPr>
          <w:rFonts w:ascii="Times New Roman" w:hAnsi="Times New Roman" w:cs="Times New Roman"/>
          <w:sz w:val="28"/>
          <w:szCs w:val="28"/>
          <w:lang w:val="uk-UA"/>
        </w:rPr>
        <w:t>], під час рандомізованих контрольованих досліджень дійшли висновку про відсутність доказів щодо раннього призначення ГКС з метою запобігання розвитку ниркового синдрому.</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Ряд дослідників вказують на потенційну ефективність циклоспорину у дітей з ГВ та нирковим синдромом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досягненні ремісії</w:t>
      </w:r>
      <w:r w:rsidR="00717BBE" w:rsidRPr="004E3FE9">
        <w:rPr>
          <w:rFonts w:ascii="Times New Roman" w:hAnsi="Times New Roman" w:cs="Times New Roman"/>
          <w:sz w:val="28"/>
          <w:szCs w:val="28"/>
          <w:lang w:val="uk-UA"/>
        </w:rPr>
        <w:t>, ліквідації</w:t>
      </w:r>
      <w:r w:rsidRPr="004E3FE9">
        <w:rPr>
          <w:rFonts w:ascii="Times New Roman" w:hAnsi="Times New Roman" w:cs="Times New Roman"/>
          <w:sz w:val="28"/>
          <w:szCs w:val="28"/>
          <w:lang w:val="uk-UA"/>
        </w:rPr>
        <w:t xml:space="preserve"> протеїнурії та покращання гістологічної картини нирок [</w:t>
      </w:r>
      <w:r w:rsidR="00DF64EC" w:rsidRPr="004E3FE9">
        <w:rPr>
          <w:rFonts w:ascii="Times New Roman" w:hAnsi="Times New Roman" w:cs="Times New Roman"/>
          <w:sz w:val="28"/>
          <w:szCs w:val="28"/>
          <w:lang w:val="uk-UA"/>
        </w:rPr>
        <w:t>115, 138</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Як альтернативний метод призупинення імунопатологічного процесу при важкому перебігу ГВ застосовують процедуру плазмаферезу [</w:t>
      </w:r>
      <w:r w:rsidR="00DF64EC" w:rsidRPr="004E3FE9">
        <w:rPr>
          <w:rFonts w:ascii="Times New Roman" w:hAnsi="Times New Roman" w:cs="Times New Roman"/>
          <w:sz w:val="28"/>
          <w:szCs w:val="28"/>
          <w:lang w:val="uk-UA"/>
        </w:rPr>
        <w:t>153</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Також існує ряд методів лікування, які з успіхом застосовані різними науковцями в невеликих групах хворих на ГВ, а саме: </w:t>
      </w:r>
      <w:r w:rsidR="00717BBE" w:rsidRPr="004E3FE9">
        <w:rPr>
          <w:rFonts w:ascii="Times New Roman" w:hAnsi="Times New Roman" w:cs="Times New Roman"/>
          <w:sz w:val="28"/>
          <w:szCs w:val="28"/>
          <w:lang w:val="uk-UA"/>
        </w:rPr>
        <w:t>використання</w:t>
      </w:r>
      <w:r w:rsidRPr="004E3FE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lastRenderedPageBreak/>
        <w:t>внутрішньовенного імуноглобуліну, комбін</w:t>
      </w:r>
      <w:r w:rsidR="00717BBE" w:rsidRPr="004E3FE9">
        <w:rPr>
          <w:rFonts w:ascii="Times New Roman" w:hAnsi="Times New Roman" w:cs="Times New Roman"/>
          <w:sz w:val="28"/>
          <w:szCs w:val="28"/>
          <w:lang w:val="uk-UA"/>
        </w:rPr>
        <w:t>ація</w:t>
      </w:r>
      <w:r w:rsidRPr="004E3FE9">
        <w:rPr>
          <w:rFonts w:ascii="Times New Roman" w:hAnsi="Times New Roman" w:cs="Times New Roman"/>
          <w:sz w:val="28"/>
          <w:szCs w:val="28"/>
          <w:lang w:val="uk-UA"/>
        </w:rPr>
        <w:t xml:space="preserve"> імуносупресорів та антитромботичної терапії, тонзилектомії, ритуксимаба та мофетила мікофенолата [</w:t>
      </w:r>
      <w:r w:rsidR="00DF64EC" w:rsidRPr="004E3FE9">
        <w:rPr>
          <w:rFonts w:ascii="Times New Roman" w:hAnsi="Times New Roman" w:cs="Times New Roman"/>
          <w:sz w:val="28"/>
          <w:szCs w:val="28"/>
          <w:lang w:val="uk-UA"/>
        </w:rPr>
        <w:t>89, 90, 112, 117</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Таким чином, ГВ – це системний васкуліт, який притаманний дитячому віку і в більшості випадків зі сприятливим результатом лікування. Проте, існує певна частина хворих </w:t>
      </w:r>
      <w:r w:rsidR="00717BBE" w:rsidRPr="004E3FE9">
        <w:rPr>
          <w:rFonts w:ascii="Times New Roman" w:hAnsi="Times New Roman" w:cs="Times New Roman"/>
          <w:sz w:val="28"/>
          <w:szCs w:val="28"/>
          <w:lang w:val="uk-UA"/>
        </w:rPr>
        <w:t>і</w:t>
      </w:r>
      <w:r w:rsidRPr="004E3FE9">
        <w:rPr>
          <w:rFonts w:ascii="Times New Roman" w:hAnsi="Times New Roman" w:cs="Times New Roman"/>
          <w:sz w:val="28"/>
          <w:szCs w:val="28"/>
          <w:lang w:val="uk-UA"/>
        </w:rPr>
        <w:t xml:space="preserve">з залученням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патологічний процес нирок, подальшим розвиненням </w:t>
      </w:r>
      <w:r w:rsidR="00717BBE" w:rsidRPr="004E3FE9">
        <w:rPr>
          <w:rFonts w:ascii="Times New Roman" w:hAnsi="Times New Roman" w:cs="Times New Roman"/>
          <w:sz w:val="28"/>
          <w:szCs w:val="28"/>
          <w:lang w:val="uk-UA"/>
        </w:rPr>
        <w:t>ХНН</w:t>
      </w:r>
      <w:r w:rsidRPr="004E3FE9">
        <w:rPr>
          <w:rFonts w:ascii="Times New Roman" w:hAnsi="Times New Roman" w:cs="Times New Roman"/>
          <w:sz w:val="28"/>
          <w:szCs w:val="28"/>
          <w:lang w:val="uk-UA"/>
        </w:rPr>
        <w:t xml:space="preserve">,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тому числі </w:t>
      </w:r>
      <w:r w:rsidR="00717BBE"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термінальної стадії, які потребують тривалого діалізу та трансплантації нирки.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119A">
      <w:pPr>
        <w:pStyle w:val="2"/>
        <w:spacing w:line="360" w:lineRule="auto"/>
        <w:rPr>
          <w:rFonts w:ascii="Times New Roman" w:hAnsi="Times New Roman" w:cs="Times New Roman"/>
          <w:color w:val="000000" w:themeColor="text1"/>
          <w:sz w:val="28"/>
          <w:szCs w:val="28"/>
          <w:lang w:val="uk-UA"/>
        </w:rPr>
      </w:pPr>
      <w:bookmarkStart w:id="5" w:name="_Toc465797602"/>
      <w:r w:rsidRPr="004E3FE9">
        <w:rPr>
          <w:rFonts w:ascii="Times New Roman" w:hAnsi="Times New Roman" w:cs="Times New Roman"/>
          <w:color w:val="000000" w:themeColor="text1"/>
          <w:sz w:val="28"/>
          <w:szCs w:val="28"/>
          <w:lang w:val="uk-UA"/>
        </w:rPr>
        <w:t>1.2</w:t>
      </w:r>
      <w:r w:rsidR="00717BBE" w:rsidRPr="004E3FE9">
        <w:rPr>
          <w:rFonts w:ascii="Times New Roman" w:hAnsi="Times New Roman" w:cs="Times New Roman"/>
          <w:color w:val="000000" w:themeColor="text1"/>
          <w:sz w:val="28"/>
          <w:szCs w:val="28"/>
          <w:lang w:val="uk-UA"/>
        </w:rPr>
        <w:t>.</w:t>
      </w:r>
      <w:r w:rsidRPr="004E3FE9">
        <w:rPr>
          <w:rFonts w:ascii="Times New Roman" w:hAnsi="Times New Roman" w:cs="Times New Roman"/>
          <w:color w:val="000000" w:themeColor="text1"/>
          <w:sz w:val="28"/>
          <w:szCs w:val="28"/>
          <w:lang w:val="uk-UA"/>
        </w:rPr>
        <w:t xml:space="preserve"> Сучасний погляд на функцію ендотелію.</w:t>
      </w:r>
      <w:bookmarkEnd w:id="5"/>
    </w:p>
    <w:p w:rsidR="00BB51E4" w:rsidRPr="004E3FE9" w:rsidRDefault="00BB51E4" w:rsidP="00BB51E4">
      <w:pPr>
        <w:rPr>
          <w:lang w:val="uk-UA"/>
        </w:rPr>
      </w:pPr>
    </w:p>
    <w:p w:rsidR="00BD0BF2" w:rsidRPr="004E3FE9" w:rsidRDefault="00BD0BF2" w:rsidP="00BD119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Дослідження останніх 10-15 років істотно змінили уявлення про роль ендотелію судин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загальному гомеостазі. З’ясувалось, що ендотелій синтезує велику кількість біологічно активних речовин, які грають важливу роль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багатьох процесах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нормі </w:t>
      </w:r>
      <w:r w:rsidR="00717BBE" w:rsidRPr="004E3FE9">
        <w:rPr>
          <w:rFonts w:ascii="Times New Roman" w:hAnsi="Times New Roman" w:cs="Times New Roman"/>
          <w:sz w:val="28"/>
          <w:szCs w:val="28"/>
          <w:lang w:val="uk-UA"/>
        </w:rPr>
        <w:t>та</w:t>
      </w:r>
      <w:r w:rsidRPr="004E3FE9">
        <w:rPr>
          <w:rFonts w:ascii="Times New Roman" w:hAnsi="Times New Roman" w:cs="Times New Roman"/>
          <w:sz w:val="28"/>
          <w:szCs w:val="28"/>
          <w:lang w:val="uk-UA"/>
        </w:rPr>
        <w:t xml:space="preserve"> патології (гемодинаміці, гемостазі, імунних реакціях, регенерації та ін.) [</w:t>
      </w:r>
      <w:r w:rsidR="006A020A" w:rsidRPr="004E3FE9">
        <w:rPr>
          <w:rFonts w:ascii="Times New Roman" w:hAnsi="Times New Roman" w:cs="Times New Roman"/>
          <w:sz w:val="28"/>
          <w:szCs w:val="28"/>
          <w:lang w:val="uk-UA"/>
        </w:rPr>
        <w:t>64</w:t>
      </w:r>
      <w:r w:rsidRPr="004E3FE9">
        <w:rPr>
          <w:rFonts w:ascii="Times New Roman" w:hAnsi="Times New Roman" w:cs="Times New Roman"/>
          <w:sz w:val="28"/>
          <w:szCs w:val="28"/>
          <w:lang w:val="uk-UA"/>
        </w:rPr>
        <w:t xml:space="preserve">]. </w:t>
      </w:r>
    </w:p>
    <w:p w:rsidR="00BD0BF2" w:rsidRPr="004E3FE9" w:rsidRDefault="00BD0BF2" w:rsidP="00BD119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w:t>
      </w:r>
      <w:r w:rsidR="00717BBE" w:rsidRPr="004E3FE9">
        <w:rPr>
          <w:rFonts w:ascii="Times New Roman" w:hAnsi="Times New Roman" w:cs="Times New Roman"/>
          <w:sz w:val="28"/>
          <w:szCs w:val="28"/>
          <w:lang w:val="uk-UA"/>
        </w:rPr>
        <w:t xml:space="preserve">удинний ендотелій – </w:t>
      </w:r>
      <w:r w:rsidRPr="004E3FE9">
        <w:rPr>
          <w:rFonts w:ascii="Times New Roman" w:hAnsi="Times New Roman" w:cs="Times New Roman"/>
          <w:sz w:val="28"/>
          <w:szCs w:val="28"/>
          <w:lang w:val="uk-UA"/>
        </w:rPr>
        <w:t xml:space="preserve">це не просто напівпроникний бар'єр між кров`ю і тканинами, а найбільший активний ендокринний орган, </w:t>
      </w:r>
      <w:r w:rsidR="00717BBE" w:rsidRPr="004E3FE9">
        <w:rPr>
          <w:rFonts w:ascii="Times New Roman" w:hAnsi="Times New Roman" w:cs="Times New Roman"/>
          <w:sz w:val="28"/>
          <w:szCs w:val="28"/>
          <w:lang w:val="uk-UA"/>
        </w:rPr>
        <w:t xml:space="preserve">що </w:t>
      </w:r>
      <w:r w:rsidRPr="004E3FE9">
        <w:rPr>
          <w:rFonts w:ascii="Times New Roman" w:hAnsi="Times New Roman" w:cs="Times New Roman"/>
          <w:sz w:val="28"/>
          <w:szCs w:val="28"/>
          <w:lang w:val="uk-UA"/>
        </w:rPr>
        <w:t>дифузно розсіяний по всіх тканинах. Збалансоване виділення ендотелієм різних регуляторних речовин (дилататорних і констрикторних, агрегантних і дезагрегантних, тромботичних і антикоагулянтних, ангіогенних та ін.) і визначає цілісну роботу системи кровообігу [</w:t>
      </w:r>
      <w:r w:rsidR="006A020A" w:rsidRPr="004E3FE9">
        <w:rPr>
          <w:rFonts w:ascii="Times New Roman" w:hAnsi="Times New Roman" w:cs="Times New Roman"/>
          <w:sz w:val="28"/>
          <w:szCs w:val="28"/>
          <w:lang w:val="uk-UA"/>
        </w:rPr>
        <w:t>64</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При фізіологічних умовах ендотелій виконує ряд важливих функцій. Так, він грає ключову роль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забезпеченні гемостатичного балансу шляхом збереження реологічних властивостей крові та запобігання тромбоутворення.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сі речовини, які секретуються ендотелієм і беруть участь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гемостазі </w:t>
      </w:r>
      <w:r w:rsidR="00717BBE"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тромбозі, можна, певною мірою</w:t>
      </w:r>
      <w:r w:rsidR="00717BBE" w:rsidRPr="004E3FE9">
        <w:rPr>
          <w:rFonts w:ascii="Times New Roman" w:hAnsi="Times New Roman" w:cs="Times New Roman"/>
          <w:sz w:val="28"/>
          <w:szCs w:val="28"/>
          <w:lang w:val="uk-UA"/>
        </w:rPr>
        <w:t xml:space="preserve">, умовно, розділити на дві групи: </w:t>
      </w:r>
      <w:r w:rsidRPr="004E3FE9">
        <w:rPr>
          <w:rFonts w:ascii="Times New Roman" w:hAnsi="Times New Roman" w:cs="Times New Roman"/>
          <w:sz w:val="28"/>
          <w:szCs w:val="28"/>
          <w:lang w:val="uk-UA"/>
        </w:rPr>
        <w:t xml:space="preserve">тромбогенні та атромбогенні. До речовин, що індукують адгезію і агрегацію тромбоцитів, відносяться фактор Віллебранда, фактор активації тромбоцитів, </w:t>
      </w:r>
      <w:r w:rsidRPr="004E3FE9">
        <w:rPr>
          <w:rFonts w:ascii="Times New Roman" w:hAnsi="Times New Roman" w:cs="Times New Roman"/>
          <w:sz w:val="28"/>
          <w:szCs w:val="28"/>
          <w:lang w:val="uk-UA"/>
        </w:rPr>
        <w:lastRenderedPageBreak/>
        <w:t>аденозиндифосфорна кислота, тромбоксан А2. Адгезія тромбоцитів до ендотелію і субендотеліального</w:t>
      </w:r>
      <w:r w:rsidR="00717BBE" w:rsidRPr="004E3FE9">
        <w:rPr>
          <w:rFonts w:ascii="Times New Roman" w:hAnsi="Times New Roman" w:cs="Times New Roman"/>
          <w:sz w:val="28"/>
          <w:szCs w:val="28"/>
          <w:lang w:val="uk-UA"/>
        </w:rPr>
        <w:t xml:space="preserve"> матриксу – </w:t>
      </w:r>
      <w:r w:rsidRPr="004E3FE9">
        <w:rPr>
          <w:rFonts w:ascii="Times New Roman" w:hAnsi="Times New Roman" w:cs="Times New Roman"/>
          <w:sz w:val="28"/>
          <w:szCs w:val="28"/>
          <w:lang w:val="uk-UA"/>
        </w:rPr>
        <w:t xml:space="preserve">початковий етап гемостазу </w:t>
      </w:r>
      <w:r w:rsidR="00717BBE"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тромбозу. У нормі адгезії тромбоцитів до непошкодженого ендотелію не відбувається, а в умовах патології адгезія обмежується, як правило, зоною, прилеглої до області ушкодження судинної стінки. Це пов'язано з утворенням ендотеліальними клітинами простацикліну, N</w:t>
      </w:r>
      <w:r w:rsidR="00AD3587">
        <w:rPr>
          <w:rFonts w:ascii="Times New Roman" w:hAnsi="Times New Roman" w:cs="Times New Roman"/>
          <w:sz w:val="28"/>
          <w:szCs w:val="28"/>
          <w:lang w:val="uk-UA"/>
        </w:rPr>
        <w:t>О</w:t>
      </w:r>
      <w:r w:rsidRPr="004E3FE9">
        <w:rPr>
          <w:rFonts w:ascii="Times New Roman" w:hAnsi="Times New Roman" w:cs="Times New Roman"/>
          <w:sz w:val="28"/>
          <w:szCs w:val="28"/>
          <w:lang w:val="uk-UA"/>
        </w:rPr>
        <w:t xml:space="preserve">, екто-АДФази </w:t>
      </w:r>
      <w:r w:rsidR="00717BBE" w:rsidRPr="004E3FE9">
        <w:rPr>
          <w:rFonts w:ascii="Times New Roman" w:hAnsi="Times New Roman" w:cs="Times New Roman"/>
          <w:sz w:val="28"/>
          <w:szCs w:val="28"/>
          <w:lang w:val="uk-UA"/>
        </w:rPr>
        <w:t>та</w:t>
      </w:r>
      <w:r w:rsidRPr="004E3FE9">
        <w:rPr>
          <w:rFonts w:ascii="Times New Roman" w:hAnsi="Times New Roman" w:cs="Times New Roman"/>
          <w:sz w:val="28"/>
          <w:szCs w:val="28"/>
          <w:lang w:val="uk-UA"/>
        </w:rPr>
        <w:t xml:space="preserve"> інших чинників, </w:t>
      </w:r>
      <w:r w:rsidR="00717BBE" w:rsidRPr="004E3FE9">
        <w:rPr>
          <w:rFonts w:ascii="Times New Roman" w:hAnsi="Times New Roman" w:cs="Times New Roman"/>
          <w:sz w:val="28"/>
          <w:szCs w:val="28"/>
          <w:lang w:val="uk-UA"/>
        </w:rPr>
        <w:t>які</w:t>
      </w:r>
      <w:r w:rsidRPr="004E3FE9">
        <w:rPr>
          <w:rFonts w:ascii="Times New Roman" w:hAnsi="Times New Roman" w:cs="Times New Roman"/>
          <w:sz w:val="28"/>
          <w:szCs w:val="28"/>
          <w:lang w:val="uk-UA"/>
        </w:rPr>
        <w:t xml:space="preserve"> пригнічують адгезію і агрегацію тромбоцитів [</w:t>
      </w:r>
      <w:r w:rsidR="006A020A" w:rsidRPr="004E3FE9">
        <w:rPr>
          <w:rFonts w:ascii="Times New Roman" w:hAnsi="Times New Roman" w:cs="Times New Roman"/>
          <w:sz w:val="28"/>
          <w:szCs w:val="28"/>
          <w:lang w:val="uk-UA"/>
        </w:rPr>
        <w:t>104, 164</w:t>
      </w:r>
      <w:r w:rsidRPr="004E3FE9">
        <w:rPr>
          <w:rFonts w:ascii="Times New Roman" w:hAnsi="Times New Roman" w:cs="Times New Roman"/>
          <w:sz w:val="28"/>
          <w:szCs w:val="28"/>
          <w:lang w:val="uk-UA"/>
        </w:rPr>
        <w:t xml:space="preserve">]. У фізіологічних умовах утворення атромбогенних речовин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ендотелії переважає над утворенням тромбогенних, що забезпечує збереження рідкого стану крові при пошкодженнях судинної стінки. Секреція атромбогенних речовин визначає тромборезистентність кровоносних судин [</w:t>
      </w:r>
      <w:r w:rsidR="00F1221C" w:rsidRPr="004E3FE9">
        <w:rPr>
          <w:rFonts w:ascii="Times New Roman" w:hAnsi="Times New Roman" w:cs="Times New Roman"/>
          <w:sz w:val="28"/>
          <w:szCs w:val="28"/>
          <w:lang w:val="uk-UA"/>
        </w:rPr>
        <w:t>53</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Ендотеліальні клітини відіграють важливу регуляторну роль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кровообігу не тільки як фізичний бар’єр, але й як джерело різноманітних регулюючих речовин. Деякі речовини можуть викликати гіперполяризацію клітин гладкої мускулатури. За своєю дією вазоактивні речовини діляться на вазоконстриктори і вазодилататори. Однак не всі вазоактивні речовини можна чі</w:t>
      </w:r>
      <w:r w:rsidR="00717BBE" w:rsidRPr="004E3FE9">
        <w:rPr>
          <w:rFonts w:ascii="Times New Roman" w:hAnsi="Times New Roman" w:cs="Times New Roman"/>
          <w:sz w:val="28"/>
          <w:szCs w:val="28"/>
          <w:lang w:val="uk-UA"/>
        </w:rPr>
        <w:t>тко віднести до зазначених груп.</w:t>
      </w:r>
      <w:r w:rsidRPr="004E3FE9">
        <w:rPr>
          <w:rFonts w:ascii="Times New Roman" w:hAnsi="Times New Roman" w:cs="Times New Roman"/>
          <w:sz w:val="28"/>
          <w:szCs w:val="28"/>
          <w:lang w:val="uk-UA"/>
        </w:rPr>
        <w:t xml:space="preserve"> </w:t>
      </w:r>
      <w:r w:rsidR="00717BBE" w:rsidRPr="004E3FE9">
        <w:rPr>
          <w:rFonts w:ascii="Times New Roman" w:hAnsi="Times New Roman" w:cs="Times New Roman"/>
          <w:sz w:val="28"/>
          <w:szCs w:val="28"/>
          <w:lang w:val="uk-UA"/>
        </w:rPr>
        <w:t>По</w:t>
      </w:r>
      <w:r w:rsidRPr="004E3FE9">
        <w:rPr>
          <w:rFonts w:ascii="Times New Roman" w:hAnsi="Times New Roman" w:cs="Times New Roman"/>
          <w:sz w:val="28"/>
          <w:szCs w:val="28"/>
          <w:lang w:val="uk-UA"/>
        </w:rPr>
        <w:t>-перше, для ряду речовин існує кілька типів рецепторів: через одні з них опосередковуються судинозвужувальні, а через інші – вазодилататорні</w:t>
      </w:r>
      <w:r w:rsidR="00717BBE" w:rsidRPr="004E3FE9">
        <w:rPr>
          <w:rFonts w:ascii="Times New Roman" w:hAnsi="Times New Roman" w:cs="Times New Roman"/>
          <w:sz w:val="28"/>
          <w:szCs w:val="28"/>
          <w:lang w:val="uk-UA"/>
        </w:rPr>
        <w:t xml:space="preserve"> ефекти.</w:t>
      </w:r>
      <w:r w:rsidRPr="004E3FE9">
        <w:rPr>
          <w:rFonts w:ascii="Times New Roman" w:hAnsi="Times New Roman" w:cs="Times New Roman"/>
          <w:sz w:val="28"/>
          <w:szCs w:val="28"/>
          <w:lang w:val="uk-UA"/>
        </w:rPr>
        <w:t xml:space="preserve"> </w:t>
      </w:r>
      <w:r w:rsidR="00717BBE" w:rsidRPr="004E3FE9">
        <w:rPr>
          <w:rFonts w:ascii="Times New Roman" w:hAnsi="Times New Roman" w:cs="Times New Roman"/>
          <w:sz w:val="28"/>
          <w:szCs w:val="28"/>
          <w:lang w:val="uk-UA"/>
        </w:rPr>
        <w:t>К</w:t>
      </w:r>
      <w:r w:rsidRPr="004E3FE9">
        <w:rPr>
          <w:rFonts w:ascii="Times New Roman" w:hAnsi="Times New Roman" w:cs="Times New Roman"/>
          <w:sz w:val="28"/>
          <w:szCs w:val="28"/>
          <w:lang w:val="uk-UA"/>
        </w:rPr>
        <w:t xml:space="preserve">рім того, активація рецепторів одного типу, розташованих на ендотелії </w:t>
      </w:r>
      <w:r w:rsidR="00717BBE"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на клітинах гладеньких м'язів судин, нерідко обумовлює протилежний</w:t>
      </w:r>
      <w:r w:rsidR="00717BBE" w:rsidRPr="004E3FE9">
        <w:rPr>
          <w:rFonts w:ascii="Times New Roman" w:hAnsi="Times New Roman" w:cs="Times New Roman"/>
          <w:sz w:val="28"/>
          <w:szCs w:val="28"/>
          <w:lang w:val="uk-UA"/>
        </w:rPr>
        <w:t xml:space="preserve"> ефект.</w:t>
      </w:r>
      <w:r w:rsidRPr="004E3FE9">
        <w:rPr>
          <w:rFonts w:ascii="Times New Roman" w:hAnsi="Times New Roman" w:cs="Times New Roman"/>
          <w:sz w:val="28"/>
          <w:szCs w:val="28"/>
          <w:lang w:val="uk-UA"/>
        </w:rPr>
        <w:t xml:space="preserve"> </w:t>
      </w:r>
      <w:r w:rsidR="00717BBE" w:rsidRPr="004E3FE9">
        <w:rPr>
          <w:rFonts w:ascii="Times New Roman" w:hAnsi="Times New Roman" w:cs="Times New Roman"/>
          <w:sz w:val="28"/>
          <w:szCs w:val="28"/>
          <w:lang w:val="uk-UA"/>
        </w:rPr>
        <w:t>П</w:t>
      </w:r>
      <w:r w:rsidRPr="004E3FE9">
        <w:rPr>
          <w:rFonts w:ascii="Times New Roman" w:hAnsi="Times New Roman" w:cs="Times New Roman"/>
          <w:sz w:val="28"/>
          <w:szCs w:val="28"/>
          <w:lang w:val="uk-UA"/>
        </w:rPr>
        <w:t xml:space="preserve">о-друге, </w:t>
      </w:r>
      <w:r w:rsidR="00717BBE"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судинах безперервно реалізується принцип антагоністичної регуляції, оскільки вплив судинозвужувальних чинників майже завжди супроводжується одночасною стимуляцією утворення </w:t>
      </w:r>
      <w:r w:rsidR="00717BBE" w:rsidRPr="004E3FE9">
        <w:rPr>
          <w:rFonts w:ascii="Times New Roman" w:hAnsi="Times New Roman" w:cs="Times New Roman"/>
          <w:sz w:val="28"/>
          <w:szCs w:val="28"/>
          <w:lang w:val="uk-UA"/>
        </w:rPr>
        <w:t>вазодилатуючих</w:t>
      </w:r>
      <w:r w:rsidRPr="004E3FE9">
        <w:rPr>
          <w:rFonts w:ascii="Times New Roman" w:hAnsi="Times New Roman" w:cs="Times New Roman"/>
          <w:sz w:val="28"/>
          <w:szCs w:val="28"/>
          <w:lang w:val="uk-UA"/>
        </w:rPr>
        <w:t xml:space="preserve"> речовин [</w:t>
      </w:r>
      <w:r w:rsidR="00F1221C" w:rsidRPr="004E3FE9">
        <w:rPr>
          <w:rFonts w:ascii="Times New Roman" w:hAnsi="Times New Roman" w:cs="Times New Roman"/>
          <w:sz w:val="28"/>
          <w:szCs w:val="28"/>
          <w:lang w:val="uk-UA"/>
        </w:rPr>
        <w:t>72</w:t>
      </w:r>
      <w:r w:rsidRPr="004E3FE9">
        <w:rPr>
          <w:rFonts w:ascii="Times New Roman" w:hAnsi="Times New Roman" w:cs="Times New Roman"/>
          <w:sz w:val="28"/>
          <w:szCs w:val="28"/>
          <w:lang w:val="uk-UA"/>
        </w:rPr>
        <w:t>, 8</w:t>
      </w:r>
      <w:r w:rsidR="00F1221C" w:rsidRPr="004E3FE9">
        <w:rPr>
          <w:rFonts w:ascii="Times New Roman" w:hAnsi="Times New Roman" w:cs="Times New Roman"/>
          <w:sz w:val="28"/>
          <w:szCs w:val="28"/>
          <w:lang w:val="uk-UA"/>
        </w:rPr>
        <w:t>1</w:t>
      </w:r>
      <w:r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Ендотеліальні клітини також є джерелом інгібіторів і активаторів росту, таких як гепарин і гепарину сульфат, фактор росту тромбоцитів і тромбоспондин. Неоангіогенез спостерігається в умовах гіпоксії, </w:t>
      </w:r>
      <w:r w:rsidR="00717BBE" w:rsidRPr="004E3FE9">
        <w:rPr>
          <w:rFonts w:ascii="Times New Roman" w:hAnsi="Times New Roman" w:cs="Times New Roman"/>
          <w:sz w:val="28"/>
          <w:szCs w:val="28"/>
          <w:lang w:val="uk-UA"/>
        </w:rPr>
        <w:t>під час загоєння</w:t>
      </w:r>
      <w:r w:rsidRPr="004E3FE9">
        <w:rPr>
          <w:rFonts w:ascii="Times New Roman" w:hAnsi="Times New Roman" w:cs="Times New Roman"/>
          <w:sz w:val="28"/>
          <w:szCs w:val="28"/>
          <w:lang w:val="uk-UA"/>
        </w:rPr>
        <w:t xml:space="preserve"> ран і нерідко супроводжує запалення. Одним з головних умов ангіогенезу є підвищення проникності ендотелію, що пов'язують переважно з </w:t>
      </w:r>
      <w:r w:rsidRPr="004E3FE9">
        <w:rPr>
          <w:rFonts w:ascii="Times New Roman" w:hAnsi="Times New Roman" w:cs="Times New Roman"/>
          <w:sz w:val="28"/>
          <w:szCs w:val="28"/>
          <w:lang w:val="uk-UA"/>
        </w:rPr>
        <w:lastRenderedPageBreak/>
        <w:t>діє</w:t>
      </w:r>
      <w:r w:rsidR="00AD3587">
        <w:rPr>
          <w:rFonts w:ascii="Times New Roman" w:hAnsi="Times New Roman" w:cs="Times New Roman"/>
          <w:sz w:val="28"/>
          <w:szCs w:val="28"/>
          <w:lang w:val="uk-UA"/>
        </w:rPr>
        <w:t>ю NО</w:t>
      </w:r>
      <w:r w:rsidRPr="004E3FE9">
        <w:rPr>
          <w:rFonts w:ascii="Times New Roman" w:hAnsi="Times New Roman" w:cs="Times New Roman"/>
          <w:sz w:val="28"/>
          <w:szCs w:val="28"/>
          <w:lang w:val="uk-UA"/>
        </w:rPr>
        <w:t>. Підвищення проникності судин необхідно для виходу білків плазми крові, і в</w:t>
      </w:r>
      <w:r w:rsidR="00717BBE"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першу чергу</w:t>
      </w:r>
      <w:r w:rsidR="00717BBE"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фібриногену, що призводить до утворення фібринової основи для подальшої міграції ендотеліоцитів. Головним механізмом регуляції процесів неоангіогенезу є вивільнення ангіогенних </w:t>
      </w:r>
      <w:r w:rsidR="00717BBE" w:rsidRPr="004E3FE9">
        <w:rPr>
          <w:rFonts w:ascii="Times New Roman" w:hAnsi="Times New Roman" w:cs="Times New Roman"/>
          <w:sz w:val="28"/>
          <w:szCs w:val="28"/>
          <w:lang w:val="uk-UA"/>
        </w:rPr>
        <w:t>чинників</w:t>
      </w:r>
      <w:r w:rsidRPr="004E3FE9">
        <w:rPr>
          <w:rFonts w:ascii="Times New Roman" w:hAnsi="Times New Roman" w:cs="Times New Roman"/>
          <w:sz w:val="28"/>
          <w:szCs w:val="28"/>
          <w:lang w:val="uk-UA"/>
        </w:rPr>
        <w:t xml:space="preserve">, джерелами яких можуть бути ендотеліальні клітини, опасисті клітини, макрофаги та інші клітини. Під дією ангіогенних факторів росту </w:t>
      </w:r>
      <w:r w:rsidR="00717BBE"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цитокінів відбувається активація проліферації ендотеліоцитів, яка завершується їх диференціюванням і подальшим «дозріванням» судини або її ремоделюванням, після чого знову сформована судина набуває стабільний стан</w:t>
      </w:r>
      <w:r w:rsidR="005450D4" w:rsidRPr="004E3FE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F1221C" w:rsidRPr="004E3FE9">
        <w:rPr>
          <w:rFonts w:ascii="Times New Roman" w:hAnsi="Times New Roman" w:cs="Times New Roman"/>
          <w:sz w:val="28"/>
          <w:szCs w:val="28"/>
          <w:lang w:val="uk-UA"/>
        </w:rPr>
        <w:t>134</w:t>
      </w:r>
      <w:r w:rsidRPr="004E3FE9">
        <w:rPr>
          <w:rFonts w:ascii="Times New Roman" w:hAnsi="Times New Roman" w:cs="Times New Roman"/>
          <w:sz w:val="28"/>
          <w:szCs w:val="28"/>
          <w:lang w:val="uk-UA"/>
        </w:rPr>
        <w:t>]</w:t>
      </w:r>
      <w:r w:rsidR="005450D4"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«Стратегічне» розташування ендотеліальних клітин обумовлює той факт, що вони першими залучаються до різних патологічних процесів. При порушенні функції або структури ендотелію різко змінюється спектр біологічно активних речовин, які він утворює. При несприятливих умовах (гіпоксія, порушення обміну речовин, атеросклероз і т. п.) ендотелій становиться ініціатором багатьох патологічних процесів </w:t>
      </w:r>
      <w:r w:rsidR="005450D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організмі [</w:t>
      </w:r>
      <w:r w:rsidR="00F1221C" w:rsidRPr="004E3FE9">
        <w:rPr>
          <w:rFonts w:ascii="Times New Roman" w:hAnsi="Times New Roman" w:cs="Times New Roman"/>
          <w:sz w:val="28"/>
          <w:szCs w:val="28"/>
          <w:lang w:val="uk-UA"/>
        </w:rPr>
        <w:t>64</w:t>
      </w:r>
      <w:r w:rsidRPr="004E3FE9">
        <w:rPr>
          <w:rFonts w:ascii="Times New Roman" w:hAnsi="Times New Roman" w:cs="Times New Roman"/>
          <w:sz w:val="28"/>
          <w:szCs w:val="28"/>
          <w:lang w:val="uk-UA"/>
        </w:rPr>
        <w:t xml:space="preserve">, </w:t>
      </w:r>
      <w:r w:rsidR="00F1221C" w:rsidRPr="004E3FE9">
        <w:rPr>
          <w:rFonts w:ascii="Times New Roman" w:hAnsi="Times New Roman" w:cs="Times New Roman"/>
          <w:sz w:val="28"/>
          <w:szCs w:val="28"/>
          <w:lang w:val="uk-UA"/>
        </w:rPr>
        <w:t>142</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Таким чином, широкий спектр ендотеліальних функцій і різноманітність речовин</w:t>
      </w:r>
      <w:r w:rsidR="005450D4" w:rsidRPr="004E3FE9">
        <w:rPr>
          <w:rFonts w:ascii="Times New Roman" w:hAnsi="Times New Roman" w:cs="Times New Roman"/>
          <w:sz w:val="28"/>
          <w:szCs w:val="28"/>
          <w:lang w:val="uk-UA"/>
        </w:rPr>
        <w:t>, які секретуються,</w:t>
      </w:r>
      <w:r w:rsidRPr="004E3FE9">
        <w:rPr>
          <w:rFonts w:ascii="Times New Roman" w:hAnsi="Times New Roman" w:cs="Times New Roman"/>
          <w:sz w:val="28"/>
          <w:szCs w:val="28"/>
          <w:lang w:val="uk-UA"/>
        </w:rPr>
        <w:t xml:space="preserve"> дозволяють підійти до діагностики функції ендотелію з різних </w:t>
      </w:r>
      <w:r w:rsidR="005450D4" w:rsidRPr="004E3FE9">
        <w:rPr>
          <w:rFonts w:ascii="Times New Roman" w:hAnsi="Times New Roman" w:cs="Times New Roman"/>
          <w:sz w:val="28"/>
          <w:szCs w:val="28"/>
          <w:lang w:val="uk-UA"/>
        </w:rPr>
        <w:t>напрямків</w:t>
      </w:r>
      <w:r w:rsidRPr="004E3FE9">
        <w:rPr>
          <w:rFonts w:ascii="Times New Roman" w:hAnsi="Times New Roman" w:cs="Times New Roman"/>
          <w:sz w:val="28"/>
          <w:szCs w:val="28"/>
          <w:lang w:val="uk-UA"/>
        </w:rPr>
        <w:t>. Методи оцінки функції ендотелію можна розділити на 3 основні групи: біохімічні маркери, інвазивні та неінвазивні методи [</w:t>
      </w:r>
      <w:r w:rsidR="00F1221C" w:rsidRPr="004E3FE9">
        <w:rPr>
          <w:rFonts w:ascii="Times New Roman" w:hAnsi="Times New Roman" w:cs="Times New Roman"/>
          <w:sz w:val="28"/>
          <w:szCs w:val="28"/>
          <w:lang w:val="uk-UA"/>
        </w:rPr>
        <w:t>1</w:t>
      </w:r>
      <w:r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Найбільш точними методами оцінки функції ендотелію вважаються інвазивні тести, </w:t>
      </w:r>
      <w:r w:rsidR="005450D4" w:rsidRPr="004E3FE9">
        <w:rPr>
          <w:rFonts w:ascii="Times New Roman" w:hAnsi="Times New Roman" w:cs="Times New Roman"/>
          <w:sz w:val="28"/>
          <w:szCs w:val="28"/>
          <w:lang w:val="uk-UA"/>
        </w:rPr>
        <w:t xml:space="preserve">які </w:t>
      </w:r>
      <w:r w:rsidRPr="004E3FE9">
        <w:rPr>
          <w:rFonts w:ascii="Times New Roman" w:hAnsi="Times New Roman" w:cs="Times New Roman"/>
          <w:sz w:val="28"/>
          <w:szCs w:val="28"/>
          <w:lang w:val="uk-UA"/>
        </w:rPr>
        <w:t>пов'язані з введенням до кровотоку вазоактивних препаратів і оцінкою ендотелійзалежних реакцій. Найчастіше в якості фармакологічного діагностичного агента використовується ацет</w:t>
      </w:r>
      <w:r w:rsidR="005450D4" w:rsidRPr="004E3FE9">
        <w:rPr>
          <w:rFonts w:ascii="Times New Roman" w:hAnsi="Times New Roman" w:cs="Times New Roman"/>
          <w:sz w:val="28"/>
          <w:szCs w:val="28"/>
          <w:lang w:val="uk-UA"/>
        </w:rPr>
        <w:t>илхолін. Взаємодіючи з</w:t>
      </w:r>
      <w:r w:rsidRPr="004E3FE9">
        <w:rPr>
          <w:rFonts w:ascii="Times New Roman" w:hAnsi="Times New Roman" w:cs="Times New Roman"/>
          <w:sz w:val="28"/>
          <w:szCs w:val="28"/>
          <w:lang w:val="uk-UA"/>
        </w:rPr>
        <w:t xml:space="preserve"> </w:t>
      </w:r>
      <w:r w:rsidR="005450D4" w:rsidRPr="004E3FE9">
        <w:rPr>
          <w:rFonts w:ascii="Times New Roman" w:hAnsi="Times New Roman" w:cs="Times New Roman"/>
          <w:sz w:val="28"/>
          <w:szCs w:val="28"/>
          <w:lang w:val="uk-UA"/>
        </w:rPr>
        <w:t>непошкодженим</w:t>
      </w:r>
      <w:r w:rsidRPr="004E3FE9">
        <w:rPr>
          <w:rFonts w:ascii="Times New Roman" w:hAnsi="Times New Roman" w:cs="Times New Roman"/>
          <w:sz w:val="28"/>
          <w:szCs w:val="28"/>
          <w:lang w:val="uk-UA"/>
        </w:rPr>
        <w:t xml:space="preserve"> ендотелієм, ацетилхолін стимулює вироблення NO та інших факторів релаксації, викликаючи ендотелійзалежну дилатацію артерії. Якщо функції ендотелію порушені, ацетилхолін викликає або </w:t>
      </w:r>
      <w:r w:rsidR="005450D4" w:rsidRPr="004E3FE9">
        <w:rPr>
          <w:rFonts w:ascii="Times New Roman" w:hAnsi="Times New Roman" w:cs="Times New Roman"/>
          <w:sz w:val="28"/>
          <w:szCs w:val="28"/>
          <w:lang w:val="uk-UA"/>
        </w:rPr>
        <w:t>по</w:t>
      </w:r>
      <w:r w:rsidRPr="004E3FE9">
        <w:rPr>
          <w:rFonts w:ascii="Times New Roman" w:hAnsi="Times New Roman" w:cs="Times New Roman"/>
          <w:sz w:val="28"/>
          <w:szCs w:val="28"/>
          <w:lang w:val="uk-UA"/>
        </w:rPr>
        <w:t xml:space="preserve">слаблену, або </w:t>
      </w:r>
      <w:r w:rsidR="005450D4" w:rsidRPr="004E3FE9">
        <w:rPr>
          <w:rFonts w:ascii="Times New Roman" w:hAnsi="Times New Roman" w:cs="Times New Roman"/>
          <w:sz w:val="28"/>
          <w:szCs w:val="28"/>
          <w:lang w:val="uk-UA"/>
        </w:rPr>
        <w:t>парадоксальну</w:t>
      </w:r>
      <w:r w:rsidRPr="004E3FE9">
        <w:rPr>
          <w:rFonts w:ascii="Times New Roman" w:hAnsi="Times New Roman" w:cs="Times New Roman"/>
          <w:sz w:val="28"/>
          <w:szCs w:val="28"/>
          <w:lang w:val="uk-UA"/>
        </w:rPr>
        <w:t xml:space="preserve"> (констрикція) реакцію. Реакція судин на ацетилхолін є показником стану ендотелію судин </w:t>
      </w:r>
      <w:r w:rsidR="005450D4" w:rsidRPr="004E3FE9">
        <w:rPr>
          <w:rFonts w:ascii="Times New Roman" w:hAnsi="Times New Roman" w:cs="Times New Roman"/>
          <w:sz w:val="28"/>
          <w:szCs w:val="28"/>
          <w:lang w:val="uk-UA"/>
        </w:rPr>
        <w:t>та</w:t>
      </w:r>
      <w:r w:rsidRPr="004E3FE9">
        <w:rPr>
          <w:rFonts w:ascii="Times New Roman" w:hAnsi="Times New Roman" w:cs="Times New Roman"/>
          <w:sz w:val="28"/>
          <w:szCs w:val="28"/>
          <w:lang w:val="uk-UA"/>
        </w:rPr>
        <w:t xml:space="preserve"> використовується в </w:t>
      </w:r>
      <w:r w:rsidRPr="004E3FE9">
        <w:rPr>
          <w:rFonts w:ascii="Times New Roman" w:hAnsi="Times New Roman" w:cs="Times New Roman"/>
          <w:sz w:val="28"/>
          <w:szCs w:val="28"/>
          <w:lang w:val="uk-UA"/>
        </w:rPr>
        <w:lastRenderedPageBreak/>
        <w:t>якості тесту його функціонального стану [</w:t>
      </w:r>
      <w:r w:rsidR="00F1221C" w:rsidRPr="004E3FE9">
        <w:rPr>
          <w:rFonts w:ascii="Times New Roman" w:hAnsi="Times New Roman" w:cs="Times New Roman"/>
          <w:sz w:val="28"/>
          <w:szCs w:val="28"/>
          <w:lang w:val="uk-UA"/>
        </w:rPr>
        <w:t>101</w:t>
      </w:r>
      <w:r w:rsidRPr="004E3FE9">
        <w:rPr>
          <w:rFonts w:ascii="Times New Roman" w:hAnsi="Times New Roman" w:cs="Times New Roman"/>
          <w:sz w:val="28"/>
          <w:szCs w:val="28"/>
          <w:lang w:val="uk-UA"/>
        </w:rPr>
        <w:t xml:space="preserve">]. Інтракоронарне введення ацетилхоліну в процесі коронарографії з наступною комп'ютерною оцінкою діаметра артерії вважається </w:t>
      </w:r>
      <w:r w:rsidR="005450D4"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золотим стандартом</w:t>
      </w:r>
      <w:r w:rsidR="005450D4"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серед ендотеліальних тестів. В останні роки для підвищення чутливості методики використовується інтракоронарний катетер </w:t>
      </w:r>
      <w:r w:rsidR="005450D4" w:rsidRPr="004E3FE9">
        <w:rPr>
          <w:rFonts w:ascii="Times New Roman" w:hAnsi="Times New Roman" w:cs="Times New Roman"/>
          <w:sz w:val="28"/>
          <w:szCs w:val="28"/>
          <w:lang w:val="uk-UA"/>
        </w:rPr>
        <w:t>і</w:t>
      </w:r>
      <w:r w:rsidRPr="004E3FE9">
        <w:rPr>
          <w:rFonts w:ascii="Times New Roman" w:hAnsi="Times New Roman" w:cs="Times New Roman"/>
          <w:sz w:val="28"/>
          <w:szCs w:val="28"/>
          <w:lang w:val="uk-UA"/>
        </w:rPr>
        <w:t xml:space="preserve">з доплерівським датчиком. За допомогою датчика оцінюється зміна параметрів коронарного кровотоку у відповідь на введення ендотеліального стимулу. Недоліком даної методики є її складність, дорожнеча, </w:t>
      </w:r>
      <w:r w:rsidR="005450D4" w:rsidRPr="004E3FE9">
        <w:rPr>
          <w:rFonts w:ascii="Times New Roman" w:hAnsi="Times New Roman" w:cs="Times New Roman"/>
          <w:sz w:val="28"/>
          <w:szCs w:val="28"/>
          <w:lang w:val="uk-UA"/>
        </w:rPr>
        <w:t>достатньо</w:t>
      </w:r>
      <w:r w:rsidRPr="004E3FE9">
        <w:rPr>
          <w:rFonts w:ascii="Times New Roman" w:hAnsi="Times New Roman" w:cs="Times New Roman"/>
          <w:sz w:val="28"/>
          <w:szCs w:val="28"/>
          <w:lang w:val="uk-UA"/>
        </w:rPr>
        <w:t xml:space="preserve"> висока ймовірність ускладнень. Для впровадження методики дослідження функції ендотелію в широку клінічну практику необхідні більш доступні </w:t>
      </w:r>
      <w:r w:rsidR="005450D4"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нетравматичні методи [</w:t>
      </w:r>
      <w:r w:rsidR="00464ADB" w:rsidRPr="004E3FE9">
        <w:rPr>
          <w:rFonts w:ascii="Times New Roman" w:hAnsi="Times New Roman" w:cs="Times New Roman"/>
          <w:sz w:val="28"/>
          <w:szCs w:val="28"/>
          <w:lang w:val="uk-UA"/>
        </w:rPr>
        <w:t>91, 95</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Перспективною видається можливість виявлення  кількісного аналізу циркулюючих </w:t>
      </w:r>
      <w:r w:rsidR="005450D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крові біохімічних маркерів ендотеліальної функції.</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Багато уваги дослідників за останні роки привертає молекула оксиду азоту, яка є вазодилатуючим фактором. NO утворюється з умовно незамінної амінокислоти L-аргініну за участю NO-синтази (NOS). Існують три ізоформи ферменту NOS: дві постійно функціонуючі або конститутивні ферменти – нейрональна (NOS 1 або nNOS) та ендотеліальна (NOS 3 або еNOS) NO-синтази та індуцибельна (NOS 2 або іNOS) [</w:t>
      </w:r>
      <w:r w:rsidR="00464ADB" w:rsidRPr="004E3FE9">
        <w:rPr>
          <w:rFonts w:ascii="Times New Roman" w:hAnsi="Times New Roman" w:cs="Times New Roman"/>
          <w:sz w:val="28"/>
          <w:szCs w:val="28"/>
          <w:lang w:val="uk-UA"/>
        </w:rPr>
        <w:t>47, 78, 101</w:t>
      </w:r>
      <w:r w:rsidRPr="004E3FE9">
        <w:rPr>
          <w:rFonts w:ascii="Times New Roman" w:hAnsi="Times New Roman" w:cs="Times New Roman"/>
          <w:sz w:val="28"/>
          <w:szCs w:val="28"/>
          <w:lang w:val="uk-UA"/>
        </w:rPr>
        <w:t>]. NO-синтази здійснюють приєднання молекулярного кисню до атома азоту з термінальної гуанідинової групи L-аргініну [</w:t>
      </w:r>
      <w:r w:rsidR="00464ADB" w:rsidRPr="004E3FE9">
        <w:rPr>
          <w:rFonts w:ascii="Times New Roman" w:hAnsi="Times New Roman" w:cs="Times New Roman"/>
          <w:sz w:val="28"/>
          <w:szCs w:val="28"/>
          <w:lang w:val="uk-UA"/>
        </w:rPr>
        <w:t>76, 131</w:t>
      </w:r>
      <w:r w:rsidRPr="004E3FE9">
        <w:rPr>
          <w:rFonts w:ascii="Times New Roman" w:hAnsi="Times New Roman" w:cs="Times New Roman"/>
          <w:sz w:val="28"/>
          <w:szCs w:val="28"/>
          <w:lang w:val="uk-UA"/>
        </w:rPr>
        <w:t xml:space="preserve">]. У цій ферментній реакції бере участь ряд допоміжних факторів, включаючи нікотинові і флавінові коферменти, тетрагідробіоптерін, іони кальцію, кальмодулін. NO утворюється в організмі при відновленні неорганічних нітратів і нітритів. Проникаючи з ендотеліальних клітин </w:t>
      </w:r>
      <w:r w:rsidR="005450D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клітини гладеньких м'язів (ГМК) судинної стінки, він активує гем, який містить фермент - розчинну гуанілатциклазу, </w:t>
      </w:r>
      <w:r w:rsidR="005450D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результаті в ГМК підвищується рівень циклічного гуанозинмонофосфату (цГМФ) і, відповідно, цГМФ-залежних протеїнкіназ, знижується концентрація Са2 + </w:t>
      </w:r>
      <w:r w:rsidR="005450D4" w:rsidRPr="004E3FE9">
        <w:rPr>
          <w:rFonts w:ascii="Times New Roman" w:hAnsi="Times New Roman" w:cs="Times New Roman"/>
          <w:sz w:val="28"/>
          <w:szCs w:val="28"/>
          <w:lang w:val="uk-UA"/>
        </w:rPr>
        <w:t>та</w:t>
      </w:r>
      <w:r w:rsidRPr="004E3FE9">
        <w:rPr>
          <w:rFonts w:ascii="Times New Roman" w:hAnsi="Times New Roman" w:cs="Times New Roman"/>
          <w:sz w:val="28"/>
          <w:szCs w:val="28"/>
          <w:lang w:val="uk-UA"/>
        </w:rPr>
        <w:t xml:space="preserve"> відбувається розслаблення судин [</w:t>
      </w:r>
      <w:r w:rsidR="00464ADB" w:rsidRPr="004E3FE9">
        <w:rPr>
          <w:rFonts w:ascii="Times New Roman" w:hAnsi="Times New Roman" w:cs="Times New Roman"/>
          <w:sz w:val="28"/>
          <w:szCs w:val="28"/>
          <w:lang w:val="uk-UA"/>
        </w:rPr>
        <w:t>19</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За останні роки підвищилась кількість досліджень, які підтверджують значення nNOS </w:t>
      </w:r>
      <w:r w:rsidR="005450D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ряді сигнальних синаптичних процесів. Так, Zhou L. та </w:t>
      </w:r>
      <w:r w:rsidRPr="004E3FE9">
        <w:rPr>
          <w:rFonts w:ascii="Times New Roman" w:hAnsi="Times New Roman" w:cs="Times New Roman"/>
          <w:sz w:val="28"/>
          <w:szCs w:val="28"/>
          <w:lang w:val="uk-UA"/>
        </w:rPr>
        <w:lastRenderedPageBreak/>
        <w:t>співавт. [</w:t>
      </w:r>
      <w:r w:rsidR="00464ADB" w:rsidRPr="004E3FE9">
        <w:rPr>
          <w:rFonts w:ascii="Times New Roman" w:hAnsi="Times New Roman" w:cs="Times New Roman"/>
          <w:sz w:val="28"/>
          <w:szCs w:val="28"/>
          <w:lang w:val="uk-UA"/>
        </w:rPr>
        <w:t>175</w:t>
      </w:r>
      <w:r w:rsidRPr="004E3FE9">
        <w:rPr>
          <w:rFonts w:ascii="Times New Roman" w:hAnsi="Times New Roman" w:cs="Times New Roman"/>
          <w:sz w:val="28"/>
          <w:szCs w:val="28"/>
          <w:lang w:val="uk-UA"/>
        </w:rPr>
        <w:t xml:space="preserve">], відобразили залучення нейрональної синтази до модуляції фізіологічних функцій, таких як навчання, пам'ять та нейрогенез.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Індуцибельна NOS, зазвичай, не синтезується в клітинах, але її експресія може бути індукована бактеріальними ліпополісахаридами, цитокінами та іншими агентами. Також, науковці Кембріджського університету вказують на участь іNOS </w:t>
      </w:r>
      <w:r w:rsidR="005450D4" w:rsidRPr="004E3FE9">
        <w:rPr>
          <w:rFonts w:ascii="Times New Roman" w:hAnsi="Times New Roman" w:cs="Times New Roman"/>
          <w:sz w:val="28"/>
          <w:szCs w:val="28"/>
          <w:lang w:val="uk-UA"/>
        </w:rPr>
        <w:t>у гибелі</w:t>
      </w:r>
      <w:r w:rsidRPr="004E3FE9">
        <w:rPr>
          <w:rFonts w:ascii="Times New Roman" w:hAnsi="Times New Roman" w:cs="Times New Roman"/>
          <w:sz w:val="28"/>
          <w:szCs w:val="28"/>
          <w:lang w:val="uk-UA"/>
        </w:rPr>
        <w:t xml:space="preserve"> нейронів внаслідок гіпоксії, шляхом інгібування цитохромоксидази, що</w:t>
      </w:r>
      <w:r w:rsidR="005450D4"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w:t>
      </w:r>
      <w:r w:rsidR="005450D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свою чергу</w:t>
      </w:r>
      <w:r w:rsidR="005450D4" w:rsidRPr="004E3FE9">
        <w:rPr>
          <w:rFonts w:ascii="Times New Roman" w:hAnsi="Times New Roman" w:cs="Times New Roman"/>
          <w:sz w:val="28"/>
          <w:szCs w:val="28"/>
          <w:lang w:val="uk-UA"/>
        </w:rPr>
        <w:t>, призв</w:t>
      </w:r>
      <w:r w:rsidRPr="004E3FE9">
        <w:rPr>
          <w:rFonts w:ascii="Times New Roman" w:hAnsi="Times New Roman" w:cs="Times New Roman"/>
          <w:sz w:val="28"/>
          <w:szCs w:val="28"/>
          <w:lang w:val="uk-UA"/>
        </w:rPr>
        <w:t>одить до вивільнення глутамату та ексцитотоксичності [</w:t>
      </w:r>
      <w:r w:rsidR="00464ADB" w:rsidRPr="004E3FE9">
        <w:rPr>
          <w:rFonts w:ascii="Times New Roman" w:hAnsi="Times New Roman" w:cs="Times New Roman"/>
          <w:sz w:val="28"/>
          <w:szCs w:val="28"/>
          <w:lang w:val="uk-UA"/>
        </w:rPr>
        <w:t>75</w:t>
      </w:r>
      <w:r w:rsidRPr="004E3FE9">
        <w:rPr>
          <w:rFonts w:ascii="Times New Roman" w:hAnsi="Times New Roman" w:cs="Times New Roman"/>
          <w:sz w:val="28"/>
          <w:szCs w:val="28"/>
          <w:lang w:val="uk-UA"/>
        </w:rPr>
        <w:t xml:space="preserve">]. Немаловажним і є той факт, що іNOS грає вирішальну роль </w:t>
      </w:r>
      <w:r w:rsidR="005450D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патогенезі септичного шоку, який характеризується масивною вазодилатацією, артеріальною </w:t>
      </w:r>
      <w:r w:rsidR="00AD3587" w:rsidRPr="004E3FE9">
        <w:rPr>
          <w:rFonts w:ascii="Times New Roman" w:hAnsi="Times New Roman" w:cs="Times New Roman"/>
          <w:sz w:val="28"/>
          <w:szCs w:val="28"/>
          <w:lang w:val="uk-UA"/>
        </w:rPr>
        <w:t>гіпотонією</w:t>
      </w:r>
      <w:r w:rsidRPr="004E3FE9">
        <w:rPr>
          <w:rFonts w:ascii="Times New Roman" w:hAnsi="Times New Roman" w:cs="Times New Roman"/>
          <w:sz w:val="28"/>
          <w:szCs w:val="28"/>
          <w:lang w:val="uk-UA"/>
        </w:rPr>
        <w:t xml:space="preserve"> та мікросудинним ушкодженням. Ряд медіаторів, таких як тромбоцитарний активуючий фактор, тромбоксан А2, простаноїди та цитокіни, а саме ІЛ-1, ФНП-α, та γ-інтерферон, підвищені при септичному шоці та залучені в його патогенез. Проте, зниження артеріального тиску відбувається саме в наслідок підвищення продукції іNOS, яка індукується в стінці судин [</w:t>
      </w:r>
      <w:r w:rsidR="00464ADB" w:rsidRPr="004E3FE9">
        <w:rPr>
          <w:rFonts w:ascii="Times New Roman" w:hAnsi="Times New Roman" w:cs="Times New Roman"/>
          <w:sz w:val="28"/>
          <w:szCs w:val="28"/>
          <w:lang w:val="uk-UA"/>
        </w:rPr>
        <w:t>121</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Ендотеліальна NOS, як правило, експресується клітинами ендотелію, проте, цей ізофермент також виявляли </w:t>
      </w:r>
      <w:r w:rsidR="005450D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кардіоміоцитах, тромбоцитах, нейронах головного мозку, трофобластах плаценти та у ниркових тубулярних клітинах епітелію. Ендотеліальна NOS виконує ряд важливих фізіологічних функцій в організмі, а саме: розширення судин</w:t>
      </w:r>
      <w:r w:rsidR="005450D4"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пригнічення агрегації та адгезії тромбоцитів, інгібування адгезії лейкоцитів </w:t>
      </w:r>
      <w:r w:rsidR="005450D4" w:rsidRPr="004E3FE9">
        <w:rPr>
          <w:rFonts w:ascii="Times New Roman" w:hAnsi="Times New Roman" w:cs="Times New Roman"/>
          <w:sz w:val="28"/>
          <w:szCs w:val="28"/>
          <w:lang w:val="uk-UA"/>
        </w:rPr>
        <w:t>і</w:t>
      </w:r>
      <w:r w:rsidRPr="004E3FE9">
        <w:rPr>
          <w:rFonts w:ascii="Times New Roman" w:hAnsi="Times New Roman" w:cs="Times New Roman"/>
          <w:sz w:val="28"/>
          <w:szCs w:val="28"/>
          <w:lang w:val="uk-UA"/>
        </w:rPr>
        <w:t xml:space="preserve"> запалення судин, контроль проліферації гладких м'язів судин, стимуляція ангіогенезу [</w:t>
      </w:r>
      <w:r w:rsidR="00464ADB" w:rsidRPr="004E3FE9">
        <w:rPr>
          <w:rFonts w:ascii="Times New Roman" w:hAnsi="Times New Roman" w:cs="Times New Roman"/>
          <w:sz w:val="28"/>
          <w:szCs w:val="28"/>
          <w:lang w:val="uk-UA"/>
        </w:rPr>
        <w:t>92</w:t>
      </w:r>
      <w:r w:rsidRPr="004E3FE9">
        <w:rPr>
          <w:rFonts w:ascii="Times New Roman" w:hAnsi="Times New Roman" w:cs="Times New Roman"/>
          <w:sz w:val="28"/>
          <w:szCs w:val="28"/>
          <w:lang w:val="uk-UA"/>
        </w:rPr>
        <w:t>].</w:t>
      </w:r>
    </w:p>
    <w:p w:rsidR="00BD0BF2" w:rsidRPr="004E3FE9" w:rsidRDefault="005450D4"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NО – </w:t>
      </w:r>
      <w:r w:rsidR="00BD0BF2" w:rsidRPr="004E3FE9">
        <w:rPr>
          <w:rFonts w:ascii="Times New Roman" w:hAnsi="Times New Roman" w:cs="Times New Roman"/>
          <w:sz w:val="28"/>
          <w:szCs w:val="28"/>
          <w:lang w:val="uk-UA"/>
        </w:rPr>
        <w:t xml:space="preserve">це лабільна молекула з часом життя кілька секунд. Однак ця молекула може стабілізуватися, що дозволяє їй виконувати не тільки аутокринні, але </w:t>
      </w:r>
      <w:r w:rsidRPr="004E3FE9">
        <w:rPr>
          <w:rFonts w:ascii="Times New Roman" w:hAnsi="Times New Roman" w:cs="Times New Roman"/>
          <w:sz w:val="28"/>
          <w:szCs w:val="28"/>
          <w:lang w:val="uk-UA"/>
        </w:rPr>
        <w:t>й</w:t>
      </w:r>
      <w:r w:rsidR="00BD0BF2" w:rsidRPr="004E3FE9">
        <w:rPr>
          <w:rFonts w:ascii="Times New Roman" w:hAnsi="Times New Roman" w:cs="Times New Roman"/>
          <w:sz w:val="28"/>
          <w:szCs w:val="28"/>
          <w:lang w:val="uk-UA"/>
        </w:rPr>
        <w:t xml:space="preserve"> паракринні</w:t>
      </w:r>
      <w:r w:rsidRPr="004E3FE9">
        <w:rPr>
          <w:rFonts w:ascii="Times New Roman" w:hAnsi="Times New Roman" w:cs="Times New Roman"/>
          <w:sz w:val="28"/>
          <w:szCs w:val="28"/>
          <w:lang w:val="uk-UA"/>
        </w:rPr>
        <w:t xml:space="preserve"> функції. Стабілізація NО</w:t>
      </w:r>
      <w:r w:rsidR="00BD0BF2" w:rsidRPr="004E3FE9">
        <w:rPr>
          <w:rFonts w:ascii="Times New Roman" w:hAnsi="Times New Roman" w:cs="Times New Roman"/>
          <w:sz w:val="28"/>
          <w:szCs w:val="28"/>
          <w:lang w:val="uk-UA"/>
        </w:rPr>
        <w:t xml:space="preserve"> відбувається за допомогою включення його в динітрозильні комплекси заліза </w:t>
      </w:r>
      <w:r w:rsidR="00AD3587">
        <w:rPr>
          <w:rFonts w:ascii="Times New Roman" w:hAnsi="Times New Roman" w:cs="Times New Roman"/>
          <w:sz w:val="28"/>
          <w:szCs w:val="28"/>
          <w:lang w:val="uk-UA"/>
        </w:rPr>
        <w:t>з тіоловими лігандами або в S-</w:t>
      </w:r>
      <w:r w:rsidR="00BD0BF2" w:rsidRPr="004E3FE9">
        <w:rPr>
          <w:rFonts w:ascii="Times New Roman" w:hAnsi="Times New Roman" w:cs="Times New Roman"/>
          <w:sz w:val="28"/>
          <w:szCs w:val="28"/>
          <w:lang w:val="uk-UA"/>
        </w:rPr>
        <w:t>нітрозотіоли, які в подальшом</w:t>
      </w:r>
      <w:r w:rsidRPr="004E3FE9">
        <w:rPr>
          <w:rFonts w:ascii="Times New Roman" w:hAnsi="Times New Roman" w:cs="Times New Roman"/>
          <w:sz w:val="28"/>
          <w:szCs w:val="28"/>
          <w:lang w:val="uk-UA"/>
        </w:rPr>
        <w:t>у можуть поступово вивільняти NО</w:t>
      </w:r>
      <w:r w:rsidR="00BD0BF2" w:rsidRPr="004E3FE9">
        <w:rPr>
          <w:rFonts w:ascii="Times New Roman" w:hAnsi="Times New Roman" w:cs="Times New Roman"/>
          <w:sz w:val="28"/>
          <w:szCs w:val="28"/>
          <w:lang w:val="uk-UA"/>
        </w:rPr>
        <w:t xml:space="preserve">. Такі комплекси утворюють </w:t>
      </w:r>
      <w:r w:rsidRPr="004E3FE9">
        <w:rPr>
          <w:rFonts w:ascii="Times New Roman" w:hAnsi="Times New Roman" w:cs="Times New Roman"/>
          <w:sz w:val="28"/>
          <w:szCs w:val="28"/>
          <w:lang w:val="uk-UA"/>
        </w:rPr>
        <w:t>у</w:t>
      </w:r>
      <w:r w:rsidR="00BD0BF2" w:rsidRPr="004E3FE9">
        <w:rPr>
          <w:rFonts w:ascii="Times New Roman" w:hAnsi="Times New Roman" w:cs="Times New Roman"/>
          <w:sz w:val="28"/>
          <w:szCs w:val="28"/>
          <w:lang w:val="uk-UA"/>
        </w:rPr>
        <w:t xml:space="preserve"> ткани</w:t>
      </w:r>
      <w:r w:rsidRPr="004E3FE9">
        <w:rPr>
          <w:rFonts w:ascii="Times New Roman" w:hAnsi="Times New Roman" w:cs="Times New Roman"/>
          <w:sz w:val="28"/>
          <w:szCs w:val="28"/>
          <w:lang w:val="uk-UA"/>
        </w:rPr>
        <w:t>нах фізіологічно активні депо NО</w:t>
      </w:r>
      <w:r w:rsidR="00BD0BF2" w:rsidRPr="004E3FE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На цей</w:t>
      </w:r>
      <w:r w:rsidR="00BD0BF2" w:rsidRPr="004E3FE9">
        <w:rPr>
          <w:rFonts w:ascii="Times New Roman" w:hAnsi="Times New Roman" w:cs="Times New Roman"/>
          <w:sz w:val="28"/>
          <w:szCs w:val="28"/>
          <w:lang w:val="uk-UA"/>
        </w:rPr>
        <w:t xml:space="preserve"> час застосовується тільки неп</w:t>
      </w:r>
      <w:r w:rsidRPr="004E3FE9">
        <w:rPr>
          <w:rFonts w:ascii="Times New Roman" w:hAnsi="Times New Roman" w:cs="Times New Roman"/>
          <w:sz w:val="28"/>
          <w:szCs w:val="28"/>
          <w:lang w:val="uk-UA"/>
        </w:rPr>
        <w:t>рямий спосіб оцінки продукції NО</w:t>
      </w:r>
      <w:r w:rsidR="00BD0BF2" w:rsidRPr="004E3FE9">
        <w:rPr>
          <w:rFonts w:ascii="Times New Roman" w:hAnsi="Times New Roman" w:cs="Times New Roman"/>
          <w:sz w:val="28"/>
          <w:szCs w:val="28"/>
          <w:lang w:val="uk-UA"/>
        </w:rPr>
        <w:t xml:space="preserve"> в організмі. У біологічних систе</w:t>
      </w:r>
      <w:r w:rsidRPr="004E3FE9">
        <w:rPr>
          <w:rFonts w:ascii="Times New Roman" w:hAnsi="Times New Roman" w:cs="Times New Roman"/>
          <w:sz w:val="28"/>
          <w:szCs w:val="28"/>
          <w:lang w:val="uk-UA"/>
        </w:rPr>
        <w:t>мах NО</w:t>
      </w:r>
      <w:r w:rsidR="00BD0BF2" w:rsidRPr="004E3FE9">
        <w:rPr>
          <w:rFonts w:ascii="Times New Roman" w:hAnsi="Times New Roman" w:cs="Times New Roman"/>
          <w:sz w:val="28"/>
          <w:szCs w:val="28"/>
          <w:lang w:val="uk-UA"/>
        </w:rPr>
        <w:t xml:space="preserve"> є дуже </w:t>
      </w:r>
      <w:r w:rsidRPr="004E3FE9">
        <w:rPr>
          <w:rFonts w:ascii="Times New Roman" w:hAnsi="Times New Roman" w:cs="Times New Roman"/>
          <w:sz w:val="28"/>
          <w:szCs w:val="28"/>
          <w:lang w:val="uk-UA"/>
        </w:rPr>
        <w:t>нестабільним</w:t>
      </w:r>
      <w:r w:rsidR="00BD0BF2" w:rsidRPr="004E3FE9">
        <w:rPr>
          <w:rFonts w:ascii="Times New Roman" w:hAnsi="Times New Roman" w:cs="Times New Roman"/>
          <w:sz w:val="28"/>
          <w:szCs w:val="28"/>
          <w:lang w:val="uk-UA"/>
        </w:rPr>
        <w:t xml:space="preserve"> з'є</w:t>
      </w:r>
      <w:r w:rsidRPr="004E3FE9">
        <w:rPr>
          <w:rFonts w:ascii="Times New Roman" w:hAnsi="Times New Roman" w:cs="Times New Roman"/>
          <w:sz w:val="28"/>
          <w:szCs w:val="28"/>
          <w:lang w:val="uk-UA"/>
        </w:rPr>
        <w:t xml:space="preserve">днанням. </w:t>
      </w:r>
      <w:r w:rsidRPr="004E3FE9">
        <w:rPr>
          <w:rFonts w:ascii="Times New Roman" w:hAnsi="Times New Roman" w:cs="Times New Roman"/>
          <w:sz w:val="28"/>
          <w:szCs w:val="28"/>
          <w:lang w:val="uk-UA"/>
        </w:rPr>
        <w:lastRenderedPageBreak/>
        <w:t>У клітинних культурах NО</w:t>
      </w:r>
      <w:r w:rsidR="00BD0BF2" w:rsidRPr="004E3FE9">
        <w:rPr>
          <w:rFonts w:ascii="Times New Roman" w:hAnsi="Times New Roman" w:cs="Times New Roman"/>
          <w:sz w:val="28"/>
          <w:szCs w:val="28"/>
          <w:lang w:val="uk-UA"/>
        </w:rPr>
        <w:t xml:space="preserve"> швидко перетворюється в 2+ </w:t>
      </w:r>
      <w:r w:rsidRPr="004E3FE9">
        <w:rPr>
          <w:rFonts w:ascii="Times New Roman" w:hAnsi="Times New Roman" w:cs="Times New Roman"/>
          <w:sz w:val="28"/>
          <w:szCs w:val="28"/>
          <w:lang w:val="uk-UA"/>
        </w:rPr>
        <w:t>іон нітриту (NО</w:t>
      </w:r>
      <w:r w:rsidR="00BD0BF2" w:rsidRPr="004E3FE9">
        <w:rPr>
          <w:rFonts w:ascii="Times New Roman" w:hAnsi="Times New Roman" w:cs="Times New Roman"/>
          <w:sz w:val="28"/>
          <w:szCs w:val="28"/>
          <w:lang w:val="uk-UA"/>
        </w:rPr>
        <w:t>2), але в присутності гемового заліза і де</w:t>
      </w:r>
      <w:r w:rsidR="00AD3587">
        <w:rPr>
          <w:rFonts w:ascii="Times New Roman" w:hAnsi="Times New Roman" w:cs="Times New Roman"/>
          <w:sz w:val="28"/>
          <w:szCs w:val="28"/>
          <w:lang w:val="uk-UA"/>
        </w:rPr>
        <w:t>яких інших перехідних металів NО</w:t>
      </w:r>
      <w:r w:rsidR="00BD0BF2" w:rsidRPr="004E3FE9">
        <w:rPr>
          <w:rFonts w:ascii="Times New Roman" w:hAnsi="Times New Roman" w:cs="Times New Roman"/>
          <w:sz w:val="28"/>
          <w:szCs w:val="28"/>
          <w:lang w:val="uk-UA"/>
        </w:rPr>
        <w:t>2 перетворюється в бі</w:t>
      </w:r>
      <w:r w:rsidRPr="004E3FE9">
        <w:rPr>
          <w:rFonts w:ascii="Times New Roman" w:hAnsi="Times New Roman" w:cs="Times New Roman"/>
          <w:sz w:val="28"/>
          <w:szCs w:val="28"/>
          <w:lang w:val="uk-UA"/>
        </w:rPr>
        <w:t>льш стабільний іон нітрату (NО</w:t>
      </w:r>
      <w:r w:rsidR="00BD0BF2" w:rsidRPr="004E3FE9">
        <w:rPr>
          <w:rFonts w:ascii="Times New Roman" w:hAnsi="Times New Roman" w:cs="Times New Roman"/>
          <w:sz w:val="28"/>
          <w:szCs w:val="28"/>
          <w:lang w:val="uk-UA"/>
        </w:rPr>
        <w:t>3) [</w:t>
      </w:r>
      <w:r w:rsidR="00464ADB" w:rsidRPr="004E3FE9">
        <w:rPr>
          <w:rFonts w:ascii="Times New Roman" w:hAnsi="Times New Roman" w:cs="Times New Roman"/>
          <w:sz w:val="28"/>
          <w:szCs w:val="28"/>
          <w:lang w:val="uk-UA"/>
        </w:rPr>
        <w:t>47</w:t>
      </w:r>
      <w:r w:rsidR="00BD0BF2"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Таким чином, оксид азоту має низку властивостей, які мають важливе значення для фізіології і патофізіології органів та систем, що пояснює великий інтерес до цієї молекулі з точки зору розвитку дисфункції ендотелію – ведучого патогенетичного </w:t>
      </w:r>
      <w:r w:rsidR="005450D4" w:rsidRPr="004E3FE9">
        <w:rPr>
          <w:rFonts w:ascii="Times New Roman" w:hAnsi="Times New Roman" w:cs="Times New Roman"/>
          <w:sz w:val="28"/>
          <w:szCs w:val="28"/>
          <w:lang w:val="uk-UA"/>
        </w:rPr>
        <w:t>чинника</w:t>
      </w:r>
      <w:r w:rsidRPr="004E3FE9">
        <w:rPr>
          <w:rFonts w:ascii="Times New Roman" w:hAnsi="Times New Roman" w:cs="Times New Roman"/>
          <w:sz w:val="28"/>
          <w:szCs w:val="28"/>
          <w:lang w:val="uk-UA"/>
        </w:rPr>
        <w:t xml:space="preserve"> багатьох захворювань.</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 1964 році в ендотеліальних клітинах виявлені особливі цитоплазматичні включення, які в подальшому були названі за іменами вчених, які їх винайшли: румунського фізіолога Джорджа Еміля Палладі та швейцарського анатома Евальда Вейбеля. Тільця Вейбеля-Палладі служать для зберігання синтезованих клітиною білків, які мож</w:t>
      </w:r>
      <w:r w:rsidR="00AD3587">
        <w:rPr>
          <w:rFonts w:ascii="Times New Roman" w:hAnsi="Times New Roman" w:cs="Times New Roman"/>
          <w:sz w:val="28"/>
          <w:szCs w:val="28"/>
          <w:lang w:val="uk-UA"/>
        </w:rPr>
        <w:t xml:space="preserve">уть </w:t>
      </w:r>
      <w:r w:rsidRPr="004E3FE9">
        <w:rPr>
          <w:rFonts w:ascii="Times New Roman" w:hAnsi="Times New Roman" w:cs="Times New Roman"/>
          <w:sz w:val="28"/>
          <w:szCs w:val="28"/>
          <w:lang w:val="uk-UA"/>
        </w:rPr>
        <w:t>швидко секретуватись з клітини при її активації. У везикулах містяться два основних білка: фактор фон Віллебранда і P-сел</w:t>
      </w:r>
      <w:r w:rsidR="00AD3587">
        <w:rPr>
          <w:rFonts w:ascii="Times New Roman" w:hAnsi="Times New Roman" w:cs="Times New Roman"/>
          <w:sz w:val="28"/>
          <w:szCs w:val="28"/>
          <w:lang w:val="uk-UA"/>
        </w:rPr>
        <w:t xml:space="preserve">ектин. Фактор фон Віллебранда – </w:t>
      </w:r>
      <w:r w:rsidRPr="004E3FE9">
        <w:rPr>
          <w:rFonts w:ascii="Times New Roman" w:hAnsi="Times New Roman" w:cs="Times New Roman"/>
          <w:sz w:val="28"/>
          <w:szCs w:val="28"/>
          <w:lang w:val="uk-UA"/>
        </w:rPr>
        <w:t xml:space="preserve">олігомерний білок, який є важливим компонентом </w:t>
      </w:r>
      <w:r w:rsidR="004D5257" w:rsidRPr="004E3FE9">
        <w:rPr>
          <w:rFonts w:ascii="Times New Roman" w:hAnsi="Times New Roman" w:cs="Times New Roman"/>
          <w:sz w:val="28"/>
          <w:szCs w:val="28"/>
          <w:lang w:val="uk-UA"/>
        </w:rPr>
        <w:t xml:space="preserve">системи </w:t>
      </w:r>
      <w:r w:rsidRPr="004E3FE9">
        <w:rPr>
          <w:rFonts w:ascii="Times New Roman" w:hAnsi="Times New Roman" w:cs="Times New Roman"/>
          <w:sz w:val="28"/>
          <w:szCs w:val="28"/>
          <w:lang w:val="uk-UA"/>
        </w:rPr>
        <w:t>згортання крові [</w:t>
      </w:r>
      <w:r w:rsidR="00464ADB" w:rsidRPr="004E3FE9">
        <w:rPr>
          <w:rFonts w:ascii="Times New Roman" w:hAnsi="Times New Roman" w:cs="Times New Roman"/>
          <w:sz w:val="28"/>
          <w:szCs w:val="28"/>
          <w:lang w:val="uk-UA"/>
        </w:rPr>
        <w:t>64</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 якості потенційного маркера активації дисфункції ендотелію доцільно розглянути фактор Віллебранда (ФВ), який синтезується в ендотелії та мегакаріоцитах, бере участь </w:t>
      </w:r>
      <w:r w:rsidR="004D5257"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первинному (судинно-тромбоцитарному) гемостазі за рахунок забезпечення адгезії тромбоцитів до колагену судинної стінки</w:t>
      </w:r>
      <w:r w:rsidR="004D5257" w:rsidRPr="004E3FE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464ADB" w:rsidRPr="004E3FE9">
        <w:rPr>
          <w:rFonts w:ascii="Times New Roman" w:hAnsi="Times New Roman" w:cs="Times New Roman"/>
          <w:sz w:val="28"/>
          <w:szCs w:val="28"/>
          <w:lang w:val="uk-UA"/>
        </w:rPr>
        <w:t>87</w:t>
      </w:r>
      <w:r w:rsidRPr="004E3FE9">
        <w:rPr>
          <w:rFonts w:ascii="Times New Roman" w:hAnsi="Times New Roman" w:cs="Times New Roman"/>
          <w:sz w:val="28"/>
          <w:szCs w:val="28"/>
          <w:lang w:val="uk-UA"/>
        </w:rPr>
        <w:t xml:space="preserve">]. Відомо, що ФВ грає важливу роль при формуванні тромбу в дрібних артеріях. У нормальних умовах циркулюючий фактор Віллебранда не пов'язує тромбоцити. Коли субендотеліальний матрикс стінки кровоносних судин піддається впливу внаслідок пошкодження стінки судини, фактор Віллебранда зв'язується з первинним матриксним компонентом, полегшуючи агрегацію тромбоцитів і утворення тромбоцитарної пробки. Відповідно до сучасних уявлень, фактор Віллебранда взаємодіє, </w:t>
      </w:r>
      <w:r w:rsidR="004D5257"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першу чергу, з колагеном і мікрофібрилами субендотелію, </w:t>
      </w:r>
      <w:r w:rsidR="004D5257"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результаті чого відбуваються конформаційні зміни, необхідні для подальшого приєднання до глікопротеїну Ib тромбоцитів [</w:t>
      </w:r>
      <w:r w:rsidR="00464ADB" w:rsidRPr="004E3FE9">
        <w:rPr>
          <w:rFonts w:ascii="Times New Roman" w:hAnsi="Times New Roman" w:cs="Times New Roman"/>
          <w:sz w:val="28"/>
          <w:szCs w:val="28"/>
          <w:lang w:val="uk-UA"/>
        </w:rPr>
        <w:t>159</w:t>
      </w:r>
      <w:r w:rsidRPr="004E3FE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lastRenderedPageBreak/>
        <w:t xml:space="preserve">Таким чином, фактор Віллебранда стає зв’язуючим елементом між тромбоцитами та оголеним субендотеліальним шаром. Таке його з'єднання з тромбоцитарними рецепторами призводить до подальшої активації тромбоцитарних комплексів IIb/IIIa. У зв'язку з цим збільшення вмісту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в плазмі крові, поряд з підвищенням концентрації фібриногену, можна розглядати як основний предиктор гіперкоагуляції [</w:t>
      </w:r>
      <w:r w:rsidR="00464ADB" w:rsidRPr="004E3FE9">
        <w:rPr>
          <w:rFonts w:ascii="Times New Roman" w:hAnsi="Times New Roman" w:cs="Times New Roman"/>
          <w:sz w:val="28"/>
          <w:szCs w:val="28"/>
          <w:lang w:val="uk-UA"/>
        </w:rPr>
        <w:t>12</w:t>
      </w:r>
      <w:r w:rsidRPr="004E3FE9">
        <w:rPr>
          <w:rFonts w:ascii="Times New Roman" w:hAnsi="Times New Roman" w:cs="Times New Roman"/>
          <w:sz w:val="28"/>
          <w:szCs w:val="28"/>
          <w:lang w:val="uk-UA"/>
        </w:rPr>
        <w:t xml:space="preserve">], а також як фактор, </w:t>
      </w:r>
      <w:r w:rsidR="004D5257" w:rsidRPr="004E3FE9">
        <w:rPr>
          <w:rFonts w:ascii="Times New Roman" w:hAnsi="Times New Roman" w:cs="Times New Roman"/>
          <w:sz w:val="28"/>
          <w:szCs w:val="28"/>
          <w:lang w:val="uk-UA"/>
        </w:rPr>
        <w:t xml:space="preserve">який </w:t>
      </w:r>
      <w:r w:rsidRPr="004E3FE9">
        <w:rPr>
          <w:rFonts w:ascii="Times New Roman" w:hAnsi="Times New Roman" w:cs="Times New Roman"/>
          <w:sz w:val="28"/>
          <w:szCs w:val="28"/>
          <w:lang w:val="uk-UA"/>
        </w:rPr>
        <w:t>характеризу</w:t>
      </w:r>
      <w:r w:rsidR="004D5257" w:rsidRPr="004E3FE9">
        <w:rPr>
          <w:rFonts w:ascii="Times New Roman" w:hAnsi="Times New Roman" w:cs="Times New Roman"/>
          <w:sz w:val="28"/>
          <w:szCs w:val="28"/>
          <w:lang w:val="uk-UA"/>
        </w:rPr>
        <w:t>є</w:t>
      </w:r>
      <w:r w:rsidRPr="004E3FE9">
        <w:rPr>
          <w:rFonts w:ascii="Times New Roman" w:hAnsi="Times New Roman" w:cs="Times New Roman"/>
          <w:sz w:val="28"/>
          <w:szCs w:val="28"/>
          <w:lang w:val="uk-UA"/>
        </w:rPr>
        <w:t xml:space="preserve"> функціональний стан ендотелію судин.</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Підвищення концентрації фібриногену та активності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в кровотоці сприяють підвищенню агрегаційної активності тромбоцитів. Активації тромбоцитів сприяє також втрата ендотелієм природної антиагрегантної здатності [</w:t>
      </w:r>
      <w:r w:rsidR="00464ADB" w:rsidRPr="004E3FE9">
        <w:rPr>
          <w:rFonts w:ascii="Times New Roman" w:hAnsi="Times New Roman" w:cs="Times New Roman"/>
          <w:sz w:val="28"/>
          <w:szCs w:val="28"/>
          <w:lang w:val="uk-UA"/>
        </w:rPr>
        <w:t>43</w:t>
      </w:r>
      <w:r w:rsidRPr="004E3FE9">
        <w:rPr>
          <w:rFonts w:ascii="Times New Roman" w:hAnsi="Times New Roman" w:cs="Times New Roman"/>
          <w:sz w:val="28"/>
          <w:szCs w:val="28"/>
          <w:lang w:val="uk-UA"/>
        </w:rPr>
        <w:t xml:space="preserve">, </w:t>
      </w:r>
      <w:r w:rsidR="00464ADB" w:rsidRPr="004E3FE9">
        <w:rPr>
          <w:rFonts w:ascii="Times New Roman" w:hAnsi="Times New Roman" w:cs="Times New Roman"/>
          <w:sz w:val="28"/>
          <w:szCs w:val="28"/>
          <w:lang w:val="uk-UA"/>
        </w:rPr>
        <w:t>86</w:t>
      </w:r>
      <w:r w:rsidRPr="004E3FE9">
        <w:rPr>
          <w:rFonts w:ascii="Times New Roman" w:hAnsi="Times New Roman" w:cs="Times New Roman"/>
          <w:sz w:val="28"/>
          <w:szCs w:val="28"/>
          <w:lang w:val="uk-UA"/>
        </w:rPr>
        <w:t xml:space="preserve">, </w:t>
      </w:r>
      <w:r w:rsidR="00464ADB" w:rsidRPr="004E3FE9">
        <w:rPr>
          <w:rFonts w:ascii="Times New Roman" w:hAnsi="Times New Roman" w:cs="Times New Roman"/>
          <w:sz w:val="28"/>
          <w:szCs w:val="28"/>
          <w:lang w:val="uk-UA"/>
        </w:rPr>
        <w:t>166</w:t>
      </w:r>
      <w:r w:rsidRPr="004E3FE9">
        <w:rPr>
          <w:rFonts w:ascii="Times New Roman" w:hAnsi="Times New Roman" w:cs="Times New Roman"/>
          <w:sz w:val="28"/>
          <w:szCs w:val="28"/>
          <w:lang w:val="uk-UA"/>
        </w:rPr>
        <w:t>]. В результаті постійної активації системи гемостазу запускається процес мікротромбоутворення, в свою чергу, активовані тромбоцити ініціюють і запускають мезангіальну проліферацію [</w:t>
      </w:r>
      <w:r w:rsidR="00464ADB" w:rsidRPr="004E3FE9">
        <w:rPr>
          <w:rFonts w:ascii="Times New Roman" w:hAnsi="Times New Roman" w:cs="Times New Roman"/>
          <w:sz w:val="28"/>
          <w:szCs w:val="28"/>
          <w:lang w:val="uk-UA"/>
        </w:rPr>
        <w:t>94</w:t>
      </w:r>
      <w:r w:rsidRPr="004E3FE9">
        <w:rPr>
          <w:rFonts w:ascii="Times New Roman" w:hAnsi="Times New Roman" w:cs="Times New Roman"/>
          <w:sz w:val="28"/>
          <w:szCs w:val="28"/>
          <w:lang w:val="uk-UA"/>
        </w:rPr>
        <w:t xml:space="preserve">]. Наслідком порушень </w:t>
      </w:r>
      <w:r w:rsidR="004D5257"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мікроциркуляторному руслі нирок є морфологічні зміни, а саме наявність фібринових мікротромбів, які в подальшому дають розвиток склеротичного процесу в клубочковому апараті. </w:t>
      </w:r>
      <w:r w:rsidR="004D5257" w:rsidRPr="004E3FE9">
        <w:rPr>
          <w:rFonts w:ascii="Times New Roman" w:hAnsi="Times New Roman" w:cs="Times New Roman"/>
          <w:sz w:val="28"/>
          <w:szCs w:val="28"/>
          <w:lang w:val="uk-UA"/>
        </w:rPr>
        <w:t>Під час</w:t>
      </w:r>
      <w:r w:rsidRPr="004E3FE9">
        <w:rPr>
          <w:rFonts w:ascii="Times New Roman" w:hAnsi="Times New Roman" w:cs="Times New Roman"/>
          <w:sz w:val="28"/>
          <w:szCs w:val="28"/>
          <w:lang w:val="uk-UA"/>
        </w:rPr>
        <w:t xml:space="preserve"> прогресування захворювання в патологічний процес </w:t>
      </w:r>
      <w:r w:rsidR="004D5257" w:rsidRPr="004E3FE9">
        <w:rPr>
          <w:rFonts w:ascii="Times New Roman" w:hAnsi="Times New Roman" w:cs="Times New Roman"/>
          <w:sz w:val="28"/>
          <w:szCs w:val="28"/>
          <w:lang w:val="uk-UA"/>
        </w:rPr>
        <w:t xml:space="preserve">поступово </w:t>
      </w:r>
      <w:r w:rsidRPr="004E3FE9">
        <w:rPr>
          <w:rFonts w:ascii="Times New Roman" w:hAnsi="Times New Roman" w:cs="Times New Roman"/>
          <w:sz w:val="28"/>
          <w:szCs w:val="28"/>
          <w:lang w:val="uk-UA"/>
        </w:rPr>
        <w:t xml:space="preserve">залучаються </w:t>
      </w:r>
      <w:r w:rsidR="004D5257"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інші відділи нефрона з можливим розвитком надалі ниркової недостатності [</w:t>
      </w:r>
      <w:r w:rsidR="00464ADB" w:rsidRPr="004E3FE9">
        <w:rPr>
          <w:rFonts w:ascii="Times New Roman" w:hAnsi="Times New Roman" w:cs="Times New Roman"/>
          <w:sz w:val="28"/>
          <w:szCs w:val="28"/>
          <w:lang w:val="uk-UA"/>
        </w:rPr>
        <w:t>18</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Неінвазивними методами дослідження стану ендотелію прийнято вважати ультразвукове дуплексне ангіосканування, яке останнім часом в алгоритмі діагностичної програми займає одне з провідних місць внаслідок його безпечності, а також високої чутливості та специфічності [</w:t>
      </w:r>
      <w:r w:rsidR="00464ADB" w:rsidRPr="004E3FE9">
        <w:rPr>
          <w:rFonts w:ascii="Times New Roman" w:hAnsi="Times New Roman" w:cs="Times New Roman"/>
          <w:sz w:val="28"/>
          <w:szCs w:val="28"/>
          <w:lang w:val="uk-UA"/>
        </w:rPr>
        <w:t>55</w:t>
      </w:r>
      <w:r w:rsidRPr="004E3FE9">
        <w:rPr>
          <w:rFonts w:ascii="Times New Roman" w:hAnsi="Times New Roman" w:cs="Times New Roman"/>
          <w:sz w:val="28"/>
          <w:szCs w:val="28"/>
          <w:lang w:val="uk-UA"/>
        </w:rPr>
        <w:t>]. Загальновизнаним інструментальним методом діагностики ендотеліальної дисфункції, з метою вивчення змін діаметру судин та швидкості кровотоку, вважають ультразвукову доплерографію плечових (ПА) та загальних сонних (ЗСА) артерій [</w:t>
      </w:r>
      <w:r w:rsidR="00464ADB" w:rsidRPr="004E3FE9">
        <w:rPr>
          <w:rFonts w:ascii="Times New Roman" w:hAnsi="Times New Roman" w:cs="Times New Roman"/>
          <w:sz w:val="28"/>
          <w:szCs w:val="28"/>
          <w:lang w:val="uk-UA"/>
        </w:rPr>
        <w:t>51</w:t>
      </w:r>
      <w:r w:rsidRPr="004E3FE9">
        <w:rPr>
          <w:rFonts w:ascii="Times New Roman" w:hAnsi="Times New Roman" w:cs="Times New Roman"/>
          <w:sz w:val="28"/>
          <w:szCs w:val="28"/>
          <w:lang w:val="uk-UA"/>
        </w:rPr>
        <w:t xml:space="preserve">]. Застосовується визначення та оцінка товщини комплексу інтима-медіа (КІМ) сонних артерій, як предиктора запального процесу судинної стінки </w:t>
      </w:r>
      <w:r w:rsidR="004D5257" w:rsidRPr="004E3FE9">
        <w:rPr>
          <w:rFonts w:ascii="Times New Roman" w:hAnsi="Times New Roman" w:cs="Times New Roman"/>
          <w:sz w:val="28"/>
          <w:szCs w:val="28"/>
          <w:lang w:val="uk-UA"/>
        </w:rPr>
        <w:t>та</w:t>
      </w:r>
      <w:r w:rsidRPr="004E3FE9">
        <w:rPr>
          <w:rFonts w:ascii="Times New Roman" w:hAnsi="Times New Roman" w:cs="Times New Roman"/>
          <w:sz w:val="28"/>
          <w:szCs w:val="28"/>
          <w:lang w:val="uk-UA"/>
        </w:rPr>
        <w:t xml:space="preserve"> ремоделювання судинного русла, а також дослідження </w:t>
      </w:r>
      <w:r w:rsidRPr="004E3FE9">
        <w:rPr>
          <w:rFonts w:ascii="Times New Roman" w:hAnsi="Times New Roman" w:cs="Times New Roman"/>
          <w:sz w:val="28"/>
          <w:szCs w:val="28"/>
          <w:lang w:val="uk-UA"/>
        </w:rPr>
        <w:lastRenderedPageBreak/>
        <w:t>реактивності плечової артерії з застосуванням фармакологічних та функціональних проб [</w:t>
      </w:r>
      <w:r w:rsidR="00464ADB" w:rsidRPr="004E3FE9">
        <w:rPr>
          <w:rFonts w:ascii="Times New Roman" w:hAnsi="Times New Roman" w:cs="Times New Roman"/>
          <w:sz w:val="28"/>
          <w:szCs w:val="28"/>
          <w:lang w:val="uk-UA"/>
        </w:rPr>
        <w:t>65</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Дані численних досліджень, отримані при ультразвуковому дослідженні з використанням високочастотних датчиків, підтверджують наявність достовірного взаємозв'язку товщини КІМ ЗСА з такими показниками роз</w:t>
      </w:r>
      <w:r w:rsidR="004D5257" w:rsidRPr="004E3FE9">
        <w:rPr>
          <w:rFonts w:ascii="Times New Roman" w:hAnsi="Times New Roman" w:cs="Times New Roman"/>
          <w:sz w:val="28"/>
          <w:szCs w:val="28"/>
          <w:lang w:val="uk-UA"/>
        </w:rPr>
        <w:t>витку ендотеліальної дисфункції</w:t>
      </w:r>
      <w:r w:rsidRPr="004E3FE9">
        <w:rPr>
          <w:rFonts w:ascii="Times New Roman" w:hAnsi="Times New Roman" w:cs="Times New Roman"/>
          <w:sz w:val="28"/>
          <w:szCs w:val="28"/>
          <w:lang w:val="uk-UA"/>
        </w:rPr>
        <w:t xml:space="preserve"> як ожиріння, гіперхолестеринемія, спадкова комбінована гіперліпідемія, цукровий діабет 1-го типу як у дорослих, так і у дітей [</w:t>
      </w:r>
      <w:r w:rsidR="00464ADB" w:rsidRPr="004E3FE9">
        <w:rPr>
          <w:rFonts w:ascii="Times New Roman" w:hAnsi="Times New Roman" w:cs="Times New Roman"/>
          <w:sz w:val="28"/>
          <w:szCs w:val="28"/>
          <w:lang w:val="uk-UA"/>
        </w:rPr>
        <w:t>82, 163</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Треба відмітити, що при дослідженні дітей пацієнтів, які мають в анамнезі ранній інфаркт міокарда, Cuomo і співавт. [</w:t>
      </w:r>
      <w:r w:rsidR="00464ADB" w:rsidRPr="004E3FE9">
        <w:rPr>
          <w:rFonts w:ascii="Times New Roman" w:hAnsi="Times New Roman" w:cs="Times New Roman"/>
          <w:sz w:val="28"/>
          <w:szCs w:val="28"/>
          <w:lang w:val="uk-UA"/>
        </w:rPr>
        <w:t>84</w:t>
      </w:r>
      <w:r w:rsidR="004D5257"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наголошують на доцільності включення в клінічну практику ультразвукового дослідження КІМ ЗСА у підлітків з високим ризиком коронарних захворювань. </w:t>
      </w:r>
      <w:r w:rsidR="004D5257"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літературі описано потовщення КІМ ЗСА у молодих хворих, що мають кінцеву стадію захворювання нирок </w:t>
      </w:r>
      <w:r w:rsidR="004D5257"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дитинстві та у дітей з термінальною стадією </w:t>
      </w:r>
      <w:r w:rsidR="004D5257" w:rsidRPr="004E3FE9">
        <w:rPr>
          <w:rFonts w:ascii="Times New Roman" w:hAnsi="Times New Roman" w:cs="Times New Roman"/>
          <w:sz w:val="28"/>
          <w:szCs w:val="28"/>
          <w:lang w:val="uk-UA"/>
        </w:rPr>
        <w:t>ХНН</w:t>
      </w:r>
      <w:r w:rsidRPr="004E3FE9">
        <w:rPr>
          <w:rFonts w:ascii="Times New Roman" w:hAnsi="Times New Roman" w:cs="Times New Roman"/>
          <w:sz w:val="28"/>
          <w:szCs w:val="28"/>
          <w:lang w:val="uk-UA"/>
        </w:rPr>
        <w:t xml:space="preserve">. </w:t>
      </w:r>
      <w:r w:rsidR="004D5257" w:rsidRPr="004E3FE9">
        <w:rPr>
          <w:rFonts w:ascii="Times New Roman" w:hAnsi="Times New Roman" w:cs="Times New Roman"/>
          <w:sz w:val="28"/>
          <w:szCs w:val="28"/>
          <w:lang w:val="uk-UA"/>
        </w:rPr>
        <w:t>Під час порівняння</w:t>
      </w:r>
      <w:r w:rsidRPr="004E3FE9">
        <w:rPr>
          <w:rFonts w:ascii="Times New Roman" w:hAnsi="Times New Roman" w:cs="Times New Roman"/>
          <w:sz w:val="28"/>
          <w:szCs w:val="28"/>
          <w:lang w:val="uk-UA"/>
        </w:rPr>
        <w:t>, товщина КІМ ЗСА була найбільш високою у дітей, які перебувають на діаліз</w:t>
      </w:r>
      <w:r w:rsidR="004D5257" w:rsidRPr="004E3FE9">
        <w:rPr>
          <w:rFonts w:ascii="Times New Roman" w:hAnsi="Times New Roman" w:cs="Times New Roman"/>
          <w:sz w:val="28"/>
          <w:szCs w:val="28"/>
          <w:lang w:val="uk-UA"/>
        </w:rPr>
        <w:t>і, але збільшення КІМ також було</w:t>
      </w:r>
      <w:r w:rsidRPr="004E3FE9">
        <w:rPr>
          <w:rFonts w:ascii="Times New Roman" w:hAnsi="Times New Roman" w:cs="Times New Roman"/>
          <w:sz w:val="28"/>
          <w:szCs w:val="28"/>
          <w:lang w:val="uk-UA"/>
        </w:rPr>
        <w:t xml:space="preserve"> присутн</w:t>
      </w:r>
      <w:r w:rsidR="004D5257" w:rsidRPr="004E3FE9">
        <w:rPr>
          <w:rFonts w:ascii="Times New Roman" w:hAnsi="Times New Roman" w:cs="Times New Roman"/>
          <w:sz w:val="28"/>
          <w:szCs w:val="28"/>
          <w:lang w:val="uk-UA"/>
        </w:rPr>
        <w:t>є</w:t>
      </w:r>
      <w:r w:rsidRPr="004E3FE9">
        <w:rPr>
          <w:rFonts w:ascii="Times New Roman" w:hAnsi="Times New Roman" w:cs="Times New Roman"/>
          <w:sz w:val="28"/>
          <w:szCs w:val="28"/>
          <w:lang w:val="uk-UA"/>
        </w:rPr>
        <w:t xml:space="preserve"> </w:t>
      </w:r>
      <w:r w:rsidR="004D5257"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у реципієнтів </w:t>
      </w:r>
      <w:r w:rsidR="004D5257" w:rsidRPr="004E3FE9">
        <w:rPr>
          <w:rFonts w:ascii="Times New Roman" w:hAnsi="Times New Roman" w:cs="Times New Roman"/>
          <w:sz w:val="28"/>
          <w:szCs w:val="28"/>
          <w:lang w:val="uk-UA"/>
        </w:rPr>
        <w:t>і</w:t>
      </w:r>
      <w:r w:rsidRPr="004E3FE9">
        <w:rPr>
          <w:rFonts w:ascii="Times New Roman" w:hAnsi="Times New Roman" w:cs="Times New Roman"/>
          <w:sz w:val="28"/>
          <w:szCs w:val="28"/>
          <w:lang w:val="uk-UA"/>
        </w:rPr>
        <w:t xml:space="preserve">з нирковим трансплантатом, і навіть у дітей </w:t>
      </w:r>
      <w:r w:rsidR="004D5257" w:rsidRPr="004E3FE9">
        <w:rPr>
          <w:rFonts w:ascii="Times New Roman" w:hAnsi="Times New Roman" w:cs="Times New Roman"/>
          <w:sz w:val="28"/>
          <w:szCs w:val="28"/>
          <w:lang w:val="uk-UA"/>
        </w:rPr>
        <w:t>і</w:t>
      </w:r>
      <w:r w:rsidRPr="004E3FE9">
        <w:rPr>
          <w:rFonts w:ascii="Times New Roman" w:hAnsi="Times New Roman" w:cs="Times New Roman"/>
          <w:sz w:val="28"/>
          <w:szCs w:val="28"/>
          <w:lang w:val="uk-UA"/>
        </w:rPr>
        <w:t xml:space="preserve">з II - IV стадією </w:t>
      </w:r>
      <w:r w:rsidR="004D5257" w:rsidRPr="004E3FE9">
        <w:rPr>
          <w:rFonts w:ascii="Times New Roman" w:hAnsi="Times New Roman" w:cs="Times New Roman"/>
          <w:sz w:val="28"/>
          <w:szCs w:val="28"/>
          <w:lang w:val="uk-UA"/>
        </w:rPr>
        <w:t>ХНН</w:t>
      </w:r>
      <w:r w:rsidRPr="004E3FE9">
        <w:rPr>
          <w:rFonts w:ascii="Times New Roman" w:hAnsi="Times New Roman" w:cs="Times New Roman"/>
          <w:sz w:val="28"/>
          <w:szCs w:val="28"/>
          <w:lang w:val="uk-UA"/>
        </w:rPr>
        <w:t xml:space="preserve"> [</w:t>
      </w:r>
      <w:r w:rsidR="00464ADB" w:rsidRPr="004E3FE9">
        <w:rPr>
          <w:rFonts w:ascii="Times New Roman" w:hAnsi="Times New Roman" w:cs="Times New Roman"/>
          <w:sz w:val="28"/>
          <w:szCs w:val="28"/>
          <w:lang w:val="uk-UA"/>
        </w:rPr>
        <w:t>37, 128, 148</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 1992 році Celermajer D.</w:t>
      </w:r>
      <w:r w:rsidR="004D5257" w:rsidRPr="004E3FE9">
        <w:rPr>
          <w:rFonts w:ascii="Times New Roman" w:hAnsi="Times New Roman" w:cs="Times New Roman"/>
          <w:sz w:val="28"/>
          <w:szCs w:val="28"/>
          <w:lang w:val="uk-UA"/>
        </w:rPr>
        <w:t xml:space="preserve"> т</w:t>
      </w:r>
      <w:r w:rsidRPr="004E3FE9">
        <w:rPr>
          <w:rFonts w:ascii="Times New Roman" w:hAnsi="Times New Roman" w:cs="Times New Roman"/>
          <w:sz w:val="28"/>
          <w:szCs w:val="28"/>
          <w:lang w:val="uk-UA"/>
        </w:rPr>
        <w:t>а співавт., розробили методику оцінки ендотеліальної дисфункції судин [</w:t>
      </w:r>
      <w:r w:rsidR="00464ADB" w:rsidRPr="004E3FE9">
        <w:rPr>
          <w:rFonts w:ascii="Times New Roman" w:hAnsi="Times New Roman" w:cs="Times New Roman"/>
          <w:sz w:val="28"/>
          <w:szCs w:val="28"/>
          <w:lang w:val="uk-UA"/>
        </w:rPr>
        <w:t>79</w:t>
      </w:r>
      <w:r w:rsidRPr="004E3FE9">
        <w:rPr>
          <w:rFonts w:ascii="Times New Roman" w:hAnsi="Times New Roman" w:cs="Times New Roman"/>
          <w:sz w:val="28"/>
          <w:szCs w:val="28"/>
          <w:lang w:val="uk-UA"/>
        </w:rPr>
        <w:t xml:space="preserve">, </w:t>
      </w:r>
      <w:r w:rsidR="00464ADB" w:rsidRPr="004E3FE9">
        <w:rPr>
          <w:rFonts w:ascii="Times New Roman" w:hAnsi="Times New Roman" w:cs="Times New Roman"/>
          <w:sz w:val="28"/>
          <w:szCs w:val="28"/>
          <w:lang w:val="uk-UA"/>
        </w:rPr>
        <w:t>114</w:t>
      </w:r>
      <w:r w:rsidRPr="004E3FE9">
        <w:rPr>
          <w:rFonts w:ascii="Times New Roman" w:hAnsi="Times New Roman" w:cs="Times New Roman"/>
          <w:sz w:val="28"/>
          <w:szCs w:val="28"/>
          <w:lang w:val="uk-UA"/>
        </w:rPr>
        <w:t xml:space="preserve">]. Дослідження вазорегулюючої функції ендотелію за допомогою ультразвуку високого дозволу має незаперечні переваги перед ангіографічними методами, так як є неінвазивним. Ендотелійзалежна вазодилатація (ЕЗВД) – це тест судинної дисфункції, який вимірює зміну діаметра артерії у відповідь на реактивну гіперемію. Порушення ЕЗВД пов'язано зі зміною метаболізму ендотеліального релаксуючого фактора, а саме оксид азоту. У пацієнтів </w:t>
      </w:r>
      <w:r w:rsidR="004D5257" w:rsidRPr="004E3FE9">
        <w:rPr>
          <w:rFonts w:ascii="Times New Roman" w:hAnsi="Times New Roman" w:cs="Times New Roman"/>
          <w:sz w:val="28"/>
          <w:szCs w:val="28"/>
          <w:lang w:val="uk-UA"/>
        </w:rPr>
        <w:t>і</w:t>
      </w:r>
      <w:r w:rsidRPr="004E3FE9">
        <w:rPr>
          <w:rFonts w:ascii="Times New Roman" w:hAnsi="Times New Roman" w:cs="Times New Roman"/>
          <w:sz w:val="28"/>
          <w:szCs w:val="28"/>
          <w:lang w:val="uk-UA"/>
        </w:rPr>
        <w:t>з дисфункцією судин, зазвичай, дилатація знижується або відсутня [</w:t>
      </w:r>
      <w:r w:rsidR="00464ADB" w:rsidRPr="004E3FE9">
        <w:rPr>
          <w:rFonts w:ascii="Times New Roman" w:hAnsi="Times New Roman" w:cs="Times New Roman"/>
          <w:sz w:val="28"/>
          <w:szCs w:val="28"/>
          <w:lang w:val="uk-UA"/>
        </w:rPr>
        <w:t>97</w:t>
      </w:r>
      <w:r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Також ЕЗВД являється загальновизнаним методом оцінки майбутнього ризику серцево-судинних захворювань. Крім того, низький рівень ЕЗВД є предиктором ризику виникнення кардіоваскуляр</w:t>
      </w:r>
      <w:r w:rsidR="004D5257" w:rsidRPr="004E3FE9">
        <w:rPr>
          <w:rFonts w:ascii="Times New Roman" w:hAnsi="Times New Roman" w:cs="Times New Roman"/>
          <w:sz w:val="28"/>
          <w:szCs w:val="28"/>
          <w:lang w:val="uk-UA"/>
        </w:rPr>
        <w:t>них випадків</w:t>
      </w:r>
      <w:r w:rsidRPr="004E3FE9">
        <w:rPr>
          <w:rFonts w:ascii="Times New Roman" w:hAnsi="Times New Roman" w:cs="Times New Roman"/>
          <w:sz w:val="28"/>
          <w:szCs w:val="28"/>
          <w:lang w:val="uk-UA"/>
        </w:rPr>
        <w:t xml:space="preserve"> як у здорових </w:t>
      </w:r>
      <w:r w:rsidRPr="004E3FE9">
        <w:rPr>
          <w:rFonts w:ascii="Times New Roman" w:hAnsi="Times New Roman" w:cs="Times New Roman"/>
          <w:sz w:val="28"/>
          <w:szCs w:val="28"/>
          <w:lang w:val="uk-UA"/>
        </w:rPr>
        <w:lastRenderedPageBreak/>
        <w:t xml:space="preserve">людей, так і у пацієнтів </w:t>
      </w:r>
      <w:r w:rsidR="004D5257" w:rsidRPr="004E3FE9">
        <w:rPr>
          <w:rFonts w:ascii="Times New Roman" w:hAnsi="Times New Roman" w:cs="Times New Roman"/>
          <w:sz w:val="28"/>
          <w:szCs w:val="28"/>
          <w:lang w:val="uk-UA"/>
        </w:rPr>
        <w:t>і</w:t>
      </w:r>
      <w:r w:rsidRPr="004E3FE9">
        <w:rPr>
          <w:rFonts w:ascii="Times New Roman" w:hAnsi="Times New Roman" w:cs="Times New Roman"/>
          <w:sz w:val="28"/>
          <w:szCs w:val="28"/>
          <w:lang w:val="uk-UA"/>
        </w:rPr>
        <w:t xml:space="preserve">з обтяжливим анамнезом </w:t>
      </w:r>
      <w:r w:rsidR="004D5257" w:rsidRPr="004E3FE9">
        <w:rPr>
          <w:rFonts w:ascii="Times New Roman" w:hAnsi="Times New Roman" w:cs="Times New Roman"/>
          <w:sz w:val="28"/>
          <w:szCs w:val="28"/>
          <w:lang w:val="uk-UA"/>
        </w:rPr>
        <w:t>щодо</w:t>
      </w:r>
      <w:r w:rsidRPr="004E3FE9">
        <w:rPr>
          <w:rFonts w:ascii="Times New Roman" w:hAnsi="Times New Roman" w:cs="Times New Roman"/>
          <w:sz w:val="28"/>
          <w:szCs w:val="28"/>
          <w:lang w:val="uk-UA"/>
        </w:rPr>
        <w:t xml:space="preserve"> патології судин [</w:t>
      </w:r>
      <w:r w:rsidR="00464ADB" w:rsidRPr="004E3FE9">
        <w:rPr>
          <w:rFonts w:ascii="Times New Roman" w:hAnsi="Times New Roman" w:cs="Times New Roman"/>
          <w:sz w:val="28"/>
          <w:szCs w:val="28"/>
          <w:lang w:val="uk-UA"/>
        </w:rPr>
        <w:t>105, 152, 174</w:t>
      </w:r>
      <w:r w:rsidRPr="004E3FE9">
        <w:rPr>
          <w:rFonts w:ascii="Times New Roman" w:hAnsi="Times New Roman" w:cs="Times New Roman"/>
          <w:sz w:val="28"/>
          <w:szCs w:val="28"/>
          <w:lang w:val="uk-UA"/>
        </w:rPr>
        <w:t>]. За даними ряду дослідників</w:t>
      </w:r>
      <w:r w:rsidR="004D5257"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на кожний 1% зниження приросту діаметру ПА відносний ризик розвитку серцево-судинних захворювань склав </w:t>
      </w:r>
      <w:r w:rsidR="004D5257" w:rsidRPr="004E3FE9">
        <w:rPr>
          <w:rFonts w:ascii="Times New Roman" w:hAnsi="Times New Roman" w:cs="Times New Roman"/>
          <w:sz w:val="28"/>
          <w:szCs w:val="28"/>
          <w:lang w:val="uk-UA"/>
        </w:rPr>
        <w:t>0,</w:t>
      </w:r>
      <w:r w:rsidRPr="004E3FE9">
        <w:rPr>
          <w:rFonts w:ascii="Times New Roman" w:hAnsi="Times New Roman" w:cs="Times New Roman"/>
          <w:sz w:val="28"/>
          <w:szCs w:val="28"/>
          <w:lang w:val="uk-UA"/>
        </w:rPr>
        <w:t xml:space="preserve">87 (95% </w:t>
      </w:r>
      <w:r w:rsidR="004D5257" w:rsidRPr="004E3FE9">
        <w:rPr>
          <w:rFonts w:ascii="Times New Roman" w:hAnsi="Times New Roman" w:cs="Times New Roman"/>
          <w:sz w:val="28"/>
          <w:szCs w:val="28"/>
          <w:lang w:val="uk-UA"/>
        </w:rPr>
        <w:t>ДІ</w:t>
      </w:r>
      <w:r w:rsidRPr="004E3FE9">
        <w:rPr>
          <w:rFonts w:ascii="Times New Roman" w:hAnsi="Times New Roman" w:cs="Times New Roman"/>
          <w:sz w:val="28"/>
          <w:szCs w:val="28"/>
          <w:lang w:val="uk-UA"/>
        </w:rPr>
        <w:t xml:space="preserve"> </w:t>
      </w:r>
      <w:r w:rsidR="004D5257" w:rsidRPr="004E3FE9">
        <w:rPr>
          <w:rFonts w:ascii="Times New Roman" w:hAnsi="Times New Roman" w:cs="Times New Roman"/>
          <w:sz w:val="28"/>
          <w:szCs w:val="28"/>
          <w:lang w:val="uk-UA"/>
        </w:rPr>
        <w:t>0.83-</w:t>
      </w:r>
      <w:r w:rsidRPr="004E3FE9">
        <w:rPr>
          <w:rFonts w:ascii="Times New Roman" w:hAnsi="Times New Roman" w:cs="Times New Roman"/>
          <w:sz w:val="28"/>
          <w:szCs w:val="28"/>
          <w:lang w:val="uk-UA"/>
        </w:rPr>
        <w:t>0.91) [</w:t>
      </w:r>
      <w:r w:rsidR="00464ADB" w:rsidRPr="004E3FE9">
        <w:rPr>
          <w:rFonts w:ascii="Times New Roman" w:hAnsi="Times New Roman" w:cs="Times New Roman"/>
          <w:sz w:val="28"/>
          <w:szCs w:val="28"/>
          <w:lang w:val="uk-UA"/>
        </w:rPr>
        <w:t>114</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 вивченні функції ендотелію у хворих на гіперхолестеринемію була виявлена знижена ЕЗВД. Дисфункцію ендотелію знаходили у дітей, батьки яких страждали дисліпідеміями [</w:t>
      </w:r>
      <w:r w:rsidR="00464ADB" w:rsidRPr="004E3FE9">
        <w:rPr>
          <w:rFonts w:ascii="Times New Roman" w:hAnsi="Times New Roman" w:cs="Times New Roman"/>
          <w:sz w:val="28"/>
          <w:szCs w:val="28"/>
          <w:lang w:val="uk-UA"/>
        </w:rPr>
        <w:t>46</w:t>
      </w:r>
      <w:r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Дисфункція ендотелію відзначається при самих різних патологічних станах</w:t>
      </w:r>
      <w:r w:rsidR="004D5257"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w:t>
      </w:r>
      <w:r w:rsidR="004D5257" w:rsidRPr="004E3FE9">
        <w:rPr>
          <w:rFonts w:ascii="Times New Roman" w:hAnsi="Times New Roman" w:cs="Times New Roman"/>
          <w:sz w:val="28"/>
          <w:szCs w:val="28"/>
          <w:lang w:val="uk-UA"/>
        </w:rPr>
        <w:t>а саме при</w:t>
      </w:r>
      <w:r w:rsidRPr="004E3FE9">
        <w:rPr>
          <w:rFonts w:ascii="Times New Roman" w:hAnsi="Times New Roman" w:cs="Times New Roman"/>
          <w:sz w:val="28"/>
          <w:szCs w:val="28"/>
          <w:lang w:val="uk-UA"/>
        </w:rPr>
        <w:t xml:space="preserve"> захворюваннях органів серцево-судинної си</w:t>
      </w:r>
      <w:r w:rsidR="004D5257" w:rsidRPr="004E3FE9">
        <w:rPr>
          <w:rFonts w:ascii="Times New Roman" w:hAnsi="Times New Roman" w:cs="Times New Roman"/>
          <w:sz w:val="28"/>
          <w:szCs w:val="28"/>
          <w:lang w:val="uk-UA"/>
        </w:rPr>
        <w:t>стеми, органів дихальної систем</w:t>
      </w:r>
      <w:r w:rsidRPr="004E3FE9">
        <w:rPr>
          <w:rFonts w:ascii="Times New Roman" w:hAnsi="Times New Roman" w:cs="Times New Roman"/>
          <w:sz w:val="28"/>
          <w:szCs w:val="28"/>
          <w:lang w:val="uk-UA"/>
        </w:rPr>
        <w:t>, захворюваннях нирок, обмінних і гормональних порушеннях, захворюваннях органів шлунково-кишкового тракту, ревматологічних і онкологічних захворюваннях та при багатьох інших. Як відомо, особливістю геморагічного васкуліту є ураження суд</w:t>
      </w:r>
      <w:r w:rsidR="004D5257" w:rsidRPr="004E3FE9">
        <w:rPr>
          <w:rFonts w:ascii="Times New Roman" w:hAnsi="Times New Roman" w:cs="Times New Roman"/>
          <w:sz w:val="28"/>
          <w:szCs w:val="28"/>
          <w:lang w:val="uk-UA"/>
        </w:rPr>
        <w:t>ин мікроциркуляторного русла та</w:t>
      </w:r>
      <w:r w:rsidRPr="004E3FE9">
        <w:rPr>
          <w:rFonts w:ascii="Times New Roman" w:hAnsi="Times New Roman" w:cs="Times New Roman"/>
          <w:sz w:val="28"/>
          <w:szCs w:val="28"/>
          <w:lang w:val="uk-UA"/>
        </w:rPr>
        <w:t xml:space="preserve">, в подальшому, розгортання імунопатологічного процесу на ендотелії. Тому, на нашу думку, своєчасна та точна діагностика рівня його ураження грає важливу роль </w:t>
      </w:r>
      <w:r w:rsidR="004D5257" w:rsidRPr="004E3FE9">
        <w:rPr>
          <w:rFonts w:ascii="Times New Roman" w:hAnsi="Times New Roman" w:cs="Times New Roman"/>
          <w:sz w:val="28"/>
          <w:szCs w:val="28"/>
          <w:lang w:val="uk-UA"/>
        </w:rPr>
        <w:t>під час</w:t>
      </w:r>
      <w:r w:rsidRPr="004E3FE9">
        <w:rPr>
          <w:rFonts w:ascii="Times New Roman" w:hAnsi="Times New Roman" w:cs="Times New Roman"/>
          <w:sz w:val="28"/>
          <w:szCs w:val="28"/>
          <w:lang w:val="uk-UA"/>
        </w:rPr>
        <w:t xml:space="preserve"> </w:t>
      </w:r>
      <w:r w:rsidR="004D5257" w:rsidRPr="004E3FE9">
        <w:rPr>
          <w:rFonts w:ascii="Times New Roman" w:hAnsi="Times New Roman" w:cs="Times New Roman"/>
          <w:sz w:val="28"/>
          <w:szCs w:val="28"/>
          <w:lang w:val="uk-UA"/>
        </w:rPr>
        <w:t>визначення</w:t>
      </w:r>
      <w:r w:rsidRPr="004E3FE9">
        <w:rPr>
          <w:rFonts w:ascii="Times New Roman" w:hAnsi="Times New Roman" w:cs="Times New Roman"/>
          <w:sz w:val="28"/>
          <w:szCs w:val="28"/>
          <w:lang w:val="uk-UA"/>
        </w:rPr>
        <w:t xml:space="preserve"> найбільш ефективних методів терапії хворих на ГВ.</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За останнє десятиріччя показано, що одними з провідних молекулярних маркерів пошкодження ендотелію судинного русла можна вважати моноцитарний хемоатрактантний протеїн-1 (МСР-1) [</w:t>
      </w:r>
      <w:r w:rsidR="00464ADB" w:rsidRPr="004E3FE9">
        <w:rPr>
          <w:rFonts w:ascii="Times New Roman" w:hAnsi="Times New Roman" w:cs="Times New Roman"/>
          <w:sz w:val="28"/>
          <w:szCs w:val="28"/>
          <w:lang w:val="uk-UA"/>
        </w:rPr>
        <w:t>45</w:t>
      </w:r>
      <w:r w:rsidRPr="004E3FE9">
        <w:rPr>
          <w:rFonts w:ascii="Times New Roman" w:hAnsi="Times New Roman" w:cs="Times New Roman"/>
          <w:sz w:val="28"/>
          <w:szCs w:val="28"/>
          <w:lang w:val="uk-UA"/>
        </w:rPr>
        <w:t>]. Відповідно до сучасної класифікації хемокіни розділені на 4 підродини: СХС, СС, С і СХ3С. Також хемокіни підрозділяють на дві основні функціональні підродини: запальні та гомеостатичні. Запальні хемокіни контролюють вербовку лейкоцитів при запаленні та ушкодженні тканин. Гомеостатичні хемокіни виконують такі функції, як переміщення лейкоцитів до та в середині вторинних лімфоїдних органів, а також кістковому мозку та тімусі [</w:t>
      </w:r>
      <w:r w:rsidR="00464ADB" w:rsidRPr="004E3FE9">
        <w:rPr>
          <w:rFonts w:ascii="Times New Roman" w:hAnsi="Times New Roman" w:cs="Times New Roman"/>
          <w:sz w:val="28"/>
          <w:szCs w:val="28"/>
          <w:lang w:val="uk-UA"/>
        </w:rPr>
        <w:t>167</w:t>
      </w:r>
      <w:r w:rsidRPr="004E3FE9">
        <w:rPr>
          <w:rFonts w:ascii="Times New Roman" w:hAnsi="Times New Roman" w:cs="Times New Roman"/>
          <w:sz w:val="28"/>
          <w:szCs w:val="28"/>
          <w:lang w:val="uk-UA"/>
        </w:rPr>
        <w:t xml:space="preserve">]. МСР-1 </w:t>
      </w:r>
      <w:r w:rsidR="004D5257" w:rsidRPr="004E3FE9">
        <w:rPr>
          <w:rFonts w:ascii="Times New Roman" w:hAnsi="Times New Roman" w:cs="Times New Roman"/>
          <w:sz w:val="28"/>
          <w:szCs w:val="28"/>
          <w:lang w:val="uk-UA"/>
        </w:rPr>
        <w:t>є членом С</w:t>
      </w:r>
      <w:r w:rsidRPr="004E3FE9">
        <w:rPr>
          <w:rFonts w:ascii="Times New Roman" w:hAnsi="Times New Roman" w:cs="Times New Roman"/>
          <w:sz w:val="28"/>
          <w:szCs w:val="28"/>
          <w:lang w:val="uk-UA"/>
        </w:rPr>
        <w:t>С сімейства хемокінів та сильнодіючим хемотаксичним фактором для моноцитів.</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MCP-1 продукується різними клітинами, </w:t>
      </w:r>
      <w:r w:rsidR="004D5257"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тому числі, моноцитами, Т-лімфоцитами, фібробластами, ендотеліальними клітинами судин, </w:t>
      </w:r>
      <w:r w:rsidRPr="004E3FE9">
        <w:rPr>
          <w:rFonts w:ascii="Times New Roman" w:hAnsi="Times New Roman" w:cs="Times New Roman"/>
          <w:sz w:val="28"/>
          <w:szCs w:val="28"/>
          <w:lang w:val="uk-UA"/>
        </w:rPr>
        <w:lastRenderedPageBreak/>
        <w:t>епітеліальними та гладком'язовими клітинами бронхів [</w:t>
      </w:r>
      <w:r w:rsidR="00464ADB" w:rsidRPr="004E3FE9">
        <w:rPr>
          <w:rFonts w:ascii="Times New Roman" w:hAnsi="Times New Roman" w:cs="Times New Roman"/>
          <w:sz w:val="28"/>
          <w:szCs w:val="28"/>
          <w:lang w:val="uk-UA"/>
        </w:rPr>
        <w:t>88</w:t>
      </w:r>
      <w:r w:rsidRPr="004E3FE9">
        <w:rPr>
          <w:rFonts w:ascii="Times New Roman" w:hAnsi="Times New Roman" w:cs="Times New Roman"/>
          <w:sz w:val="28"/>
          <w:szCs w:val="28"/>
          <w:lang w:val="uk-UA"/>
        </w:rPr>
        <w:t xml:space="preserve">]. MCP-1 є ефективним хемоатрактантом для моноцитів, активованих CD4 та CD8 Т-лімфоцитів, зв'язуючись з ними </w:t>
      </w:r>
      <w:r w:rsidR="004D5257" w:rsidRPr="004E3FE9">
        <w:rPr>
          <w:rFonts w:ascii="Times New Roman" w:hAnsi="Times New Roman" w:cs="Times New Roman"/>
          <w:sz w:val="28"/>
          <w:szCs w:val="28"/>
          <w:lang w:val="uk-UA"/>
        </w:rPr>
        <w:t>за допомогою</w:t>
      </w:r>
      <w:r w:rsidRPr="004E3FE9">
        <w:rPr>
          <w:rFonts w:ascii="Times New Roman" w:hAnsi="Times New Roman" w:cs="Times New Roman"/>
          <w:sz w:val="28"/>
          <w:szCs w:val="28"/>
          <w:lang w:val="uk-UA"/>
        </w:rPr>
        <w:t xml:space="preserve"> рецептор</w:t>
      </w:r>
      <w:r w:rsidR="004D5257"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CCR2. </w:t>
      </w:r>
      <w:r w:rsidR="004D5257"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результаті зв'язування клітини </w:t>
      </w:r>
      <w:r w:rsidR="004D5257" w:rsidRPr="004E3FE9">
        <w:rPr>
          <w:rFonts w:ascii="Times New Roman" w:hAnsi="Times New Roman" w:cs="Times New Roman"/>
          <w:sz w:val="28"/>
          <w:szCs w:val="28"/>
          <w:lang w:val="uk-UA"/>
        </w:rPr>
        <w:t>зсуваються в напрямку</w:t>
      </w:r>
      <w:r w:rsidRPr="004E3FE9">
        <w:rPr>
          <w:rFonts w:ascii="Times New Roman" w:hAnsi="Times New Roman" w:cs="Times New Roman"/>
          <w:sz w:val="28"/>
          <w:szCs w:val="28"/>
          <w:lang w:val="uk-UA"/>
        </w:rPr>
        <w:t xml:space="preserve"> вогнища запалення. Крім того, MCP-1 може індукувати експресію інтегринів, </w:t>
      </w:r>
      <w:r w:rsidR="004D5257" w:rsidRPr="004E3FE9">
        <w:rPr>
          <w:rFonts w:ascii="Times New Roman" w:hAnsi="Times New Roman" w:cs="Times New Roman"/>
          <w:sz w:val="28"/>
          <w:szCs w:val="28"/>
          <w:lang w:val="uk-UA"/>
        </w:rPr>
        <w:t>які необхідні</w:t>
      </w:r>
      <w:r w:rsidRPr="004E3FE9">
        <w:rPr>
          <w:rFonts w:ascii="Times New Roman" w:hAnsi="Times New Roman" w:cs="Times New Roman"/>
          <w:sz w:val="28"/>
          <w:szCs w:val="28"/>
          <w:lang w:val="uk-UA"/>
        </w:rPr>
        <w:t xml:space="preserve"> для хемотаксису [</w:t>
      </w:r>
      <w:r w:rsidR="00464ADB" w:rsidRPr="004E3FE9">
        <w:rPr>
          <w:rFonts w:ascii="Times New Roman" w:hAnsi="Times New Roman" w:cs="Times New Roman"/>
          <w:sz w:val="28"/>
          <w:szCs w:val="28"/>
          <w:lang w:val="uk-UA"/>
        </w:rPr>
        <w:t>26, 161</w:t>
      </w:r>
      <w:r w:rsidRPr="004E3FE9">
        <w:rPr>
          <w:rFonts w:ascii="Times New Roman" w:hAnsi="Times New Roman" w:cs="Times New Roman"/>
          <w:sz w:val="28"/>
          <w:szCs w:val="28"/>
          <w:lang w:val="uk-UA"/>
        </w:rPr>
        <w:t>].</w:t>
      </w:r>
      <w:r w:rsidRPr="004E3FE9">
        <w:rPr>
          <w:lang w:val="uk-UA"/>
        </w:rPr>
        <w:t xml:space="preserve"> </w:t>
      </w:r>
      <w:r w:rsidRPr="004E3FE9">
        <w:rPr>
          <w:rFonts w:ascii="Times New Roman" w:hAnsi="Times New Roman" w:cs="Times New Roman"/>
          <w:sz w:val="28"/>
          <w:szCs w:val="28"/>
          <w:lang w:val="uk-UA"/>
        </w:rPr>
        <w:t xml:space="preserve">МСР-1 є не тільки хемоатрактантом, що забезпечує міграцію та екстравазацію мононуклеарних клітин у вогнище запалення, але </w:t>
      </w:r>
      <w:r w:rsidR="00AF0354"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медіатором запалення, активуючи при цьому резидентні клітини.</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Дослідження рівнів МСР-1 при ревматоїдному артриті вказує на підвищення його рівнів, окрім цього, зафіксовано зворотний кореляційний зв'язок рівнів МСР-1 та ЕЗВД, що підтверджує його участь </w:t>
      </w:r>
      <w:r w:rsidR="00AF035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патогенетичних механізмах розвитку дисфункції ендотелію [</w:t>
      </w:r>
      <w:r w:rsidR="00464ADB" w:rsidRPr="004E3FE9">
        <w:rPr>
          <w:rFonts w:ascii="Times New Roman" w:hAnsi="Times New Roman" w:cs="Times New Roman"/>
          <w:sz w:val="28"/>
          <w:szCs w:val="28"/>
          <w:lang w:val="uk-UA"/>
        </w:rPr>
        <w:t>107</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Ohlsson S. та співавт. [</w:t>
      </w:r>
      <w:r w:rsidR="00464ADB" w:rsidRPr="004E3FE9">
        <w:rPr>
          <w:rFonts w:ascii="Times New Roman" w:hAnsi="Times New Roman" w:cs="Times New Roman"/>
          <w:sz w:val="28"/>
          <w:szCs w:val="28"/>
          <w:lang w:val="uk-UA"/>
        </w:rPr>
        <w:t>135</w:t>
      </w:r>
      <w:r w:rsidRPr="004E3FE9">
        <w:rPr>
          <w:rFonts w:ascii="Times New Roman" w:hAnsi="Times New Roman" w:cs="Times New Roman"/>
          <w:sz w:val="28"/>
          <w:szCs w:val="28"/>
          <w:lang w:val="uk-UA"/>
        </w:rPr>
        <w:t xml:space="preserve">], проведено дослідження рівнів МСР-1 </w:t>
      </w:r>
      <w:r w:rsidR="00AF035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сечі у дітей з ANCA-асоційованим васкулітом дрібних судин. Відмічено підвищення рівнів МСР-1 </w:t>
      </w:r>
      <w:r w:rsidR="00AF035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сечі хворих на ANCA-асоційований васкуліт дрібних судин та ступінь екскреції </w:t>
      </w:r>
      <w:r w:rsidR="00AF0354" w:rsidRPr="004E3FE9">
        <w:rPr>
          <w:rFonts w:ascii="Times New Roman" w:hAnsi="Times New Roman" w:cs="Times New Roman"/>
          <w:sz w:val="28"/>
          <w:szCs w:val="28"/>
          <w:lang w:val="uk-UA"/>
        </w:rPr>
        <w:t>вірогідно</w:t>
      </w:r>
      <w:r w:rsidRPr="004E3FE9">
        <w:rPr>
          <w:rFonts w:ascii="Times New Roman" w:hAnsi="Times New Roman" w:cs="Times New Roman"/>
          <w:sz w:val="28"/>
          <w:szCs w:val="28"/>
          <w:lang w:val="uk-UA"/>
        </w:rPr>
        <w:t xml:space="preserve"> корелювала з результатом захворювання, враховуючи критичне ушкодження та смерть. Зв'язок </w:t>
      </w:r>
      <w:r w:rsidR="00AF0354" w:rsidRPr="004E3FE9">
        <w:rPr>
          <w:rFonts w:ascii="Times New Roman" w:hAnsi="Times New Roman" w:cs="Times New Roman"/>
          <w:sz w:val="28"/>
          <w:szCs w:val="28"/>
          <w:lang w:val="uk-UA"/>
        </w:rPr>
        <w:t>несприятливого прогнозу</w:t>
      </w:r>
      <w:r w:rsidRPr="004E3FE9">
        <w:rPr>
          <w:rFonts w:ascii="Times New Roman" w:hAnsi="Times New Roman" w:cs="Times New Roman"/>
          <w:sz w:val="28"/>
          <w:szCs w:val="28"/>
          <w:lang w:val="uk-UA"/>
        </w:rPr>
        <w:t xml:space="preserve"> був сильніший </w:t>
      </w:r>
      <w:r w:rsidR="00AF0354" w:rsidRPr="004E3FE9">
        <w:rPr>
          <w:rFonts w:ascii="Times New Roman" w:hAnsi="Times New Roman" w:cs="Times New Roman"/>
          <w:sz w:val="28"/>
          <w:szCs w:val="28"/>
          <w:lang w:val="uk-UA"/>
        </w:rPr>
        <w:t>і</w:t>
      </w:r>
      <w:r w:rsidRPr="004E3FE9">
        <w:rPr>
          <w:rFonts w:ascii="Times New Roman" w:hAnsi="Times New Roman" w:cs="Times New Roman"/>
          <w:sz w:val="28"/>
          <w:szCs w:val="28"/>
          <w:lang w:val="uk-UA"/>
        </w:rPr>
        <w:t>з МСР-1, ніж зі звичайними маркерами захворювання, таких як СРБ та ANCA.</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Ряд авторів вказує на те, що 1,25 (ОН)</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D3 знижує синтез MCP-1 </w:t>
      </w:r>
      <w:r w:rsidR="00AF0354" w:rsidRPr="004E3FE9">
        <w:rPr>
          <w:rFonts w:ascii="Times New Roman" w:hAnsi="Times New Roman" w:cs="Times New Roman"/>
          <w:sz w:val="28"/>
          <w:szCs w:val="28"/>
          <w:lang w:val="uk-UA"/>
        </w:rPr>
        <w:t>та</w:t>
      </w:r>
      <w:r w:rsidRPr="004E3FE9">
        <w:rPr>
          <w:rFonts w:ascii="Times New Roman" w:hAnsi="Times New Roman" w:cs="Times New Roman"/>
          <w:sz w:val="28"/>
          <w:szCs w:val="28"/>
          <w:lang w:val="uk-UA"/>
        </w:rPr>
        <w:t xml:space="preserve"> інших прозапальних медіаторів преадіпоцитами </w:t>
      </w:r>
      <w:r w:rsidR="00AF0354"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зменшує міграцію моноцитів. Таким чином, порушуючи згубний цикл набору макрофагів, вітамін D3 може сприяти зменшенню розповсюдження жирової тканини при ожирінні, тим самим знижуючи ризик інсулінорезистентності та судинної дисфункції [</w:t>
      </w:r>
      <w:r w:rsidR="00464ADB" w:rsidRPr="004E3FE9">
        <w:rPr>
          <w:rFonts w:ascii="Times New Roman" w:hAnsi="Times New Roman" w:cs="Times New Roman"/>
          <w:sz w:val="28"/>
          <w:szCs w:val="28"/>
          <w:lang w:val="uk-UA"/>
        </w:rPr>
        <w:t>93</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Встановлено, що будь-яке пошкодження клітин паренхіми нирок, </w:t>
      </w:r>
      <w:r w:rsidR="00AF035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тому числі компонентами протеїнурії, призводить до продукції ними медіаторів запалення. Під впливом прозапальних цитокінів, стимулюється продукція моноцитарного хемоатрактантного протеїну 1, який забезпечує міграцію лейкоцитів і моноцитів </w:t>
      </w:r>
      <w:r w:rsidR="00AF0354" w:rsidRPr="004E3FE9">
        <w:rPr>
          <w:rFonts w:ascii="Times New Roman" w:hAnsi="Times New Roman" w:cs="Times New Roman"/>
          <w:sz w:val="28"/>
          <w:szCs w:val="28"/>
          <w:lang w:val="uk-UA"/>
        </w:rPr>
        <w:t>у місце</w:t>
      </w:r>
      <w:r w:rsidRPr="004E3FE9">
        <w:rPr>
          <w:rFonts w:ascii="Times New Roman" w:hAnsi="Times New Roman" w:cs="Times New Roman"/>
          <w:sz w:val="28"/>
          <w:szCs w:val="28"/>
          <w:lang w:val="uk-UA"/>
        </w:rPr>
        <w:t xml:space="preserve"> ушкодження та формування </w:t>
      </w:r>
      <w:r w:rsidRPr="004E3FE9">
        <w:rPr>
          <w:rFonts w:ascii="Times New Roman" w:hAnsi="Times New Roman" w:cs="Times New Roman"/>
          <w:sz w:val="28"/>
          <w:szCs w:val="28"/>
          <w:lang w:val="uk-UA"/>
        </w:rPr>
        <w:lastRenderedPageBreak/>
        <w:t xml:space="preserve">запального інфільтрату. Основними джерелами МСР-1 </w:t>
      </w:r>
      <w:r w:rsidR="00AF035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сечі вважаються клітини тубулярного епітелію [</w:t>
      </w:r>
      <w:r w:rsidR="00464ADB" w:rsidRPr="004E3FE9">
        <w:rPr>
          <w:rFonts w:ascii="Times New Roman" w:hAnsi="Times New Roman" w:cs="Times New Roman"/>
          <w:sz w:val="28"/>
          <w:szCs w:val="28"/>
          <w:lang w:val="uk-UA"/>
        </w:rPr>
        <w:t>28</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Під впливом MCP-1 відбувається проліферація гладких м'язів судин, секреція ними прозапальних цитокінів, що сприяють прогресуванню ниркового захворювання за рахунок судинного ушкодження. Встановлено залучення МСР-1 в процеси інтерстиціального фіброзу і гломерулосклерозу. Цей протеїн </w:t>
      </w:r>
      <w:r w:rsidR="00AF0354" w:rsidRPr="004E3FE9">
        <w:rPr>
          <w:rFonts w:ascii="Times New Roman" w:hAnsi="Times New Roman" w:cs="Times New Roman"/>
          <w:sz w:val="28"/>
          <w:szCs w:val="28"/>
          <w:lang w:val="uk-UA"/>
        </w:rPr>
        <w:t>стимулює</w:t>
      </w:r>
      <w:r w:rsidRPr="004E3FE9">
        <w:rPr>
          <w:rFonts w:ascii="Times New Roman" w:hAnsi="Times New Roman" w:cs="Times New Roman"/>
          <w:sz w:val="28"/>
          <w:szCs w:val="28"/>
          <w:lang w:val="uk-UA"/>
        </w:rPr>
        <w:t xml:space="preserve"> вироблення тубулярними епітеліальними клітинами основного профіброгенного ци</w:t>
      </w:r>
      <w:r w:rsidR="000F30AA">
        <w:rPr>
          <w:rFonts w:ascii="Times New Roman" w:hAnsi="Times New Roman" w:cs="Times New Roman"/>
          <w:sz w:val="28"/>
          <w:szCs w:val="28"/>
          <w:lang w:val="uk-UA"/>
        </w:rPr>
        <w:t>токіну – трансформуючого фактору</w:t>
      </w:r>
      <w:r w:rsidRPr="004E3FE9">
        <w:rPr>
          <w:rFonts w:ascii="Times New Roman" w:hAnsi="Times New Roman" w:cs="Times New Roman"/>
          <w:sz w:val="28"/>
          <w:szCs w:val="28"/>
          <w:lang w:val="uk-UA"/>
        </w:rPr>
        <w:t xml:space="preserve"> росту бета 1 (TGF-β1) [</w:t>
      </w:r>
      <w:r w:rsidR="00464ADB" w:rsidRPr="004E3FE9">
        <w:rPr>
          <w:rFonts w:ascii="Times New Roman" w:hAnsi="Times New Roman" w:cs="Times New Roman"/>
          <w:sz w:val="28"/>
          <w:szCs w:val="28"/>
          <w:lang w:val="uk-UA"/>
        </w:rPr>
        <w:t>98</w:t>
      </w:r>
      <w:r w:rsidRPr="004E3FE9">
        <w:rPr>
          <w:rFonts w:ascii="Times New Roman" w:hAnsi="Times New Roman" w:cs="Times New Roman"/>
          <w:sz w:val="28"/>
          <w:szCs w:val="28"/>
          <w:lang w:val="uk-UA"/>
        </w:rPr>
        <w:t xml:space="preserve">, </w:t>
      </w:r>
      <w:r w:rsidR="00464ADB" w:rsidRPr="004E3FE9">
        <w:rPr>
          <w:rFonts w:ascii="Times New Roman" w:hAnsi="Times New Roman" w:cs="Times New Roman"/>
          <w:sz w:val="28"/>
          <w:szCs w:val="28"/>
          <w:lang w:val="uk-UA"/>
        </w:rPr>
        <w:t>156</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Недавні дослідження вказують на роль МСР-1 при різних станах: імунодефіцитних захворюваннях [</w:t>
      </w:r>
      <w:r w:rsidR="00643BEB" w:rsidRPr="004E3FE9">
        <w:rPr>
          <w:rFonts w:ascii="Times New Roman" w:hAnsi="Times New Roman" w:cs="Times New Roman"/>
          <w:sz w:val="28"/>
          <w:szCs w:val="28"/>
          <w:lang w:val="uk-UA"/>
        </w:rPr>
        <w:t>71, 149, 170</w:t>
      </w:r>
      <w:r w:rsidRPr="004E3FE9">
        <w:rPr>
          <w:rFonts w:ascii="Times New Roman" w:hAnsi="Times New Roman" w:cs="Times New Roman"/>
          <w:sz w:val="28"/>
          <w:szCs w:val="28"/>
          <w:lang w:val="uk-UA"/>
        </w:rPr>
        <w:t>], ожирінні [</w:t>
      </w:r>
      <w:r w:rsidR="00643BEB" w:rsidRPr="004E3FE9">
        <w:rPr>
          <w:rFonts w:ascii="Times New Roman" w:hAnsi="Times New Roman" w:cs="Times New Roman"/>
          <w:sz w:val="28"/>
          <w:szCs w:val="28"/>
          <w:lang w:val="uk-UA"/>
        </w:rPr>
        <w:t>74, 83, 110</w:t>
      </w:r>
      <w:r w:rsidRPr="004E3FE9">
        <w:rPr>
          <w:rFonts w:ascii="Times New Roman" w:hAnsi="Times New Roman" w:cs="Times New Roman"/>
          <w:sz w:val="28"/>
          <w:szCs w:val="28"/>
          <w:lang w:val="uk-UA"/>
        </w:rPr>
        <w:t>], цукровому діабеті [</w:t>
      </w:r>
      <w:r w:rsidR="00643BEB" w:rsidRPr="004E3FE9">
        <w:rPr>
          <w:rFonts w:ascii="Times New Roman" w:hAnsi="Times New Roman" w:cs="Times New Roman"/>
          <w:sz w:val="28"/>
          <w:szCs w:val="28"/>
          <w:lang w:val="uk-UA"/>
        </w:rPr>
        <w:t>69, 99, 116, 120, 158</w:t>
      </w:r>
      <w:r w:rsidRPr="004E3FE9">
        <w:rPr>
          <w:rFonts w:ascii="Times New Roman" w:hAnsi="Times New Roman" w:cs="Times New Roman"/>
          <w:sz w:val="28"/>
          <w:szCs w:val="28"/>
          <w:lang w:val="uk-UA"/>
        </w:rPr>
        <w:t>], серцево-судинних захворюваннях [</w:t>
      </w:r>
      <w:r w:rsidR="001C5375" w:rsidRPr="004E3FE9">
        <w:rPr>
          <w:rFonts w:ascii="Times New Roman" w:hAnsi="Times New Roman" w:cs="Times New Roman"/>
          <w:sz w:val="28"/>
          <w:szCs w:val="28"/>
          <w:lang w:val="uk-UA"/>
        </w:rPr>
        <w:t>96, 106, 165</w:t>
      </w:r>
      <w:r w:rsidRPr="004E3FE9">
        <w:rPr>
          <w:rFonts w:ascii="Times New Roman" w:hAnsi="Times New Roman" w:cs="Times New Roman"/>
          <w:sz w:val="28"/>
          <w:szCs w:val="28"/>
          <w:lang w:val="uk-UA"/>
        </w:rPr>
        <w:t>], бронхіальній астмі [</w:t>
      </w:r>
      <w:r w:rsidR="001C5375" w:rsidRPr="004E3FE9">
        <w:rPr>
          <w:rFonts w:ascii="Times New Roman" w:hAnsi="Times New Roman" w:cs="Times New Roman"/>
          <w:sz w:val="28"/>
          <w:szCs w:val="28"/>
          <w:lang w:val="uk-UA"/>
        </w:rPr>
        <w:t>125, 155</w:t>
      </w:r>
      <w:r w:rsidRPr="004E3FE9">
        <w:rPr>
          <w:rFonts w:ascii="Times New Roman" w:hAnsi="Times New Roman" w:cs="Times New Roman"/>
          <w:sz w:val="28"/>
          <w:szCs w:val="28"/>
          <w:lang w:val="uk-UA"/>
        </w:rPr>
        <w:t>]захворюваннях нирок [</w:t>
      </w:r>
      <w:r w:rsidR="001C5375" w:rsidRPr="004E3FE9">
        <w:rPr>
          <w:rFonts w:ascii="Times New Roman" w:hAnsi="Times New Roman" w:cs="Times New Roman"/>
          <w:sz w:val="28"/>
          <w:szCs w:val="28"/>
          <w:lang w:val="uk-UA"/>
        </w:rPr>
        <w:t>80, 85</w:t>
      </w:r>
      <w:r w:rsidRPr="004E3FE9">
        <w:rPr>
          <w:rFonts w:ascii="Times New Roman" w:hAnsi="Times New Roman" w:cs="Times New Roman"/>
          <w:sz w:val="28"/>
          <w:szCs w:val="28"/>
          <w:lang w:val="uk-UA"/>
        </w:rPr>
        <w:t>]та онкологічних захворюваннях [</w:t>
      </w:r>
      <w:r w:rsidR="001C5375" w:rsidRPr="004E3FE9">
        <w:rPr>
          <w:rFonts w:ascii="Times New Roman" w:hAnsi="Times New Roman" w:cs="Times New Roman"/>
          <w:sz w:val="28"/>
          <w:szCs w:val="28"/>
          <w:lang w:val="uk-UA"/>
        </w:rPr>
        <w:t>124, 126</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Таким чином, здається можливою участь вищевказаних патологічних механізмів </w:t>
      </w:r>
      <w:r w:rsidR="00AF035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патогенезі геморагічного васкуліту, враховуючи імунокомплексну природу захворювання, яке відноситься до системних захворювань та розвиває патологічний процес на ендотел</w:t>
      </w:r>
      <w:r w:rsidR="00AF0354" w:rsidRPr="004E3FE9">
        <w:rPr>
          <w:rFonts w:ascii="Times New Roman" w:hAnsi="Times New Roman" w:cs="Times New Roman"/>
          <w:sz w:val="28"/>
          <w:szCs w:val="28"/>
          <w:lang w:val="uk-UA"/>
        </w:rPr>
        <w:t>ії. Порушення функції ендотелію</w:t>
      </w:r>
      <w:r w:rsidRPr="004E3FE9">
        <w:rPr>
          <w:rFonts w:ascii="Times New Roman" w:hAnsi="Times New Roman" w:cs="Times New Roman"/>
          <w:sz w:val="28"/>
          <w:szCs w:val="28"/>
          <w:lang w:val="uk-UA"/>
        </w:rPr>
        <w:t xml:space="preserve">, як відображено нами в огляді, має значну роль </w:t>
      </w:r>
      <w:r w:rsidR="00AF035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патогенезі багатьох захворювань. Але на сучасному етапі не достатньо вивчені патогенетичні механізми формування ендотеліальної дисфункції при геморагічному васкуліті у дітей. Також не розроблено алгоритми ранньої клініко-лабораторної діагностики патологічного процесу та профілактичні заходи, що дали б змогу попередити рецидиви захворювання, виникнення ускладнень та перехід </w:t>
      </w:r>
      <w:r w:rsidR="00AF0354"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хронічну форму.</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C1256E" w:rsidRPr="004E3FE9" w:rsidRDefault="00C1256E">
      <w:pPr>
        <w:rPr>
          <w:rFonts w:ascii="Times New Roman" w:hAnsi="Times New Roman" w:cs="Times New Roman"/>
          <w:sz w:val="28"/>
          <w:szCs w:val="28"/>
          <w:lang w:val="uk-UA"/>
        </w:rPr>
      </w:pPr>
    </w:p>
    <w:p w:rsidR="00BD0BF2" w:rsidRDefault="00BD0BF2" w:rsidP="00BD119A">
      <w:pPr>
        <w:pStyle w:val="1"/>
        <w:spacing w:line="360" w:lineRule="auto"/>
        <w:jc w:val="center"/>
        <w:rPr>
          <w:rFonts w:ascii="Times New Roman" w:hAnsi="Times New Roman" w:cs="Times New Roman"/>
          <w:color w:val="000000" w:themeColor="text1"/>
          <w:lang w:val="uk-UA"/>
        </w:rPr>
      </w:pPr>
      <w:bookmarkStart w:id="6" w:name="_Toc465797603"/>
      <w:r w:rsidRPr="004E3FE9">
        <w:rPr>
          <w:rFonts w:ascii="Times New Roman" w:hAnsi="Times New Roman" w:cs="Times New Roman"/>
          <w:color w:val="000000" w:themeColor="text1"/>
          <w:lang w:val="uk-UA"/>
        </w:rPr>
        <w:lastRenderedPageBreak/>
        <w:t>РОЗДІЛ 2</w:t>
      </w:r>
      <w:r w:rsidR="00A51BD1" w:rsidRPr="004E3FE9">
        <w:rPr>
          <w:rFonts w:ascii="Times New Roman" w:hAnsi="Times New Roman" w:cs="Times New Roman"/>
          <w:color w:val="000000" w:themeColor="text1"/>
          <w:lang w:val="uk-UA"/>
        </w:rPr>
        <w:br/>
      </w:r>
      <w:r w:rsidRPr="004E3FE9">
        <w:rPr>
          <w:rFonts w:ascii="Times New Roman" w:hAnsi="Times New Roman" w:cs="Times New Roman"/>
          <w:color w:val="000000" w:themeColor="text1"/>
          <w:lang w:val="uk-UA"/>
        </w:rPr>
        <w:t>МАТЕРІАЛИ ТА МЕТОДИ</w:t>
      </w:r>
      <w:bookmarkEnd w:id="6"/>
    </w:p>
    <w:p w:rsidR="000F30AA" w:rsidRPr="0061729E" w:rsidRDefault="000F30AA" w:rsidP="000F30AA">
      <w:pPr>
        <w:rPr>
          <w:rFonts w:ascii="Times New Roman" w:hAnsi="Times New Roman" w:cs="Times New Roman"/>
          <w:sz w:val="28"/>
          <w:szCs w:val="28"/>
          <w:lang w:val="uk-UA"/>
        </w:rPr>
      </w:pPr>
    </w:p>
    <w:p w:rsidR="000F30AA" w:rsidRPr="0061729E" w:rsidRDefault="000F30AA" w:rsidP="000F30AA">
      <w:pPr>
        <w:rPr>
          <w:rFonts w:ascii="Times New Roman" w:hAnsi="Times New Roman" w:cs="Times New Roman"/>
          <w:sz w:val="28"/>
          <w:szCs w:val="28"/>
          <w:lang w:val="uk-UA"/>
        </w:rPr>
      </w:pPr>
    </w:p>
    <w:p w:rsidR="000F30AA" w:rsidRPr="0061729E" w:rsidRDefault="000F30AA" w:rsidP="000F30AA">
      <w:pPr>
        <w:rPr>
          <w:rFonts w:ascii="Times New Roman" w:hAnsi="Times New Roman" w:cs="Times New Roman"/>
          <w:sz w:val="28"/>
          <w:szCs w:val="28"/>
          <w:lang w:val="uk-UA"/>
        </w:rPr>
      </w:pPr>
    </w:p>
    <w:p w:rsidR="00BD0BF2" w:rsidRPr="004E3FE9" w:rsidRDefault="00BD0BF2" w:rsidP="00BD119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Робота виконувалась впродовж 2013-2016 рр. в умовах гематологічного та педіатричного відділень КУОЗ «Харківська міська клінічна дитяча лікарня</w:t>
      </w:r>
      <w:r w:rsidR="00AF0354" w:rsidRPr="004E3FE9">
        <w:rPr>
          <w:rFonts w:ascii="Times New Roman" w:hAnsi="Times New Roman" w:cs="Times New Roman"/>
          <w:sz w:val="28"/>
          <w:szCs w:val="28"/>
          <w:lang w:val="uk-UA"/>
        </w:rPr>
        <w:t xml:space="preserve"> №16</w:t>
      </w:r>
      <w:r w:rsidRPr="004E3FE9">
        <w:rPr>
          <w:rFonts w:ascii="Times New Roman" w:hAnsi="Times New Roman" w:cs="Times New Roman"/>
          <w:sz w:val="28"/>
          <w:szCs w:val="28"/>
          <w:lang w:val="uk-UA"/>
        </w:rPr>
        <w:t>» (головний лікар – Харченко Т.В.), що є клінічною базою кафедри педіатрії №2 Харківського національного медичного університету, а також у центральній науково-дослідницькій лабораторії Харківського національного медичного університету (зав. лабораторії – Іваненко Т.О.).</w:t>
      </w:r>
    </w:p>
    <w:p w:rsidR="00BB51E4" w:rsidRPr="004E3FE9" w:rsidRDefault="00BB51E4" w:rsidP="00BD119A">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119A">
      <w:pPr>
        <w:pStyle w:val="2"/>
        <w:spacing w:line="360" w:lineRule="auto"/>
        <w:rPr>
          <w:rFonts w:ascii="Times New Roman" w:hAnsi="Times New Roman" w:cs="Times New Roman"/>
          <w:color w:val="000000" w:themeColor="text1"/>
          <w:sz w:val="28"/>
          <w:szCs w:val="28"/>
          <w:lang w:val="uk-UA"/>
        </w:rPr>
      </w:pPr>
      <w:bookmarkStart w:id="7" w:name="_Toc465797604"/>
      <w:r w:rsidRPr="004E3FE9">
        <w:rPr>
          <w:rFonts w:ascii="Times New Roman" w:hAnsi="Times New Roman" w:cs="Times New Roman"/>
          <w:color w:val="000000" w:themeColor="text1"/>
          <w:sz w:val="28"/>
          <w:szCs w:val="28"/>
          <w:lang w:val="uk-UA"/>
        </w:rPr>
        <w:t>2.1. Об’єкт дослідження</w:t>
      </w:r>
      <w:bookmarkEnd w:id="7"/>
    </w:p>
    <w:p w:rsidR="00BB51E4" w:rsidRPr="004E3FE9" w:rsidRDefault="00BB51E4" w:rsidP="00BB51E4">
      <w:pPr>
        <w:rPr>
          <w:lang w:val="uk-UA"/>
        </w:rPr>
      </w:pPr>
    </w:p>
    <w:p w:rsidR="00BD0BF2" w:rsidRPr="004E3FE9" w:rsidRDefault="00BD0BF2" w:rsidP="00BD119A">
      <w:pPr>
        <w:spacing w:line="360" w:lineRule="auto"/>
        <w:ind w:firstLine="709"/>
        <w:contextualSpacing/>
        <w:jc w:val="both"/>
        <w:rPr>
          <w:rFonts w:ascii="Times New Roman" w:hAnsi="Times New Roman" w:cs="Times New Roman"/>
          <w:b/>
          <w:sz w:val="28"/>
          <w:szCs w:val="28"/>
          <w:lang w:val="uk-UA"/>
        </w:rPr>
      </w:pPr>
      <w:r w:rsidRPr="004E3FE9">
        <w:rPr>
          <w:rFonts w:ascii="Times New Roman" w:hAnsi="Times New Roman" w:cs="Times New Roman"/>
          <w:sz w:val="28"/>
          <w:szCs w:val="28"/>
          <w:lang w:val="uk-UA"/>
        </w:rPr>
        <w:t>Комісією з біоетики Харківського національного медичного університету (протокол № 6 від 1 червня 2016 р.) встановлено, що проведені дослідження відповідали етичним принципам медичного дослідження, які проводиться на людях. Роботу було проведено відповідно до вимог Європейської конвенції по захисту хребетних тварин (Страсбург, 18.03.1986 р.), директиви Ради Європейського економічного товариства по захисту хребетних тварин (Страсбург, 24.11.1986), закону України «Про лікарські засоби», 1996, ст. 7, 8, 12, принципам ІСН GСP (2008 р.), GLР (2002 р.), «Порядку проведення клінічних випробувань лікарських засобів та експертизи матеріалів клінічних випробувань» та «Типового положення про комісію з питань етики», затверджених наказами МОЗ України № 523 від 12.07.2012 р. та № 616 від 03.08.2012 Дослідження виконувалося з мінімальними психологічними втратами з боку пацієнтів. Пацієнти були повністю інформовані про методи та об’єм досліджень.</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 xml:space="preserve">До дослідження увійшло 77 дітей віком від 1 до 18 років. З них 60 хворих на ГВ (25 дівчат та 35 хлопчиків), які перебували на лікуванні </w:t>
      </w:r>
      <w:r w:rsidR="008728B3"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КЗОЗ «Харківська міська клінічна дитяча лікарня №16». Діагноз захворювання верифікували та встановлювали за допомогою загальноприйнятих клініко-лабораторних та інструментальних показників згідно протоколу МОЗ України №676 від 12.10.2006 року «Клінічний протокол надання медичної допомо</w:t>
      </w:r>
      <w:r w:rsidR="00760739">
        <w:rPr>
          <w:rFonts w:ascii="Times New Roman" w:hAnsi="Times New Roman" w:cs="Times New Roman"/>
          <w:sz w:val="28"/>
          <w:szCs w:val="28"/>
          <w:lang w:val="uk-UA"/>
        </w:rPr>
        <w:t>ги хворим із васкулітом Шенлейн</w:t>
      </w:r>
      <w:r w:rsidRPr="004E3FE9">
        <w:rPr>
          <w:rFonts w:ascii="Times New Roman" w:hAnsi="Times New Roman" w:cs="Times New Roman"/>
          <w:sz w:val="28"/>
          <w:szCs w:val="28"/>
          <w:lang w:val="uk-UA"/>
        </w:rPr>
        <w:t>-Геноха (гемораг</w:t>
      </w:r>
      <w:r w:rsidR="00760739">
        <w:rPr>
          <w:rFonts w:ascii="Times New Roman" w:hAnsi="Times New Roman" w:cs="Times New Roman"/>
          <w:sz w:val="28"/>
          <w:szCs w:val="28"/>
          <w:lang w:val="uk-UA"/>
        </w:rPr>
        <w:t>ічній васкуліт, пурпура Шенлейн</w:t>
      </w:r>
      <w:r w:rsidRPr="004E3FE9">
        <w:rPr>
          <w:rFonts w:ascii="Times New Roman" w:hAnsi="Times New Roman" w:cs="Times New Roman"/>
          <w:sz w:val="28"/>
          <w:szCs w:val="28"/>
          <w:lang w:val="uk-UA"/>
        </w:rPr>
        <w:t>-Геноха) (ВШГ)».</w:t>
      </w:r>
    </w:p>
    <w:p w:rsidR="00BD0BF2" w:rsidRPr="004E3FE9" w:rsidRDefault="00BB51E4" w:rsidP="00BB51E4">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До основної групи увійшли д</w:t>
      </w:r>
      <w:r w:rsidR="00BD0BF2" w:rsidRPr="004E3FE9">
        <w:rPr>
          <w:rFonts w:ascii="Times New Roman" w:hAnsi="Times New Roman" w:cs="Times New Roman"/>
          <w:sz w:val="28"/>
          <w:szCs w:val="28"/>
          <w:lang w:val="uk-UA"/>
        </w:rPr>
        <w:t>іти, хворі на геморагічний ва</w:t>
      </w:r>
      <w:r w:rsidRPr="004E3FE9">
        <w:rPr>
          <w:rFonts w:ascii="Times New Roman" w:hAnsi="Times New Roman" w:cs="Times New Roman"/>
          <w:sz w:val="28"/>
          <w:szCs w:val="28"/>
          <w:lang w:val="uk-UA"/>
        </w:rPr>
        <w:t xml:space="preserve">скуліт, віком від 1 до 18 років </w:t>
      </w:r>
      <w:r w:rsidR="00BD0BF2" w:rsidRPr="004E3FE9">
        <w:rPr>
          <w:rFonts w:ascii="Times New Roman" w:hAnsi="Times New Roman" w:cs="Times New Roman"/>
          <w:sz w:val="28"/>
          <w:szCs w:val="28"/>
          <w:lang w:val="uk-UA"/>
        </w:rPr>
        <w:t>з</w:t>
      </w:r>
      <w:r w:rsidRPr="004E3FE9">
        <w:rPr>
          <w:rFonts w:ascii="Times New Roman" w:hAnsi="Times New Roman" w:cs="Times New Roman"/>
          <w:sz w:val="28"/>
          <w:szCs w:val="28"/>
          <w:lang w:val="uk-UA"/>
        </w:rPr>
        <w:t>і</w:t>
      </w:r>
      <w:r w:rsidR="00BD0BF2" w:rsidRPr="004E3FE9">
        <w:rPr>
          <w:rFonts w:ascii="Times New Roman" w:hAnsi="Times New Roman" w:cs="Times New Roman"/>
          <w:sz w:val="28"/>
          <w:szCs w:val="28"/>
          <w:lang w:val="uk-UA"/>
        </w:rPr>
        <w:t xml:space="preserve"> шкірною, шкірно- суглобовою, змішаною та змі</w:t>
      </w:r>
      <w:r w:rsidRPr="004E3FE9">
        <w:rPr>
          <w:rFonts w:ascii="Times New Roman" w:hAnsi="Times New Roman" w:cs="Times New Roman"/>
          <w:sz w:val="28"/>
          <w:szCs w:val="28"/>
          <w:lang w:val="uk-UA"/>
        </w:rPr>
        <w:t xml:space="preserve">шаною з ураженням нирок формами; з І, ІІ та ІІІ ступенем активності та </w:t>
      </w:r>
      <w:r w:rsidR="00BD0BF2" w:rsidRPr="004E3FE9">
        <w:rPr>
          <w:rFonts w:ascii="Times New Roman" w:hAnsi="Times New Roman" w:cs="Times New Roman"/>
          <w:sz w:val="28"/>
          <w:szCs w:val="28"/>
          <w:lang w:val="uk-UA"/>
        </w:rPr>
        <w:t xml:space="preserve">мають гострий, рецидивуючий та </w:t>
      </w:r>
      <w:r w:rsidRPr="004E3FE9">
        <w:rPr>
          <w:rFonts w:ascii="Times New Roman" w:hAnsi="Times New Roman" w:cs="Times New Roman"/>
          <w:sz w:val="28"/>
          <w:szCs w:val="28"/>
          <w:lang w:val="uk-UA"/>
        </w:rPr>
        <w:t>затяжний</w:t>
      </w:r>
      <w:r w:rsidR="00BD0BF2" w:rsidRPr="004E3FE9">
        <w:rPr>
          <w:rFonts w:ascii="Times New Roman" w:hAnsi="Times New Roman" w:cs="Times New Roman"/>
          <w:sz w:val="28"/>
          <w:szCs w:val="28"/>
          <w:lang w:val="uk-UA"/>
        </w:rPr>
        <w:t xml:space="preserve"> перебіг захворювання.</w:t>
      </w:r>
    </w:p>
    <w:p w:rsidR="00BB51E4" w:rsidRPr="004E3FE9" w:rsidRDefault="00BB51E4"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119A">
      <w:pPr>
        <w:pStyle w:val="2"/>
        <w:spacing w:line="360" w:lineRule="auto"/>
        <w:rPr>
          <w:rFonts w:ascii="Times New Roman" w:hAnsi="Times New Roman" w:cs="Times New Roman"/>
          <w:color w:val="000000" w:themeColor="text1"/>
          <w:sz w:val="28"/>
          <w:szCs w:val="28"/>
          <w:lang w:val="uk-UA"/>
        </w:rPr>
      </w:pPr>
      <w:bookmarkStart w:id="8" w:name="_Toc465797605"/>
      <w:r w:rsidRPr="004E3FE9">
        <w:rPr>
          <w:rFonts w:ascii="Times New Roman" w:hAnsi="Times New Roman" w:cs="Times New Roman"/>
          <w:color w:val="000000" w:themeColor="text1"/>
          <w:sz w:val="28"/>
          <w:szCs w:val="28"/>
          <w:lang w:val="uk-UA"/>
        </w:rPr>
        <w:t>2.2. Методи дослідження</w:t>
      </w:r>
      <w:bookmarkEnd w:id="8"/>
    </w:p>
    <w:p w:rsidR="00BB51E4" w:rsidRPr="004E3FE9" w:rsidRDefault="00BB51E4" w:rsidP="00BB51E4">
      <w:pPr>
        <w:rPr>
          <w:lang w:val="uk-UA"/>
        </w:rPr>
      </w:pPr>
    </w:p>
    <w:p w:rsidR="00BD0BF2" w:rsidRPr="004E3FE9" w:rsidRDefault="00BD0BF2" w:rsidP="00BD119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Основними методами дослідження стало ретельне вивчення скарг, анамнезу життя, анамнезу захворювання, дані об’єктивного дослідження, клініко-лабораторні та інструментальні дані. </w:t>
      </w:r>
    </w:p>
    <w:p w:rsidR="00BD0BF2" w:rsidRPr="004E3FE9" w:rsidRDefault="00BD0BF2" w:rsidP="00BD119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Під час збору скарг та анамнезу захворювання намагались з’ясувати з чим пов’язане його виникнення. Вивчення анамнестичних даних хворих включало відомості про перебіг вагітності матері, розвиток дитини на першому році життя, особливості вигодовування, перенесені захворювання, дані про спадкові й сімейні захворювання, інформацію про алергійний статус. Особлива увага приділялася супутнім соматичним захворюванням та наявності хронічних вогнищ інфекції. Оцінку фізичного розвитку проводили згідно </w:t>
      </w:r>
      <w:r w:rsidR="00FA3570">
        <w:rPr>
          <w:rFonts w:ascii="Times New Roman" w:hAnsi="Times New Roman" w:cs="Times New Roman"/>
          <w:sz w:val="28"/>
          <w:szCs w:val="28"/>
          <w:lang w:val="uk-UA"/>
        </w:rPr>
        <w:t xml:space="preserve">стандартних методик </w:t>
      </w:r>
      <w:r w:rsidR="006F45F2" w:rsidRPr="004E3FE9">
        <w:rPr>
          <w:rFonts w:ascii="Times New Roman" w:hAnsi="Times New Roman" w:cs="Times New Roman"/>
          <w:sz w:val="28"/>
          <w:szCs w:val="28"/>
          <w:lang w:val="uk-UA"/>
        </w:rPr>
        <w:t>[</w:t>
      </w:r>
      <w:r w:rsidR="001C5375" w:rsidRPr="004E3FE9">
        <w:rPr>
          <w:rFonts w:ascii="Times New Roman" w:hAnsi="Times New Roman" w:cs="Times New Roman"/>
          <w:sz w:val="28"/>
          <w:szCs w:val="28"/>
          <w:lang w:val="uk-UA"/>
        </w:rPr>
        <w:t>50</w:t>
      </w:r>
      <w:r w:rsidR="006F45F2"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Клінічні дослідження крові </w:t>
      </w:r>
      <w:r w:rsidR="008728B3"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сечі проводили за загальноприйнятими методами (В.Е. Предтеченський, 1960). Біохімічні дослідження крові: рівні глікопротеїдів та серомукоїдів – уніфікованим орциновим методом після </w:t>
      </w:r>
      <w:r w:rsidRPr="004E3FE9">
        <w:rPr>
          <w:rFonts w:ascii="Times New Roman" w:hAnsi="Times New Roman" w:cs="Times New Roman"/>
          <w:sz w:val="28"/>
          <w:szCs w:val="28"/>
          <w:lang w:val="uk-UA"/>
        </w:rPr>
        <w:lastRenderedPageBreak/>
        <w:t>гідролізу сірчаною кислотою (В.В.Меньшиков, 1987); вміст загального білка в сироватці крові – уніфікованим біуретовим методом (В.Г. Колб, В.С. Камишніков, 1972), фракціонування білків – методом горизонтального електрофорезу, стан систем зсідання та протизсідання крові оцінювали за аутокоагуляційним (АКТ) тестом (З.С.Баркаган, 1975), визначали показники А – згортаючи активність на другій хвилині (%), МА – максимальну згортаючу активність (%), Т1 – час досягнення половини максимальної згортаючої активності (у хвилинах), Т2 – час досягнення максимальної активності (в хвилинах), ІІТ – індекс інактивації тромбопластина, як показник активності антитромбіна ІІІ (у.о.), Ф – фібриноліз (у хвилинах), а також протромбіновим індексом (ПТІ)- за Quick (1943) та рівнями фібриногену крові - за Rutberg (1959); стан тромбоцитарного ланцюга гемостазу характеризували за кількістю тромбоцитів в периферійній крові, адгезивності та агрегації їх (В.В.Меньшиков, 1987); обстеження на LE клітини (метод Цинкхома-Конли в модифікації Е.Н. Новоселовой.); рівень сечової кислоти крові визначали уніфікованим фосфорно-вольфрамовим методом; функціональні проби печінки, групу крові.</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 залученні нирок у патологічний процес проводили оцінку їх функцій, дослідження сечі за Зимницьким, визначався рівень сечовини та креатиніну в сироватці крові та кліренсу ендогенного креатиніну - за А. Гіттером, Л. Хейльмейером (1966), прив'язаного до стандартної поверхні тіла, ШКФ розраховували за формулою Шварца.</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Мікробіологічне обстеження зіву проводилося всім хворим: посів на тверді й рідкі середовища з наступним виділенням збудника. Збільшення мікрофлори визначали методом культивування на селективних живильних середовищах.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Дослідження стану клітинної, гуморальної ланок імунітету та фагоцитозу. Визначення субпопуляцій Т- і В-лімфоцитів (CD3, CD4, CD8, CD16, CD22) в абсолютних та відносних величинах методом їх визначення за допомогою діагностикума «НВЛ Гранум» (Україна), рівнів Ig A, Ig M, Ig G </w:t>
      </w:r>
      <w:r w:rsidRPr="004E3FE9">
        <w:rPr>
          <w:rFonts w:ascii="Times New Roman" w:hAnsi="Times New Roman" w:cs="Times New Roman"/>
          <w:sz w:val="28"/>
          <w:szCs w:val="28"/>
          <w:lang w:val="uk-UA"/>
        </w:rPr>
        <w:lastRenderedPageBreak/>
        <w:t xml:space="preserve">сироватки крові методом G.Mancini (1965) за допомогою реагентів ФГУП «НПО «Микроген» (МЗ РФ Росія), циркулюючих імунних комплексів (ЦІК) за методом V. Haskova et al. у модифікації Ю.А. Гриневича й А.Н. Алфьорова (1978), показники фагоцитозу (нейтрофіли фагоцитуючі, фагоцитарне число та індекс активності нейтрофілів) за принципом здатності поліморфноядерних лейкоцитів та моноцитів периферичної крові пов'язувати на своїй поверхні, поглинати і перетравлювати мікробну тест-культуру, NST-тесту за Стюарт (1975) в модифікації Б.С. Нагоєва (1983)). Розраховували середній цитохімічний коефіцієнт (СЦК) вмісту мієлопероксидази (МП) в нейтрофілах за методом Грехема-Кнолля та середній цитохімічний коефіцієнт вмісту лізосомально-катіонних білків (ЛКБ) за методом М.Г. Шубіча (Д.В. Белокриницкий, 1987). Визначення активності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проводили за р</w:t>
      </w:r>
      <w:r w:rsidR="008728B3" w:rsidRPr="004E3FE9">
        <w:rPr>
          <w:rFonts w:ascii="Times New Roman" w:hAnsi="Times New Roman" w:cs="Times New Roman"/>
          <w:sz w:val="28"/>
          <w:szCs w:val="28"/>
          <w:lang w:val="uk-UA"/>
        </w:rPr>
        <w:t>и</w:t>
      </w:r>
      <w:r w:rsidRPr="004E3FE9">
        <w:rPr>
          <w:rFonts w:ascii="Times New Roman" w:hAnsi="Times New Roman" w:cs="Times New Roman"/>
          <w:sz w:val="28"/>
          <w:szCs w:val="28"/>
          <w:lang w:val="uk-UA"/>
        </w:rPr>
        <w:t>стоцетиновим тестом методом агрегації [</w:t>
      </w:r>
      <w:r w:rsidR="001C5375" w:rsidRPr="004E3FE9">
        <w:rPr>
          <w:rFonts w:ascii="Times New Roman" w:hAnsi="Times New Roman" w:cs="Times New Roman"/>
          <w:sz w:val="28"/>
          <w:szCs w:val="28"/>
          <w:lang w:val="uk-UA"/>
        </w:rPr>
        <w:t>6</w:t>
      </w:r>
      <w:r w:rsidR="006F45F2" w:rsidRPr="004E3FE9">
        <w:rPr>
          <w:rFonts w:ascii="Times New Roman" w:hAnsi="Times New Roman" w:cs="Times New Roman"/>
          <w:sz w:val="28"/>
          <w:szCs w:val="28"/>
          <w:lang w:val="uk-UA"/>
        </w:rPr>
        <w:t xml:space="preserve">, </w:t>
      </w:r>
      <w:r w:rsidR="001C5375" w:rsidRPr="004E3FE9">
        <w:rPr>
          <w:rFonts w:ascii="Times New Roman" w:hAnsi="Times New Roman" w:cs="Times New Roman"/>
          <w:sz w:val="28"/>
          <w:szCs w:val="28"/>
          <w:lang w:val="uk-UA"/>
        </w:rPr>
        <w:t>42</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Визначення МСР-1 </w:t>
      </w:r>
      <w:r w:rsidR="008728B3"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сироватці крові проводилось за допомогою імуноферментного набору для кількісного визначення людського MCP-1 Bender MedSystems GmbH, (Австрія) в сироватці крові</w:t>
      </w:r>
      <w:r w:rsidR="00240036" w:rsidRPr="004E3FE9">
        <w:rPr>
          <w:rFonts w:ascii="Times New Roman" w:hAnsi="Times New Roman" w:cs="Times New Roman"/>
          <w:sz w:val="28"/>
          <w:szCs w:val="28"/>
          <w:lang w:val="uk-UA"/>
        </w:rPr>
        <w:t xml:space="preserve"> за наявною інструкцією на додаваних реагентах.</w:t>
      </w:r>
      <w:r w:rsidRPr="004E3FE9">
        <w:rPr>
          <w:rFonts w:ascii="Times New Roman" w:hAnsi="Times New Roman" w:cs="Times New Roman"/>
          <w:sz w:val="28"/>
          <w:szCs w:val="28"/>
          <w:lang w:val="uk-UA"/>
        </w:rPr>
        <w:t xml:space="preserve"> Результати виражали в пг/мл.</w:t>
      </w:r>
    </w:p>
    <w:p w:rsidR="00BD0BF2" w:rsidRPr="004E3FE9" w:rsidRDefault="00BD0BF2" w:rsidP="00FA3570">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Вміст оксиду азоту в сироватці крові вимірювали за концентрацією його стабільних метаболітів оксиду азоту –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та S-нітрозотіолу</w:t>
      </w:r>
      <w:r w:rsidR="006F45F2" w:rsidRPr="004E3FE9">
        <w:rPr>
          <w:rFonts w:ascii="Times New Roman" w:hAnsi="Times New Roman" w:cs="Times New Roman"/>
          <w:sz w:val="28"/>
          <w:szCs w:val="28"/>
          <w:lang w:val="uk-UA"/>
        </w:rPr>
        <w:t xml:space="preserve"> [</w:t>
      </w:r>
      <w:r w:rsidR="001C5375" w:rsidRPr="004E3FE9">
        <w:rPr>
          <w:rFonts w:ascii="Times New Roman" w:hAnsi="Times New Roman" w:cs="Times New Roman"/>
          <w:sz w:val="28"/>
          <w:szCs w:val="28"/>
          <w:lang w:val="uk-UA"/>
        </w:rPr>
        <w:t>21</w:t>
      </w:r>
      <w:r w:rsidR="006F45F2"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w:t>
      </w:r>
      <w:r w:rsidR="008728B3"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сім дітям спектрофотометричним методом визначали рівні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та NO</w:t>
      </w:r>
      <w:r w:rsidRPr="004E3FE9">
        <w:rPr>
          <w:rFonts w:ascii="Times New Roman" w:hAnsi="Times New Roman" w:cs="Times New Roman"/>
          <w:sz w:val="28"/>
          <w:szCs w:val="28"/>
          <w:vertAlign w:val="subscript"/>
          <w:lang w:val="uk-UA"/>
        </w:rPr>
        <w:t xml:space="preserve">3 </w:t>
      </w:r>
      <w:r w:rsidRPr="004E3FE9">
        <w:rPr>
          <w:rFonts w:ascii="Times New Roman" w:hAnsi="Times New Roman" w:cs="Times New Roman"/>
          <w:sz w:val="28"/>
          <w:szCs w:val="28"/>
          <w:lang w:val="uk-UA"/>
        </w:rPr>
        <w:t>за допомогою реактиву Гриса з сульфаніловою кислотою та 1-нафтоламіном. Результати виражали в мкмоль/л. S-нитрозотіол визначали за допомогою спектрофотометричного виміру нітриту, присутнього в зразку до і після додавання Hg 2+, яка, діючи як специфічний руйнівник S-N зв'язку, каталізує вивільнення з S-нитрозированих тіолів оксиду азоту, який, окислюючись до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визначається за допомогою реактиву Гриса при 540 нм. До 0,5 мл досліджуваного зразка додавали 0,5 мл 0,2% HgCl2 в 1% розчині сульфаніламіду (досвід). До 0,5 мл досліджуваного зразка (сироватка, плазма, лімфа) додавали 0,5 мл 1% розчину сульфаніламіду в 0,5 М HCl (контроль). Обидві проби інкубували в темряві при 37°З впродовж 10 хвилин. Потім в </w:t>
      </w:r>
      <w:r w:rsidRPr="004E3FE9">
        <w:rPr>
          <w:rFonts w:ascii="Times New Roman" w:hAnsi="Times New Roman" w:cs="Times New Roman"/>
          <w:sz w:val="28"/>
          <w:szCs w:val="28"/>
          <w:lang w:val="uk-UA"/>
        </w:rPr>
        <w:lastRenderedPageBreak/>
        <w:t>обидві проби додавали по 0,5 мл 0,2% розчину N -(1-нафтил)-этилендіаміну. Після цього проби інкубували в темряві при 37°З впродовж 10 хвилин. Після цього зразки центрифугували при 10000g 10 хвилин для видалення осаду (за необхідності). Далі визначали оптичну щільність обох зразків при 450 нм. Ро</w:t>
      </w:r>
      <w:r w:rsidR="00FA3570">
        <w:rPr>
          <w:rFonts w:ascii="Times New Roman" w:hAnsi="Times New Roman" w:cs="Times New Roman"/>
          <w:sz w:val="28"/>
          <w:szCs w:val="28"/>
          <w:lang w:val="uk-UA"/>
        </w:rPr>
        <w:t xml:space="preserve">зрахунок проводили за формулою: С= (Ео - Ек) / 50000, де </w:t>
      </w:r>
      <w:r w:rsidRPr="004E3FE9">
        <w:rPr>
          <w:rFonts w:ascii="Times New Roman" w:hAnsi="Times New Roman" w:cs="Times New Roman"/>
          <w:sz w:val="28"/>
          <w:szCs w:val="28"/>
          <w:lang w:val="uk-UA"/>
        </w:rPr>
        <w:t>С - концент</w:t>
      </w:r>
      <w:r w:rsidR="00FA3570">
        <w:rPr>
          <w:rFonts w:ascii="Times New Roman" w:hAnsi="Times New Roman" w:cs="Times New Roman"/>
          <w:sz w:val="28"/>
          <w:szCs w:val="28"/>
          <w:lang w:val="uk-UA"/>
        </w:rPr>
        <w:t xml:space="preserve">рація S- нитрозотіолів, ммоль/л; </w:t>
      </w:r>
      <w:r w:rsidRPr="004E3FE9">
        <w:rPr>
          <w:rFonts w:ascii="Times New Roman" w:hAnsi="Times New Roman" w:cs="Times New Roman"/>
          <w:sz w:val="28"/>
          <w:szCs w:val="28"/>
          <w:lang w:val="uk-UA"/>
        </w:rPr>
        <w:t>Ео - екстинкція досвідче</w:t>
      </w:r>
      <w:r w:rsidR="00FA3570">
        <w:rPr>
          <w:rFonts w:ascii="Times New Roman" w:hAnsi="Times New Roman" w:cs="Times New Roman"/>
          <w:sz w:val="28"/>
          <w:szCs w:val="28"/>
          <w:lang w:val="uk-UA"/>
        </w:rPr>
        <w:t xml:space="preserve">ної проби; </w:t>
      </w:r>
      <w:r w:rsidRPr="004E3FE9">
        <w:rPr>
          <w:rFonts w:ascii="Times New Roman" w:hAnsi="Times New Roman" w:cs="Times New Roman"/>
          <w:sz w:val="28"/>
          <w:szCs w:val="28"/>
          <w:lang w:val="uk-UA"/>
        </w:rPr>
        <w:t>Ек</w:t>
      </w:r>
      <w:r w:rsidR="00FA3570">
        <w:rPr>
          <w:rFonts w:ascii="Times New Roman" w:hAnsi="Times New Roman" w:cs="Times New Roman"/>
          <w:sz w:val="28"/>
          <w:szCs w:val="28"/>
          <w:lang w:val="uk-UA"/>
        </w:rPr>
        <w:t xml:space="preserve"> - екстинкція контрольної проби; </w:t>
      </w:r>
      <w:r w:rsidRPr="004E3FE9">
        <w:rPr>
          <w:rFonts w:ascii="Times New Roman" w:hAnsi="Times New Roman" w:cs="Times New Roman"/>
          <w:sz w:val="28"/>
          <w:szCs w:val="28"/>
          <w:lang w:val="uk-UA"/>
        </w:rPr>
        <w:t>50000 - коефіцієнт перерахунку.</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Всім дітям основної та контрольної груп проведені ультразвукові дослідження з доплерографією згідно стандартних методик </w:t>
      </w:r>
      <w:r w:rsidR="00FA3570">
        <w:rPr>
          <w:rFonts w:ascii="Times New Roman" w:hAnsi="Times New Roman" w:cs="Times New Roman"/>
          <w:sz w:val="28"/>
          <w:szCs w:val="28"/>
          <w:lang w:val="uk-UA"/>
        </w:rPr>
        <w:t>за допомогою  апарату</w:t>
      </w:r>
      <w:r w:rsidRPr="004E3FE9">
        <w:rPr>
          <w:rFonts w:ascii="Times New Roman" w:hAnsi="Times New Roman" w:cs="Times New Roman"/>
          <w:sz w:val="28"/>
          <w:szCs w:val="28"/>
          <w:lang w:val="uk-UA"/>
        </w:rPr>
        <w:t xml:space="preserve"> ULTIMA PA фірми «РАДМІР» м. Харків.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Для оцінки товщини комплексу інтима-медіа при дуплексному скануванні використовували стандартні УЗ-системи, оснащені ультразвуковим лінійним датчиком з частотою 7 МГц, вбудованим блоком ЕКГ і програмним забезпеченням для судинних досліджень. Вимірювання товщини КІМ проводили за стандартною методикою (P. Pignoli, 1986): </w:t>
      </w:r>
      <w:r w:rsidR="008728B3"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загальній сонній артерії на 1,0-1,5 см проксимальніше її біфуркації по задній (по відношенню до датчика) стінці артерії. У нормі со</w:t>
      </w:r>
      <w:r w:rsidR="008728B3" w:rsidRPr="004E3FE9">
        <w:rPr>
          <w:rFonts w:ascii="Times New Roman" w:hAnsi="Times New Roman" w:cs="Times New Roman"/>
          <w:sz w:val="28"/>
          <w:szCs w:val="28"/>
          <w:lang w:val="uk-UA"/>
        </w:rPr>
        <w:t>нні артерії мають прямолінійний</w:t>
      </w:r>
      <w:r w:rsidRPr="004E3FE9">
        <w:rPr>
          <w:rFonts w:ascii="Times New Roman" w:hAnsi="Times New Roman" w:cs="Times New Roman"/>
          <w:sz w:val="28"/>
          <w:szCs w:val="28"/>
          <w:lang w:val="uk-UA"/>
        </w:rPr>
        <w:t xml:space="preserve"> КІМ однорідної структури і ехогенності, складається з двох чітко диференційованих шарів - ехопозитивної (білої) інтими і ехонегативної (темної) медії, поверхня її рівна.</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Також проводили пробу з реактивною гіперемією або визначення ендотелій-залежної </w:t>
      </w:r>
      <w:r w:rsidR="003B4E05" w:rsidRPr="004E3FE9">
        <w:rPr>
          <w:rFonts w:ascii="Times New Roman" w:hAnsi="Times New Roman" w:cs="Times New Roman"/>
          <w:sz w:val="28"/>
          <w:szCs w:val="28"/>
          <w:lang w:val="uk-UA"/>
        </w:rPr>
        <w:t>вазо</w:t>
      </w:r>
      <w:r w:rsidRPr="004E3FE9">
        <w:rPr>
          <w:rFonts w:ascii="Times New Roman" w:hAnsi="Times New Roman" w:cs="Times New Roman"/>
          <w:sz w:val="28"/>
          <w:szCs w:val="28"/>
          <w:lang w:val="uk-UA"/>
        </w:rPr>
        <w:t xml:space="preserve">дилатації плечової артерії за методикою D. Celermajer та співавт. (1992). Дослідження проводиться в положенні хворого на спині після 10-15 хвилинного відпочинку. Датчик розташовували у поздовжньому напрямку на фіксованій ділянці верхньої (найчастіше на 2-15 см вище ліктьової ямки) кінцівки. Швидкість кровотоку вимірювали доплерівським методом одним лінійним датчиком. Діаметр судини визначали як відстань між проксимальним і дистальним по відношенню до датчика допплерівського сигналами. Об'ємні показники кровотоку за допомогою відповідних формул розраховували виходячи з діаметру артерій (площі </w:t>
      </w:r>
      <w:r w:rsidRPr="004E3FE9">
        <w:rPr>
          <w:rFonts w:ascii="Times New Roman" w:hAnsi="Times New Roman" w:cs="Times New Roman"/>
          <w:sz w:val="28"/>
          <w:szCs w:val="28"/>
          <w:lang w:val="uk-UA"/>
        </w:rPr>
        <w:lastRenderedPageBreak/>
        <w:t xml:space="preserve">перерізу артерії - S = 3D2p / 4) і швидкості кровотоку. Протягом всього дослідження датчик не зміщувався. Діаметр судини оцінювали строго в одному </w:t>
      </w:r>
      <w:r w:rsidR="00AF0354" w:rsidRPr="004E3FE9">
        <w:rPr>
          <w:rFonts w:ascii="Times New Roman" w:hAnsi="Times New Roman" w:cs="Times New Roman"/>
          <w:sz w:val="28"/>
          <w:szCs w:val="28"/>
          <w:lang w:val="uk-UA"/>
        </w:rPr>
        <w:t>й</w:t>
      </w:r>
      <w:r w:rsidRPr="004E3FE9">
        <w:rPr>
          <w:rFonts w:ascii="Times New Roman" w:hAnsi="Times New Roman" w:cs="Times New Roman"/>
          <w:sz w:val="28"/>
          <w:szCs w:val="28"/>
          <w:lang w:val="uk-UA"/>
        </w:rPr>
        <w:t xml:space="preserve"> тому ж місці. Одночасно здійснювали паралельну реєстрацію І відведення ЕКГ.</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Хворому аускультативним способом вимірювали артеріальний тиск. Потім вимірювали діаметр артерії (відстань між протилежними стінками артерії). Вимірювання проводили в фазу систоли, відповідної зубцю Т на ЕКГ, в декількох послідовних циклах. У манжеті нагнітався тиск, рівний систолічному + 50 мм рт. ст., на 5 хвилин. Рівно через 5 хвилин прибирався тиск. Відразу ж проводилось вимірювання діаметра артерії. Потім діаметр артерії вимірювався через 30 с та 60 с. Використання 7-8 Мгц датчиків дозволяв оцінити діаметр з точністю до 0.1-0.2 мм. При цьому помилка вимірювань, розрахована на "фантомах" - штучних моделях судин з відомим діаметром, зазвичай не перевищує 1-3%.</w:t>
      </w:r>
    </w:p>
    <w:p w:rsidR="00BD0BF2" w:rsidRPr="004E3FE9" w:rsidRDefault="00BD0BF2" w:rsidP="00240036">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Нормальною реакцією прийнято вважати дилатацію артерії на тлі реактивної гіперемії більш ніж на 10% від вихідного діаметра, менше її значення або вазоконстрикція вважається патологічною. Зміни діаметра судини оцінювали в процентному відношенні до вихідної величини. Коефіцієнт дилатації (КД) плечової артерії обчислювався за формулами:</w:t>
      </w:r>
    </w:p>
    <w:p w:rsidR="00BD0BF2" w:rsidRPr="004E3FE9" w:rsidRDefault="00BD0BF2" w:rsidP="00BD0BF2">
      <w:pPr>
        <w:pStyle w:val="a7"/>
        <w:numPr>
          <w:ilvl w:val="0"/>
          <w:numId w:val="1"/>
        </w:num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=((d</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*d</w:t>
      </w:r>
      <w:r w:rsidRPr="004E3FE9">
        <w:rPr>
          <w:rFonts w:ascii="Times New Roman" w:hAnsi="Times New Roman" w:cs="Times New Roman"/>
          <w:sz w:val="28"/>
          <w:szCs w:val="28"/>
          <w:vertAlign w:val="subscript"/>
          <w:lang w:val="uk-UA"/>
        </w:rPr>
        <w:t>0</w:t>
      </w:r>
      <w:r w:rsidRPr="004E3FE9">
        <w:rPr>
          <w:rFonts w:ascii="Times New Roman" w:hAnsi="Times New Roman" w:cs="Times New Roman"/>
          <w:sz w:val="28"/>
          <w:szCs w:val="28"/>
          <w:lang w:val="uk-UA"/>
        </w:rPr>
        <w:t>)/ d</w:t>
      </w:r>
      <w:r w:rsidRPr="004E3FE9">
        <w:rPr>
          <w:rFonts w:ascii="Times New Roman" w:hAnsi="Times New Roman" w:cs="Times New Roman"/>
          <w:sz w:val="28"/>
          <w:szCs w:val="28"/>
          <w:vertAlign w:val="subscript"/>
          <w:lang w:val="uk-UA"/>
        </w:rPr>
        <w:t>0</w:t>
      </w:r>
      <w:r w:rsidRPr="004E3FE9">
        <w:rPr>
          <w:rFonts w:ascii="Times New Roman" w:hAnsi="Times New Roman" w:cs="Times New Roman"/>
          <w:sz w:val="28"/>
          <w:szCs w:val="28"/>
          <w:lang w:val="uk-UA"/>
        </w:rPr>
        <w:t>)*100,</w:t>
      </w:r>
      <w:r w:rsidR="008728B3" w:rsidRPr="004E3FE9">
        <w:rPr>
          <w:rFonts w:ascii="Times New Roman" w:hAnsi="Times New Roman" w:cs="Times New Roman"/>
          <w:sz w:val="28"/>
          <w:szCs w:val="28"/>
          <w:lang w:val="uk-UA"/>
        </w:rPr>
        <w:t xml:space="preserve">                                                                 (2.1)</w:t>
      </w:r>
    </w:p>
    <w:p w:rsidR="00BD0BF2" w:rsidRPr="004E3FE9" w:rsidRDefault="00BD0BF2" w:rsidP="00BD0BF2">
      <w:pPr>
        <w:pStyle w:val="a7"/>
        <w:spacing w:line="360" w:lineRule="auto"/>
        <w:ind w:left="1429"/>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де d</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xml:space="preserve"> – діаметр плечової артерії на 30 с після оклюзії, d</w:t>
      </w:r>
      <w:r w:rsidRPr="004E3FE9">
        <w:rPr>
          <w:rFonts w:ascii="Times New Roman" w:hAnsi="Times New Roman" w:cs="Times New Roman"/>
          <w:sz w:val="28"/>
          <w:szCs w:val="28"/>
          <w:vertAlign w:val="subscript"/>
          <w:lang w:val="uk-UA"/>
        </w:rPr>
        <w:t>0</w:t>
      </w:r>
      <w:r w:rsidRPr="004E3FE9">
        <w:rPr>
          <w:rFonts w:ascii="Times New Roman" w:hAnsi="Times New Roman" w:cs="Times New Roman"/>
          <w:sz w:val="28"/>
          <w:szCs w:val="28"/>
          <w:lang w:val="uk-UA"/>
        </w:rPr>
        <w:t xml:space="preserve"> – вихідний діаметр плечової артерії;</w:t>
      </w:r>
    </w:p>
    <w:p w:rsidR="00BD0BF2" w:rsidRPr="004E3FE9" w:rsidRDefault="00BD0BF2" w:rsidP="00BD0BF2">
      <w:pPr>
        <w:pStyle w:val="a7"/>
        <w:numPr>
          <w:ilvl w:val="0"/>
          <w:numId w:val="1"/>
        </w:num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=((d</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*d</w:t>
      </w:r>
      <w:r w:rsidRPr="004E3FE9">
        <w:rPr>
          <w:rFonts w:ascii="Times New Roman" w:hAnsi="Times New Roman" w:cs="Times New Roman"/>
          <w:sz w:val="28"/>
          <w:szCs w:val="28"/>
          <w:vertAlign w:val="subscript"/>
          <w:lang w:val="uk-UA"/>
        </w:rPr>
        <w:t>0</w:t>
      </w:r>
      <w:r w:rsidRPr="004E3FE9">
        <w:rPr>
          <w:rFonts w:ascii="Times New Roman" w:hAnsi="Times New Roman" w:cs="Times New Roman"/>
          <w:sz w:val="28"/>
          <w:szCs w:val="28"/>
          <w:lang w:val="uk-UA"/>
        </w:rPr>
        <w:t>)/ d</w:t>
      </w:r>
      <w:r w:rsidRPr="004E3FE9">
        <w:rPr>
          <w:rFonts w:ascii="Times New Roman" w:hAnsi="Times New Roman" w:cs="Times New Roman"/>
          <w:sz w:val="28"/>
          <w:szCs w:val="28"/>
          <w:vertAlign w:val="subscript"/>
          <w:lang w:val="uk-UA"/>
        </w:rPr>
        <w:t>0</w:t>
      </w:r>
      <w:r w:rsidRPr="004E3FE9">
        <w:rPr>
          <w:rFonts w:ascii="Times New Roman" w:hAnsi="Times New Roman" w:cs="Times New Roman"/>
          <w:sz w:val="28"/>
          <w:szCs w:val="28"/>
          <w:lang w:val="uk-UA"/>
        </w:rPr>
        <w:t>)*100,</w:t>
      </w:r>
      <w:r w:rsidR="008728B3" w:rsidRPr="004E3FE9">
        <w:rPr>
          <w:rFonts w:ascii="Times New Roman" w:hAnsi="Times New Roman" w:cs="Times New Roman"/>
          <w:sz w:val="28"/>
          <w:szCs w:val="28"/>
          <w:lang w:val="uk-UA"/>
        </w:rPr>
        <w:t xml:space="preserve">                                                                 (2.2)</w:t>
      </w:r>
    </w:p>
    <w:p w:rsidR="00BD0BF2" w:rsidRPr="004E3FE9" w:rsidRDefault="00BD0BF2" w:rsidP="00BD0BF2">
      <w:pPr>
        <w:pStyle w:val="a7"/>
        <w:spacing w:line="360" w:lineRule="auto"/>
        <w:ind w:left="1429"/>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де d</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діаметр плечової артерії на 60 с після оклюзії, d</w:t>
      </w:r>
      <w:r w:rsidRPr="004E3FE9">
        <w:rPr>
          <w:rFonts w:ascii="Times New Roman" w:hAnsi="Times New Roman" w:cs="Times New Roman"/>
          <w:sz w:val="28"/>
          <w:szCs w:val="28"/>
          <w:vertAlign w:val="subscript"/>
          <w:lang w:val="uk-UA"/>
        </w:rPr>
        <w:t>0</w:t>
      </w:r>
      <w:r w:rsidRPr="004E3FE9">
        <w:rPr>
          <w:rFonts w:ascii="Times New Roman" w:hAnsi="Times New Roman" w:cs="Times New Roman"/>
          <w:sz w:val="28"/>
          <w:szCs w:val="28"/>
          <w:lang w:val="uk-UA"/>
        </w:rPr>
        <w:t xml:space="preserve"> – вихідний діаметр плечової артерії.</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Також оцінювались параметри периферичного судинного опору: індекс периферичного опору, або індекс резистивності, або індекс Pource-lot (RI), пульсаційний індекс, або індекс пульсації, або індекс Gosling (PI), систолодіастолічне співвідношення (SD). </w:t>
      </w:r>
    </w:p>
    <w:p w:rsidR="008728B3" w:rsidRPr="004E3FE9" w:rsidRDefault="00BD0BF2" w:rsidP="008728B3">
      <w:pPr>
        <w:widowControl w:val="0"/>
        <w:spacing w:before="5" w:after="0" w:line="360" w:lineRule="auto"/>
        <w:ind w:right="-1" w:firstLine="709"/>
        <w:contextualSpacing/>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lastRenderedPageBreak/>
        <w:t>Індекс п</w:t>
      </w:r>
      <w:r w:rsidR="008728B3" w:rsidRPr="004E3FE9">
        <w:rPr>
          <w:rFonts w:ascii="Times New Roman" w:eastAsia="Times New Roman" w:hAnsi="Times New Roman" w:cs="Times New Roman"/>
          <w:sz w:val="28"/>
          <w:szCs w:val="28"/>
          <w:lang w:val="uk-UA"/>
        </w:rPr>
        <w:t xml:space="preserve">ериферичного опору визначали за </w:t>
      </w:r>
      <w:r w:rsidRPr="004E3FE9">
        <w:rPr>
          <w:rFonts w:ascii="Times New Roman" w:eastAsia="Times New Roman" w:hAnsi="Times New Roman" w:cs="Times New Roman"/>
          <w:sz w:val="28"/>
          <w:szCs w:val="28"/>
          <w:lang w:val="uk-UA"/>
        </w:rPr>
        <w:t xml:space="preserve">формулою: </w:t>
      </w:r>
    </w:p>
    <w:p w:rsidR="00BD0BF2" w:rsidRPr="004E3FE9" w:rsidRDefault="00BD0BF2" w:rsidP="008728B3">
      <w:pPr>
        <w:widowControl w:val="0"/>
        <w:tabs>
          <w:tab w:val="left" w:pos="9355"/>
        </w:tabs>
        <w:spacing w:before="5" w:after="0" w:line="360" w:lineRule="auto"/>
        <w:ind w:left="810" w:right="-1"/>
        <w:contextualSpacing/>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RI=(Vps-Ved)/Vps</w:t>
      </w:r>
      <w:r w:rsidR="008728B3" w:rsidRPr="004E3FE9">
        <w:rPr>
          <w:rFonts w:ascii="Times New Roman" w:eastAsia="Times New Roman" w:hAnsi="Times New Roman" w:cs="Times New Roman"/>
          <w:sz w:val="28"/>
          <w:szCs w:val="28"/>
          <w:lang w:val="uk-UA"/>
        </w:rPr>
        <w:t xml:space="preserve">                                                                                   (2.3)</w:t>
      </w:r>
    </w:p>
    <w:p w:rsidR="00BD0BF2" w:rsidRPr="004E3FE9" w:rsidRDefault="00BD0BF2" w:rsidP="00BD0BF2">
      <w:pPr>
        <w:widowControl w:val="0"/>
        <w:spacing w:before="25" w:after="0" w:line="360" w:lineRule="auto"/>
        <w:ind w:left="102" w:right="112" w:firstLine="709"/>
        <w:contextualSpacing/>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RI-</w:t>
      </w:r>
      <w:r w:rsidRPr="004E3FE9">
        <w:rPr>
          <w:rFonts w:ascii="Times New Roman" w:eastAsia="Times New Roman" w:hAnsi="Times New Roman" w:cs="Times New Roman"/>
          <w:spacing w:val="-21"/>
          <w:sz w:val="28"/>
          <w:szCs w:val="28"/>
          <w:lang w:val="uk-UA"/>
        </w:rPr>
        <w:t xml:space="preserve"> </w:t>
      </w:r>
      <w:r w:rsidRPr="004E3FE9">
        <w:rPr>
          <w:rFonts w:ascii="Times New Roman" w:eastAsia="Times New Roman" w:hAnsi="Times New Roman" w:cs="Times New Roman"/>
          <w:sz w:val="28"/>
          <w:szCs w:val="28"/>
          <w:lang w:val="uk-UA"/>
        </w:rPr>
        <w:t>індекс</w:t>
      </w:r>
      <w:r w:rsidRPr="004E3FE9">
        <w:rPr>
          <w:rFonts w:ascii="Times New Roman" w:eastAsia="Times New Roman" w:hAnsi="Times New Roman" w:cs="Times New Roman"/>
          <w:spacing w:val="-4"/>
          <w:sz w:val="28"/>
          <w:szCs w:val="28"/>
          <w:lang w:val="uk-UA"/>
        </w:rPr>
        <w:t xml:space="preserve"> </w:t>
      </w:r>
      <w:r w:rsidRPr="004E3FE9">
        <w:rPr>
          <w:rFonts w:ascii="Times New Roman" w:eastAsia="Times New Roman" w:hAnsi="Times New Roman" w:cs="Times New Roman"/>
          <w:sz w:val="28"/>
          <w:szCs w:val="28"/>
          <w:lang w:val="uk-UA"/>
        </w:rPr>
        <w:t>периферичного</w:t>
      </w:r>
      <w:r w:rsidRPr="004E3FE9">
        <w:rPr>
          <w:rFonts w:ascii="Times New Roman" w:eastAsia="Times New Roman" w:hAnsi="Times New Roman" w:cs="Times New Roman"/>
          <w:spacing w:val="-3"/>
          <w:sz w:val="28"/>
          <w:szCs w:val="28"/>
          <w:lang w:val="uk-UA"/>
        </w:rPr>
        <w:t xml:space="preserve"> </w:t>
      </w:r>
      <w:r w:rsidRPr="004E3FE9">
        <w:rPr>
          <w:rFonts w:ascii="Times New Roman" w:eastAsia="Times New Roman" w:hAnsi="Times New Roman" w:cs="Times New Roman"/>
          <w:sz w:val="28"/>
          <w:szCs w:val="28"/>
          <w:lang w:val="uk-UA"/>
        </w:rPr>
        <w:t>опору,</w:t>
      </w:r>
      <w:r w:rsidRPr="004E3FE9">
        <w:rPr>
          <w:rFonts w:ascii="Times New Roman" w:eastAsia="Times New Roman" w:hAnsi="Times New Roman" w:cs="Times New Roman"/>
          <w:spacing w:val="-21"/>
          <w:sz w:val="28"/>
          <w:szCs w:val="28"/>
          <w:lang w:val="uk-UA"/>
        </w:rPr>
        <w:t xml:space="preserve"> </w:t>
      </w:r>
      <w:r w:rsidRPr="004E3FE9">
        <w:rPr>
          <w:rFonts w:ascii="Times New Roman" w:eastAsia="Times New Roman" w:hAnsi="Times New Roman" w:cs="Times New Roman"/>
          <w:sz w:val="28"/>
          <w:szCs w:val="28"/>
          <w:lang w:val="uk-UA"/>
        </w:rPr>
        <w:t>Vps-</w:t>
      </w:r>
      <w:r w:rsidRPr="004E3FE9">
        <w:rPr>
          <w:rFonts w:ascii="Times New Roman" w:eastAsia="Times New Roman" w:hAnsi="Times New Roman" w:cs="Times New Roman"/>
          <w:spacing w:val="-21"/>
          <w:sz w:val="28"/>
          <w:szCs w:val="28"/>
          <w:lang w:val="uk-UA"/>
        </w:rPr>
        <w:t xml:space="preserve"> </w:t>
      </w:r>
      <w:r w:rsidRPr="004E3FE9">
        <w:rPr>
          <w:rFonts w:ascii="Times New Roman" w:eastAsia="Times New Roman" w:hAnsi="Times New Roman" w:cs="Times New Roman"/>
          <w:sz w:val="28"/>
          <w:szCs w:val="28"/>
          <w:lang w:val="uk-UA"/>
        </w:rPr>
        <w:t>максимальна</w:t>
      </w:r>
      <w:r w:rsidRPr="004E3FE9">
        <w:rPr>
          <w:rFonts w:ascii="Times New Roman" w:eastAsia="Times New Roman" w:hAnsi="Times New Roman" w:cs="Times New Roman"/>
          <w:spacing w:val="-2"/>
          <w:sz w:val="28"/>
          <w:szCs w:val="28"/>
          <w:lang w:val="uk-UA"/>
        </w:rPr>
        <w:t xml:space="preserve"> </w:t>
      </w:r>
      <w:r w:rsidRPr="004E3FE9">
        <w:rPr>
          <w:rFonts w:ascii="Times New Roman" w:eastAsia="Times New Roman" w:hAnsi="Times New Roman" w:cs="Times New Roman"/>
          <w:sz w:val="28"/>
          <w:szCs w:val="28"/>
          <w:lang w:val="uk-UA"/>
        </w:rPr>
        <w:t>систолічна</w:t>
      </w:r>
      <w:r w:rsidRPr="004E3FE9">
        <w:rPr>
          <w:rFonts w:ascii="Times New Roman" w:eastAsia="Times New Roman" w:hAnsi="Times New Roman" w:cs="Times New Roman"/>
          <w:spacing w:val="-1"/>
          <w:sz w:val="28"/>
          <w:szCs w:val="28"/>
          <w:lang w:val="uk-UA"/>
        </w:rPr>
        <w:t xml:space="preserve"> </w:t>
      </w:r>
      <w:r w:rsidRPr="004E3FE9">
        <w:rPr>
          <w:rFonts w:ascii="Times New Roman" w:eastAsia="Times New Roman" w:hAnsi="Times New Roman" w:cs="Times New Roman"/>
          <w:sz w:val="28"/>
          <w:szCs w:val="28"/>
          <w:lang w:val="uk-UA"/>
        </w:rPr>
        <w:t>швидкість кровотоку, Ved- максимальна діастолічна швидкість</w:t>
      </w:r>
      <w:r w:rsidRPr="004E3FE9">
        <w:rPr>
          <w:rFonts w:ascii="Times New Roman" w:eastAsia="Times New Roman" w:hAnsi="Times New Roman" w:cs="Times New Roman"/>
          <w:spacing w:val="-38"/>
          <w:sz w:val="28"/>
          <w:szCs w:val="28"/>
          <w:lang w:val="uk-UA"/>
        </w:rPr>
        <w:t xml:space="preserve"> </w:t>
      </w:r>
      <w:r w:rsidRPr="004E3FE9">
        <w:rPr>
          <w:rFonts w:ascii="Times New Roman" w:eastAsia="Times New Roman" w:hAnsi="Times New Roman" w:cs="Times New Roman"/>
          <w:sz w:val="28"/>
          <w:szCs w:val="28"/>
          <w:lang w:val="uk-UA"/>
        </w:rPr>
        <w:t>кровотоку.</w:t>
      </w:r>
    </w:p>
    <w:p w:rsidR="00BD0BF2" w:rsidRPr="004E3FE9" w:rsidRDefault="00BD0BF2" w:rsidP="008728B3">
      <w:pPr>
        <w:widowControl w:val="0"/>
        <w:spacing w:before="5" w:after="0" w:line="360" w:lineRule="auto"/>
        <w:ind w:left="810" w:right="-1"/>
        <w:contextualSpacing/>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Індекс пульсації вираховувався:</w:t>
      </w:r>
    </w:p>
    <w:p w:rsidR="00BD0BF2" w:rsidRPr="004E3FE9" w:rsidRDefault="00BD0BF2" w:rsidP="008728B3">
      <w:pPr>
        <w:widowControl w:val="0"/>
        <w:spacing w:before="5" w:after="0" w:line="360" w:lineRule="auto"/>
        <w:ind w:left="810" w:right="-1"/>
        <w:contextualSpacing/>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PI=(VpsVed)/TAMX</w:t>
      </w:r>
      <w:r w:rsidR="008728B3" w:rsidRPr="004E3FE9">
        <w:rPr>
          <w:rFonts w:ascii="Times New Roman" w:eastAsia="Times New Roman" w:hAnsi="Times New Roman" w:cs="Times New Roman"/>
          <w:sz w:val="28"/>
          <w:szCs w:val="28"/>
          <w:lang w:val="uk-UA"/>
        </w:rPr>
        <w:t xml:space="preserve">                                                                               (2.4)</w:t>
      </w:r>
    </w:p>
    <w:p w:rsidR="00BD0BF2" w:rsidRPr="004E3FE9" w:rsidRDefault="00BD0BF2" w:rsidP="00BD119A">
      <w:pPr>
        <w:spacing w:line="360" w:lineRule="auto"/>
        <w:ind w:firstLine="709"/>
        <w:contextualSpacing/>
        <w:jc w:val="both"/>
        <w:rPr>
          <w:rFonts w:ascii="Times New Roman" w:hAnsi="Times New Roman" w:cs="Times New Roman"/>
          <w:snapToGrid w:val="0"/>
          <w:sz w:val="28"/>
          <w:szCs w:val="28"/>
          <w:lang w:val="uk-UA"/>
        </w:rPr>
      </w:pPr>
      <w:r w:rsidRPr="004E3FE9">
        <w:rPr>
          <w:rFonts w:ascii="Times New Roman" w:hAnsi="Times New Roman" w:cs="Times New Roman"/>
          <w:snapToGrid w:val="0"/>
          <w:sz w:val="28"/>
          <w:szCs w:val="28"/>
          <w:lang w:val="uk-UA"/>
        </w:rPr>
        <w:t xml:space="preserve">Дослідження проводили в динаміці: </w:t>
      </w:r>
      <w:r w:rsidR="008728B3" w:rsidRPr="004E3FE9">
        <w:rPr>
          <w:rFonts w:ascii="Times New Roman" w:hAnsi="Times New Roman" w:cs="Times New Roman"/>
          <w:snapToGrid w:val="0"/>
          <w:sz w:val="28"/>
          <w:szCs w:val="28"/>
          <w:lang w:val="uk-UA"/>
        </w:rPr>
        <w:t>у</w:t>
      </w:r>
      <w:r w:rsidRPr="004E3FE9">
        <w:rPr>
          <w:rFonts w:ascii="Times New Roman" w:hAnsi="Times New Roman" w:cs="Times New Roman"/>
          <w:snapToGrid w:val="0"/>
          <w:sz w:val="28"/>
          <w:szCs w:val="28"/>
          <w:lang w:val="uk-UA"/>
        </w:rPr>
        <w:t xml:space="preserve"> гострий період геморагічного васкуліту (І період), коли клінічні та лабораторні ознаки були виражені найбільш яскраво та при виписці хворого зі стаціонару (ІІ період) та розвитку ознак клініко-лабораторної ремісії, або при розвитку ускладнень захворювання.</w:t>
      </w:r>
    </w:p>
    <w:p w:rsidR="00BB51E4" w:rsidRPr="004E3FE9" w:rsidRDefault="00BB51E4" w:rsidP="00BD119A">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119A">
      <w:pPr>
        <w:pStyle w:val="2"/>
        <w:spacing w:line="360" w:lineRule="auto"/>
        <w:rPr>
          <w:rFonts w:ascii="Times New Roman" w:hAnsi="Times New Roman" w:cs="Times New Roman"/>
          <w:color w:val="000000" w:themeColor="text1"/>
          <w:sz w:val="28"/>
          <w:szCs w:val="28"/>
          <w:lang w:val="uk-UA"/>
        </w:rPr>
      </w:pPr>
      <w:bookmarkStart w:id="9" w:name="_Toc465797606"/>
      <w:r w:rsidRPr="004E3FE9">
        <w:rPr>
          <w:rFonts w:ascii="Times New Roman" w:hAnsi="Times New Roman" w:cs="Times New Roman"/>
          <w:color w:val="000000" w:themeColor="text1"/>
          <w:sz w:val="28"/>
          <w:szCs w:val="28"/>
          <w:lang w:val="uk-UA"/>
        </w:rPr>
        <w:t>2.</w:t>
      </w:r>
      <w:r w:rsidR="00452D7B" w:rsidRPr="004E3FE9">
        <w:rPr>
          <w:rFonts w:ascii="Times New Roman" w:hAnsi="Times New Roman" w:cs="Times New Roman"/>
          <w:color w:val="000000" w:themeColor="text1"/>
          <w:sz w:val="28"/>
          <w:szCs w:val="28"/>
          <w:lang w:val="uk-UA"/>
        </w:rPr>
        <w:t>3</w:t>
      </w:r>
      <w:r w:rsidRPr="004E3FE9">
        <w:rPr>
          <w:rFonts w:ascii="Times New Roman" w:hAnsi="Times New Roman" w:cs="Times New Roman"/>
          <w:color w:val="000000" w:themeColor="text1"/>
          <w:sz w:val="28"/>
          <w:szCs w:val="28"/>
          <w:lang w:val="uk-UA"/>
        </w:rPr>
        <w:t xml:space="preserve"> Контрольні дані</w:t>
      </w:r>
      <w:bookmarkEnd w:id="9"/>
    </w:p>
    <w:p w:rsidR="00BB51E4" w:rsidRPr="004E3FE9" w:rsidRDefault="00BB51E4" w:rsidP="00BB51E4">
      <w:pPr>
        <w:rPr>
          <w:lang w:val="uk-UA"/>
        </w:rPr>
      </w:pPr>
    </w:p>
    <w:p w:rsidR="00BD0BF2" w:rsidRPr="004E3FE9" w:rsidRDefault="00BD0BF2" w:rsidP="00BD119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До контрольної групи увійшло 17 практично здорових дітей (10 хлопчиків та 7 дівчаток) віком від 4 до 17 років. На час огляду діти не мали скарг, клінічних ознак, анамнестичних даних, які б свідчили про наявність будь-якого хронічного захворювання. Фізичний розвиток дітей відповідав віковим нормам.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Основні показники складу периферійної крові у практично здорових дітей наведені в табл. 2.1.</w:t>
      </w:r>
    </w:p>
    <w:p w:rsidR="00BD0BF2" w:rsidRPr="001C558E" w:rsidRDefault="00BD0BF2" w:rsidP="00BD0BF2">
      <w:pPr>
        <w:spacing w:line="360" w:lineRule="auto"/>
        <w:ind w:firstLine="709"/>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2.1</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Основні показники периферійної крові у </w:t>
      </w:r>
      <w:r w:rsidR="00AC7D92">
        <w:rPr>
          <w:rFonts w:ascii="Times New Roman" w:hAnsi="Times New Roman" w:cs="Times New Roman"/>
          <w:b/>
          <w:sz w:val="28"/>
          <w:szCs w:val="28"/>
          <w:lang w:val="uk-UA"/>
        </w:rPr>
        <w:t>дітей групи контролю</w:t>
      </w:r>
      <w:r w:rsidR="008728B3" w:rsidRPr="004E3FE9">
        <w:rPr>
          <w:rFonts w:ascii="Times New Roman" w:hAnsi="Times New Roman" w:cs="Times New Roman"/>
          <w:b/>
          <w:sz w:val="28"/>
          <w:szCs w:val="28"/>
          <w:lang w:val="uk-UA"/>
        </w:rPr>
        <w:t>,</w:t>
      </w:r>
      <w:r w:rsidRPr="004E3FE9">
        <w:rPr>
          <w:rFonts w:ascii="Times New Roman" w:hAnsi="Times New Roman" w:cs="Times New Roman"/>
          <w:b/>
          <w:sz w:val="28"/>
          <w:szCs w:val="28"/>
          <w:lang w:val="uk-UA"/>
        </w:rPr>
        <w:t xml:space="preserve"> (Me(Lq;Uq))</w:t>
      </w:r>
    </w:p>
    <w:tbl>
      <w:tblPr>
        <w:tblStyle w:val="a8"/>
        <w:tblW w:w="0" w:type="auto"/>
        <w:jc w:val="center"/>
        <w:tblLook w:val="04A0"/>
      </w:tblPr>
      <w:tblGrid>
        <w:gridCol w:w="4445"/>
        <w:gridCol w:w="4721"/>
      </w:tblGrid>
      <w:tr w:rsidR="00BD0BF2" w:rsidRPr="004E3FE9" w:rsidTr="00721EA2">
        <w:trPr>
          <w:jc w:val="center"/>
        </w:trPr>
        <w:tc>
          <w:tcPr>
            <w:tcW w:w="444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4721"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Значення</w:t>
            </w:r>
          </w:p>
        </w:tc>
      </w:tr>
      <w:tr w:rsidR="00307E31" w:rsidRPr="004E3FE9" w:rsidTr="00721EA2">
        <w:trPr>
          <w:jc w:val="center"/>
        </w:trPr>
        <w:tc>
          <w:tcPr>
            <w:tcW w:w="4445" w:type="dxa"/>
          </w:tcPr>
          <w:p w:rsidR="00307E31" w:rsidRPr="004E3FE9" w:rsidRDefault="00307E31"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4721" w:type="dxa"/>
          </w:tcPr>
          <w:p w:rsidR="00307E31" w:rsidRPr="004E3FE9" w:rsidRDefault="00307E31"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r>
      <w:tr w:rsidR="00BD0BF2" w:rsidRPr="004E3FE9" w:rsidTr="00721EA2">
        <w:trPr>
          <w:jc w:val="center"/>
        </w:trPr>
        <w:tc>
          <w:tcPr>
            <w:tcW w:w="444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Гемоглобін, г/л</w:t>
            </w:r>
          </w:p>
        </w:tc>
        <w:tc>
          <w:tcPr>
            <w:tcW w:w="4721"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 (123;129)</w:t>
            </w:r>
          </w:p>
        </w:tc>
      </w:tr>
      <w:tr w:rsidR="00BD0BF2" w:rsidRPr="004E3FE9" w:rsidTr="00721EA2">
        <w:trPr>
          <w:jc w:val="center"/>
        </w:trPr>
        <w:tc>
          <w:tcPr>
            <w:tcW w:w="444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Еритроцити, 10</w:t>
            </w:r>
            <w:r w:rsidRPr="004E3FE9">
              <w:rPr>
                <w:rFonts w:ascii="Times New Roman" w:hAnsi="Times New Roman" w:cs="Times New Roman"/>
                <w:sz w:val="28"/>
                <w:szCs w:val="28"/>
                <w:vertAlign w:val="superscript"/>
                <w:lang w:val="uk-UA"/>
              </w:rPr>
              <w:t>12</w:t>
            </w:r>
            <w:r w:rsidRPr="004E3FE9">
              <w:rPr>
                <w:rFonts w:ascii="Times New Roman" w:hAnsi="Times New Roman" w:cs="Times New Roman"/>
                <w:sz w:val="28"/>
                <w:szCs w:val="28"/>
                <w:lang w:val="uk-UA"/>
              </w:rPr>
              <w:t>/л</w:t>
            </w:r>
          </w:p>
        </w:tc>
        <w:tc>
          <w:tcPr>
            <w:tcW w:w="4721"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4,3 (4,2;4,6)</w:t>
            </w:r>
          </w:p>
        </w:tc>
      </w:tr>
    </w:tbl>
    <w:p w:rsidR="00FA3570" w:rsidRDefault="00FA3570" w:rsidP="00307E31">
      <w:pPr>
        <w:jc w:val="right"/>
        <w:rPr>
          <w:rFonts w:ascii="Times New Roman" w:hAnsi="Times New Roman" w:cs="Times New Roman"/>
          <w:sz w:val="28"/>
          <w:szCs w:val="28"/>
          <w:lang w:val="uk-UA"/>
        </w:rPr>
      </w:pPr>
    </w:p>
    <w:p w:rsidR="00307E31" w:rsidRPr="001C558E" w:rsidRDefault="00307E31" w:rsidP="001C558E">
      <w:pPr>
        <w:spacing w:after="0"/>
        <w:jc w:val="right"/>
        <w:rPr>
          <w:i/>
          <w:lang w:val="uk-UA"/>
        </w:rPr>
      </w:pPr>
      <w:r w:rsidRPr="001C558E">
        <w:rPr>
          <w:rFonts w:ascii="Times New Roman" w:hAnsi="Times New Roman" w:cs="Times New Roman"/>
          <w:i/>
          <w:sz w:val="28"/>
          <w:szCs w:val="28"/>
          <w:lang w:val="uk-UA"/>
        </w:rPr>
        <w:lastRenderedPageBreak/>
        <w:t>Продовження таблиці 2.1</w:t>
      </w:r>
    </w:p>
    <w:tbl>
      <w:tblPr>
        <w:tblStyle w:val="a8"/>
        <w:tblW w:w="0" w:type="auto"/>
        <w:jc w:val="center"/>
        <w:tblLook w:val="04A0"/>
      </w:tblPr>
      <w:tblGrid>
        <w:gridCol w:w="4445"/>
        <w:gridCol w:w="4721"/>
      </w:tblGrid>
      <w:tr w:rsidR="00BD0BF2" w:rsidRPr="004E3FE9" w:rsidTr="00721EA2">
        <w:trPr>
          <w:jc w:val="center"/>
        </w:trPr>
        <w:tc>
          <w:tcPr>
            <w:tcW w:w="4445" w:type="dxa"/>
          </w:tcPr>
          <w:p w:rsidR="00BD0BF2" w:rsidRPr="004E3FE9" w:rsidRDefault="00307E31"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4721" w:type="dxa"/>
          </w:tcPr>
          <w:p w:rsidR="00BD0BF2" w:rsidRPr="004E3FE9" w:rsidRDefault="00307E31"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r>
      <w:tr w:rsidR="00307E31" w:rsidRPr="004E3FE9" w:rsidTr="00B26C70">
        <w:trPr>
          <w:jc w:val="center"/>
        </w:trPr>
        <w:tc>
          <w:tcPr>
            <w:tcW w:w="4445" w:type="dxa"/>
          </w:tcPr>
          <w:p w:rsidR="00307E31" w:rsidRPr="004E3FE9" w:rsidRDefault="00307E31" w:rsidP="00B26C70">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Лейкоцити,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4721" w:type="dxa"/>
          </w:tcPr>
          <w:p w:rsidR="00307E31" w:rsidRPr="004E3FE9" w:rsidRDefault="00307E31" w:rsidP="00B26C70">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5,9 (5,6;6,3)</w:t>
            </w:r>
          </w:p>
        </w:tc>
      </w:tr>
      <w:tr w:rsidR="00BD0BF2" w:rsidRPr="004E3FE9" w:rsidTr="00721EA2">
        <w:trPr>
          <w:jc w:val="center"/>
        </w:trPr>
        <w:tc>
          <w:tcPr>
            <w:tcW w:w="444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Тромбоцити, 10</w:t>
            </w:r>
            <w:r w:rsidRPr="004E3FE9">
              <w:rPr>
                <w:rFonts w:ascii="Times New Roman" w:hAnsi="Times New Roman" w:cs="Times New Roman"/>
                <w:sz w:val="28"/>
                <w:szCs w:val="28"/>
                <w:vertAlign w:val="superscript"/>
                <w:lang w:val="uk-UA"/>
              </w:rPr>
              <w:t>12</w:t>
            </w:r>
            <w:r w:rsidRPr="004E3FE9">
              <w:rPr>
                <w:rFonts w:ascii="Times New Roman" w:hAnsi="Times New Roman" w:cs="Times New Roman"/>
                <w:sz w:val="28"/>
                <w:szCs w:val="28"/>
                <w:lang w:val="uk-UA"/>
              </w:rPr>
              <w:t>/л</w:t>
            </w:r>
          </w:p>
        </w:tc>
        <w:tc>
          <w:tcPr>
            <w:tcW w:w="4721"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266 (250;287)</w:t>
            </w:r>
          </w:p>
        </w:tc>
      </w:tr>
      <w:tr w:rsidR="00BD0BF2" w:rsidRPr="004E3FE9" w:rsidTr="00721EA2">
        <w:trPr>
          <w:jc w:val="center"/>
        </w:trPr>
        <w:tc>
          <w:tcPr>
            <w:tcW w:w="444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Палочкоядерні, %</w:t>
            </w:r>
          </w:p>
        </w:tc>
        <w:tc>
          <w:tcPr>
            <w:tcW w:w="4721"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 (1,0;2,0)</w:t>
            </w:r>
          </w:p>
        </w:tc>
      </w:tr>
      <w:tr w:rsidR="00BD0BF2" w:rsidRPr="004E3FE9" w:rsidTr="00721EA2">
        <w:trPr>
          <w:jc w:val="center"/>
        </w:trPr>
        <w:tc>
          <w:tcPr>
            <w:tcW w:w="444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Сегментоядерні, %</w:t>
            </w:r>
          </w:p>
        </w:tc>
        <w:tc>
          <w:tcPr>
            <w:tcW w:w="4721"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50,7 (48,0;54,0)</w:t>
            </w:r>
          </w:p>
        </w:tc>
      </w:tr>
      <w:tr w:rsidR="00BD0BF2" w:rsidRPr="004E3FE9" w:rsidTr="00721EA2">
        <w:trPr>
          <w:jc w:val="center"/>
        </w:trPr>
        <w:tc>
          <w:tcPr>
            <w:tcW w:w="444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Еозінофіли, %</w:t>
            </w:r>
          </w:p>
        </w:tc>
        <w:tc>
          <w:tcPr>
            <w:tcW w:w="4721"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 (1,0;1,0)</w:t>
            </w:r>
          </w:p>
        </w:tc>
      </w:tr>
      <w:tr w:rsidR="00BD0BF2" w:rsidRPr="004E3FE9" w:rsidTr="00721EA2">
        <w:trPr>
          <w:jc w:val="center"/>
        </w:trPr>
        <w:tc>
          <w:tcPr>
            <w:tcW w:w="444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Лімфоцити, %</w:t>
            </w:r>
          </w:p>
        </w:tc>
        <w:tc>
          <w:tcPr>
            <w:tcW w:w="4721"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42,3 (40,0;45,0)</w:t>
            </w:r>
          </w:p>
        </w:tc>
      </w:tr>
      <w:tr w:rsidR="00BD0BF2" w:rsidRPr="004E3FE9" w:rsidTr="00721EA2">
        <w:trPr>
          <w:jc w:val="center"/>
        </w:trPr>
        <w:tc>
          <w:tcPr>
            <w:tcW w:w="444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Моноцити, %</w:t>
            </w:r>
          </w:p>
        </w:tc>
        <w:tc>
          <w:tcPr>
            <w:tcW w:w="4721"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4,4 (3,0;6,0)</w:t>
            </w:r>
          </w:p>
        </w:tc>
      </w:tr>
      <w:tr w:rsidR="00BD0BF2" w:rsidRPr="004E3FE9" w:rsidTr="00721EA2">
        <w:trPr>
          <w:jc w:val="center"/>
        </w:trPr>
        <w:tc>
          <w:tcPr>
            <w:tcW w:w="444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ШОЕ, мм/г</w:t>
            </w:r>
          </w:p>
        </w:tc>
        <w:tc>
          <w:tcPr>
            <w:tcW w:w="4721"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7,7 (7,0;9,0)</w:t>
            </w:r>
          </w:p>
        </w:tc>
      </w:tr>
    </w:tbl>
    <w:p w:rsidR="00BD0BF2" w:rsidRPr="004E3FE9" w:rsidRDefault="00BD0BF2" w:rsidP="00BD0BF2">
      <w:pPr>
        <w:spacing w:line="360" w:lineRule="auto"/>
        <w:ind w:firstLine="709"/>
        <w:contextualSpacing/>
        <w:jc w:val="center"/>
        <w:rPr>
          <w:rFonts w:ascii="Times New Roman" w:hAnsi="Times New Roman" w:cs="Times New Roman"/>
          <w:sz w:val="28"/>
          <w:szCs w:val="28"/>
          <w:lang w:val="uk-UA"/>
        </w:rPr>
      </w:pPr>
    </w:p>
    <w:p w:rsidR="00307E31" w:rsidRPr="004E3FE9" w:rsidRDefault="00BD0BF2" w:rsidP="001C558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 обстежених дітей контрольної групи не спостерігалось відхилень у окремих біохімічних показниках крові (табл. 2.2), які співпадали з нормою.</w:t>
      </w:r>
    </w:p>
    <w:p w:rsidR="00BD0BF2" w:rsidRPr="001C558E" w:rsidRDefault="00BD0BF2" w:rsidP="00BD0BF2">
      <w:pPr>
        <w:spacing w:line="360" w:lineRule="auto"/>
        <w:ind w:firstLine="709"/>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2.2</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Основні показники біохімічних досліджень </w:t>
      </w:r>
      <w:r w:rsidR="00AC7D92" w:rsidRPr="004E3FE9">
        <w:rPr>
          <w:rFonts w:ascii="Times New Roman" w:hAnsi="Times New Roman" w:cs="Times New Roman"/>
          <w:b/>
          <w:sz w:val="28"/>
          <w:szCs w:val="28"/>
          <w:lang w:val="uk-UA"/>
        </w:rPr>
        <w:t xml:space="preserve">у </w:t>
      </w:r>
      <w:r w:rsidR="00AC7D92">
        <w:rPr>
          <w:rFonts w:ascii="Times New Roman" w:hAnsi="Times New Roman" w:cs="Times New Roman"/>
          <w:b/>
          <w:sz w:val="28"/>
          <w:szCs w:val="28"/>
          <w:lang w:val="uk-UA"/>
        </w:rPr>
        <w:t>дітей групи контролю</w:t>
      </w:r>
      <w:r w:rsidR="008728B3" w:rsidRPr="004E3FE9">
        <w:rPr>
          <w:rFonts w:ascii="Times New Roman" w:hAnsi="Times New Roman" w:cs="Times New Roman"/>
          <w:b/>
          <w:sz w:val="28"/>
          <w:szCs w:val="28"/>
          <w:lang w:val="uk-UA"/>
        </w:rPr>
        <w:t>,</w:t>
      </w:r>
      <w:r w:rsidRPr="004E3FE9">
        <w:rPr>
          <w:rFonts w:ascii="Times New Roman" w:hAnsi="Times New Roman" w:cs="Times New Roman"/>
          <w:b/>
          <w:sz w:val="28"/>
          <w:szCs w:val="28"/>
          <w:lang w:val="uk-UA"/>
        </w:rPr>
        <w:t xml:space="preserve"> (Me(Lq;Uq))</w:t>
      </w:r>
    </w:p>
    <w:tbl>
      <w:tblPr>
        <w:tblStyle w:val="a8"/>
        <w:tblW w:w="0" w:type="auto"/>
        <w:tblLook w:val="04A0"/>
      </w:tblPr>
      <w:tblGrid>
        <w:gridCol w:w="4785"/>
        <w:gridCol w:w="4786"/>
      </w:tblGrid>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Значення</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Серомукоїд, од. опт. щ.</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3,9 (3,6;4,3)</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Глікопротеїди, од. опт. щ.</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0,300 (0,265;0,345)</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Загальний білок, г/л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69,7 (66,0;75,0)</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Альбуміни, %</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57,0 (54,8;58,0)</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Глобуліни:</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α</w:t>
            </w:r>
            <w:r w:rsidRPr="004E3FE9">
              <w:rPr>
                <w:rFonts w:ascii="Times New Roman" w:hAnsi="Times New Roman" w:cs="Times New Roman"/>
                <w:sz w:val="28"/>
                <w:szCs w:val="28"/>
                <w:vertAlign w:val="subscript"/>
                <w:lang w:val="uk-UA"/>
              </w:rPr>
              <w:t xml:space="preserve">1, </w:t>
            </w:r>
            <w:r w:rsidRPr="004E3FE9">
              <w:rPr>
                <w:rFonts w:ascii="Times New Roman" w:hAnsi="Times New Roman" w:cs="Times New Roman"/>
                <w:sz w:val="28"/>
                <w:szCs w:val="28"/>
                <w:lang w:val="uk-UA"/>
              </w:rPr>
              <w:t>%</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 (4,6;5,6)</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α</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9,0 (7,9;10,1)</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β, %</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12,1 (11,6;12,6)</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γ, %</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15,7 (14,6;16,9)</w:t>
            </w:r>
          </w:p>
        </w:tc>
      </w:tr>
    </w:tbl>
    <w:p w:rsidR="00BD0BF2" w:rsidRPr="004E3FE9" w:rsidRDefault="00BD0BF2" w:rsidP="002A0914">
      <w:pPr>
        <w:spacing w:line="360" w:lineRule="auto"/>
        <w:contextualSpacing/>
        <w:jc w:val="both"/>
        <w:rPr>
          <w:rFonts w:ascii="Times New Roman" w:hAnsi="Times New Roman" w:cs="Times New Roman"/>
          <w:sz w:val="28"/>
          <w:szCs w:val="28"/>
          <w:lang w:val="uk-UA"/>
        </w:rPr>
      </w:pPr>
    </w:p>
    <w:p w:rsidR="009130EC" w:rsidRPr="004E3FE9" w:rsidRDefault="00BD0BF2" w:rsidP="001C558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 дітей групи контролю перевірено стан системи гемостазу. Відхилень знайдено не було, та показники співпадали з заявленими нормативами (табл. 2.3).</w:t>
      </w:r>
    </w:p>
    <w:p w:rsidR="00BD0BF2" w:rsidRPr="001C558E" w:rsidRDefault="00BD0BF2" w:rsidP="00BD0BF2">
      <w:pPr>
        <w:spacing w:line="360" w:lineRule="auto"/>
        <w:ind w:firstLine="709"/>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lastRenderedPageBreak/>
        <w:t>Таблиця 2.3</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Основні показники системи гемостазу </w:t>
      </w:r>
      <w:r w:rsidR="00AC7D92" w:rsidRPr="004E3FE9">
        <w:rPr>
          <w:rFonts w:ascii="Times New Roman" w:hAnsi="Times New Roman" w:cs="Times New Roman"/>
          <w:b/>
          <w:sz w:val="28"/>
          <w:szCs w:val="28"/>
          <w:lang w:val="uk-UA"/>
        </w:rPr>
        <w:t xml:space="preserve">у </w:t>
      </w:r>
      <w:r w:rsidR="00AC7D92">
        <w:rPr>
          <w:rFonts w:ascii="Times New Roman" w:hAnsi="Times New Roman" w:cs="Times New Roman"/>
          <w:b/>
          <w:sz w:val="28"/>
          <w:szCs w:val="28"/>
          <w:lang w:val="uk-UA"/>
        </w:rPr>
        <w:t>дітей групи контролю</w:t>
      </w:r>
      <w:r w:rsidR="008728B3" w:rsidRPr="004E3FE9">
        <w:rPr>
          <w:rFonts w:ascii="Times New Roman" w:hAnsi="Times New Roman" w:cs="Times New Roman"/>
          <w:b/>
          <w:sz w:val="28"/>
          <w:szCs w:val="28"/>
          <w:lang w:val="uk-UA"/>
        </w:rPr>
        <w:t>,</w:t>
      </w:r>
      <w:r w:rsidRPr="004E3FE9">
        <w:rPr>
          <w:rFonts w:ascii="Times New Roman" w:hAnsi="Times New Roman" w:cs="Times New Roman"/>
          <w:b/>
          <w:sz w:val="28"/>
          <w:szCs w:val="28"/>
          <w:lang w:val="uk-UA"/>
        </w:rPr>
        <w:t xml:space="preserve"> (Me(Lq;Uq))</w:t>
      </w:r>
    </w:p>
    <w:tbl>
      <w:tblPr>
        <w:tblStyle w:val="a8"/>
        <w:tblW w:w="0" w:type="auto"/>
        <w:tblLook w:val="04A0"/>
      </w:tblPr>
      <w:tblGrid>
        <w:gridCol w:w="4785"/>
        <w:gridCol w:w="4786"/>
      </w:tblGrid>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Значення</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 %</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 0 (15,6;16,5)</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Т1, хв.</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3,4 (3,2;3,5)</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Т2, хв.</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 (10,0;10,0)</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МА, %</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97,0 (96,0;98,0)</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 хв</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54,0 (53,0;54,0)</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ІІТ, у.о.</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 (2,0;2,1)</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Фібриноген, г/л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 (2,8;3,3)</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Протромбіновий індекс, %</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99,8 (99,5;100,0)</w:t>
            </w:r>
          </w:p>
        </w:tc>
      </w:tr>
    </w:tbl>
    <w:p w:rsidR="00BD0BF2" w:rsidRPr="004E3FE9" w:rsidRDefault="00BD0BF2" w:rsidP="00BD0BF2">
      <w:pPr>
        <w:spacing w:line="360" w:lineRule="auto"/>
        <w:contextualSpacing/>
        <w:jc w:val="both"/>
        <w:rPr>
          <w:rFonts w:ascii="Times New Roman" w:hAnsi="Times New Roman" w:cs="Times New Roman"/>
          <w:sz w:val="28"/>
          <w:szCs w:val="28"/>
          <w:lang w:val="uk-UA"/>
        </w:rPr>
      </w:pPr>
    </w:p>
    <w:p w:rsidR="002A0914" w:rsidRPr="004E3FE9" w:rsidRDefault="00BD0BF2" w:rsidP="001C558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Діти, які увійшли до групи контролю</w:t>
      </w:r>
      <w:r w:rsidR="008728B3" w:rsidRPr="004E3FE9">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обстежені для визначення рівнів показників клітинного та гуморального ланок імунітету та фаго</w:t>
      </w:r>
      <w:r w:rsidR="00AC7D92">
        <w:rPr>
          <w:rFonts w:ascii="Times New Roman" w:hAnsi="Times New Roman" w:cs="Times New Roman"/>
          <w:sz w:val="28"/>
          <w:szCs w:val="28"/>
          <w:lang w:val="uk-UA"/>
        </w:rPr>
        <w:t>цитозу (табл. 2.4). Дані співпадають</w:t>
      </w:r>
      <w:r w:rsidRPr="004E3FE9">
        <w:rPr>
          <w:rFonts w:ascii="Times New Roman" w:hAnsi="Times New Roman" w:cs="Times New Roman"/>
          <w:sz w:val="28"/>
          <w:szCs w:val="28"/>
          <w:lang w:val="uk-UA"/>
        </w:rPr>
        <w:t xml:space="preserve"> з нормативами.</w:t>
      </w:r>
    </w:p>
    <w:p w:rsidR="00BD0BF2" w:rsidRPr="001C558E" w:rsidRDefault="00BD0BF2" w:rsidP="00BD0BF2">
      <w:pPr>
        <w:spacing w:line="360" w:lineRule="auto"/>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2.4</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Показники клітинної та гуморальної ланок імунітету та фагоцитозу </w:t>
      </w:r>
      <w:r w:rsidR="00AC7D92" w:rsidRPr="004E3FE9">
        <w:rPr>
          <w:rFonts w:ascii="Times New Roman" w:hAnsi="Times New Roman" w:cs="Times New Roman"/>
          <w:b/>
          <w:sz w:val="28"/>
          <w:szCs w:val="28"/>
          <w:lang w:val="uk-UA"/>
        </w:rPr>
        <w:t xml:space="preserve">у </w:t>
      </w:r>
      <w:r w:rsidR="00AC7D92">
        <w:rPr>
          <w:rFonts w:ascii="Times New Roman" w:hAnsi="Times New Roman" w:cs="Times New Roman"/>
          <w:b/>
          <w:sz w:val="28"/>
          <w:szCs w:val="28"/>
          <w:lang w:val="uk-UA"/>
        </w:rPr>
        <w:t>дітей групи контролю</w:t>
      </w:r>
      <w:r w:rsidR="008728B3" w:rsidRPr="004E3FE9">
        <w:rPr>
          <w:rFonts w:ascii="Times New Roman" w:hAnsi="Times New Roman" w:cs="Times New Roman"/>
          <w:b/>
          <w:sz w:val="28"/>
          <w:szCs w:val="28"/>
          <w:lang w:val="uk-UA"/>
        </w:rPr>
        <w:t>,</w:t>
      </w:r>
      <w:r w:rsidRPr="004E3FE9">
        <w:rPr>
          <w:rFonts w:ascii="Times New Roman" w:hAnsi="Times New Roman" w:cs="Times New Roman"/>
          <w:b/>
          <w:sz w:val="28"/>
          <w:szCs w:val="28"/>
          <w:lang w:val="uk-UA"/>
        </w:rPr>
        <w:t xml:space="preserve"> (Me(Lq;Uq))</w:t>
      </w:r>
    </w:p>
    <w:tbl>
      <w:tblPr>
        <w:tblStyle w:val="a8"/>
        <w:tblW w:w="0" w:type="auto"/>
        <w:tblLook w:val="04A0"/>
      </w:tblPr>
      <w:tblGrid>
        <w:gridCol w:w="4785"/>
        <w:gridCol w:w="4786"/>
      </w:tblGrid>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Значення</w:t>
            </w:r>
          </w:p>
        </w:tc>
      </w:tr>
      <w:tr w:rsidR="009130EC" w:rsidRPr="004E3FE9" w:rsidTr="00721EA2">
        <w:tc>
          <w:tcPr>
            <w:tcW w:w="4785" w:type="dxa"/>
          </w:tcPr>
          <w:p w:rsidR="009130EC" w:rsidRPr="004E3FE9" w:rsidRDefault="009130EC"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4786" w:type="dxa"/>
          </w:tcPr>
          <w:p w:rsidR="009130EC" w:rsidRPr="004E3FE9" w:rsidRDefault="009130EC"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 заг.),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 (1,4;1,8)</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69 (65;72)</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 xml:space="preserve"> (Т хелп.),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 (0,8;1,0)</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 (35;40)</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8</w:t>
            </w:r>
            <w:r w:rsidRPr="004E3FE9">
              <w:rPr>
                <w:rFonts w:ascii="Times New Roman" w:hAnsi="Times New Roman" w:cs="Times New Roman"/>
                <w:sz w:val="28"/>
                <w:szCs w:val="28"/>
                <w:lang w:val="uk-UA"/>
              </w:rPr>
              <w:t xml:space="preserve"> (Т кіл.),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0,74 (0,7;0,8)</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 (27;32)</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 CD</w:t>
            </w:r>
            <w:r w:rsidRPr="004E3FE9">
              <w:rPr>
                <w:rFonts w:ascii="Times New Roman" w:hAnsi="Times New Roman" w:cs="Times New Roman"/>
                <w:sz w:val="28"/>
                <w:szCs w:val="28"/>
                <w:vertAlign w:val="subscript"/>
                <w:lang w:val="uk-UA"/>
              </w:rPr>
              <w:t>8</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1,17 (1,12;1,25)</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22</w:t>
            </w:r>
            <w:r w:rsidRPr="004E3FE9">
              <w:rPr>
                <w:rFonts w:ascii="Times New Roman" w:hAnsi="Times New Roman" w:cs="Times New Roman"/>
                <w:sz w:val="28"/>
                <w:szCs w:val="28"/>
                <w:lang w:val="uk-UA"/>
              </w:rPr>
              <w:t xml:space="preserve"> (В лімф.),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 (0,4;0,6)</w:t>
            </w:r>
          </w:p>
        </w:tc>
      </w:tr>
    </w:tbl>
    <w:p w:rsidR="001C558E" w:rsidRPr="001C558E" w:rsidRDefault="001C558E" w:rsidP="001C558E">
      <w:pPr>
        <w:spacing w:after="0"/>
        <w:jc w:val="right"/>
        <w:rPr>
          <w:i/>
          <w:lang w:val="uk-UA"/>
        </w:rPr>
      </w:pPr>
      <w:r w:rsidRPr="001C558E">
        <w:rPr>
          <w:rFonts w:ascii="Times New Roman" w:hAnsi="Times New Roman" w:cs="Times New Roman"/>
          <w:i/>
          <w:sz w:val="28"/>
          <w:szCs w:val="28"/>
          <w:lang w:val="uk-UA"/>
        </w:rPr>
        <w:lastRenderedPageBreak/>
        <w:t>Продовження таблиці 2.4</w:t>
      </w:r>
    </w:p>
    <w:tbl>
      <w:tblPr>
        <w:tblStyle w:val="a8"/>
        <w:tblW w:w="0" w:type="auto"/>
        <w:tblLook w:val="04A0"/>
      </w:tblPr>
      <w:tblGrid>
        <w:gridCol w:w="4785"/>
        <w:gridCol w:w="4786"/>
      </w:tblGrid>
      <w:tr w:rsidR="001C558E" w:rsidRPr="004E3FE9" w:rsidTr="00721EA2">
        <w:tc>
          <w:tcPr>
            <w:tcW w:w="4785" w:type="dxa"/>
          </w:tcPr>
          <w:p w:rsidR="001C558E" w:rsidRPr="004E3FE9" w:rsidRDefault="001C558E" w:rsidP="00721EA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786" w:type="dxa"/>
          </w:tcPr>
          <w:p w:rsidR="001C558E" w:rsidRPr="004E3FE9" w:rsidRDefault="001C558E" w:rsidP="00721EA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 (13;19)</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16</w:t>
            </w:r>
            <w:r w:rsidRPr="004E3FE9">
              <w:rPr>
                <w:rFonts w:ascii="Times New Roman" w:hAnsi="Times New Roman" w:cs="Times New Roman"/>
                <w:sz w:val="28"/>
                <w:szCs w:val="28"/>
                <w:lang w:val="uk-UA"/>
              </w:rPr>
              <w:t xml:space="preserve"> (NK),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 (0,2;0,3)</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 (10;14)</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Нейтрофіли фагоцитуючі, %</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82 (78;86)</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Фагоцитарне число</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 (3,8;4,8)</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ІАН</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1,09 (1,00;1,15)</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Мієлопероксидаза, СЦК</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2,56 (2,55;2,57)</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ЛКБ, СЦК</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1,23 (1,22;1,24)</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NST-тест, %</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 (7;12)</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ЦІК, у.о.</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 (25;34)</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Ig G, г/л </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9,95 (8,16;11,24)</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Ig A, г/л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1,22 (0,90;1,62)</w:t>
            </w:r>
          </w:p>
        </w:tc>
      </w:tr>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Ig M, г/л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0,98 (0,82;1,11)</w:t>
            </w:r>
          </w:p>
        </w:tc>
      </w:tr>
    </w:tbl>
    <w:p w:rsidR="001C558E" w:rsidRPr="004E3FE9" w:rsidRDefault="00BD0BF2" w:rsidP="001C558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Результати, отримані </w:t>
      </w:r>
      <w:r w:rsidR="008728B3" w:rsidRPr="004E3FE9">
        <w:rPr>
          <w:rFonts w:ascii="Times New Roman" w:hAnsi="Times New Roman" w:cs="Times New Roman"/>
          <w:sz w:val="28"/>
          <w:szCs w:val="28"/>
          <w:lang w:val="uk-UA"/>
        </w:rPr>
        <w:t>під час обстеження</w:t>
      </w:r>
      <w:r w:rsidRPr="004E3FE9">
        <w:rPr>
          <w:rFonts w:ascii="Times New Roman" w:hAnsi="Times New Roman" w:cs="Times New Roman"/>
          <w:sz w:val="28"/>
          <w:szCs w:val="28"/>
          <w:lang w:val="uk-UA"/>
        </w:rPr>
        <w:t xml:space="preserve"> 17 дітей віднесених до групи контролю, прийняті нами в якості нормальних показників рівнів МСР-1, метаболітів оксиду азоту (N0</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S-нітрозотіол), фактору Віллебранда (табл. 2.5). </w:t>
      </w:r>
    </w:p>
    <w:p w:rsidR="00BD0BF2" w:rsidRPr="001C558E" w:rsidRDefault="00BD0BF2" w:rsidP="00BD0BF2">
      <w:pPr>
        <w:spacing w:line="360" w:lineRule="auto"/>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2.5</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рівнів рівнів МСР-1, метаболітів оксиду азоту (N0</w:t>
      </w:r>
      <w:r w:rsidRPr="004E3FE9">
        <w:rPr>
          <w:rFonts w:ascii="Times New Roman" w:hAnsi="Times New Roman" w:cs="Times New Roman"/>
          <w:b/>
          <w:sz w:val="28"/>
          <w:szCs w:val="28"/>
          <w:vertAlign w:val="subscript"/>
          <w:lang w:val="uk-UA"/>
        </w:rPr>
        <w:t>2</w:t>
      </w:r>
      <w:r w:rsidRPr="004E3FE9">
        <w:rPr>
          <w:rFonts w:ascii="Times New Roman" w:hAnsi="Times New Roman" w:cs="Times New Roman"/>
          <w:b/>
          <w:sz w:val="28"/>
          <w:szCs w:val="28"/>
          <w:lang w:val="uk-UA"/>
        </w:rPr>
        <w:t>, NO</w:t>
      </w:r>
      <w:r w:rsidRPr="004E3FE9">
        <w:rPr>
          <w:rFonts w:ascii="Times New Roman" w:hAnsi="Times New Roman" w:cs="Times New Roman"/>
          <w:b/>
          <w:sz w:val="28"/>
          <w:szCs w:val="28"/>
          <w:vertAlign w:val="subscript"/>
          <w:lang w:val="uk-UA"/>
        </w:rPr>
        <w:t>3</w:t>
      </w:r>
      <w:r w:rsidRPr="004E3FE9">
        <w:rPr>
          <w:rFonts w:ascii="Times New Roman" w:hAnsi="Times New Roman" w:cs="Times New Roman"/>
          <w:b/>
          <w:sz w:val="28"/>
          <w:szCs w:val="28"/>
          <w:lang w:val="uk-UA"/>
        </w:rPr>
        <w:t xml:space="preserve">, S-нітрозотіол), фактору Віллебранда в сироватці крові </w:t>
      </w:r>
      <w:r w:rsidR="00AC7D92" w:rsidRPr="004E3FE9">
        <w:rPr>
          <w:rFonts w:ascii="Times New Roman" w:hAnsi="Times New Roman" w:cs="Times New Roman"/>
          <w:b/>
          <w:sz w:val="28"/>
          <w:szCs w:val="28"/>
          <w:lang w:val="uk-UA"/>
        </w:rPr>
        <w:t xml:space="preserve">у </w:t>
      </w:r>
      <w:r w:rsidR="00AC7D92">
        <w:rPr>
          <w:rFonts w:ascii="Times New Roman" w:hAnsi="Times New Roman" w:cs="Times New Roman"/>
          <w:b/>
          <w:sz w:val="28"/>
          <w:szCs w:val="28"/>
          <w:lang w:val="uk-UA"/>
        </w:rPr>
        <w:t>дітей групи контролю</w:t>
      </w:r>
      <w:r w:rsidR="008728B3" w:rsidRPr="004E3FE9">
        <w:rPr>
          <w:rFonts w:ascii="Times New Roman" w:hAnsi="Times New Roman" w:cs="Times New Roman"/>
          <w:b/>
          <w:sz w:val="28"/>
          <w:szCs w:val="28"/>
          <w:lang w:val="uk-UA"/>
        </w:rPr>
        <w:t>,</w:t>
      </w:r>
      <w:r w:rsidRPr="004E3FE9">
        <w:rPr>
          <w:rFonts w:ascii="Times New Roman" w:hAnsi="Times New Roman" w:cs="Times New Roman"/>
          <w:b/>
          <w:sz w:val="28"/>
          <w:szCs w:val="28"/>
          <w:lang w:val="uk-UA"/>
        </w:rPr>
        <w:t xml:space="preserve"> (Me(Lq;Uq))</w:t>
      </w:r>
    </w:p>
    <w:tbl>
      <w:tblPr>
        <w:tblStyle w:val="a8"/>
        <w:tblW w:w="0" w:type="auto"/>
        <w:tblLook w:val="04A0"/>
      </w:tblPr>
      <w:tblGrid>
        <w:gridCol w:w="4785"/>
        <w:gridCol w:w="4786"/>
      </w:tblGrid>
      <w:tr w:rsidR="00BD0BF2" w:rsidRPr="004E3FE9" w:rsidTr="00721EA2">
        <w:tc>
          <w:tcPr>
            <w:tcW w:w="4785"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Значення</w:t>
            </w:r>
          </w:p>
        </w:tc>
      </w:tr>
      <w:tr w:rsidR="00BD0BF2" w:rsidRPr="004E3FE9" w:rsidTr="00721EA2">
        <w:tc>
          <w:tcPr>
            <w:tcW w:w="4785" w:type="dxa"/>
          </w:tcPr>
          <w:p w:rsidR="00BD0BF2" w:rsidRPr="004E3FE9" w:rsidRDefault="00BD0BF2" w:rsidP="00721EA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МСР-1, пг/мл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370,6 (350,3;400,0)</w:t>
            </w:r>
          </w:p>
        </w:tc>
      </w:tr>
      <w:tr w:rsidR="00BD0BF2" w:rsidRPr="004E3FE9" w:rsidTr="00721EA2">
        <w:tc>
          <w:tcPr>
            <w:tcW w:w="4785" w:type="dxa"/>
          </w:tcPr>
          <w:p w:rsidR="00BD0BF2" w:rsidRPr="004E3FE9" w:rsidRDefault="00BD0BF2" w:rsidP="00721EA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N0</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мкмоль/л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12,79 (12,35;14,00)</w:t>
            </w:r>
          </w:p>
        </w:tc>
      </w:tr>
      <w:tr w:rsidR="00BD0BF2" w:rsidRPr="004E3FE9" w:rsidTr="00721EA2">
        <w:tc>
          <w:tcPr>
            <w:tcW w:w="4785" w:type="dxa"/>
          </w:tcPr>
          <w:p w:rsidR="00BD0BF2" w:rsidRPr="004E3FE9" w:rsidRDefault="00BD0BF2" w:rsidP="00721EA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мкмоль/л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30,93 (28,79;32,05)</w:t>
            </w:r>
          </w:p>
        </w:tc>
      </w:tr>
      <w:tr w:rsidR="00BD0BF2" w:rsidRPr="004E3FE9" w:rsidTr="00721EA2">
        <w:tc>
          <w:tcPr>
            <w:tcW w:w="4785" w:type="dxa"/>
          </w:tcPr>
          <w:p w:rsidR="00BD0BF2" w:rsidRPr="004E3FE9" w:rsidRDefault="00BD0BF2" w:rsidP="00721EA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 ммоль/л</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0,33 (0,28;0,36)</w:t>
            </w:r>
          </w:p>
        </w:tc>
      </w:tr>
      <w:tr w:rsidR="00BD0BF2" w:rsidRPr="004E3FE9" w:rsidTr="00721EA2">
        <w:tc>
          <w:tcPr>
            <w:tcW w:w="4785" w:type="dxa"/>
          </w:tcPr>
          <w:p w:rsidR="00BD0BF2" w:rsidRPr="004E3FE9" w:rsidRDefault="00BD0BF2" w:rsidP="00721EA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 %</w:t>
            </w:r>
          </w:p>
        </w:tc>
        <w:tc>
          <w:tcPr>
            <w:tcW w:w="4786"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100,0 (95,4;102,4)</w:t>
            </w:r>
          </w:p>
        </w:tc>
      </w:tr>
    </w:tbl>
    <w:p w:rsidR="00BD0BF2" w:rsidRPr="004E3FE9" w:rsidRDefault="00BD0BF2" w:rsidP="00BD0BF2">
      <w:pPr>
        <w:spacing w:line="360" w:lineRule="auto"/>
        <w:contextualSpacing/>
        <w:jc w:val="both"/>
        <w:rPr>
          <w:rFonts w:ascii="Times New Roman" w:hAnsi="Times New Roman" w:cs="Times New Roman"/>
          <w:sz w:val="28"/>
          <w:szCs w:val="28"/>
          <w:lang w:val="uk-UA"/>
        </w:rPr>
      </w:pPr>
    </w:p>
    <w:p w:rsidR="009130EC" w:rsidRPr="004E3FE9" w:rsidRDefault="00BD0BF2" w:rsidP="001C558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 xml:space="preserve">Також </w:t>
      </w:r>
      <w:r w:rsidR="008728B3" w:rsidRPr="004E3FE9">
        <w:rPr>
          <w:rFonts w:ascii="Times New Roman" w:hAnsi="Times New Roman" w:cs="Times New Roman"/>
          <w:sz w:val="28"/>
          <w:szCs w:val="28"/>
          <w:lang w:val="uk-UA"/>
        </w:rPr>
        <w:t>у</w:t>
      </w:r>
      <w:r w:rsidRPr="004E3FE9">
        <w:rPr>
          <w:rFonts w:ascii="Times New Roman" w:hAnsi="Times New Roman" w:cs="Times New Roman"/>
          <w:sz w:val="28"/>
          <w:szCs w:val="28"/>
          <w:lang w:val="uk-UA"/>
        </w:rPr>
        <w:t>сім 17 дітям групи контролю проведене комплексне доплерехографічне обстеження параметрів гемодинаміки плечової артерії, ендотелій залежну дилатацію плечової артерії за загальновизнаною методикою Целемайєра-Соренса з датчиком дуплексного сканування 7,5 Гц, та аналіз структурно-функціонального стану судин у відповідності до розмірів комплексу інтима-медіа загальної сонної артерії (табл. 2.6).</w:t>
      </w:r>
    </w:p>
    <w:p w:rsidR="00BD0BF2" w:rsidRPr="001C558E" w:rsidRDefault="00BD0BF2" w:rsidP="00BD0BF2">
      <w:pPr>
        <w:spacing w:line="360" w:lineRule="auto"/>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2.6</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Показники гемодинаміки, ендотелій залежної дилатації плечової артерії та КІМ ОСА </w:t>
      </w:r>
      <w:r w:rsidR="005E13DB" w:rsidRPr="004E3FE9">
        <w:rPr>
          <w:rFonts w:ascii="Times New Roman" w:hAnsi="Times New Roman" w:cs="Times New Roman"/>
          <w:b/>
          <w:sz w:val="28"/>
          <w:szCs w:val="28"/>
          <w:lang w:val="uk-UA"/>
        </w:rPr>
        <w:t xml:space="preserve">у </w:t>
      </w:r>
      <w:r w:rsidR="005E13DB">
        <w:rPr>
          <w:rFonts w:ascii="Times New Roman" w:hAnsi="Times New Roman" w:cs="Times New Roman"/>
          <w:b/>
          <w:sz w:val="28"/>
          <w:szCs w:val="28"/>
          <w:lang w:val="uk-UA"/>
        </w:rPr>
        <w:t>дітей групи контролю</w:t>
      </w:r>
      <w:r w:rsidR="008728B3" w:rsidRPr="004E3FE9">
        <w:rPr>
          <w:rFonts w:ascii="Times New Roman" w:hAnsi="Times New Roman" w:cs="Times New Roman"/>
          <w:b/>
          <w:sz w:val="28"/>
          <w:szCs w:val="28"/>
          <w:lang w:val="uk-UA"/>
        </w:rPr>
        <w:t>,</w:t>
      </w:r>
      <w:r w:rsidRPr="004E3FE9">
        <w:rPr>
          <w:rFonts w:ascii="Times New Roman" w:hAnsi="Times New Roman" w:cs="Times New Roman"/>
          <w:b/>
          <w:sz w:val="28"/>
          <w:szCs w:val="28"/>
          <w:lang w:val="uk-UA"/>
        </w:rPr>
        <w:t xml:space="preserve"> (Me(Lq;Uq))</w:t>
      </w:r>
    </w:p>
    <w:tbl>
      <w:tblPr>
        <w:tblStyle w:val="a8"/>
        <w:tblW w:w="0" w:type="auto"/>
        <w:jc w:val="center"/>
        <w:tblLook w:val="04A0"/>
      </w:tblPr>
      <w:tblGrid>
        <w:gridCol w:w="4928"/>
        <w:gridCol w:w="4643"/>
      </w:tblGrid>
      <w:tr w:rsidR="00BD0BF2" w:rsidRPr="004E3FE9" w:rsidTr="00721EA2">
        <w:trPr>
          <w:jc w:val="center"/>
        </w:trPr>
        <w:tc>
          <w:tcPr>
            <w:tcW w:w="4928"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4643"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Значення</w:t>
            </w:r>
          </w:p>
        </w:tc>
      </w:tr>
      <w:tr w:rsidR="00BD0BF2" w:rsidRPr="004E3FE9" w:rsidTr="00721EA2">
        <w:trPr>
          <w:jc w:val="center"/>
        </w:trPr>
        <w:tc>
          <w:tcPr>
            <w:tcW w:w="4928" w:type="dxa"/>
          </w:tcPr>
          <w:p w:rsidR="00BD0BF2" w:rsidRPr="004E3FE9" w:rsidRDefault="00BD0BF2" w:rsidP="00721EA2">
            <w:pPr>
              <w:spacing w:line="360" w:lineRule="auto"/>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PI</w:t>
            </w:r>
          </w:p>
        </w:tc>
        <w:tc>
          <w:tcPr>
            <w:tcW w:w="4643"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 (1,3;1,5)</w:t>
            </w:r>
          </w:p>
        </w:tc>
      </w:tr>
      <w:tr w:rsidR="00BD0BF2" w:rsidRPr="004E3FE9" w:rsidTr="00721EA2">
        <w:trPr>
          <w:jc w:val="center"/>
        </w:trPr>
        <w:tc>
          <w:tcPr>
            <w:tcW w:w="4928" w:type="dxa"/>
          </w:tcPr>
          <w:p w:rsidR="00BD0BF2" w:rsidRPr="004E3FE9" w:rsidRDefault="00BD0BF2" w:rsidP="00721EA2">
            <w:pPr>
              <w:spacing w:line="360" w:lineRule="auto"/>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PI після оклюзії</w:t>
            </w:r>
          </w:p>
        </w:tc>
        <w:tc>
          <w:tcPr>
            <w:tcW w:w="4643"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 (1,2;1,5)</w:t>
            </w:r>
          </w:p>
        </w:tc>
      </w:tr>
      <w:tr w:rsidR="00BD0BF2" w:rsidRPr="004E3FE9" w:rsidTr="00721EA2">
        <w:trPr>
          <w:jc w:val="center"/>
        </w:trPr>
        <w:tc>
          <w:tcPr>
            <w:tcW w:w="4928" w:type="dxa"/>
          </w:tcPr>
          <w:p w:rsidR="00BD0BF2" w:rsidRPr="004E3FE9" w:rsidRDefault="00BD0BF2" w:rsidP="00721EA2">
            <w:pPr>
              <w:spacing w:line="360" w:lineRule="auto"/>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RI</w:t>
            </w:r>
          </w:p>
        </w:tc>
        <w:tc>
          <w:tcPr>
            <w:tcW w:w="4643"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 (0,80;0,90)</w:t>
            </w:r>
          </w:p>
        </w:tc>
      </w:tr>
      <w:tr w:rsidR="00BD0BF2" w:rsidRPr="004E3FE9" w:rsidTr="00721EA2">
        <w:trPr>
          <w:jc w:val="center"/>
        </w:trPr>
        <w:tc>
          <w:tcPr>
            <w:tcW w:w="4928" w:type="dxa"/>
          </w:tcPr>
          <w:p w:rsidR="00BD0BF2" w:rsidRPr="004E3FE9" w:rsidRDefault="00BD0BF2" w:rsidP="00721EA2">
            <w:pPr>
              <w:spacing w:line="360" w:lineRule="auto"/>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RI після оклюзії</w:t>
            </w:r>
          </w:p>
        </w:tc>
        <w:tc>
          <w:tcPr>
            <w:tcW w:w="4643"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0,80 (0,76;0,85)</w:t>
            </w:r>
          </w:p>
        </w:tc>
      </w:tr>
      <w:tr w:rsidR="00BD0BF2" w:rsidRPr="004E3FE9" w:rsidTr="00721EA2">
        <w:trPr>
          <w:jc w:val="center"/>
        </w:trPr>
        <w:tc>
          <w:tcPr>
            <w:tcW w:w="4928" w:type="dxa"/>
          </w:tcPr>
          <w:p w:rsidR="00BD0BF2" w:rsidRPr="004E3FE9" w:rsidRDefault="00BD0BF2" w:rsidP="00721EA2">
            <w:pPr>
              <w:spacing w:line="360" w:lineRule="auto"/>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S/D</w:t>
            </w:r>
          </w:p>
        </w:tc>
        <w:tc>
          <w:tcPr>
            <w:tcW w:w="4643"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6,86 (5,60;7,90)</w:t>
            </w:r>
          </w:p>
        </w:tc>
      </w:tr>
      <w:tr w:rsidR="00BD0BF2" w:rsidRPr="004E3FE9" w:rsidTr="00721EA2">
        <w:trPr>
          <w:jc w:val="center"/>
        </w:trPr>
        <w:tc>
          <w:tcPr>
            <w:tcW w:w="4928" w:type="dxa"/>
          </w:tcPr>
          <w:p w:rsidR="00BD0BF2" w:rsidRPr="004E3FE9" w:rsidRDefault="00BD0BF2" w:rsidP="00721EA2">
            <w:pPr>
              <w:spacing w:line="360" w:lineRule="auto"/>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S/D після оклюзії</w:t>
            </w:r>
          </w:p>
        </w:tc>
        <w:tc>
          <w:tcPr>
            <w:tcW w:w="4643"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5,40 (4,80;6,30)</w:t>
            </w:r>
          </w:p>
        </w:tc>
      </w:tr>
      <w:tr w:rsidR="00BD0BF2" w:rsidRPr="004E3FE9" w:rsidTr="00721EA2">
        <w:trPr>
          <w:jc w:val="center"/>
        </w:trPr>
        <w:tc>
          <w:tcPr>
            <w:tcW w:w="4928" w:type="dxa"/>
          </w:tcPr>
          <w:p w:rsidR="00BD0BF2" w:rsidRPr="004E3FE9" w:rsidRDefault="00BD0BF2" w:rsidP="00721EA2">
            <w:pPr>
              <w:spacing w:line="360" w:lineRule="auto"/>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КІМ ЗСА, мм</w:t>
            </w:r>
          </w:p>
        </w:tc>
        <w:tc>
          <w:tcPr>
            <w:tcW w:w="4643"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0,62 (0,61;0,64)</w:t>
            </w:r>
          </w:p>
        </w:tc>
      </w:tr>
      <w:tr w:rsidR="00BD0BF2" w:rsidRPr="004E3FE9" w:rsidTr="00721EA2">
        <w:trPr>
          <w:jc w:val="center"/>
        </w:trPr>
        <w:tc>
          <w:tcPr>
            <w:tcW w:w="4928" w:type="dxa"/>
          </w:tcPr>
          <w:p w:rsidR="00BD0BF2" w:rsidRPr="004E3FE9" w:rsidRDefault="00BD0BF2" w:rsidP="00721EA2">
            <w:pPr>
              <w:spacing w:line="360" w:lineRule="auto"/>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d ПА до оклюзії</w:t>
            </w:r>
          </w:p>
        </w:tc>
        <w:tc>
          <w:tcPr>
            <w:tcW w:w="4643"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3,00 (2,50;3,30)</w:t>
            </w:r>
          </w:p>
        </w:tc>
      </w:tr>
      <w:tr w:rsidR="00BD0BF2" w:rsidRPr="004E3FE9" w:rsidTr="00721EA2">
        <w:trPr>
          <w:jc w:val="center"/>
        </w:trPr>
        <w:tc>
          <w:tcPr>
            <w:tcW w:w="4928" w:type="dxa"/>
          </w:tcPr>
          <w:p w:rsidR="00BD0BF2" w:rsidRPr="004E3FE9" w:rsidRDefault="00BD0BF2" w:rsidP="00721EA2">
            <w:pPr>
              <w:spacing w:line="360" w:lineRule="auto"/>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w:t>
            </w:r>
          </w:p>
        </w:tc>
        <w:tc>
          <w:tcPr>
            <w:tcW w:w="4643"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20,00 (18,75;24,00)</w:t>
            </w:r>
          </w:p>
        </w:tc>
      </w:tr>
      <w:tr w:rsidR="00BD0BF2" w:rsidRPr="004E3FE9" w:rsidTr="00721EA2">
        <w:trPr>
          <w:jc w:val="center"/>
        </w:trPr>
        <w:tc>
          <w:tcPr>
            <w:tcW w:w="4928" w:type="dxa"/>
          </w:tcPr>
          <w:p w:rsidR="00BD0BF2" w:rsidRPr="004E3FE9" w:rsidRDefault="00BD0BF2" w:rsidP="00721EA2">
            <w:pPr>
              <w:spacing w:line="360" w:lineRule="auto"/>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w:t>
            </w:r>
          </w:p>
        </w:tc>
        <w:tc>
          <w:tcPr>
            <w:tcW w:w="4643"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23,33 (17,64;25,80)</w:t>
            </w:r>
          </w:p>
        </w:tc>
      </w:tr>
    </w:tbl>
    <w:p w:rsidR="009130EC" w:rsidRPr="004E3FE9" w:rsidRDefault="009130EC" w:rsidP="009130EC">
      <w:pPr>
        <w:rPr>
          <w:rFonts w:ascii="Times New Roman" w:hAnsi="Times New Roman" w:cs="Times New Roman"/>
          <w:color w:val="000000" w:themeColor="text1"/>
          <w:sz w:val="28"/>
          <w:szCs w:val="28"/>
          <w:lang w:val="uk-UA"/>
        </w:rPr>
      </w:pPr>
      <w:bookmarkStart w:id="10" w:name="_Toc465797607"/>
    </w:p>
    <w:p w:rsidR="00BD0BF2" w:rsidRPr="004E3FE9" w:rsidRDefault="00BD0BF2" w:rsidP="00BD119A">
      <w:pPr>
        <w:pStyle w:val="2"/>
        <w:spacing w:line="360" w:lineRule="auto"/>
        <w:rPr>
          <w:rFonts w:ascii="Times New Roman" w:hAnsi="Times New Roman" w:cs="Times New Roman"/>
          <w:color w:val="000000" w:themeColor="text1"/>
          <w:sz w:val="28"/>
          <w:szCs w:val="28"/>
          <w:lang w:val="uk-UA"/>
        </w:rPr>
      </w:pPr>
      <w:r w:rsidRPr="004E3FE9">
        <w:rPr>
          <w:rFonts w:ascii="Times New Roman" w:hAnsi="Times New Roman" w:cs="Times New Roman"/>
          <w:color w:val="000000" w:themeColor="text1"/>
          <w:sz w:val="28"/>
          <w:szCs w:val="28"/>
          <w:lang w:val="uk-UA"/>
        </w:rPr>
        <w:t>2.4. Методи статистичного аналізу</w:t>
      </w:r>
      <w:bookmarkEnd w:id="10"/>
    </w:p>
    <w:p w:rsidR="00240036" w:rsidRPr="004E3FE9" w:rsidRDefault="00240036" w:rsidP="00240036">
      <w:pPr>
        <w:rPr>
          <w:lang w:val="uk-UA"/>
        </w:rPr>
      </w:pPr>
    </w:p>
    <w:p w:rsidR="00240036" w:rsidRPr="004E3FE9" w:rsidRDefault="00240036" w:rsidP="008B7A8F">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Статистичний аналіз даних проводили за допомогою статистичних пакетів „EXCELL FOR WINDOWS” та „STATISTICA 7.0. FOR WINDOWS”. Перевірка розподілу на відповідність закону Гаусса виконувалася за допомогою одного з критеріїв: Шапіро-Вілка або χ2 Пірсона. Для виборок з  розподілом, що не відповідає закону Гаусса, визначали медіану (Me) й  інтерквартильний  розмах (Lq – нижній квартиль; Uq – верхній квартиль). </w:t>
      </w:r>
      <w:r w:rsidRPr="004E3FE9">
        <w:rPr>
          <w:rFonts w:ascii="Times New Roman" w:hAnsi="Times New Roman" w:cs="Times New Roman"/>
          <w:sz w:val="28"/>
          <w:szCs w:val="28"/>
          <w:lang w:val="uk-UA"/>
        </w:rPr>
        <w:lastRenderedPageBreak/>
        <w:t>Для порівняння двох виборок - непараметричний U-критерій Манна-Уітні (MW). Різницю параметрів, що порівнювали за двома точками, вважали статистично значущою  при р &lt; 0,05. Під час зіставлення показників, які характеризувалися порівнянням більше ніж 2 точок, використовували дисперсійний аналіз Краскла-Уолліса, а відмінності вважали вірогідними з урахуванням поправки Бонферроні (при р^=p/k, де k – кількість парних порі</w:t>
      </w:r>
      <w:r w:rsidR="008B7A8F" w:rsidRPr="004E3FE9">
        <w:rPr>
          <w:rFonts w:ascii="Times New Roman" w:hAnsi="Times New Roman" w:cs="Times New Roman"/>
          <w:sz w:val="28"/>
          <w:szCs w:val="28"/>
          <w:lang w:val="uk-UA"/>
        </w:rPr>
        <w:t>внянь). При порівнянні декількох</w:t>
      </w:r>
      <w:r w:rsidRPr="004E3FE9">
        <w:rPr>
          <w:rFonts w:ascii="Times New Roman" w:hAnsi="Times New Roman" w:cs="Times New Roman"/>
          <w:sz w:val="28"/>
          <w:szCs w:val="28"/>
          <w:lang w:val="uk-UA"/>
        </w:rPr>
        <w:t xml:space="preserve"> груп із загальним контролем поправку Бонферроні обчислювали за формулою    p’=p/m-1 , де m –</w:t>
      </w:r>
      <w:r w:rsidR="008B7A8F" w:rsidRPr="004E3FE9">
        <w:rPr>
          <w:rFonts w:ascii="Times New Roman" w:hAnsi="Times New Roman" w:cs="Times New Roman"/>
          <w:sz w:val="28"/>
          <w:szCs w:val="28"/>
          <w:lang w:val="uk-UA"/>
        </w:rPr>
        <w:t xml:space="preserve"> кількість груп в експерименті.</w:t>
      </w:r>
    </w:p>
    <w:p w:rsidR="00240036" w:rsidRPr="004E3FE9" w:rsidRDefault="00240036" w:rsidP="00240036">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Для чинників, що мали статистичну значущість (р&lt;0,05), було </w:t>
      </w:r>
      <w:r w:rsidR="008B7A8F" w:rsidRPr="004E3FE9">
        <w:rPr>
          <w:rFonts w:ascii="Times New Roman" w:hAnsi="Times New Roman" w:cs="Times New Roman"/>
          <w:sz w:val="28"/>
          <w:szCs w:val="28"/>
          <w:lang w:val="uk-UA"/>
        </w:rPr>
        <w:t>розраховано відносний ризик</w:t>
      </w:r>
      <w:r w:rsidRPr="004E3FE9">
        <w:rPr>
          <w:rFonts w:ascii="Times New Roman" w:hAnsi="Times New Roman" w:cs="Times New Roman"/>
          <w:sz w:val="28"/>
          <w:szCs w:val="28"/>
          <w:lang w:val="uk-UA"/>
        </w:rPr>
        <w:t xml:space="preserve"> (</w:t>
      </w:r>
      <w:r w:rsidR="008B7A8F" w:rsidRPr="004E3FE9">
        <w:rPr>
          <w:rFonts w:ascii="Times New Roman" w:hAnsi="Times New Roman" w:cs="Times New Roman"/>
          <w:sz w:val="28"/>
          <w:szCs w:val="28"/>
          <w:lang w:val="uk-UA"/>
        </w:rPr>
        <w:t>RR) виникнення події з визначенням</w:t>
      </w:r>
      <w:r w:rsidRPr="004E3FE9">
        <w:rPr>
          <w:rFonts w:ascii="Times New Roman" w:hAnsi="Times New Roman" w:cs="Times New Roman"/>
          <w:sz w:val="28"/>
          <w:szCs w:val="28"/>
          <w:lang w:val="uk-UA"/>
        </w:rPr>
        <w:t xml:space="preserve"> 95% інтервал</w:t>
      </w:r>
      <w:r w:rsidR="008B7A8F" w:rsidRPr="004E3FE9">
        <w:rPr>
          <w:rFonts w:ascii="Times New Roman" w:hAnsi="Times New Roman" w:cs="Times New Roman"/>
          <w:sz w:val="28"/>
          <w:szCs w:val="28"/>
          <w:lang w:val="uk-UA"/>
        </w:rPr>
        <w:t>у надійності</w:t>
      </w:r>
      <w:r w:rsidRPr="004E3FE9">
        <w:rPr>
          <w:rFonts w:ascii="Times New Roman" w:hAnsi="Times New Roman" w:cs="Times New Roman"/>
          <w:sz w:val="28"/>
          <w:szCs w:val="28"/>
          <w:lang w:val="uk-UA"/>
        </w:rPr>
        <w:t>.</w:t>
      </w:r>
    </w:p>
    <w:p w:rsidR="006D5434" w:rsidRPr="004E3FE9" w:rsidRDefault="00240036" w:rsidP="00240036">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Оцінку зв’язку між рядами показників проводили за допомогою методів рангової кореляції Спірмана (r). Бісеріальний коефіцієнт кореляції (rbs) використовували для оцінки зв’язку між якісними та </w:t>
      </w:r>
      <w:r w:rsidR="008B7A8F" w:rsidRPr="004E3FE9">
        <w:rPr>
          <w:rFonts w:ascii="Times New Roman" w:hAnsi="Times New Roman" w:cs="Times New Roman"/>
          <w:sz w:val="28"/>
          <w:szCs w:val="28"/>
          <w:lang w:val="uk-UA"/>
        </w:rPr>
        <w:t>кількісними ознаками.</w:t>
      </w:r>
      <w:r w:rsidRPr="004E3FE9">
        <w:rPr>
          <w:rFonts w:ascii="Times New Roman" w:hAnsi="Times New Roman" w:cs="Times New Roman"/>
          <w:sz w:val="28"/>
          <w:szCs w:val="28"/>
          <w:lang w:val="uk-UA"/>
        </w:rPr>
        <w:t xml:space="preserve"> </w:t>
      </w:r>
    </w:p>
    <w:p w:rsidR="00240036" w:rsidRPr="004E3FE9" w:rsidRDefault="00307E31" w:rsidP="00240036">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sz w:val="28"/>
          <w:szCs w:val="28"/>
          <w:lang w:val="uk-UA"/>
        </w:rPr>
        <w:t xml:space="preserve">Побудова логістичної регресійної моделі здійснювалося методом покрокового виключення прогностичних факторів з визначенням мінімального набору предикторів за оцінкою квадрата Нейджелкерка (значення коефіцієнта детермінації R 2, що показує частку впливу всіх предикторов моделі на дисперсію залежною змінною). Якість створеної моделі перевіряли за допомогою процента конкордації (Percent Concordant - РС). </w:t>
      </w:r>
    </w:p>
    <w:p w:rsidR="00240036" w:rsidRPr="004E3FE9" w:rsidRDefault="00240036" w:rsidP="00240036">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Використані різноманітні статистичні методи й показники дозволили досить детально проаналізувати багато взаємозв’язків (чи їх відсутність) з високим ступенем статистичної значущості одержаних результатів. Логіка математично-статистичного аналізу, інтерпретація конкретних кількісних параметрів базувалися на загальноприйнятих положеннях медичної та біологічної статистики </w:t>
      </w:r>
      <w:r w:rsidR="006D5434" w:rsidRPr="004E3FE9">
        <w:rPr>
          <w:rFonts w:ascii="Times New Roman" w:hAnsi="Times New Roman" w:cs="Times New Roman"/>
          <w:sz w:val="28"/>
          <w:szCs w:val="28"/>
          <w:lang w:val="uk-UA"/>
        </w:rPr>
        <w:t>[4, 39, 40]</w:t>
      </w:r>
      <w:r w:rsidRPr="004E3FE9">
        <w:rPr>
          <w:rFonts w:ascii="Times New Roman" w:hAnsi="Times New Roman" w:cs="Times New Roman"/>
          <w:sz w:val="28"/>
          <w:szCs w:val="28"/>
          <w:lang w:val="uk-UA"/>
        </w:rPr>
        <w:t>.</w:t>
      </w:r>
    </w:p>
    <w:p w:rsidR="00307E31" w:rsidRPr="004E3FE9" w:rsidRDefault="00307E31" w:rsidP="009130EC">
      <w:pPr>
        <w:spacing w:line="360" w:lineRule="auto"/>
        <w:contextualSpacing/>
        <w:jc w:val="both"/>
        <w:rPr>
          <w:rFonts w:ascii="Times New Roman" w:hAnsi="Times New Roman" w:cs="Times New Roman"/>
          <w:sz w:val="28"/>
          <w:szCs w:val="28"/>
          <w:lang w:val="uk-UA"/>
        </w:rPr>
      </w:pPr>
    </w:p>
    <w:p w:rsidR="00BD0BF2" w:rsidRDefault="00BD0BF2" w:rsidP="00BD119A">
      <w:pPr>
        <w:pStyle w:val="1"/>
        <w:spacing w:line="360" w:lineRule="auto"/>
        <w:jc w:val="center"/>
        <w:rPr>
          <w:rFonts w:ascii="Times New Roman" w:hAnsi="Times New Roman" w:cs="Times New Roman"/>
          <w:color w:val="000000" w:themeColor="text1"/>
          <w:lang w:val="uk-UA"/>
        </w:rPr>
      </w:pPr>
      <w:bookmarkStart w:id="11" w:name="_Toc465797608"/>
      <w:r w:rsidRPr="004E3FE9">
        <w:rPr>
          <w:rFonts w:ascii="Times New Roman" w:hAnsi="Times New Roman" w:cs="Times New Roman"/>
          <w:color w:val="000000" w:themeColor="text1"/>
          <w:lang w:val="uk-UA"/>
        </w:rPr>
        <w:lastRenderedPageBreak/>
        <w:t>РОЗДІЛ 3</w:t>
      </w:r>
      <w:r w:rsidR="00A51BD1" w:rsidRPr="004E3FE9">
        <w:rPr>
          <w:rFonts w:ascii="Times New Roman" w:hAnsi="Times New Roman" w:cs="Times New Roman"/>
          <w:color w:val="000000" w:themeColor="text1"/>
          <w:lang w:val="uk-UA"/>
        </w:rPr>
        <w:br/>
      </w:r>
      <w:r w:rsidRPr="004E3FE9">
        <w:rPr>
          <w:rFonts w:ascii="Times New Roman" w:hAnsi="Times New Roman" w:cs="Times New Roman"/>
          <w:color w:val="000000" w:themeColor="text1"/>
          <w:lang w:val="uk-UA"/>
        </w:rPr>
        <w:t>КЛІНІЧНА ХАРАКТЕРИСТИКА ДІТЕЙ ХВОРИХ НА ГЕМОРАГІЧНИЙ ВАСКУЛІТ</w:t>
      </w:r>
      <w:bookmarkEnd w:id="11"/>
    </w:p>
    <w:p w:rsidR="00FA3570" w:rsidRDefault="00FA3570" w:rsidP="00FA3570">
      <w:pPr>
        <w:rPr>
          <w:lang w:val="uk-UA"/>
        </w:rPr>
      </w:pPr>
    </w:p>
    <w:p w:rsidR="00FA3570" w:rsidRPr="00FA3570" w:rsidRDefault="00FA3570" w:rsidP="00FA3570">
      <w:pPr>
        <w:rPr>
          <w:lang w:val="uk-UA"/>
        </w:rPr>
      </w:pPr>
    </w:p>
    <w:p w:rsidR="00BB51E4" w:rsidRPr="004E3FE9" w:rsidRDefault="00BB51E4" w:rsidP="00BB51E4">
      <w:pPr>
        <w:rPr>
          <w:lang w:val="uk-UA"/>
        </w:rPr>
      </w:pPr>
    </w:p>
    <w:p w:rsidR="00BB51E4" w:rsidRPr="004E3FE9" w:rsidRDefault="00BD0BF2" w:rsidP="007E3D3D">
      <w:pPr>
        <w:pStyle w:val="2"/>
        <w:spacing w:line="360" w:lineRule="auto"/>
        <w:rPr>
          <w:rFonts w:ascii="Times New Roman" w:hAnsi="Times New Roman" w:cs="Times New Roman"/>
          <w:color w:val="000000" w:themeColor="text1"/>
          <w:sz w:val="28"/>
          <w:szCs w:val="28"/>
          <w:lang w:val="uk-UA"/>
        </w:rPr>
      </w:pPr>
      <w:bookmarkStart w:id="12" w:name="_Toc465797609"/>
      <w:r w:rsidRPr="004E3FE9">
        <w:rPr>
          <w:rFonts w:ascii="Times New Roman" w:hAnsi="Times New Roman" w:cs="Times New Roman"/>
          <w:color w:val="000000" w:themeColor="text1"/>
          <w:sz w:val="28"/>
          <w:szCs w:val="28"/>
          <w:lang w:val="uk-UA"/>
        </w:rPr>
        <w:t>3.1</w:t>
      </w:r>
      <w:r w:rsidR="0061729E">
        <w:rPr>
          <w:rFonts w:ascii="Times New Roman" w:hAnsi="Times New Roman" w:cs="Times New Roman"/>
          <w:color w:val="000000" w:themeColor="text1"/>
          <w:sz w:val="28"/>
          <w:szCs w:val="28"/>
          <w:lang w:val="uk-UA"/>
        </w:rPr>
        <w:t>.</w:t>
      </w:r>
      <w:r w:rsidRPr="004E3FE9">
        <w:rPr>
          <w:rFonts w:ascii="Times New Roman" w:hAnsi="Times New Roman" w:cs="Times New Roman"/>
          <w:color w:val="000000" w:themeColor="text1"/>
          <w:sz w:val="28"/>
          <w:szCs w:val="28"/>
          <w:lang w:val="uk-UA"/>
        </w:rPr>
        <w:t xml:space="preserve"> Загальна характеристика хворих</w:t>
      </w:r>
      <w:bookmarkEnd w:id="12"/>
    </w:p>
    <w:p w:rsidR="00BD0BF2" w:rsidRPr="004E3FE9" w:rsidRDefault="00BD0BF2" w:rsidP="00BD119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Загалом під спостереженням знаходилось 60 дітей у віці від 1 року до 17 років з ГВ. Розподіл дітей за статтю серед загального числа хворих не виявив статистично значущої розбіжності: хлопчики - 35(58,3%), дівчата склали 25(41,7%). Також була обстежена контрольна група з 17 здорових осіб, до якої увійшли діти, які не страждають на ГВ: 10 хлопчиків і 7 дівчаток у віці від 4 до 16 років.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Діагноз захворювання встановлювали згідно протоколу МОЗ України №676 від 12.10.2006 року «Клінічний протокол надання медичної допомоги хворим із васкулітом Шенлейн-Геноха (геморагічній васкуліт, пурпура Шенлейна-Геноха) (ВШГ)». Відповідно до класифікації ГВ проводився розподіл за формами захворювання: шкірна, шкірно-суглобова та шкірно-суглобова з абдомінальним (змішана) і змішана з нирковим синдромами. Ступінь активності патологічного процесу і тяжкість перебігу захворювання оцінювали за такими параметрами як клінічні прояви (загальний стан хворого, температура тіла, маніфестність та тяжкість симптомів захворювання) та дані лабораторних методів дослідження, а саме рівень лейкоцитів у периферичній крові, ШОЕ, показників гострої фази запалення (серомукоїд, глікопротеїди), гамма-глобуліни.</w:t>
      </w:r>
    </w:p>
    <w:p w:rsidR="00BD0BF2" w:rsidRPr="004E3FE9" w:rsidRDefault="00BD0BF2" w:rsidP="00C518BC">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Згідно схеми періодизації дитячого віку, запропоновану проф. </w:t>
      </w:r>
      <w:r w:rsidR="008F0A7F">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Н.П. Гундобіним, проведено розподіл дітей на наступні вікові групи [</w:t>
      </w:r>
      <w:r w:rsidR="001C5375" w:rsidRPr="004E3FE9">
        <w:rPr>
          <w:rFonts w:ascii="Times New Roman" w:hAnsi="Times New Roman" w:cs="Times New Roman"/>
          <w:sz w:val="28"/>
          <w:szCs w:val="28"/>
          <w:lang w:val="uk-UA"/>
        </w:rPr>
        <w:t>35</w:t>
      </w:r>
      <w:r w:rsidR="00C518BC">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Аналіз вікових особливостей дітей основної групи показав, що 29 дітей (</w:t>
      </w:r>
      <w:r w:rsidRPr="004E3FE9">
        <w:rPr>
          <w:rFonts w:ascii="Times New Roman" w:eastAsia="Times New Roman" w:hAnsi="Times New Roman" w:cs="Times New Roman"/>
          <w:sz w:val="28"/>
          <w:szCs w:val="28"/>
          <w:lang w:val="uk-UA" w:eastAsia="ru-RU"/>
        </w:rPr>
        <w:t>48,3±6,42</w:t>
      </w:r>
      <w:r w:rsidRPr="004E3FE9">
        <w:rPr>
          <w:rFonts w:ascii="Times New Roman" w:hAnsi="Times New Roman" w:cs="Times New Roman"/>
          <w:sz w:val="28"/>
          <w:szCs w:val="28"/>
          <w:lang w:val="uk-UA"/>
        </w:rPr>
        <w:t xml:space="preserve">%) потрапили до групи </w:t>
      </w:r>
      <w:r w:rsidR="00C1256E" w:rsidRPr="004E3FE9">
        <w:rPr>
          <w:rFonts w:ascii="Times New Roman" w:hAnsi="Times New Roman" w:cs="Times New Roman"/>
          <w:sz w:val="28"/>
          <w:szCs w:val="28"/>
          <w:lang w:val="uk-UA"/>
        </w:rPr>
        <w:t>дошкільного віку</w:t>
      </w:r>
      <w:r w:rsidRPr="004E3FE9">
        <w:rPr>
          <w:rFonts w:ascii="Times New Roman" w:hAnsi="Times New Roman" w:cs="Times New Roman"/>
          <w:sz w:val="28"/>
          <w:szCs w:val="28"/>
          <w:lang w:val="uk-UA"/>
        </w:rPr>
        <w:t>, 23 дитини (</w:t>
      </w:r>
      <w:r w:rsidRPr="004E3FE9">
        <w:rPr>
          <w:rFonts w:ascii="Times New Roman" w:eastAsia="Times New Roman" w:hAnsi="Times New Roman" w:cs="Times New Roman"/>
          <w:sz w:val="28"/>
          <w:szCs w:val="28"/>
          <w:lang w:val="uk-UA" w:eastAsia="ru-RU"/>
        </w:rPr>
        <w:t>38,3±6,2</w:t>
      </w:r>
      <w:r w:rsidRPr="004E3FE9">
        <w:rPr>
          <w:rFonts w:ascii="Times New Roman" w:hAnsi="Times New Roman" w:cs="Times New Roman"/>
          <w:sz w:val="28"/>
          <w:szCs w:val="28"/>
          <w:lang w:val="uk-UA"/>
        </w:rPr>
        <w:t xml:space="preserve">%) – до періоду </w:t>
      </w:r>
      <w:r w:rsidR="00C1256E" w:rsidRPr="004E3FE9">
        <w:rPr>
          <w:rFonts w:ascii="Times New Roman" w:hAnsi="Times New Roman" w:cs="Times New Roman"/>
          <w:sz w:val="28"/>
          <w:szCs w:val="28"/>
          <w:lang w:val="uk-UA"/>
        </w:rPr>
        <w:t>шкільного віку</w:t>
      </w:r>
      <w:r w:rsidRPr="004E3FE9">
        <w:rPr>
          <w:rFonts w:ascii="Times New Roman" w:hAnsi="Times New Roman" w:cs="Times New Roman"/>
          <w:sz w:val="28"/>
          <w:szCs w:val="28"/>
          <w:lang w:val="uk-UA"/>
        </w:rPr>
        <w:t xml:space="preserve"> та лише 8 хворих (</w:t>
      </w:r>
      <w:r w:rsidRPr="004E3FE9">
        <w:rPr>
          <w:rFonts w:ascii="Times New Roman" w:eastAsia="Times New Roman" w:hAnsi="Times New Roman" w:cs="Times New Roman"/>
          <w:sz w:val="28"/>
          <w:szCs w:val="28"/>
          <w:lang w:val="uk-UA" w:eastAsia="ru-RU"/>
        </w:rPr>
        <w:t>13,3±4,3</w:t>
      </w:r>
      <w:r w:rsidRPr="004E3FE9">
        <w:rPr>
          <w:rFonts w:ascii="Times New Roman" w:hAnsi="Times New Roman" w:cs="Times New Roman"/>
          <w:sz w:val="28"/>
          <w:szCs w:val="28"/>
          <w:lang w:val="uk-UA"/>
        </w:rPr>
        <w:t xml:space="preserve">%) до періоду статевого </w:t>
      </w:r>
      <w:r w:rsidRPr="004E3FE9">
        <w:rPr>
          <w:rFonts w:ascii="Times New Roman" w:hAnsi="Times New Roman" w:cs="Times New Roman"/>
          <w:sz w:val="28"/>
          <w:szCs w:val="28"/>
          <w:lang w:val="uk-UA"/>
        </w:rPr>
        <w:lastRenderedPageBreak/>
        <w:t>дозрівання. Таким чином, 86,6</w:t>
      </w:r>
      <w:r w:rsidRPr="004E3FE9">
        <w:rPr>
          <w:rFonts w:ascii="Times New Roman" w:eastAsia="Times New Roman" w:hAnsi="Times New Roman" w:cs="Times New Roman"/>
          <w:sz w:val="28"/>
          <w:szCs w:val="28"/>
          <w:lang w:val="uk-UA" w:eastAsia="ru-RU"/>
        </w:rPr>
        <w:t>±4,3</w:t>
      </w:r>
      <w:r w:rsidRPr="004E3FE9">
        <w:rPr>
          <w:rFonts w:ascii="Times New Roman" w:hAnsi="Times New Roman" w:cs="Times New Roman"/>
          <w:sz w:val="28"/>
          <w:szCs w:val="28"/>
          <w:lang w:val="uk-UA"/>
        </w:rPr>
        <w:t>% (р=0,003) дітей хворіють на ГВ у віці до 12 років, що свідчить про значне «омолодження» цієї патології. Розподіл дітей за статевою ознакою та віком також не вказує на перевагу хлопчиків серед вказаних вікових груп, що йде в розріз з даними літератури [</w:t>
      </w:r>
      <w:r w:rsidR="001C5375" w:rsidRPr="004E3FE9">
        <w:rPr>
          <w:rFonts w:ascii="Times New Roman" w:hAnsi="Times New Roman" w:cs="Times New Roman"/>
          <w:sz w:val="28"/>
          <w:szCs w:val="28"/>
          <w:lang w:val="uk-UA"/>
        </w:rPr>
        <w:t>16</w:t>
      </w:r>
      <w:r w:rsidRPr="004E3FE9">
        <w:rPr>
          <w:rFonts w:ascii="Times New Roman" w:hAnsi="Times New Roman" w:cs="Times New Roman"/>
          <w:sz w:val="28"/>
          <w:szCs w:val="28"/>
          <w:lang w:val="uk-UA"/>
        </w:rPr>
        <w:t>]</w:t>
      </w:r>
      <w:r w:rsidR="00C518BC">
        <w:rPr>
          <w:rFonts w:ascii="Times New Roman" w:hAnsi="Times New Roman" w:cs="Times New Roman"/>
          <w:sz w:val="28"/>
          <w:szCs w:val="28"/>
          <w:lang w:val="uk-UA"/>
        </w:rPr>
        <w:t xml:space="preserve"> (табл. 3.1)</w:t>
      </w:r>
      <w:r w:rsidRPr="004E3FE9">
        <w:rPr>
          <w:rFonts w:ascii="Times New Roman" w:hAnsi="Times New Roman" w:cs="Times New Roman"/>
          <w:sz w:val="28"/>
          <w:szCs w:val="28"/>
          <w:lang w:val="uk-UA"/>
        </w:rPr>
        <w:t>.</w:t>
      </w:r>
    </w:p>
    <w:p w:rsidR="00BD0BF2" w:rsidRPr="001C558E" w:rsidRDefault="00BD0BF2" w:rsidP="00BD0BF2">
      <w:pPr>
        <w:spacing w:line="360" w:lineRule="auto"/>
        <w:ind w:firstLine="709"/>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3.1</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Розподіл хворих на геморагічний васкуліт за віком і статтю</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25"/>
        <w:gridCol w:w="591"/>
        <w:gridCol w:w="1610"/>
        <w:gridCol w:w="614"/>
        <w:gridCol w:w="1671"/>
        <w:gridCol w:w="385"/>
        <w:gridCol w:w="1461"/>
        <w:gridCol w:w="496"/>
        <w:gridCol w:w="1210"/>
      </w:tblGrid>
      <w:tr w:rsidR="00BD0BF2" w:rsidRPr="004E3FE9" w:rsidTr="00721EA2">
        <w:trPr>
          <w:trHeight w:val="323"/>
        </w:trPr>
        <w:tc>
          <w:tcPr>
            <w:tcW w:w="0" w:type="auto"/>
            <w:vMerge w:val="restart"/>
            <w:tcBorders>
              <w:tl2br w:val="single" w:sz="4" w:space="0" w:color="auto"/>
            </w:tcBorders>
            <w:vAlign w:val="center"/>
          </w:tcPr>
          <w:p w:rsidR="00BD0BF2" w:rsidRPr="004E3FE9" w:rsidRDefault="00BD0BF2" w:rsidP="00721EA2">
            <w:pPr>
              <w:tabs>
                <w:tab w:val="left" w:pos="252"/>
              </w:tabs>
              <w:spacing w:after="0" w:line="360" w:lineRule="auto"/>
              <w:contextualSpacing/>
              <w:jc w:val="right"/>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Вік</w:t>
            </w:r>
          </w:p>
          <w:p w:rsidR="00BD0BF2" w:rsidRPr="004E3FE9" w:rsidRDefault="00BD0BF2" w:rsidP="00721EA2">
            <w:pPr>
              <w:tabs>
                <w:tab w:val="left" w:pos="252"/>
              </w:tabs>
              <w:spacing w:after="0" w:line="360" w:lineRule="auto"/>
              <w:contextualSpacing/>
              <w:jc w:val="center"/>
              <w:rPr>
                <w:rFonts w:ascii="Times New Roman" w:eastAsia="Times New Roman" w:hAnsi="Times New Roman" w:cs="Times New Roman"/>
                <w:sz w:val="28"/>
                <w:szCs w:val="28"/>
                <w:lang w:val="uk-UA" w:eastAsia="ru-RU"/>
              </w:rPr>
            </w:pPr>
          </w:p>
          <w:p w:rsidR="00BD0BF2" w:rsidRPr="004E3FE9" w:rsidRDefault="00BD0BF2" w:rsidP="00721EA2">
            <w:pPr>
              <w:tabs>
                <w:tab w:val="left" w:pos="252"/>
              </w:tabs>
              <w:spacing w:after="0" w:line="360" w:lineRule="auto"/>
              <w:contextualSpacing/>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Стать</w:t>
            </w:r>
          </w:p>
        </w:tc>
        <w:tc>
          <w:tcPr>
            <w:tcW w:w="0" w:type="auto"/>
            <w:gridSpan w:val="2"/>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 рік – 6 років 11 міс 29 днів</w:t>
            </w:r>
          </w:p>
        </w:tc>
        <w:tc>
          <w:tcPr>
            <w:tcW w:w="0" w:type="auto"/>
            <w:gridSpan w:val="2"/>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 років – 12 років 11 міс 29 днів</w:t>
            </w:r>
          </w:p>
        </w:tc>
        <w:tc>
          <w:tcPr>
            <w:tcW w:w="0" w:type="auto"/>
            <w:gridSpan w:val="2"/>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13 років - 17 років</w:t>
            </w:r>
          </w:p>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11 міс 29 днів</w:t>
            </w:r>
          </w:p>
        </w:tc>
        <w:tc>
          <w:tcPr>
            <w:tcW w:w="0" w:type="auto"/>
            <w:gridSpan w:val="2"/>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Усього</w:t>
            </w:r>
          </w:p>
        </w:tc>
      </w:tr>
      <w:tr w:rsidR="00BD0BF2" w:rsidRPr="004E3FE9" w:rsidTr="00721EA2">
        <w:trPr>
          <w:trHeight w:val="322"/>
        </w:trPr>
        <w:tc>
          <w:tcPr>
            <w:tcW w:w="0" w:type="auto"/>
            <w:vMerge/>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p>
        </w:tc>
        <w:tc>
          <w:tcPr>
            <w:tcW w:w="0" w:type="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Хлопчики</w:t>
            </w:r>
          </w:p>
        </w:tc>
        <w:tc>
          <w:tcPr>
            <w:tcW w:w="0" w:type="auto"/>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15</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51,8±9,2</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14</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60,8±10,1</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6</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75±15,3</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35</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58,3±6,3</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Дівчатка</w:t>
            </w:r>
          </w:p>
        </w:tc>
        <w:tc>
          <w:tcPr>
            <w:tcW w:w="0" w:type="auto"/>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14</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48,2±9,2</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9</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39,2±10,1</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25±15,3</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25</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41,7±6,3</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Усього</w:t>
            </w:r>
          </w:p>
        </w:tc>
        <w:tc>
          <w:tcPr>
            <w:tcW w:w="0" w:type="auto"/>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29</w:t>
            </w:r>
          </w:p>
        </w:tc>
        <w:tc>
          <w:tcPr>
            <w:tcW w:w="0" w:type="auto"/>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48,3±6,4*</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23</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38,3±6,2*</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8</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13,3±4,3*</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60</w:t>
            </w:r>
          </w:p>
        </w:tc>
        <w:tc>
          <w:tcPr>
            <w:tcW w:w="0" w:type="auto"/>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100</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К</w:t>
            </w:r>
          </w:p>
        </w:tc>
        <w:tc>
          <w:tcPr>
            <w:tcW w:w="0" w:type="auto"/>
            <w:gridSpan w:val="2"/>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1,07</w:t>
            </w:r>
          </w:p>
        </w:tc>
        <w:tc>
          <w:tcPr>
            <w:tcW w:w="0" w:type="auto"/>
            <w:gridSpan w:val="2"/>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1,55</w:t>
            </w:r>
          </w:p>
        </w:tc>
        <w:tc>
          <w:tcPr>
            <w:tcW w:w="0" w:type="auto"/>
            <w:gridSpan w:val="2"/>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3</w:t>
            </w:r>
          </w:p>
        </w:tc>
        <w:tc>
          <w:tcPr>
            <w:tcW w:w="0" w:type="auto"/>
            <w:gridSpan w:val="2"/>
            <w:shd w:val="clear" w:color="auto" w:fill="auto"/>
            <w:vAlign w:val="center"/>
          </w:tcPr>
          <w:p w:rsidR="00BD0BF2" w:rsidRPr="004E3FE9" w:rsidRDefault="00BD0BF2" w:rsidP="00721EA2">
            <w:pPr>
              <w:spacing w:after="0" w:line="360" w:lineRule="auto"/>
              <w:contextualSpacing/>
              <w:jc w:val="both"/>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1,4</w:t>
            </w:r>
          </w:p>
        </w:tc>
      </w:tr>
    </w:tbl>
    <w:p w:rsidR="00BD0BF2" w:rsidRPr="004E3FE9" w:rsidRDefault="00BD0BF2" w:rsidP="00BD0BF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 Примітки: </w:t>
      </w:r>
    </w:p>
    <w:p w:rsidR="00BD0BF2" w:rsidRPr="004E3FE9" w:rsidRDefault="00BD0BF2" w:rsidP="00BD119A">
      <w:pP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 </w:t>
      </w:r>
      <w:r w:rsidRPr="004E3FE9">
        <w:rPr>
          <w:rFonts w:ascii="Times New Roman" w:hAnsi="Times New Roman" w:cs="Times New Roman"/>
          <w:position w:val="-30"/>
          <w:sz w:val="28"/>
          <w:szCs w:val="28"/>
          <w:lang w:val="uk-UA"/>
        </w:rPr>
        <w:object w:dxaOrig="326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2pt;height:33pt" o:ole="">
            <v:imagedata r:id="rId8" o:title=""/>
          </v:shape>
          <o:OLEObject Type="Embed" ProgID="Equation.3" ShapeID="_x0000_i1025" DrawAspect="Content" ObjectID="_1551694208" r:id="rId9"/>
        </w:object>
      </w:r>
    </w:p>
    <w:p w:rsidR="00BD0BF2" w:rsidRPr="004E3FE9" w:rsidRDefault="00BD0BF2" w:rsidP="00BD0BF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2. n – кількість спостережень; р% - вибіркова доля в відсотках; s</w:t>
      </w:r>
      <w:r w:rsidRPr="004E3FE9">
        <w:rPr>
          <w:rFonts w:ascii="Times New Roman" w:hAnsi="Times New Roman" w:cs="Times New Roman"/>
          <w:sz w:val="28"/>
          <w:szCs w:val="28"/>
          <w:vertAlign w:val="subscript"/>
          <w:lang w:val="uk-UA"/>
        </w:rPr>
        <w:t xml:space="preserve">p% </w:t>
      </w:r>
      <w:r w:rsidRPr="004E3FE9">
        <w:rPr>
          <w:rFonts w:ascii="Times New Roman" w:hAnsi="Times New Roman" w:cs="Times New Roman"/>
          <w:sz w:val="28"/>
          <w:szCs w:val="28"/>
          <w:lang w:val="uk-UA"/>
        </w:rPr>
        <w:t>- статистична похибка вибіркової долі, що виражена в відсотках (тут і далі в таблицях);  * - % від загальної кількості хворих.</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Як відомо, ГВ притаманна сезонність захворюваності, пік якої припадає на осінь та весну. З’ясовано, що 37 (61</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±6,2</w:t>
      </w:r>
      <w:r w:rsidRPr="004E3FE9">
        <w:rPr>
          <w:rFonts w:ascii="Times New Roman" w:hAnsi="Times New Roman" w:cs="Times New Roman"/>
          <w:sz w:val="28"/>
          <w:szCs w:val="28"/>
          <w:lang w:val="uk-UA"/>
        </w:rPr>
        <w:t>%) дітей з ГВ хворіли саме в осінньо-весняний період, 17 (28,3</w:t>
      </w:r>
      <w:r w:rsidRPr="004E3FE9">
        <w:rPr>
          <w:rFonts w:ascii="Times New Roman" w:eastAsia="Times New Roman" w:hAnsi="Times New Roman" w:cs="Times New Roman"/>
          <w:sz w:val="28"/>
          <w:szCs w:val="28"/>
          <w:lang w:val="uk-UA" w:eastAsia="ru-RU"/>
        </w:rPr>
        <w:t>±5,8</w:t>
      </w:r>
      <w:r w:rsidRPr="004E3FE9">
        <w:rPr>
          <w:rFonts w:ascii="Times New Roman" w:hAnsi="Times New Roman" w:cs="Times New Roman"/>
          <w:sz w:val="28"/>
          <w:szCs w:val="28"/>
          <w:lang w:val="uk-UA"/>
        </w:rPr>
        <w:t>%) дітей – взимку та лише 6 (10</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±3,8</w:t>
      </w:r>
      <w:r w:rsidRPr="004E3FE9">
        <w:rPr>
          <w:rFonts w:ascii="Times New Roman" w:hAnsi="Times New Roman" w:cs="Times New Roman"/>
          <w:sz w:val="28"/>
          <w:szCs w:val="28"/>
          <w:lang w:val="uk-UA"/>
        </w:rPr>
        <w:t>%) хворих – влітку, що співпадає з літературними даними.</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 аналізі особливостей перебігу вагітності встановлено, що 18 (30</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±5,9</w:t>
      </w:r>
      <w:r w:rsidRPr="004E3FE9">
        <w:rPr>
          <w:rFonts w:ascii="Times New Roman" w:hAnsi="Times New Roman" w:cs="Times New Roman"/>
          <w:sz w:val="28"/>
          <w:szCs w:val="28"/>
          <w:lang w:val="uk-UA"/>
        </w:rPr>
        <w:t>%) матерів мали обтяжливий акушерський анамнез, з них 12 (66,6</w:t>
      </w:r>
      <w:r w:rsidRPr="004E3FE9">
        <w:rPr>
          <w:rFonts w:ascii="Times New Roman" w:eastAsia="Times New Roman" w:hAnsi="Times New Roman" w:cs="Times New Roman"/>
          <w:sz w:val="28"/>
          <w:szCs w:val="28"/>
          <w:lang w:val="uk-UA" w:eastAsia="ru-RU"/>
        </w:rPr>
        <w:t>±11,1</w:t>
      </w:r>
      <w:r w:rsidRPr="004E3FE9">
        <w:rPr>
          <w:rFonts w:ascii="Times New Roman" w:hAnsi="Times New Roman" w:cs="Times New Roman"/>
          <w:sz w:val="28"/>
          <w:szCs w:val="28"/>
          <w:lang w:val="uk-UA"/>
        </w:rPr>
        <w:t>%) матерів мали загрозу переривання вагітності, 5 (27,7</w:t>
      </w:r>
      <w:r w:rsidRPr="004E3FE9">
        <w:rPr>
          <w:rFonts w:ascii="Times New Roman" w:eastAsia="Times New Roman" w:hAnsi="Times New Roman" w:cs="Times New Roman"/>
          <w:sz w:val="28"/>
          <w:szCs w:val="28"/>
          <w:lang w:val="uk-UA" w:eastAsia="ru-RU"/>
        </w:rPr>
        <w:t>±10,5</w:t>
      </w:r>
      <w:r w:rsidRPr="004E3FE9">
        <w:rPr>
          <w:rFonts w:ascii="Times New Roman" w:hAnsi="Times New Roman" w:cs="Times New Roman"/>
          <w:sz w:val="28"/>
          <w:szCs w:val="28"/>
          <w:lang w:val="uk-UA"/>
        </w:rPr>
        <w:t>%) – прояви гестозу та пієлонефриту та у 1 (11,1</w:t>
      </w:r>
      <w:r w:rsidRPr="004E3FE9">
        <w:rPr>
          <w:rFonts w:ascii="Times New Roman" w:eastAsia="Times New Roman" w:hAnsi="Times New Roman" w:cs="Times New Roman"/>
          <w:sz w:val="28"/>
          <w:szCs w:val="28"/>
          <w:lang w:val="uk-UA" w:eastAsia="ru-RU"/>
        </w:rPr>
        <w:t>±7,4</w:t>
      </w:r>
      <w:r w:rsidRPr="004E3FE9">
        <w:rPr>
          <w:rFonts w:ascii="Times New Roman" w:hAnsi="Times New Roman" w:cs="Times New Roman"/>
          <w:sz w:val="28"/>
          <w:szCs w:val="28"/>
          <w:lang w:val="uk-UA"/>
        </w:rPr>
        <w:t xml:space="preserve">%) матері вагітність </w:t>
      </w:r>
      <w:r w:rsidRPr="004E3FE9">
        <w:rPr>
          <w:rFonts w:ascii="Times New Roman" w:hAnsi="Times New Roman" w:cs="Times New Roman"/>
          <w:sz w:val="28"/>
          <w:szCs w:val="28"/>
          <w:lang w:val="uk-UA"/>
        </w:rPr>
        <w:lastRenderedPageBreak/>
        <w:t>перебігала на фоні анемії. Останніми роками зростає інтерес дослідників до проблеми стану здоров'я дитини після народження шляхом операції кесарева розтину. За даними акушерського анамнезу 7 (11,6</w:t>
      </w:r>
      <w:r w:rsidRPr="004E3FE9">
        <w:rPr>
          <w:rFonts w:ascii="Times New Roman" w:eastAsia="Times New Roman" w:hAnsi="Times New Roman" w:cs="Times New Roman"/>
          <w:sz w:val="28"/>
          <w:szCs w:val="28"/>
          <w:lang w:val="uk-UA" w:eastAsia="ru-RU"/>
        </w:rPr>
        <w:t>±4</w:t>
      </w:r>
      <w:r w:rsidR="003A3A9E">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w:t>
      </w:r>
      <w:r w:rsidRPr="004E3FE9">
        <w:rPr>
          <w:rFonts w:ascii="Times New Roman" w:hAnsi="Times New Roman" w:cs="Times New Roman"/>
          <w:sz w:val="28"/>
          <w:szCs w:val="28"/>
          <w:lang w:val="uk-UA"/>
        </w:rPr>
        <w:t>) хворих серед дітей основної були народжені шляхом операції кесарева розтину, що є статистично незначущим і ймовірно не мало вплив в подальшому на розвиток ГВ. Всі діти основної групи народжені доношеними у терміні 39,3</w:t>
      </w:r>
      <w:r w:rsidRPr="004E3FE9">
        <w:rPr>
          <w:rFonts w:ascii="Times New Roman" w:eastAsia="Times New Roman" w:hAnsi="Times New Roman" w:cs="Times New Roman"/>
          <w:sz w:val="28"/>
          <w:szCs w:val="28"/>
          <w:lang w:val="uk-UA" w:eastAsia="ru-RU"/>
        </w:rPr>
        <w:t xml:space="preserve">±0,57 тижнів, </w:t>
      </w:r>
      <w:r w:rsidRPr="004E3FE9">
        <w:rPr>
          <w:rFonts w:ascii="Times New Roman" w:hAnsi="Times New Roman" w:cs="Times New Roman"/>
          <w:sz w:val="28"/>
          <w:szCs w:val="28"/>
          <w:lang w:val="uk-UA"/>
        </w:rPr>
        <w:t>не мали патологічних станів новонароджених та народжені з середньою масою тіла 3310,9</w:t>
      </w:r>
      <w:r w:rsidRPr="004E3FE9">
        <w:rPr>
          <w:rFonts w:ascii="Times New Roman" w:eastAsia="Times New Roman" w:hAnsi="Times New Roman" w:cs="Times New Roman"/>
          <w:sz w:val="28"/>
          <w:szCs w:val="28"/>
          <w:lang w:val="uk-UA" w:eastAsia="ru-RU"/>
        </w:rPr>
        <w:t>±398,5 г, серед яких</w:t>
      </w:r>
      <w:r w:rsidRPr="004E3FE9">
        <w:rPr>
          <w:rFonts w:ascii="Times New Roman" w:hAnsi="Times New Roman" w:cs="Times New Roman"/>
          <w:sz w:val="28"/>
          <w:szCs w:val="28"/>
          <w:lang w:val="uk-UA"/>
        </w:rPr>
        <w:t xml:space="preserve"> 48 (80</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±5,1%</w:t>
      </w:r>
      <w:r w:rsidRPr="004E3FE9">
        <w:rPr>
          <w:rFonts w:ascii="Times New Roman" w:hAnsi="Times New Roman" w:cs="Times New Roman"/>
          <w:sz w:val="28"/>
          <w:szCs w:val="28"/>
          <w:lang w:val="uk-UA"/>
        </w:rPr>
        <w:t>) – з нормальною масою тіла, 3 (5</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±2,8%</w:t>
      </w:r>
      <w:r w:rsidRPr="004E3FE9">
        <w:rPr>
          <w:rFonts w:ascii="Times New Roman" w:hAnsi="Times New Roman" w:cs="Times New Roman"/>
          <w:sz w:val="28"/>
          <w:szCs w:val="28"/>
          <w:lang w:val="uk-UA"/>
        </w:rPr>
        <w:t>) – з надмірною масою тіла та 9 (15</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±4,6%</w:t>
      </w:r>
      <w:r w:rsidRPr="004E3FE9">
        <w:rPr>
          <w:rFonts w:ascii="Times New Roman" w:hAnsi="Times New Roman" w:cs="Times New Roman"/>
          <w:sz w:val="28"/>
          <w:szCs w:val="28"/>
          <w:lang w:val="uk-UA"/>
        </w:rPr>
        <w:t xml:space="preserve">) – з малою масою тіла.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Раціональне харчування дітей першого року життя забезпечує в подальшому морфофункціональне дозрівання органів і систем організму дитини і гарантує досягнення генетично детермінованого кінцевого росту і вікового розвитку [</w:t>
      </w:r>
      <w:r w:rsidR="001C5375" w:rsidRPr="004E3FE9">
        <w:rPr>
          <w:rFonts w:ascii="Times New Roman" w:hAnsi="Times New Roman" w:cs="Times New Roman"/>
          <w:sz w:val="28"/>
          <w:szCs w:val="28"/>
          <w:lang w:val="uk-UA"/>
        </w:rPr>
        <w:t>68</w:t>
      </w:r>
      <w:r w:rsidRPr="004E3FE9">
        <w:rPr>
          <w:rFonts w:ascii="Times New Roman" w:hAnsi="Times New Roman" w:cs="Times New Roman"/>
          <w:sz w:val="28"/>
          <w:szCs w:val="28"/>
          <w:lang w:val="uk-UA"/>
        </w:rPr>
        <w:t>]. Серед обстежених більшість дітей знаходилась на природному вигодовуванні (38 (63</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±6,2%</w:t>
      </w:r>
      <w:r w:rsidRPr="004E3FE9">
        <w:rPr>
          <w:rFonts w:ascii="Times New Roman" w:hAnsi="Times New Roman" w:cs="Times New Roman"/>
          <w:sz w:val="28"/>
          <w:szCs w:val="28"/>
          <w:lang w:val="uk-UA"/>
        </w:rPr>
        <w:t>)), з них майже половина (47,3</w:t>
      </w:r>
      <w:r w:rsidRPr="004E3FE9">
        <w:rPr>
          <w:rFonts w:ascii="Times New Roman" w:eastAsia="Times New Roman" w:hAnsi="Times New Roman" w:cs="Times New Roman"/>
          <w:sz w:val="28"/>
          <w:szCs w:val="28"/>
          <w:lang w:val="uk-UA" w:eastAsia="ru-RU"/>
        </w:rPr>
        <w:t>±8,1%</w:t>
      </w:r>
      <w:r w:rsidRPr="004E3FE9">
        <w:rPr>
          <w:rFonts w:ascii="Times New Roman" w:hAnsi="Times New Roman" w:cs="Times New Roman"/>
          <w:sz w:val="28"/>
          <w:szCs w:val="28"/>
          <w:lang w:val="uk-UA"/>
        </w:rPr>
        <w:t>) отримувала материнське молоко більше, ніж 1 рік , що забезпечує правильний, повноцінний розвиток цих дітей в майбутньому. 13 (21</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±5,2%</w:t>
      </w:r>
      <w:r w:rsidRPr="004E3FE9">
        <w:rPr>
          <w:rFonts w:ascii="Times New Roman" w:hAnsi="Times New Roman" w:cs="Times New Roman"/>
          <w:sz w:val="28"/>
          <w:szCs w:val="28"/>
          <w:lang w:val="uk-UA"/>
        </w:rPr>
        <w:t>) дітей знаходились на змішаному вигодовуванні та 9 (15</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±4,6%</w:t>
      </w:r>
      <w:r w:rsidRPr="004E3FE9">
        <w:rPr>
          <w:rFonts w:ascii="Times New Roman" w:hAnsi="Times New Roman" w:cs="Times New Roman"/>
          <w:sz w:val="28"/>
          <w:szCs w:val="28"/>
          <w:lang w:val="uk-UA"/>
        </w:rPr>
        <w:t>) – вигодовувались штучно. Під час оцінки критеріїв сили зв'язку між дітьми, які знаходились на штучному та змішаному вигодовуванні і дітьми, у яких діагностовано середньоважкий та важкий перебіг геморагічного васкуліту, встановлений слабкий зв'язок, що свідчить про відсутній вплив вигодовування дитини а важкість перебігу ГВ.</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Констатовано, що 55 (91,6</w:t>
      </w:r>
      <w:r w:rsidRPr="004E3FE9">
        <w:rPr>
          <w:rFonts w:ascii="Times New Roman" w:eastAsia="Times New Roman" w:hAnsi="Times New Roman" w:cs="Times New Roman"/>
          <w:sz w:val="28"/>
          <w:szCs w:val="28"/>
          <w:lang w:val="uk-UA" w:eastAsia="ru-RU"/>
        </w:rPr>
        <w:t xml:space="preserve">±3,5%) дітей основної групи щеплені за діючим календарем, 4 дитини (6,6±3,2%) щеплені за індивідуальним планом та 1 (1,6±1,6%) дитина не була щеплена.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Проведене ретельне опрацювання даних алергологічного анамнезу. Встановлено, що 30 (50</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±6,4%</w:t>
      </w:r>
      <w:r w:rsidRPr="004E3FE9">
        <w:rPr>
          <w:rFonts w:ascii="Times New Roman" w:hAnsi="Times New Roman" w:cs="Times New Roman"/>
          <w:sz w:val="28"/>
          <w:szCs w:val="28"/>
          <w:lang w:val="uk-UA"/>
        </w:rPr>
        <w:t>) хворих основної групи мали алергічну настроєність організму, а саме у 11 (18,3</w:t>
      </w:r>
      <w:r w:rsidRPr="004E3FE9">
        <w:rPr>
          <w:rFonts w:ascii="Times New Roman" w:eastAsia="Times New Roman" w:hAnsi="Times New Roman" w:cs="Times New Roman"/>
          <w:sz w:val="28"/>
          <w:szCs w:val="28"/>
          <w:lang w:val="uk-UA" w:eastAsia="ru-RU"/>
        </w:rPr>
        <w:t>±4,9%</w:t>
      </w:r>
      <w:r w:rsidRPr="004E3FE9">
        <w:rPr>
          <w:rFonts w:ascii="Times New Roman" w:hAnsi="Times New Roman" w:cs="Times New Roman"/>
          <w:sz w:val="28"/>
          <w:szCs w:val="28"/>
          <w:lang w:val="uk-UA"/>
        </w:rPr>
        <w:t>) – відмічали харчову алергію, у 5 (8,3</w:t>
      </w:r>
      <w:r w:rsidRPr="004E3FE9">
        <w:rPr>
          <w:rFonts w:ascii="Times New Roman" w:eastAsia="Times New Roman" w:hAnsi="Times New Roman" w:cs="Times New Roman"/>
          <w:sz w:val="28"/>
          <w:szCs w:val="28"/>
          <w:lang w:val="uk-UA" w:eastAsia="ru-RU"/>
        </w:rPr>
        <w:t>±3,5%</w:t>
      </w:r>
      <w:r w:rsidRPr="004E3FE9">
        <w:rPr>
          <w:rFonts w:ascii="Times New Roman" w:hAnsi="Times New Roman" w:cs="Times New Roman"/>
          <w:sz w:val="28"/>
          <w:szCs w:val="28"/>
          <w:lang w:val="uk-UA"/>
        </w:rPr>
        <w:t>) – медикаментозну та у 14 (23,3</w:t>
      </w:r>
      <w:r w:rsidRPr="004E3FE9">
        <w:rPr>
          <w:rFonts w:ascii="Times New Roman" w:eastAsia="Times New Roman" w:hAnsi="Times New Roman" w:cs="Times New Roman"/>
          <w:sz w:val="28"/>
          <w:szCs w:val="28"/>
          <w:lang w:val="uk-UA" w:eastAsia="ru-RU"/>
        </w:rPr>
        <w:t>±5,4%</w:t>
      </w:r>
      <w:r w:rsidRPr="004E3FE9">
        <w:rPr>
          <w:rFonts w:ascii="Times New Roman" w:hAnsi="Times New Roman" w:cs="Times New Roman"/>
          <w:sz w:val="28"/>
          <w:szCs w:val="28"/>
          <w:lang w:val="uk-UA"/>
        </w:rPr>
        <w:t xml:space="preserve">) дітей – змішану алергію.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Часті гострі респіраторні захворювання (4 та більше раз на рік) спостерігали у 44 (73,3</w:t>
      </w:r>
      <w:r w:rsidRPr="004E3FE9">
        <w:rPr>
          <w:rFonts w:ascii="Times New Roman" w:eastAsia="Times New Roman" w:hAnsi="Times New Roman" w:cs="Times New Roman"/>
          <w:sz w:val="28"/>
          <w:szCs w:val="28"/>
          <w:lang w:val="uk-UA" w:eastAsia="ru-RU"/>
        </w:rPr>
        <w:t>±5,7%</w:t>
      </w:r>
      <w:r w:rsidRPr="004E3FE9">
        <w:rPr>
          <w:rFonts w:ascii="Times New Roman" w:hAnsi="Times New Roman" w:cs="Times New Roman"/>
          <w:sz w:val="28"/>
          <w:szCs w:val="28"/>
          <w:lang w:val="uk-UA"/>
        </w:rPr>
        <w:t>) дітей, наявність хронічних вогнищ інфекцій ЛОР-органів виявлено у 27 (4</w:t>
      </w:r>
      <w:r w:rsidRPr="004E3FE9">
        <w:rPr>
          <w:rFonts w:ascii="Times New Roman" w:eastAsia="Times New Roman" w:hAnsi="Times New Roman" w:cs="Times New Roman"/>
          <w:sz w:val="28"/>
          <w:szCs w:val="28"/>
          <w:lang w:val="uk-UA" w:eastAsia="ru-RU"/>
        </w:rPr>
        <w:t>5</w:t>
      </w:r>
      <w:r w:rsidR="003A3A9E">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±6,4%</w:t>
      </w:r>
      <w:r w:rsidRPr="004E3FE9">
        <w:rPr>
          <w:rFonts w:ascii="Times New Roman" w:hAnsi="Times New Roman" w:cs="Times New Roman"/>
          <w:sz w:val="28"/>
          <w:szCs w:val="28"/>
          <w:lang w:val="uk-UA"/>
        </w:rPr>
        <w:t>) дітей, часті запальні захворювання дихальної системи – у 6 (10</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±3,8%</w:t>
      </w:r>
      <w:r w:rsidRPr="004E3FE9">
        <w:rPr>
          <w:rFonts w:ascii="Times New Roman" w:hAnsi="Times New Roman" w:cs="Times New Roman"/>
          <w:sz w:val="28"/>
          <w:szCs w:val="28"/>
          <w:lang w:val="uk-UA"/>
        </w:rPr>
        <w:t>) хворих та у 8 (13,3</w:t>
      </w:r>
      <w:r w:rsidRPr="004E3FE9">
        <w:rPr>
          <w:rFonts w:ascii="Times New Roman" w:eastAsia="Times New Roman" w:hAnsi="Times New Roman" w:cs="Times New Roman"/>
          <w:sz w:val="28"/>
          <w:szCs w:val="28"/>
          <w:lang w:val="uk-UA" w:eastAsia="ru-RU"/>
        </w:rPr>
        <w:t>±4,3%</w:t>
      </w:r>
      <w:r w:rsidRPr="004E3FE9">
        <w:rPr>
          <w:rFonts w:ascii="Times New Roman" w:hAnsi="Times New Roman" w:cs="Times New Roman"/>
          <w:sz w:val="28"/>
          <w:szCs w:val="28"/>
          <w:lang w:val="uk-UA"/>
        </w:rPr>
        <w:t>) дітей виявлена персистуюча герпетична інфекція. Все це може значно впливати на захисні сили організму та сприяти в подальшому розвитку ГВ. Також на загальний стан організму впливає супутня соматична патологія, яка стає загальним несприятливим фоном, на тлі якого підвищується ризик виникнення різноманітних захворювань у тому числі і геморагічного васкуліту. У 17 (28,3</w:t>
      </w:r>
      <w:r w:rsidRPr="004E3FE9">
        <w:rPr>
          <w:rFonts w:ascii="Times New Roman" w:eastAsia="Times New Roman" w:hAnsi="Times New Roman" w:cs="Times New Roman"/>
          <w:sz w:val="28"/>
          <w:szCs w:val="28"/>
          <w:lang w:val="uk-UA" w:eastAsia="ru-RU"/>
        </w:rPr>
        <w:t>±5,8%</w:t>
      </w:r>
      <w:r w:rsidRPr="004E3FE9">
        <w:rPr>
          <w:rFonts w:ascii="Times New Roman" w:hAnsi="Times New Roman" w:cs="Times New Roman"/>
          <w:sz w:val="28"/>
          <w:szCs w:val="28"/>
          <w:lang w:val="uk-UA"/>
        </w:rPr>
        <w:t xml:space="preserve">) хворих виявлена наявність дизметаболічної нефропатії. </w:t>
      </w:r>
      <w:r w:rsidR="00FA3570">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6 (10</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±3,8%</w:t>
      </w:r>
      <w:r w:rsidRPr="004E3FE9">
        <w:rPr>
          <w:rFonts w:ascii="Times New Roman" w:hAnsi="Times New Roman" w:cs="Times New Roman"/>
          <w:sz w:val="28"/>
          <w:szCs w:val="28"/>
          <w:lang w:val="uk-UA"/>
        </w:rPr>
        <w:t>) хворих зафіксований кетоацидотичний стан, у 6 (10</w:t>
      </w:r>
      <w:r w:rsidR="003A3A9E">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±3,8%</w:t>
      </w:r>
      <w:r w:rsidRPr="004E3FE9">
        <w:rPr>
          <w:rFonts w:ascii="Times New Roman" w:hAnsi="Times New Roman" w:cs="Times New Roman"/>
          <w:sz w:val="28"/>
          <w:szCs w:val="28"/>
          <w:lang w:val="uk-UA"/>
        </w:rPr>
        <w:t>) хворих – жовчнокам’яна хвороба. Таким чином приведені дані свідчать про те, що у 41 (68,3</w:t>
      </w:r>
      <w:r w:rsidRPr="004E3FE9">
        <w:rPr>
          <w:rFonts w:ascii="Times New Roman" w:eastAsia="Times New Roman" w:hAnsi="Times New Roman" w:cs="Times New Roman"/>
          <w:sz w:val="28"/>
          <w:szCs w:val="28"/>
          <w:lang w:val="uk-UA" w:eastAsia="ru-RU"/>
        </w:rPr>
        <w:t>±6</w:t>
      </w:r>
      <w:r w:rsidR="003A3A9E">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w:t>
      </w:r>
      <w:r w:rsidRPr="004E3FE9">
        <w:rPr>
          <w:rFonts w:ascii="Times New Roman" w:hAnsi="Times New Roman" w:cs="Times New Roman"/>
          <w:sz w:val="28"/>
          <w:szCs w:val="28"/>
          <w:lang w:val="uk-UA"/>
        </w:rPr>
        <w:t xml:space="preserve">) хворих з ГВ були порушення обміну речовин (табл. 3.2). </w:t>
      </w:r>
    </w:p>
    <w:p w:rsidR="00BD0BF2" w:rsidRPr="001C558E" w:rsidRDefault="00BD0BF2" w:rsidP="00BD0BF2">
      <w:pPr>
        <w:spacing w:line="360" w:lineRule="auto"/>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3.2</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Частота несприятливих анамнестичних факторів серед дітей з ГВ</w:t>
      </w:r>
    </w:p>
    <w:tbl>
      <w:tblPr>
        <w:tblStyle w:val="a8"/>
        <w:tblW w:w="9464" w:type="dxa"/>
        <w:tblLook w:val="04A0"/>
      </w:tblPr>
      <w:tblGrid>
        <w:gridCol w:w="2484"/>
        <w:gridCol w:w="4938"/>
        <w:gridCol w:w="763"/>
        <w:gridCol w:w="1279"/>
      </w:tblGrid>
      <w:tr w:rsidR="00BD0BF2" w:rsidRPr="004E3FE9" w:rsidTr="00237A66">
        <w:trPr>
          <w:trHeight w:val="195"/>
        </w:trPr>
        <w:tc>
          <w:tcPr>
            <w:tcW w:w="7422" w:type="dxa"/>
            <w:gridSpan w:val="2"/>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w:t>
            </w:r>
          </w:p>
        </w:tc>
        <w:tc>
          <w:tcPr>
            <w:tcW w:w="2042" w:type="dxa"/>
            <w:gridSpan w:val="2"/>
            <w:vAlign w:val="center"/>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Усього</w:t>
            </w:r>
          </w:p>
        </w:tc>
      </w:tr>
      <w:tr w:rsidR="00BD0BF2" w:rsidRPr="004E3FE9" w:rsidTr="00237A66">
        <w:trPr>
          <w:trHeight w:val="120"/>
        </w:trPr>
        <w:tc>
          <w:tcPr>
            <w:tcW w:w="7422" w:type="dxa"/>
            <w:gridSpan w:val="2"/>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763" w:type="dxa"/>
            <w:vAlign w:val="center"/>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Абс.</w:t>
            </w:r>
          </w:p>
        </w:tc>
        <w:tc>
          <w:tcPr>
            <w:tcW w:w="1279" w:type="dxa"/>
            <w:vAlign w:val="center"/>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(р%±s</w:t>
            </w:r>
            <w:r w:rsidRPr="004E3FE9">
              <w:rPr>
                <w:rFonts w:ascii="Times New Roman" w:hAnsi="Times New Roman" w:cs="Times New Roman"/>
                <w:sz w:val="28"/>
                <w:szCs w:val="28"/>
                <w:vertAlign w:val="subscript"/>
                <w:lang w:val="uk-UA"/>
              </w:rPr>
              <w:t>p%</w:t>
            </w:r>
            <w:r w:rsidRPr="004E3FE9">
              <w:rPr>
                <w:rFonts w:ascii="Times New Roman" w:hAnsi="Times New Roman" w:cs="Times New Roman"/>
                <w:sz w:val="28"/>
                <w:szCs w:val="28"/>
                <w:lang w:val="uk-UA"/>
              </w:rPr>
              <w:t>)</w:t>
            </w:r>
          </w:p>
        </w:tc>
      </w:tr>
      <w:tr w:rsidR="00C518BC" w:rsidRPr="004E3FE9" w:rsidTr="00C518BC">
        <w:trPr>
          <w:trHeight w:val="120"/>
        </w:trPr>
        <w:tc>
          <w:tcPr>
            <w:tcW w:w="2484" w:type="dxa"/>
            <w:vAlign w:val="center"/>
          </w:tcPr>
          <w:p w:rsidR="00C518BC" w:rsidRPr="004E3FE9" w:rsidRDefault="00C518BC" w:rsidP="00721EA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938" w:type="dxa"/>
            <w:vAlign w:val="center"/>
          </w:tcPr>
          <w:p w:rsidR="00C518BC" w:rsidRPr="004E3FE9" w:rsidRDefault="00C518BC" w:rsidP="00721EA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63" w:type="dxa"/>
            <w:vAlign w:val="center"/>
          </w:tcPr>
          <w:p w:rsidR="00C518BC" w:rsidRPr="004E3FE9" w:rsidRDefault="00C518BC"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79" w:type="dxa"/>
            <w:vAlign w:val="center"/>
          </w:tcPr>
          <w:p w:rsidR="00C518BC" w:rsidRPr="004E3FE9" w:rsidRDefault="00C518BC"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BD0BF2" w:rsidRPr="004E3FE9" w:rsidTr="00237A66">
        <w:tc>
          <w:tcPr>
            <w:tcW w:w="2484"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Алергія</w:t>
            </w:r>
          </w:p>
        </w:tc>
        <w:tc>
          <w:tcPr>
            <w:tcW w:w="493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харчова</w:t>
            </w:r>
          </w:p>
        </w:tc>
        <w:tc>
          <w:tcPr>
            <w:tcW w:w="7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w:t>
            </w:r>
          </w:p>
        </w:tc>
        <w:tc>
          <w:tcPr>
            <w:tcW w:w="12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18,3</w:t>
            </w:r>
            <w:r w:rsidRPr="004E3FE9">
              <w:rPr>
                <w:rFonts w:ascii="Times New Roman" w:eastAsia="Times New Roman" w:hAnsi="Times New Roman" w:cs="Times New Roman"/>
                <w:sz w:val="28"/>
                <w:szCs w:val="28"/>
                <w:lang w:val="uk-UA" w:eastAsia="ru-RU"/>
              </w:rPr>
              <w:t>±4,9</w:t>
            </w:r>
          </w:p>
        </w:tc>
      </w:tr>
      <w:tr w:rsidR="00BD0BF2" w:rsidRPr="004E3FE9" w:rsidTr="00237A66">
        <w:tc>
          <w:tcPr>
            <w:tcW w:w="2484"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493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медикаментозна</w:t>
            </w:r>
          </w:p>
        </w:tc>
        <w:tc>
          <w:tcPr>
            <w:tcW w:w="7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c>
          <w:tcPr>
            <w:tcW w:w="12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8,3</w:t>
            </w:r>
            <w:r w:rsidRPr="004E3FE9">
              <w:rPr>
                <w:rFonts w:ascii="Times New Roman" w:eastAsia="Times New Roman" w:hAnsi="Times New Roman" w:cs="Times New Roman"/>
                <w:sz w:val="28"/>
                <w:szCs w:val="28"/>
                <w:lang w:val="uk-UA" w:eastAsia="ru-RU"/>
              </w:rPr>
              <w:t>±3,5</w:t>
            </w:r>
          </w:p>
        </w:tc>
      </w:tr>
      <w:tr w:rsidR="00BD0BF2" w:rsidRPr="004E3FE9" w:rsidTr="00237A66">
        <w:tc>
          <w:tcPr>
            <w:tcW w:w="2484"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493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w:t>
            </w:r>
          </w:p>
        </w:tc>
        <w:tc>
          <w:tcPr>
            <w:tcW w:w="7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w:t>
            </w:r>
          </w:p>
        </w:tc>
        <w:tc>
          <w:tcPr>
            <w:tcW w:w="12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23,3</w:t>
            </w:r>
            <w:r w:rsidRPr="004E3FE9">
              <w:rPr>
                <w:rFonts w:ascii="Times New Roman" w:eastAsia="Times New Roman" w:hAnsi="Times New Roman" w:cs="Times New Roman"/>
                <w:sz w:val="28"/>
                <w:szCs w:val="28"/>
                <w:lang w:val="uk-UA" w:eastAsia="ru-RU"/>
              </w:rPr>
              <w:t>±5,4</w:t>
            </w:r>
          </w:p>
        </w:tc>
      </w:tr>
      <w:tr w:rsidR="00BD0BF2" w:rsidRPr="004E3FE9" w:rsidTr="00237A66">
        <w:tc>
          <w:tcPr>
            <w:tcW w:w="2484" w:type="dxa"/>
            <w:vMerge w:val="restart"/>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Преморбідний фон</w:t>
            </w:r>
          </w:p>
        </w:tc>
        <w:tc>
          <w:tcPr>
            <w:tcW w:w="493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часті гострі респіраторні захворювання</w:t>
            </w:r>
          </w:p>
        </w:tc>
        <w:tc>
          <w:tcPr>
            <w:tcW w:w="763"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44</w:t>
            </w:r>
          </w:p>
        </w:tc>
        <w:tc>
          <w:tcPr>
            <w:tcW w:w="1279"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73,3</w:t>
            </w:r>
            <w:r w:rsidRPr="004E3FE9">
              <w:rPr>
                <w:rFonts w:ascii="Times New Roman" w:eastAsia="Times New Roman" w:hAnsi="Times New Roman" w:cs="Times New Roman"/>
                <w:sz w:val="28"/>
                <w:szCs w:val="28"/>
                <w:lang w:val="uk-UA" w:eastAsia="ru-RU"/>
              </w:rPr>
              <w:t>±5,7</w:t>
            </w:r>
          </w:p>
        </w:tc>
      </w:tr>
      <w:tr w:rsidR="00BD0BF2" w:rsidRPr="004E3FE9" w:rsidTr="00237A66">
        <w:tc>
          <w:tcPr>
            <w:tcW w:w="2484"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493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хронічні вогнища інфекцій ЛОР-органів</w:t>
            </w:r>
          </w:p>
        </w:tc>
        <w:tc>
          <w:tcPr>
            <w:tcW w:w="7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27</w:t>
            </w:r>
          </w:p>
        </w:tc>
        <w:tc>
          <w:tcPr>
            <w:tcW w:w="12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w:t>
            </w:r>
            <w:r w:rsidRPr="004E3FE9">
              <w:rPr>
                <w:rFonts w:ascii="Times New Roman" w:eastAsia="Times New Roman" w:hAnsi="Times New Roman" w:cs="Times New Roman"/>
                <w:sz w:val="28"/>
                <w:szCs w:val="28"/>
                <w:lang w:val="uk-UA" w:eastAsia="ru-RU"/>
              </w:rPr>
              <w:t>5</w:t>
            </w:r>
            <w:r w:rsidR="00941012">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±6,4</w:t>
            </w:r>
          </w:p>
        </w:tc>
      </w:tr>
      <w:tr w:rsidR="00BD0BF2" w:rsidRPr="004E3FE9" w:rsidTr="00237A66">
        <w:tc>
          <w:tcPr>
            <w:tcW w:w="2484"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493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часті запальні захворювання дихальної системи</w:t>
            </w:r>
          </w:p>
        </w:tc>
        <w:tc>
          <w:tcPr>
            <w:tcW w:w="7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w:t>
            </w:r>
          </w:p>
        </w:tc>
        <w:tc>
          <w:tcPr>
            <w:tcW w:w="12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±3,8</w:t>
            </w:r>
          </w:p>
        </w:tc>
      </w:tr>
      <w:tr w:rsidR="00BD0BF2" w:rsidRPr="004E3FE9" w:rsidTr="00237A66">
        <w:tc>
          <w:tcPr>
            <w:tcW w:w="2484"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493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персистуюча герпетична інфекція</w:t>
            </w:r>
          </w:p>
        </w:tc>
        <w:tc>
          <w:tcPr>
            <w:tcW w:w="7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w:t>
            </w:r>
          </w:p>
        </w:tc>
        <w:tc>
          <w:tcPr>
            <w:tcW w:w="12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13,3</w:t>
            </w:r>
            <w:r w:rsidRPr="004E3FE9">
              <w:rPr>
                <w:rFonts w:ascii="Times New Roman" w:eastAsia="Times New Roman" w:hAnsi="Times New Roman" w:cs="Times New Roman"/>
                <w:sz w:val="28"/>
                <w:szCs w:val="28"/>
                <w:lang w:val="uk-UA" w:eastAsia="ru-RU"/>
              </w:rPr>
              <w:t>±4,3</w:t>
            </w:r>
          </w:p>
        </w:tc>
      </w:tr>
    </w:tbl>
    <w:p w:rsidR="00C518BC" w:rsidRDefault="00C518BC"/>
    <w:p w:rsidR="00C518BC" w:rsidRDefault="00C518BC"/>
    <w:p w:rsidR="00C518BC" w:rsidRPr="00C518BC" w:rsidRDefault="00C518BC" w:rsidP="00C518BC">
      <w:pPr>
        <w:spacing w:after="0"/>
        <w:jc w:val="right"/>
        <w:rPr>
          <w:rFonts w:ascii="Times New Roman" w:hAnsi="Times New Roman" w:cs="Times New Roman"/>
          <w:i/>
          <w:sz w:val="28"/>
          <w:szCs w:val="28"/>
          <w:lang w:val="uk-UA"/>
        </w:rPr>
      </w:pPr>
      <w:r w:rsidRPr="00C518BC">
        <w:rPr>
          <w:rFonts w:ascii="Times New Roman" w:hAnsi="Times New Roman" w:cs="Times New Roman"/>
          <w:i/>
          <w:sz w:val="28"/>
          <w:szCs w:val="28"/>
          <w:lang w:val="uk-UA"/>
        </w:rPr>
        <w:lastRenderedPageBreak/>
        <w:t>Продовження табл. 3.1</w:t>
      </w:r>
    </w:p>
    <w:tbl>
      <w:tblPr>
        <w:tblStyle w:val="a8"/>
        <w:tblW w:w="9464" w:type="dxa"/>
        <w:tblLook w:val="04A0"/>
      </w:tblPr>
      <w:tblGrid>
        <w:gridCol w:w="2484"/>
        <w:gridCol w:w="4938"/>
        <w:gridCol w:w="763"/>
        <w:gridCol w:w="1279"/>
      </w:tblGrid>
      <w:tr w:rsidR="00C518BC" w:rsidRPr="004E3FE9" w:rsidTr="00237A66">
        <w:tc>
          <w:tcPr>
            <w:tcW w:w="2484" w:type="dxa"/>
            <w:vAlign w:val="center"/>
          </w:tcPr>
          <w:p w:rsidR="00C518BC" w:rsidRPr="004E3FE9" w:rsidRDefault="00C518BC" w:rsidP="00721EA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938" w:type="dxa"/>
            <w:vAlign w:val="center"/>
          </w:tcPr>
          <w:p w:rsidR="00C518BC" w:rsidRPr="004E3FE9" w:rsidRDefault="00C518BC" w:rsidP="00721EA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63" w:type="dxa"/>
            <w:vAlign w:val="center"/>
          </w:tcPr>
          <w:p w:rsidR="00C518BC" w:rsidRPr="004E3FE9" w:rsidRDefault="00C518BC" w:rsidP="00721EA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79" w:type="dxa"/>
            <w:vAlign w:val="center"/>
          </w:tcPr>
          <w:p w:rsidR="00C518BC" w:rsidRPr="004E3FE9" w:rsidRDefault="00C518BC" w:rsidP="00721EA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BD0BF2" w:rsidRPr="004E3FE9" w:rsidTr="00237A66">
        <w:tc>
          <w:tcPr>
            <w:tcW w:w="2484"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Супутні захворювання</w:t>
            </w:r>
          </w:p>
        </w:tc>
        <w:tc>
          <w:tcPr>
            <w:tcW w:w="493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дисметаболічна нефропатія</w:t>
            </w:r>
          </w:p>
        </w:tc>
        <w:tc>
          <w:tcPr>
            <w:tcW w:w="7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w:t>
            </w:r>
          </w:p>
        </w:tc>
        <w:tc>
          <w:tcPr>
            <w:tcW w:w="12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28,3</w:t>
            </w:r>
            <w:r w:rsidRPr="004E3FE9">
              <w:rPr>
                <w:rFonts w:ascii="Times New Roman" w:eastAsia="Times New Roman" w:hAnsi="Times New Roman" w:cs="Times New Roman"/>
                <w:sz w:val="28"/>
                <w:szCs w:val="28"/>
                <w:lang w:val="uk-UA" w:eastAsia="ru-RU"/>
              </w:rPr>
              <w:t>±5,8</w:t>
            </w:r>
          </w:p>
        </w:tc>
      </w:tr>
      <w:tr w:rsidR="00BD0BF2" w:rsidRPr="004E3FE9" w:rsidTr="00237A66">
        <w:tc>
          <w:tcPr>
            <w:tcW w:w="2484"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493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кетоацидотичний стан</w:t>
            </w:r>
          </w:p>
        </w:tc>
        <w:tc>
          <w:tcPr>
            <w:tcW w:w="7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w:t>
            </w:r>
          </w:p>
        </w:tc>
        <w:tc>
          <w:tcPr>
            <w:tcW w:w="12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±3,8</w:t>
            </w:r>
          </w:p>
        </w:tc>
      </w:tr>
      <w:tr w:rsidR="00BD0BF2" w:rsidRPr="004E3FE9" w:rsidTr="00237A66">
        <w:tc>
          <w:tcPr>
            <w:tcW w:w="2484"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493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жовчнокам’яна хвороба</w:t>
            </w:r>
          </w:p>
        </w:tc>
        <w:tc>
          <w:tcPr>
            <w:tcW w:w="7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w:t>
            </w:r>
          </w:p>
        </w:tc>
        <w:tc>
          <w:tcPr>
            <w:tcW w:w="12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±3,8</w:t>
            </w:r>
          </w:p>
        </w:tc>
      </w:tr>
    </w:tbl>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Проаналізовано та систематизовано фактори, які могли послужити пусковим механізмом розвитку ГВ. У 34 (56,6±6,3%) хворих основної групи найбільшу частоту факторів, які передували розвитку ГВ, склали гострі респіраторні захворювання. Зафіксовано, що майже у кожного 4 хворого основної групи розвитку хвороби сприяли ті чи інші алергійні процеси (23,3±5,4%), що підкреслює важливу патогенетичну роль алергії в розвитку ГВ у дітей. Згідно даним, які наводяться в літературі про ви</w:t>
      </w:r>
      <w:r w:rsidR="003C6D87">
        <w:rPr>
          <w:rFonts w:ascii="Times New Roman" w:hAnsi="Times New Roman" w:cs="Times New Roman"/>
          <w:sz w:val="28"/>
          <w:szCs w:val="28"/>
          <w:lang w:val="uk-UA"/>
        </w:rPr>
        <w:t>соку значимість ангіни в розвит</w:t>
      </w:r>
      <w:r w:rsidRPr="004E3FE9">
        <w:rPr>
          <w:rFonts w:ascii="Times New Roman" w:hAnsi="Times New Roman" w:cs="Times New Roman"/>
          <w:sz w:val="28"/>
          <w:szCs w:val="28"/>
          <w:lang w:val="uk-UA"/>
        </w:rPr>
        <w:t xml:space="preserve">ку ГВ, нами вона напередодні захворювання на ГВ відмічена у 7 (11,6±4,1%) хворих (табл. 3.3). </w:t>
      </w:r>
    </w:p>
    <w:p w:rsidR="00BD0BF2" w:rsidRPr="001C558E" w:rsidRDefault="00BD0BF2" w:rsidP="00BD0BF2">
      <w:pPr>
        <w:spacing w:line="360" w:lineRule="auto"/>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3.3</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Ймовірні причинно-значущі фактори, що передували розвитку геморагічного васкуліту у дітей</w:t>
      </w:r>
    </w:p>
    <w:tbl>
      <w:tblPr>
        <w:tblStyle w:val="a8"/>
        <w:tblW w:w="0" w:type="auto"/>
        <w:tblLook w:val="04A0"/>
      </w:tblPr>
      <w:tblGrid>
        <w:gridCol w:w="6400"/>
        <w:gridCol w:w="1648"/>
        <w:gridCol w:w="1416"/>
      </w:tblGrid>
      <w:tr w:rsidR="00BD0BF2" w:rsidRPr="004E3FE9" w:rsidTr="00721EA2">
        <w:trPr>
          <w:trHeight w:val="195"/>
        </w:trPr>
        <w:tc>
          <w:tcPr>
            <w:tcW w:w="6400" w:type="dxa"/>
            <w:vMerge w:val="restart"/>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Захворювання та патологічні стани</w:t>
            </w:r>
          </w:p>
        </w:tc>
        <w:tc>
          <w:tcPr>
            <w:tcW w:w="3064" w:type="dxa"/>
            <w:gridSpan w:val="2"/>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Усього</w:t>
            </w:r>
          </w:p>
        </w:tc>
      </w:tr>
      <w:tr w:rsidR="00BD0BF2" w:rsidRPr="004E3FE9" w:rsidTr="00721EA2">
        <w:trPr>
          <w:trHeight w:val="120"/>
        </w:trPr>
        <w:tc>
          <w:tcPr>
            <w:tcW w:w="6400" w:type="dxa"/>
            <w:vMerge/>
          </w:tcPr>
          <w:p w:rsidR="00BD0BF2" w:rsidRPr="004E3FE9" w:rsidRDefault="00BD0BF2" w:rsidP="00721EA2">
            <w:pPr>
              <w:spacing w:line="360" w:lineRule="auto"/>
              <w:contextualSpacing/>
              <w:jc w:val="both"/>
              <w:rPr>
                <w:rFonts w:ascii="Times New Roman" w:hAnsi="Times New Roman" w:cs="Times New Roman"/>
                <w:sz w:val="28"/>
                <w:szCs w:val="28"/>
                <w:lang w:val="uk-UA"/>
              </w:rPr>
            </w:pPr>
          </w:p>
        </w:tc>
        <w:tc>
          <w:tcPr>
            <w:tcW w:w="1648"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Абс.</w:t>
            </w:r>
          </w:p>
        </w:tc>
        <w:tc>
          <w:tcPr>
            <w:tcW w:w="1416"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(р%±s</w:t>
            </w:r>
            <w:r w:rsidRPr="004E3FE9">
              <w:rPr>
                <w:rFonts w:ascii="Times New Roman" w:hAnsi="Times New Roman" w:cs="Times New Roman"/>
                <w:sz w:val="28"/>
                <w:szCs w:val="28"/>
                <w:vertAlign w:val="subscript"/>
                <w:lang w:val="uk-UA"/>
              </w:rPr>
              <w:t>p%</w:t>
            </w:r>
            <w:r w:rsidRPr="004E3FE9">
              <w:rPr>
                <w:rFonts w:ascii="Times New Roman" w:hAnsi="Times New Roman" w:cs="Times New Roman"/>
                <w:sz w:val="28"/>
                <w:szCs w:val="28"/>
                <w:lang w:val="uk-UA"/>
              </w:rPr>
              <w:t>)</w:t>
            </w:r>
          </w:p>
        </w:tc>
      </w:tr>
      <w:tr w:rsidR="00BD0BF2" w:rsidRPr="004E3FE9" w:rsidTr="00721EA2">
        <w:trPr>
          <w:trHeight w:val="120"/>
        </w:trPr>
        <w:tc>
          <w:tcPr>
            <w:tcW w:w="6400" w:type="dxa"/>
          </w:tcPr>
          <w:p w:rsidR="00BD0BF2" w:rsidRPr="004E3FE9" w:rsidRDefault="00BD0BF2" w:rsidP="00721EA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Гострі респіраторні захворювання</w:t>
            </w:r>
          </w:p>
        </w:tc>
        <w:tc>
          <w:tcPr>
            <w:tcW w:w="1648"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34</w:t>
            </w:r>
          </w:p>
        </w:tc>
        <w:tc>
          <w:tcPr>
            <w:tcW w:w="1416"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56,6</w:t>
            </w:r>
            <w:r w:rsidRPr="004E3FE9">
              <w:rPr>
                <w:rFonts w:ascii="Times New Roman" w:eastAsia="Times New Roman" w:hAnsi="Times New Roman" w:cs="Times New Roman"/>
                <w:sz w:val="28"/>
                <w:szCs w:val="28"/>
                <w:lang w:val="uk-UA" w:eastAsia="ru-RU"/>
              </w:rPr>
              <w:t>±</w:t>
            </w:r>
            <w:r w:rsidRPr="004E3FE9">
              <w:rPr>
                <w:rFonts w:ascii="Times New Roman" w:hAnsi="Times New Roman" w:cs="Times New Roman"/>
                <w:sz w:val="28"/>
                <w:szCs w:val="28"/>
                <w:lang w:val="uk-UA"/>
              </w:rPr>
              <w:t>6,3</w:t>
            </w:r>
          </w:p>
        </w:tc>
      </w:tr>
      <w:tr w:rsidR="00BD0BF2" w:rsidRPr="004E3FE9" w:rsidTr="00721EA2">
        <w:trPr>
          <w:trHeight w:val="120"/>
        </w:trPr>
        <w:tc>
          <w:tcPr>
            <w:tcW w:w="6400" w:type="dxa"/>
          </w:tcPr>
          <w:p w:rsidR="00BD0BF2" w:rsidRPr="004E3FE9" w:rsidRDefault="00BD0BF2" w:rsidP="00721EA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Ангіна</w:t>
            </w:r>
          </w:p>
        </w:tc>
        <w:tc>
          <w:tcPr>
            <w:tcW w:w="1648"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w:t>
            </w:r>
          </w:p>
        </w:tc>
        <w:tc>
          <w:tcPr>
            <w:tcW w:w="1416"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11,6</w:t>
            </w:r>
            <w:r w:rsidRPr="004E3FE9">
              <w:rPr>
                <w:rFonts w:ascii="Times New Roman" w:eastAsia="Times New Roman" w:hAnsi="Times New Roman" w:cs="Times New Roman"/>
                <w:sz w:val="28"/>
                <w:szCs w:val="28"/>
                <w:lang w:val="uk-UA" w:eastAsia="ru-RU"/>
              </w:rPr>
              <w:t>±4,1</w:t>
            </w:r>
          </w:p>
        </w:tc>
      </w:tr>
      <w:tr w:rsidR="00BD0BF2" w:rsidRPr="004E3FE9" w:rsidTr="00721EA2">
        <w:trPr>
          <w:trHeight w:val="120"/>
        </w:trPr>
        <w:tc>
          <w:tcPr>
            <w:tcW w:w="6400" w:type="dxa"/>
          </w:tcPr>
          <w:p w:rsidR="00BD0BF2" w:rsidRPr="004E3FE9" w:rsidRDefault="00BD0BF2" w:rsidP="00721EA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Гострий бронхіт</w:t>
            </w:r>
          </w:p>
        </w:tc>
        <w:tc>
          <w:tcPr>
            <w:tcW w:w="1648"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c>
          <w:tcPr>
            <w:tcW w:w="1416"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8,3</w:t>
            </w:r>
            <w:r w:rsidRPr="004E3FE9">
              <w:rPr>
                <w:rFonts w:ascii="Times New Roman" w:eastAsia="Times New Roman" w:hAnsi="Times New Roman" w:cs="Times New Roman"/>
                <w:sz w:val="28"/>
                <w:szCs w:val="28"/>
                <w:lang w:val="uk-UA" w:eastAsia="ru-RU"/>
              </w:rPr>
              <w:t>±3,5</w:t>
            </w:r>
          </w:p>
        </w:tc>
      </w:tr>
      <w:tr w:rsidR="00BD0BF2" w:rsidRPr="004E3FE9" w:rsidTr="00721EA2">
        <w:trPr>
          <w:trHeight w:val="120"/>
        </w:trPr>
        <w:tc>
          <w:tcPr>
            <w:tcW w:w="6400" w:type="dxa"/>
          </w:tcPr>
          <w:p w:rsidR="00BD0BF2" w:rsidRPr="004E3FE9" w:rsidRDefault="00BD0BF2" w:rsidP="00721EA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Харчова алергія</w:t>
            </w:r>
          </w:p>
        </w:tc>
        <w:tc>
          <w:tcPr>
            <w:tcW w:w="1648"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w:t>
            </w:r>
          </w:p>
        </w:tc>
        <w:tc>
          <w:tcPr>
            <w:tcW w:w="1416"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18,3</w:t>
            </w:r>
            <w:r w:rsidRPr="004E3FE9">
              <w:rPr>
                <w:rFonts w:ascii="Times New Roman" w:eastAsia="Times New Roman" w:hAnsi="Times New Roman" w:cs="Times New Roman"/>
                <w:sz w:val="28"/>
                <w:szCs w:val="28"/>
                <w:lang w:val="uk-UA" w:eastAsia="ru-RU"/>
              </w:rPr>
              <w:t>±4,9</w:t>
            </w:r>
          </w:p>
        </w:tc>
      </w:tr>
      <w:tr w:rsidR="00BD0BF2" w:rsidRPr="004E3FE9" w:rsidTr="00721EA2">
        <w:trPr>
          <w:trHeight w:val="120"/>
        </w:trPr>
        <w:tc>
          <w:tcPr>
            <w:tcW w:w="6400" w:type="dxa"/>
          </w:tcPr>
          <w:p w:rsidR="00BD0BF2" w:rsidRPr="004E3FE9" w:rsidRDefault="00BD0BF2" w:rsidP="00721EA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Інсектна алергія </w:t>
            </w:r>
          </w:p>
        </w:tc>
        <w:tc>
          <w:tcPr>
            <w:tcW w:w="1648"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1416"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3,3</w:t>
            </w:r>
            <w:r w:rsidRPr="004E3FE9">
              <w:rPr>
                <w:rFonts w:ascii="Times New Roman" w:eastAsia="Times New Roman" w:hAnsi="Times New Roman" w:cs="Times New Roman"/>
                <w:sz w:val="28"/>
                <w:szCs w:val="28"/>
                <w:lang w:val="uk-UA" w:eastAsia="ru-RU"/>
              </w:rPr>
              <w:t>±2,3</w:t>
            </w:r>
          </w:p>
        </w:tc>
      </w:tr>
      <w:tr w:rsidR="00BD0BF2" w:rsidRPr="004E3FE9" w:rsidTr="00721EA2">
        <w:trPr>
          <w:trHeight w:val="120"/>
        </w:trPr>
        <w:tc>
          <w:tcPr>
            <w:tcW w:w="6400" w:type="dxa"/>
          </w:tcPr>
          <w:p w:rsidR="00BD0BF2" w:rsidRPr="004E3FE9" w:rsidRDefault="00BD0BF2" w:rsidP="00721EA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Медикаментозна алергія</w:t>
            </w:r>
          </w:p>
        </w:tc>
        <w:tc>
          <w:tcPr>
            <w:tcW w:w="1648"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1416"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w:t>
            </w:r>
            <w:r w:rsidRPr="004E3FE9">
              <w:rPr>
                <w:rFonts w:ascii="Times New Roman" w:eastAsia="Times New Roman" w:hAnsi="Times New Roman" w:cs="Times New Roman"/>
                <w:sz w:val="28"/>
                <w:szCs w:val="28"/>
                <w:lang w:val="uk-UA" w:eastAsia="ru-RU"/>
              </w:rPr>
              <w:t>±1,6</w:t>
            </w:r>
          </w:p>
        </w:tc>
      </w:tr>
    </w:tbl>
    <w:p w:rsidR="00BD0BF2" w:rsidRPr="004E3FE9" w:rsidRDefault="00BD0BF2" w:rsidP="00BD0BF2">
      <w:pPr>
        <w:spacing w:line="360" w:lineRule="auto"/>
        <w:contextualSpacing/>
        <w:jc w:val="center"/>
        <w:rPr>
          <w:rFonts w:ascii="Times New Roman" w:hAnsi="Times New Roman" w:cs="Times New Roman"/>
          <w:b/>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 надходженні до стаціонару встановлено, що у 57 (95</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±2,81%</w:t>
      </w:r>
      <w:r w:rsidRPr="004E3FE9">
        <w:rPr>
          <w:rFonts w:ascii="Times New Roman" w:hAnsi="Times New Roman" w:cs="Times New Roman"/>
          <w:sz w:val="28"/>
          <w:szCs w:val="28"/>
          <w:lang w:val="uk-UA"/>
        </w:rPr>
        <w:t>) дітей загальний стан був середньої важкості та у 3 (5</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±2,81%</w:t>
      </w:r>
      <w:r w:rsidRPr="004E3FE9">
        <w:rPr>
          <w:rFonts w:ascii="Times New Roman" w:hAnsi="Times New Roman" w:cs="Times New Roman"/>
          <w:sz w:val="28"/>
          <w:szCs w:val="28"/>
          <w:lang w:val="uk-UA"/>
        </w:rPr>
        <w:t>) – важкий. Аналізуючи скарги дітей з’ясовано, що у 25 (42</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±6,3%</w:t>
      </w:r>
      <w:r w:rsidRPr="004E3FE9">
        <w:rPr>
          <w:rFonts w:ascii="Times New Roman" w:hAnsi="Times New Roman" w:cs="Times New Roman"/>
          <w:sz w:val="28"/>
          <w:szCs w:val="28"/>
          <w:lang w:val="uk-UA"/>
        </w:rPr>
        <w:t xml:space="preserve">) дітей відмічалося підвищення температури тіла до субфебрильних та фебрильних цифр. 60 </w:t>
      </w:r>
      <w:r w:rsidRPr="004E3FE9">
        <w:rPr>
          <w:rFonts w:ascii="Times New Roman" w:hAnsi="Times New Roman" w:cs="Times New Roman"/>
          <w:sz w:val="28"/>
          <w:szCs w:val="28"/>
          <w:lang w:val="uk-UA"/>
        </w:rPr>
        <w:lastRenderedPageBreak/>
        <w:t>(100%) дітей скаржились на наявність геморагічного висипу, 50 (83,3</w:t>
      </w:r>
      <w:r w:rsidRPr="004E3FE9">
        <w:rPr>
          <w:rFonts w:ascii="Times New Roman" w:eastAsia="Times New Roman" w:hAnsi="Times New Roman" w:cs="Times New Roman"/>
          <w:sz w:val="28"/>
          <w:szCs w:val="28"/>
          <w:lang w:val="uk-UA" w:eastAsia="ru-RU"/>
        </w:rPr>
        <w:t>±4,8%</w:t>
      </w:r>
      <w:r w:rsidRPr="004E3FE9">
        <w:rPr>
          <w:rFonts w:ascii="Times New Roman" w:hAnsi="Times New Roman" w:cs="Times New Roman"/>
          <w:sz w:val="28"/>
          <w:szCs w:val="28"/>
          <w:lang w:val="uk-UA"/>
        </w:rPr>
        <w:t>) дітей пред’являли скарги на біль та набряк суглобів, 25 (42</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±6,3%</w:t>
      </w:r>
      <w:r w:rsidRPr="004E3FE9">
        <w:rPr>
          <w:rFonts w:ascii="Times New Roman" w:hAnsi="Times New Roman" w:cs="Times New Roman"/>
          <w:sz w:val="28"/>
          <w:szCs w:val="28"/>
          <w:lang w:val="uk-UA"/>
        </w:rPr>
        <w:t xml:space="preserve">) дітей відмічали скарги з боку </w:t>
      </w:r>
      <w:r w:rsidR="00430C4A" w:rsidRPr="004E3FE9">
        <w:rPr>
          <w:rFonts w:ascii="Times New Roman" w:hAnsi="Times New Roman" w:cs="Times New Roman"/>
          <w:sz w:val="28"/>
          <w:szCs w:val="28"/>
          <w:lang w:val="uk-UA"/>
        </w:rPr>
        <w:t>Ш</w:t>
      </w:r>
      <w:r w:rsidRPr="004E3FE9">
        <w:rPr>
          <w:rFonts w:ascii="Times New Roman" w:hAnsi="Times New Roman" w:cs="Times New Roman"/>
          <w:sz w:val="28"/>
          <w:szCs w:val="28"/>
          <w:lang w:val="uk-UA"/>
        </w:rPr>
        <w:t>КТ у вигляді болі в животі, нудоти, блювоти та послаблення стулу та у 37 (61,6</w:t>
      </w:r>
      <w:r w:rsidRPr="004E3FE9">
        <w:rPr>
          <w:rFonts w:ascii="Times New Roman" w:eastAsia="Times New Roman" w:hAnsi="Times New Roman" w:cs="Times New Roman"/>
          <w:sz w:val="28"/>
          <w:szCs w:val="28"/>
          <w:lang w:val="uk-UA" w:eastAsia="ru-RU"/>
        </w:rPr>
        <w:t>±6,2%</w:t>
      </w:r>
      <w:r w:rsidRPr="004E3FE9">
        <w:rPr>
          <w:rFonts w:ascii="Times New Roman" w:hAnsi="Times New Roman" w:cs="Times New Roman"/>
          <w:sz w:val="28"/>
          <w:szCs w:val="28"/>
          <w:lang w:val="uk-UA"/>
        </w:rPr>
        <w:t>) хворих спостерігали загальні скарги у вигляді головного болю, слабкості та зниження апетиту.</w:t>
      </w:r>
    </w:p>
    <w:p w:rsidR="00BD0BF2" w:rsidRPr="001C558E" w:rsidRDefault="00BD0BF2" w:rsidP="00BD0BF2">
      <w:pPr>
        <w:spacing w:line="360" w:lineRule="auto"/>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3.4</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Частота клінічних синдромів геморагічного васкуліту у дітей</w:t>
      </w:r>
    </w:p>
    <w:tbl>
      <w:tblPr>
        <w:tblStyle w:val="a8"/>
        <w:tblW w:w="0" w:type="auto"/>
        <w:tblLook w:val="04A0"/>
      </w:tblPr>
      <w:tblGrid>
        <w:gridCol w:w="3279"/>
        <w:gridCol w:w="3177"/>
        <w:gridCol w:w="3008"/>
      </w:tblGrid>
      <w:tr w:rsidR="00BD0BF2" w:rsidRPr="004E3FE9" w:rsidTr="00721EA2">
        <w:tc>
          <w:tcPr>
            <w:tcW w:w="3279"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Синдром</w:t>
            </w:r>
          </w:p>
        </w:tc>
        <w:tc>
          <w:tcPr>
            <w:tcW w:w="3177"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Абс.</w:t>
            </w:r>
          </w:p>
        </w:tc>
        <w:tc>
          <w:tcPr>
            <w:tcW w:w="3008" w:type="dxa"/>
          </w:tcPr>
          <w:p w:rsidR="00BD0BF2" w:rsidRPr="004E3FE9" w:rsidRDefault="00BD0BF2" w:rsidP="00721EA2">
            <w:pPr>
              <w:tabs>
                <w:tab w:val="left" w:pos="180"/>
                <w:tab w:val="num" w:pos="540"/>
              </w:tabs>
              <w:autoSpaceDE w:val="0"/>
              <w:autoSpaceDN w:val="0"/>
              <w:adjustRightInd w:val="0"/>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(р%±s</w:t>
            </w:r>
            <w:r w:rsidRPr="004E3FE9">
              <w:rPr>
                <w:rFonts w:ascii="Times New Roman" w:hAnsi="Times New Roman" w:cs="Times New Roman"/>
                <w:sz w:val="28"/>
                <w:szCs w:val="28"/>
                <w:vertAlign w:val="subscript"/>
                <w:lang w:val="uk-UA"/>
              </w:rPr>
              <w:t>p%</w:t>
            </w:r>
            <w:r w:rsidRPr="004E3FE9">
              <w:rPr>
                <w:rFonts w:ascii="Times New Roman" w:hAnsi="Times New Roman" w:cs="Times New Roman"/>
                <w:sz w:val="28"/>
                <w:szCs w:val="28"/>
                <w:lang w:val="uk-UA"/>
              </w:rPr>
              <w:t>)</w:t>
            </w:r>
          </w:p>
        </w:tc>
      </w:tr>
      <w:tr w:rsidR="00BD0BF2" w:rsidRPr="004E3FE9" w:rsidTr="00721EA2">
        <w:tc>
          <w:tcPr>
            <w:tcW w:w="3279"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Шкіряний</w:t>
            </w:r>
          </w:p>
        </w:tc>
        <w:tc>
          <w:tcPr>
            <w:tcW w:w="31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60</w:t>
            </w:r>
          </w:p>
        </w:tc>
        <w:tc>
          <w:tcPr>
            <w:tcW w:w="3008"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w:t>
            </w:r>
            <w:r w:rsidR="009A67C0" w:rsidRPr="004E3FE9">
              <w:rPr>
                <w:rFonts w:ascii="Times New Roman" w:hAnsi="Times New Roman" w:cs="Times New Roman"/>
                <w:sz w:val="28"/>
                <w:szCs w:val="28"/>
                <w:lang w:val="uk-UA"/>
              </w:rPr>
              <w:t>,0</w:t>
            </w:r>
          </w:p>
        </w:tc>
      </w:tr>
      <w:tr w:rsidR="00BD0BF2" w:rsidRPr="004E3FE9" w:rsidTr="00721EA2">
        <w:tc>
          <w:tcPr>
            <w:tcW w:w="3279"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Суглобовий</w:t>
            </w:r>
          </w:p>
        </w:tc>
        <w:tc>
          <w:tcPr>
            <w:tcW w:w="31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w:t>
            </w:r>
          </w:p>
        </w:tc>
        <w:tc>
          <w:tcPr>
            <w:tcW w:w="3008"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83,3</w:t>
            </w:r>
            <w:r w:rsidRPr="004E3FE9">
              <w:rPr>
                <w:rFonts w:ascii="Times New Roman" w:eastAsia="Times New Roman" w:hAnsi="Times New Roman" w:cs="Times New Roman"/>
                <w:sz w:val="28"/>
                <w:szCs w:val="28"/>
                <w:lang w:val="uk-UA" w:eastAsia="ru-RU"/>
              </w:rPr>
              <w:t>±4,8</w:t>
            </w:r>
          </w:p>
        </w:tc>
      </w:tr>
      <w:tr w:rsidR="00BD0BF2" w:rsidRPr="004E3FE9" w:rsidTr="00721EA2">
        <w:tc>
          <w:tcPr>
            <w:tcW w:w="3279"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Абдомінальний</w:t>
            </w:r>
          </w:p>
        </w:tc>
        <w:tc>
          <w:tcPr>
            <w:tcW w:w="31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w:t>
            </w:r>
          </w:p>
        </w:tc>
        <w:tc>
          <w:tcPr>
            <w:tcW w:w="3008"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±6,3</w:t>
            </w:r>
          </w:p>
        </w:tc>
      </w:tr>
      <w:tr w:rsidR="00BD0BF2" w:rsidRPr="004E3FE9" w:rsidTr="00721EA2">
        <w:tc>
          <w:tcPr>
            <w:tcW w:w="3279"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Нирковий</w:t>
            </w:r>
          </w:p>
        </w:tc>
        <w:tc>
          <w:tcPr>
            <w:tcW w:w="31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w:t>
            </w:r>
          </w:p>
        </w:tc>
        <w:tc>
          <w:tcPr>
            <w:tcW w:w="3008"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±4,6</w:t>
            </w:r>
          </w:p>
        </w:tc>
      </w:tr>
    </w:tbl>
    <w:p w:rsidR="00BD0BF2" w:rsidRPr="004E3FE9" w:rsidRDefault="00BD0BF2" w:rsidP="00C518BC">
      <w:pPr>
        <w:spacing w:line="360" w:lineRule="auto"/>
        <w:contextualSpacing/>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Як свідчать дані табл. 3.4, шкіряний синдром реєстрували у всіх дітей основної групи. Не на багато менше, а саме у 50 (83,3</w:t>
      </w:r>
      <w:r w:rsidRPr="004E3FE9">
        <w:rPr>
          <w:rFonts w:ascii="Times New Roman" w:eastAsia="Times New Roman" w:hAnsi="Times New Roman" w:cs="Times New Roman"/>
          <w:sz w:val="28"/>
          <w:szCs w:val="28"/>
          <w:lang w:val="uk-UA" w:eastAsia="ru-RU"/>
        </w:rPr>
        <w:t>±4,8%</w:t>
      </w:r>
      <w:r w:rsidRPr="004E3FE9">
        <w:rPr>
          <w:rFonts w:ascii="Times New Roman" w:hAnsi="Times New Roman" w:cs="Times New Roman"/>
          <w:sz w:val="28"/>
          <w:szCs w:val="28"/>
          <w:lang w:val="uk-UA"/>
        </w:rPr>
        <w:t>) дітей зафіксований суглобовий синдром. Також з’ясовано, що майже у кожної 2 хворої дитини реєструвався абдомінальний синдром та у кожної 5 – нирковий синдром. Таким чином, дивлячись на представлені дані, число зареєстрованих синдромів більше числа дітей, які знаходились під наглядом, що пояснюється різноманітними варіантами поєднання синдромів у дітей , хворих на геморагічний васкуліт.</w:t>
      </w:r>
    </w:p>
    <w:p w:rsidR="00BD0BF2" w:rsidRPr="004E3FE9" w:rsidRDefault="00BD0BF2" w:rsidP="00C518BC">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Під час розгляду нозологічної структури обстежуваних дітей, виявлено, що у 8 (13,3</w:t>
      </w:r>
      <w:r w:rsidRPr="004E3FE9">
        <w:rPr>
          <w:rFonts w:ascii="Times New Roman" w:eastAsia="Times New Roman" w:hAnsi="Times New Roman" w:cs="Times New Roman"/>
          <w:sz w:val="28"/>
          <w:szCs w:val="28"/>
          <w:lang w:val="uk-UA" w:eastAsia="ru-RU"/>
        </w:rPr>
        <w:t>±4,3%</w:t>
      </w:r>
      <w:r w:rsidRPr="004E3FE9">
        <w:rPr>
          <w:rFonts w:ascii="Times New Roman" w:hAnsi="Times New Roman" w:cs="Times New Roman"/>
          <w:sz w:val="28"/>
          <w:szCs w:val="28"/>
          <w:lang w:val="uk-UA"/>
        </w:rPr>
        <w:t>) хворих зареєстрована шкірна форма захворювання, у 24 (40</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±10</w:t>
      </w:r>
      <w:r w:rsidR="009A67C0" w:rsidRPr="004E3FE9">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w:t>
      </w:r>
      <w:r w:rsidRPr="004E3FE9">
        <w:rPr>
          <w:rFonts w:ascii="Times New Roman" w:hAnsi="Times New Roman" w:cs="Times New Roman"/>
          <w:sz w:val="28"/>
          <w:szCs w:val="28"/>
          <w:lang w:val="uk-UA"/>
        </w:rPr>
        <w:t>) – шкірно-суглобова, у 19 (31,6</w:t>
      </w:r>
      <w:r w:rsidRPr="004E3FE9">
        <w:rPr>
          <w:rFonts w:ascii="Times New Roman" w:eastAsia="Times New Roman" w:hAnsi="Times New Roman" w:cs="Times New Roman"/>
          <w:sz w:val="28"/>
          <w:szCs w:val="28"/>
          <w:lang w:val="uk-UA" w:eastAsia="ru-RU"/>
        </w:rPr>
        <w:t>±6</w:t>
      </w:r>
      <w:r w:rsidR="009A67C0" w:rsidRPr="004E3FE9">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w:t>
      </w:r>
      <w:r w:rsidRPr="004E3FE9">
        <w:rPr>
          <w:rFonts w:ascii="Times New Roman" w:hAnsi="Times New Roman" w:cs="Times New Roman"/>
          <w:sz w:val="28"/>
          <w:szCs w:val="28"/>
          <w:lang w:val="uk-UA"/>
        </w:rPr>
        <w:t>) – змішана форма ГВ та у 9 (15</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±4,6%</w:t>
      </w:r>
      <w:r w:rsidRPr="004E3FE9">
        <w:rPr>
          <w:rFonts w:ascii="Times New Roman" w:hAnsi="Times New Roman" w:cs="Times New Roman"/>
          <w:sz w:val="28"/>
          <w:szCs w:val="28"/>
          <w:lang w:val="uk-UA"/>
        </w:rPr>
        <w:t>) дітей – змішана форма з нирковим синдромом. У 40 (66,6</w:t>
      </w:r>
      <w:r w:rsidRPr="004E3FE9">
        <w:rPr>
          <w:rFonts w:ascii="Times New Roman" w:eastAsia="Times New Roman" w:hAnsi="Times New Roman" w:cs="Times New Roman"/>
          <w:sz w:val="28"/>
          <w:szCs w:val="28"/>
          <w:lang w:val="uk-UA" w:eastAsia="ru-RU"/>
        </w:rPr>
        <w:t>±6,2%</w:t>
      </w:r>
      <w:r w:rsidRPr="004E3FE9">
        <w:rPr>
          <w:rFonts w:ascii="Times New Roman" w:hAnsi="Times New Roman" w:cs="Times New Roman"/>
          <w:sz w:val="28"/>
          <w:szCs w:val="28"/>
          <w:lang w:val="uk-UA"/>
        </w:rPr>
        <w:t>) дітей реєструвався гострий перебіг захворювання, у 3 (5</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±2,8%</w:t>
      </w:r>
      <w:r w:rsidRPr="004E3FE9">
        <w:rPr>
          <w:rFonts w:ascii="Times New Roman" w:hAnsi="Times New Roman" w:cs="Times New Roman"/>
          <w:sz w:val="28"/>
          <w:szCs w:val="28"/>
          <w:lang w:val="uk-UA"/>
        </w:rPr>
        <w:t>) – затяжний та у 17 (28,3</w:t>
      </w:r>
      <w:r w:rsidRPr="004E3FE9">
        <w:rPr>
          <w:rFonts w:ascii="Times New Roman" w:eastAsia="Times New Roman" w:hAnsi="Times New Roman" w:cs="Times New Roman"/>
          <w:sz w:val="28"/>
          <w:szCs w:val="28"/>
          <w:lang w:val="uk-UA" w:eastAsia="ru-RU"/>
        </w:rPr>
        <w:t>±5,8%</w:t>
      </w:r>
      <w:r w:rsidRPr="004E3FE9">
        <w:rPr>
          <w:rFonts w:ascii="Times New Roman" w:hAnsi="Times New Roman" w:cs="Times New Roman"/>
          <w:sz w:val="28"/>
          <w:szCs w:val="28"/>
          <w:lang w:val="uk-UA"/>
        </w:rPr>
        <w:t>) – рецидивуючий перебіг ГВ. З табл. 3.5 видно, що гострий перебіг захворювання зустрічався переважно при шкірно-суглобовій та змішаній формах ГВ (77,5</w:t>
      </w:r>
      <w:r w:rsidRPr="004E3FE9">
        <w:rPr>
          <w:rFonts w:ascii="Times New Roman" w:eastAsia="Times New Roman" w:hAnsi="Times New Roman" w:cs="Times New Roman"/>
          <w:sz w:val="28"/>
          <w:szCs w:val="28"/>
          <w:lang w:val="uk-UA" w:eastAsia="ru-RU"/>
        </w:rPr>
        <w:t>±6,6%</w:t>
      </w:r>
      <w:r w:rsidRPr="004E3FE9">
        <w:rPr>
          <w:rFonts w:ascii="Times New Roman" w:hAnsi="Times New Roman" w:cs="Times New Roman"/>
          <w:sz w:val="28"/>
          <w:szCs w:val="28"/>
          <w:lang w:val="uk-UA"/>
        </w:rPr>
        <w:t xml:space="preserve">), затяжний перебіг зафіксовано лише при змішаній та змішаній формах з нирковим синдромом та рецидивуючий </w:t>
      </w:r>
      <w:r w:rsidRPr="004E3FE9">
        <w:rPr>
          <w:rFonts w:ascii="Times New Roman" w:hAnsi="Times New Roman" w:cs="Times New Roman"/>
          <w:sz w:val="28"/>
          <w:szCs w:val="28"/>
          <w:lang w:val="uk-UA"/>
        </w:rPr>
        <w:lastRenderedPageBreak/>
        <w:t>перебіг захворювання, який зустрічався майже у третини хворих, найчастіше припадав на шкірну та шкірно-суглобову форму ГВ (70,5</w:t>
      </w:r>
      <w:r w:rsidR="009A67C0" w:rsidRPr="004E3FE9">
        <w:rPr>
          <w:rFonts w:ascii="Times New Roman" w:eastAsia="Times New Roman" w:hAnsi="Times New Roman" w:cs="Times New Roman"/>
          <w:sz w:val="28"/>
          <w:szCs w:val="28"/>
          <w:lang w:val="uk-UA" w:eastAsia="ru-RU"/>
        </w:rPr>
        <w:t>±11,0</w:t>
      </w:r>
      <w:r w:rsidRPr="004E3FE9">
        <w:rPr>
          <w:rFonts w:ascii="Times New Roman" w:eastAsia="Times New Roman" w:hAnsi="Times New Roman" w:cs="Times New Roman"/>
          <w:sz w:val="28"/>
          <w:szCs w:val="28"/>
          <w:lang w:val="uk-UA" w:eastAsia="ru-RU"/>
        </w:rPr>
        <w:t>%</w:t>
      </w:r>
      <w:r w:rsidR="00C518BC">
        <w:rPr>
          <w:rFonts w:ascii="Times New Roman" w:hAnsi="Times New Roman" w:cs="Times New Roman"/>
          <w:sz w:val="28"/>
          <w:szCs w:val="28"/>
          <w:lang w:val="uk-UA"/>
        </w:rPr>
        <w:t>).</w:t>
      </w:r>
    </w:p>
    <w:p w:rsidR="00BD0BF2" w:rsidRPr="001C558E" w:rsidRDefault="00BD0BF2" w:rsidP="00BD0BF2">
      <w:pPr>
        <w:spacing w:line="360" w:lineRule="auto"/>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3.5</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Розподіл хворих за формою та пе</w:t>
      </w:r>
      <w:r w:rsidR="00941012">
        <w:rPr>
          <w:rFonts w:ascii="Times New Roman" w:hAnsi="Times New Roman" w:cs="Times New Roman"/>
          <w:b/>
          <w:sz w:val="28"/>
          <w:szCs w:val="28"/>
          <w:lang w:val="uk-UA"/>
        </w:rPr>
        <w:t>ребігом геморагічного васкуліту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35"/>
        <w:gridCol w:w="496"/>
        <w:gridCol w:w="1210"/>
        <w:gridCol w:w="356"/>
        <w:gridCol w:w="1350"/>
        <w:gridCol w:w="540"/>
        <w:gridCol w:w="1470"/>
        <w:gridCol w:w="496"/>
        <w:gridCol w:w="1210"/>
      </w:tblGrid>
      <w:tr w:rsidR="00BD0BF2" w:rsidRPr="004E3FE9" w:rsidTr="00721EA2">
        <w:trPr>
          <w:trHeight w:val="323"/>
        </w:trPr>
        <w:tc>
          <w:tcPr>
            <w:tcW w:w="0" w:type="auto"/>
            <w:vMerge w:val="restart"/>
            <w:tcBorders>
              <w:tl2br w:val="single" w:sz="4" w:space="0" w:color="auto"/>
            </w:tcBorders>
            <w:vAlign w:val="center"/>
          </w:tcPr>
          <w:p w:rsidR="00BD0BF2" w:rsidRPr="004E3FE9" w:rsidRDefault="00BD0BF2" w:rsidP="00721EA2">
            <w:pPr>
              <w:tabs>
                <w:tab w:val="left" w:pos="252"/>
              </w:tabs>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Перебіг</w:t>
            </w:r>
          </w:p>
          <w:p w:rsidR="00BD0BF2" w:rsidRPr="004E3FE9" w:rsidRDefault="00BD0BF2" w:rsidP="00721EA2">
            <w:pPr>
              <w:tabs>
                <w:tab w:val="left" w:pos="252"/>
              </w:tabs>
              <w:spacing w:after="0" w:line="360" w:lineRule="auto"/>
              <w:contextualSpacing/>
              <w:jc w:val="center"/>
              <w:rPr>
                <w:rFonts w:ascii="Times New Roman" w:eastAsia="Times New Roman" w:hAnsi="Times New Roman" w:cs="Times New Roman"/>
                <w:sz w:val="28"/>
                <w:szCs w:val="28"/>
                <w:lang w:val="uk-UA" w:eastAsia="ru-RU"/>
              </w:rPr>
            </w:pPr>
          </w:p>
          <w:p w:rsidR="00BD0BF2" w:rsidRPr="004E3FE9" w:rsidRDefault="00BD0BF2" w:rsidP="00721EA2">
            <w:pPr>
              <w:tabs>
                <w:tab w:val="left" w:pos="252"/>
              </w:tabs>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Форма</w:t>
            </w:r>
          </w:p>
        </w:tc>
        <w:tc>
          <w:tcPr>
            <w:tcW w:w="0" w:type="auto"/>
            <w:gridSpan w:val="2"/>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Гострий</w:t>
            </w:r>
          </w:p>
        </w:tc>
        <w:tc>
          <w:tcPr>
            <w:tcW w:w="0" w:type="auto"/>
            <w:gridSpan w:val="2"/>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Затяжний</w:t>
            </w:r>
          </w:p>
        </w:tc>
        <w:tc>
          <w:tcPr>
            <w:tcW w:w="0" w:type="auto"/>
            <w:gridSpan w:val="2"/>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Рецидивуючий</w:t>
            </w:r>
          </w:p>
        </w:tc>
        <w:tc>
          <w:tcPr>
            <w:tcW w:w="0" w:type="auto"/>
            <w:gridSpan w:val="2"/>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Усього</w:t>
            </w:r>
          </w:p>
        </w:tc>
      </w:tr>
      <w:tr w:rsidR="00BD0BF2" w:rsidRPr="004E3FE9" w:rsidTr="00721EA2">
        <w:trPr>
          <w:trHeight w:val="322"/>
        </w:trPr>
        <w:tc>
          <w:tcPr>
            <w:tcW w:w="0" w:type="auto"/>
            <w:vMerge/>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шкірна</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3</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7,5±4,1</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5</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29,4±11</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8</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13,3</w:t>
            </w:r>
            <w:r w:rsidRPr="004E3FE9">
              <w:rPr>
                <w:rFonts w:ascii="Times New Roman" w:eastAsia="Times New Roman" w:hAnsi="Times New Roman" w:cs="Times New Roman"/>
                <w:sz w:val="28"/>
                <w:szCs w:val="28"/>
                <w:lang w:val="uk-UA" w:eastAsia="ru-RU"/>
              </w:rPr>
              <w:t>±4,3</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шкірно-суглобова</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17</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42,5±7,8</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41,1±11,9</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24</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40</w:t>
            </w:r>
            <w:r w:rsidR="009A67C0" w:rsidRPr="004E3FE9">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±6,3</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 форма</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14</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35</w:t>
            </w:r>
            <w:r w:rsidR="009A67C0" w:rsidRPr="004E3FE9">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±7,5</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33,3±27,2</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4</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23,5±10,2</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19</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31,6</w:t>
            </w:r>
            <w:r w:rsidRPr="004E3FE9">
              <w:rPr>
                <w:rFonts w:ascii="Times New Roman" w:eastAsia="Times New Roman" w:hAnsi="Times New Roman" w:cs="Times New Roman"/>
                <w:sz w:val="28"/>
                <w:szCs w:val="28"/>
                <w:lang w:val="uk-UA" w:eastAsia="ru-RU"/>
              </w:rPr>
              <w:t>±6</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 форма з нирковим синдромом</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6</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15</w:t>
            </w:r>
            <w:r w:rsidR="009A67C0" w:rsidRPr="004E3FE9">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±5,6</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66,6±27,2</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5,8±5,6</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9</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15</w:t>
            </w:r>
            <w:r w:rsidR="009A67C0" w:rsidRPr="004E3FE9">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±4,6</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Усього</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40</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66,6</w:t>
            </w:r>
            <w:r w:rsidRPr="004E3FE9">
              <w:rPr>
                <w:rFonts w:ascii="Times New Roman" w:eastAsia="Times New Roman" w:hAnsi="Times New Roman" w:cs="Times New Roman"/>
                <w:sz w:val="28"/>
                <w:szCs w:val="28"/>
                <w:lang w:val="uk-UA" w:eastAsia="ru-RU"/>
              </w:rPr>
              <w:t>±6*</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3</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5</w:t>
            </w:r>
            <w:r w:rsidR="009A67C0" w:rsidRPr="004E3FE9">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±2,8*</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17</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28,3</w:t>
            </w:r>
            <w:r w:rsidRPr="004E3FE9">
              <w:rPr>
                <w:rFonts w:ascii="Times New Roman" w:eastAsia="Times New Roman" w:hAnsi="Times New Roman" w:cs="Times New Roman"/>
                <w:sz w:val="28"/>
                <w:szCs w:val="28"/>
                <w:lang w:val="uk-UA" w:eastAsia="ru-RU"/>
              </w:rPr>
              <w:t>±5,8*</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60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100</w:t>
            </w:r>
          </w:p>
        </w:tc>
      </w:tr>
    </w:tbl>
    <w:p w:rsidR="00BD0BF2" w:rsidRPr="004E3FE9" w:rsidRDefault="001C558E" w:rsidP="00BD0BF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w:t>
      </w:r>
      <w:r w:rsidR="00BD0BF2" w:rsidRPr="004E3FE9">
        <w:rPr>
          <w:rFonts w:ascii="Times New Roman" w:hAnsi="Times New Roman" w:cs="Times New Roman"/>
          <w:sz w:val="28"/>
          <w:szCs w:val="28"/>
          <w:lang w:val="uk-UA"/>
        </w:rPr>
        <w:t xml:space="preserve"> * - % від загальної кількості хворих</w:t>
      </w:r>
      <w:r>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 залежності від виразності клінічних проявів захворювання та ступеня змін лабораторних показників (аналогічно критеріям Киселя-Джонса-Нестерова – при гострій ревматичній лихоманці) виділили І, ІІ та ІІІ ступень активності геморагічного васкуліту. З’ясовано, що з І ступенем активності спостерігали 19 (31,6</w:t>
      </w:r>
      <w:r w:rsidRPr="004E3FE9">
        <w:rPr>
          <w:rFonts w:ascii="Times New Roman" w:eastAsia="Times New Roman" w:hAnsi="Times New Roman" w:cs="Times New Roman"/>
          <w:sz w:val="28"/>
          <w:szCs w:val="28"/>
          <w:lang w:val="uk-UA" w:eastAsia="ru-RU"/>
        </w:rPr>
        <w:t>±6</w:t>
      </w:r>
      <w:r w:rsidR="009A67C0" w:rsidRPr="004E3FE9">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w:t>
      </w:r>
      <w:r w:rsidRPr="004E3FE9">
        <w:rPr>
          <w:rFonts w:ascii="Times New Roman" w:hAnsi="Times New Roman" w:cs="Times New Roman"/>
          <w:sz w:val="28"/>
          <w:szCs w:val="28"/>
          <w:lang w:val="uk-UA"/>
        </w:rPr>
        <w:t>) хворих, 22 (36,6</w:t>
      </w:r>
      <w:r w:rsidRPr="004E3FE9">
        <w:rPr>
          <w:rFonts w:ascii="Times New Roman" w:eastAsia="Times New Roman" w:hAnsi="Times New Roman" w:cs="Times New Roman"/>
          <w:sz w:val="28"/>
          <w:szCs w:val="28"/>
          <w:lang w:val="uk-UA" w:eastAsia="ru-RU"/>
        </w:rPr>
        <w:t>±6,2%</w:t>
      </w:r>
      <w:r w:rsidRPr="004E3FE9">
        <w:rPr>
          <w:rFonts w:ascii="Times New Roman" w:hAnsi="Times New Roman" w:cs="Times New Roman"/>
          <w:sz w:val="28"/>
          <w:szCs w:val="28"/>
          <w:lang w:val="uk-UA"/>
        </w:rPr>
        <w:t>) хворих – з ІІ ступенем та 19 (31,6</w:t>
      </w:r>
      <w:r w:rsidRPr="004E3FE9">
        <w:rPr>
          <w:rFonts w:ascii="Times New Roman" w:eastAsia="Times New Roman" w:hAnsi="Times New Roman" w:cs="Times New Roman"/>
          <w:sz w:val="28"/>
          <w:szCs w:val="28"/>
          <w:lang w:val="uk-UA" w:eastAsia="ru-RU"/>
        </w:rPr>
        <w:t>±6</w:t>
      </w:r>
      <w:r w:rsidR="009A67C0" w:rsidRPr="004E3FE9">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w:t>
      </w:r>
      <w:r w:rsidRPr="004E3FE9">
        <w:rPr>
          <w:rFonts w:ascii="Times New Roman" w:hAnsi="Times New Roman" w:cs="Times New Roman"/>
          <w:sz w:val="28"/>
          <w:szCs w:val="28"/>
          <w:lang w:val="uk-UA"/>
        </w:rPr>
        <w:t>) хворих – з ІІІ ступенем активності захворювання. Як видно з табл. 3.6, серед дітей з І ступенем переважали хворі зі шкірно-суглобовою формою (</w:t>
      </w:r>
      <w:r w:rsidRPr="004E3FE9">
        <w:rPr>
          <w:rFonts w:ascii="Times New Roman" w:eastAsia="Times New Roman" w:hAnsi="Times New Roman" w:cs="Times New Roman"/>
          <w:sz w:val="28"/>
          <w:szCs w:val="28"/>
          <w:lang w:val="uk-UA" w:eastAsia="ru-RU"/>
        </w:rPr>
        <w:t>52,6±11,4%</w:t>
      </w:r>
      <w:r w:rsidRPr="004E3FE9">
        <w:rPr>
          <w:rFonts w:ascii="Times New Roman" w:hAnsi="Times New Roman" w:cs="Times New Roman"/>
          <w:sz w:val="28"/>
          <w:szCs w:val="28"/>
          <w:lang w:val="uk-UA"/>
        </w:rPr>
        <w:t>), ІІ ступінь майже порівну розділили між собою шкірно-суглобова та змішана форми (</w:t>
      </w:r>
      <w:r w:rsidRPr="004E3FE9">
        <w:rPr>
          <w:rFonts w:ascii="Times New Roman" w:eastAsia="Times New Roman" w:hAnsi="Times New Roman" w:cs="Times New Roman"/>
          <w:sz w:val="28"/>
          <w:szCs w:val="28"/>
          <w:lang w:val="uk-UA" w:eastAsia="ru-RU"/>
        </w:rPr>
        <w:t>40,9±10,1% та45,5±10,6% відповідно</w:t>
      </w:r>
      <w:r w:rsidRPr="004E3FE9">
        <w:rPr>
          <w:rFonts w:ascii="Times New Roman" w:hAnsi="Times New Roman" w:cs="Times New Roman"/>
          <w:sz w:val="28"/>
          <w:szCs w:val="28"/>
          <w:lang w:val="uk-UA"/>
        </w:rPr>
        <w:t>) та серед дітей з ІІІ ступенем активності переважали хворі зі змішаною формою з нирковим синдромом (</w:t>
      </w:r>
      <w:r w:rsidRPr="004E3FE9">
        <w:rPr>
          <w:rFonts w:ascii="Times New Roman" w:eastAsia="Times New Roman" w:hAnsi="Times New Roman" w:cs="Times New Roman"/>
          <w:sz w:val="28"/>
          <w:szCs w:val="28"/>
          <w:lang w:val="uk-UA" w:eastAsia="ru-RU"/>
        </w:rPr>
        <w:t>47,7±11,4%</w:t>
      </w:r>
      <w:r w:rsidRPr="004E3FE9">
        <w:rPr>
          <w:rFonts w:ascii="Times New Roman" w:hAnsi="Times New Roman" w:cs="Times New Roman"/>
          <w:sz w:val="28"/>
          <w:szCs w:val="28"/>
          <w:lang w:val="uk-UA"/>
        </w:rPr>
        <w:t>), а діти зі шкірною формою з ІІІ ступенем активності не реєструвались.</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Як відомо, шкірний синдром при геморагічному васкуліті є обов’язковим та являється «паспортом» даного захворювання. У всіх випадках висип проявлявся у вигляді симетричних плямисто-папульозних геморагічних висипань, які розташовувались у 60 (100</w:t>
      </w:r>
      <w:r w:rsidR="009A67C0" w:rsidRPr="004E3FE9">
        <w:rPr>
          <w:rFonts w:ascii="Times New Roman" w:hAnsi="Times New Roman" w:cs="Times New Roman"/>
          <w:sz w:val="28"/>
          <w:szCs w:val="28"/>
          <w:lang w:val="uk-UA"/>
        </w:rPr>
        <w:t>,0</w:t>
      </w:r>
      <w:r w:rsidRPr="004E3FE9">
        <w:rPr>
          <w:rFonts w:ascii="Times New Roman" w:hAnsi="Times New Roman" w:cs="Times New Roman"/>
          <w:sz w:val="28"/>
          <w:szCs w:val="28"/>
          <w:lang w:val="uk-UA"/>
        </w:rPr>
        <w:t>%) хворих на нижніх кінцівках, у 36 (60</w:t>
      </w:r>
      <w:r w:rsidR="009A67C0" w:rsidRPr="004E3FE9">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±6,3%</w:t>
      </w:r>
      <w:r w:rsidRPr="004E3FE9">
        <w:rPr>
          <w:rFonts w:ascii="Times New Roman" w:hAnsi="Times New Roman" w:cs="Times New Roman"/>
          <w:sz w:val="28"/>
          <w:szCs w:val="28"/>
          <w:lang w:val="uk-UA"/>
        </w:rPr>
        <w:t>) хворих висип розповсюджувався на сідниці, у 21 (35</w:t>
      </w:r>
      <w:r w:rsidR="009A67C0" w:rsidRPr="004E3FE9">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±6,1%</w:t>
      </w:r>
      <w:r w:rsidRPr="004E3FE9">
        <w:rPr>
          <w:rFonts w:ascii="Times New Roman" w:hAnsi="Times New Roman" w:cs="Times New Roman"/>
          <w:sz w:val="28"/>
          <w:szCs w:val="28"/>
          <w:lang w:val="uk-UA"/>
        </w:rPr>
        <w:t>) хворого – на верхні кінцівки та у найбільш тяжких випадках (4 (6,6</w:t>
      </w:r>
      <w:r w:rsidRPr="004E3FE9">
        <w:rPr>
          <w:rFonts w:ascii="Times New Roman" w:eastAsia="Times New Roman" w:hAnsi="Times New Roman" w:cs="Times New Roman"/>
          <w:sz w:val="28"/>
          <w:szCs w:val="28"/>
          <w:lang w:val="uk-UA" w:eastAsia="ru-RU"/>
        </w:rPr>
        <w:t>±3,2%</w:t>
      </w:r>
      <w:r w:rsidRPr="004E3FE9">
        <w:rPr>
          <w:rFonts w:ascii="Times New Roman" w:hAnsi="Times New Roman" w:cs="Times New Roman"/>
          <w:sz w:val="28"/>
          <w:szCs w:val="28"/>
          <w:lang w:val="uk-UA"/>
        </w:rPr>
        <w:t>) хворих) – на шию та обличчя. У 16 (26,6</w:t>
      </w:r>
      <w:r w:rsidRPr="004E3FE9">
        <w:rPr>
          <w:rFonts w:ascii="Times New Roman" w:eastAsia="Times New Roman" w:hAnsi="Times New Roman" w:cs="Times New Roman"/>
          <w:sz w:val="28"/>
          <w:szCs w:val="28"/>
          <w:lang w:val="uk-UA" w:eastAsia="ru-RU"/>
        </w:rPr>
        <w:t>±5,7%</w:t>
      </w:r>
      <w:r w:rsidRPr="004E3FE9">
        <w:rPr>
          <w:rFonts w:ascii="Times New Roman" w:hAnsi="Times New Roman" w:cs="Times New Roman"/>
          <w:sz w:val="28"/>
          <w:szCs w:val="28"/>
          <w:lang w:val="uk-UA"/>
        </w:rPr>
        <w:t>) висип супроводжувався свербежем, у 12 (20</w:t>
      </w:r>
      <w:r w:rsidR="009A67C0" w:rsidRPr="004E3FE9">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±5,1%</w:t>
      </w:r>
      <w:r w:rsidRPr="004E3FE9">
        <w:rPr>
          <w:rFonts w:ascii="Times New Roman" w:hAnsi="Times New Roman" w:cs="Times New Roman"/>
          <w:sz w:val="28"/>
          <w:szCs w:val="28"/>
          <w:lang w:val="uk-UA"/>
        </w:rPr>
        <w:t>) хворих – печінням. У половини хворих (31 (51,6</w:t>
      </w:r>
      <w:r w:rsidRPr="004E3FE9">
        <w:rPr>
          <w:rFonts w:ascii="Times New Roman" w:eastAsia="Times New Roman" w:hAnsi="Times New Roman" w:cs="Times New Roman"/>
          <w:sz w:val="28"/>
          <w:szCs w:val="28"/>
          <w:lang w:val="uk-UA" w:eastAsia="ru-RU"/>
        </w:rPr>
        <w:t>±6,4%</w:t>
      </w:r>
      <w:r w:rsidRPr="004E3FE9">
        <w:rPr>
          <w:rFonts w:ascii="Times New Roman" w:hAnsi="Times New Roman" w:cs="Times New Roman"/>
          <w:sz w:val="28"/>
          <w:szCs w:val="28"/>
          <w:lang w:val="uk-UA"/>
        </w:rPr>
        <w:t>)) висип носив зливний характер.</w:t>
      </w:r>
    </w:p>
    <w:p w:rsidR="00BD0BF2" w:rsidRPr="001C558E" w:rsidRDefault="00BD0BF2" w:rsidP="00BD0BF2">
      <w:pPr>
        <w:spacing w:line="360" w:lineRule="auto"/>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3.6</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Розподіл хворих на геморагічний васкуліт за фо</w:t>
      </w:r>
      <w:r w:rsidR="00941012">
        <w:rPr>
          <w:rFonts w:ascii="Times New Roman" w:hAnsi="Times New Roman" w:cs="Times New Roman"/>
          <w:b/>
          <w:sz w:val="28"/>
          <w:szCs w:val="28"/>
          <w:lang w:val="uk-UA"/>
        </w:rPr>
        <w:t>рмою та активністю захворювання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19"/>
        <w:gridCol w:w="496"/>
        <w:gridCol w:w="1350"/>
        <w:gridCol w:w="496"/>
        <w:gridCol w:w="1350"/>
        <w:gridCol w:w="496"/>
        <w:gridCol w:w="1350"/>
        <w:gridCol w:w="496"/>
        <w:gridCol w:w="1210"/>
      </w:tblGrid>
      <w:tr w:rsidR="00BD0BF2" w:rsidRPr="004E3FE9" w:rsidTr="00721EA2">
        <w:trPr>
          <w:trHeight w:val="323"/>
        </w:trPr>
        <w:tc>
          <w:tcPr>
            <w:tcW w:w="0" w:type="auto"/>
            <w:vMerge w:val="restart"/>
            <w:tcBorders>
              <w:tl2br w:val="single" w:sz="4" w:space="0" w:color="auto"/>
            </w:tcBorders>
            <w:vAlign w:val="center"/>
          </w:tcPr>
          <w:p w:rsidR="00BD0BF2" w:rsidRPr="004E3FE9" w:rsidRDefault="00BD0BF2" w:rsidP="00721EA2">
            <w:pPr>
              <w:tabs>
                <w:tab w:val="left" w:pos="252"/>
              </w:tabs>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Активність</w:t>
            </w:r>
          </w:p>
          <w:p w:rsidR="00BD0BF2" w:rsidRPr="004E3FE9" w:rsidRDefault="00BD0BF2" w:rsidP="00721EA2">
            <w:pPr>
              <w:tabs>
                <w:tab w:val="left" w:pos="252"/>
              </w:tabs>
              <w:spacing w:after="0" w:line="360" w:lineRule="auto"/>
              <w:contextualSpacing/>
              <w:jc w:val="center"/>
              <w:rPr>
                <w:rFonts w:ascii="Times New Roman" w:eastAsia="Times New Roman" w:hAnsi="Times New Roman" w:cs="Times New Roman"/>
                <w:sz w:val="28"/>
                <w:szCs w:val="28"/>
                <w:lang w:val="uk-UA" w:eastAsia="ru-RU"/>
              </w:rPr>
            </w:pPr>
          </w:p>
          <w:p w:rsidR="00BD0BF2" w:rsidRPr="004E3FE9" w:rsidRDefault="00BD0BF2" w:rsidP="00721EA2">
            <w:pPr>
              <w:tabs>
                <w:tab w:val="left" w:pos="252"/>
              </w:tabs>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Форма</w:t>
            </w:r>
          </w:p>
        </w:tc>
        <w:tc>
          <w:tcPr>
            <w:tcW w:w="0" w:type="auto"/>
            <w:gridSpan w:val="2"/>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І ступінь</w:t>
            </w:r>
          </w:p>
        </w:tc>
        <w:tc>
          <w:tcPr>
            <w:tcW w:w="0" w:type="auto"/>
            <w:gridSpan w:val="2"/>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ІІ ступінь</w:t>
            </w:r>
          </w:p>
        </w:tc>
        <w:tc>
          <w:tcPr>
            <w:tcW w:w="0" w:type="auto"/>
            <w:gridSpan w:val="2"/>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ІІІ ступінь</w:t>
            </w:r>
          </w:p>
        </w:tc>
        <w:tc>
          <w:tcPr>
            <w:tcW w:w="0" w:type="auto"/>
            <w:gridSpan w:val="2"/>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Усього</w:t>
            </w:r>
          </w:p>
        </w:tc>
      </w:tr>
      <w:tr w:rsidR="00BD0BF2" w:rsidRPr="004E3FE9" w:rsidTr="00721EA2">
        <w:trPr>
          <w:trHeight w:val="322"/>
        </w:trPr>
        <w:tc>
          <w:tcPr>
            <w:tcW w:w="0" w:type="auto"/>
            <w:vMerge/>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n</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р%±s</w:t>
            </w:r>
            <w:r w:rsidRPr="004E3FE9">
              <w:rPr>
                <w:rFonts w:ascii="Times New Roman" w:eastAsia="Times New Roman" w:hAnsi="Times New Roman" w:cs="Times New Roman"/>
                <w:sz w:val="28"/>
                <w:szCs w:val="28"/>
                <w:vertAlign w:val="subscript"/>
                <w:lang w:val="uk-UA" w:eastAsia="ru-RU"/>
              </w:rPr>
              <w:t>p%</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шкірна</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5</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26,3±10,1</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3</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13,6±7,3</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8</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13,3</w:t>
            </w:r>
            <w:r w:rsidRPr="004E3FE9">
              <w:rPr>
                <w:rFonts w:ascii="Times New Roman" w:eastAsia="Times New Roman" w:hAnsi="Times New Roman" w:cs="Times New Roman"/>
                <w:sz w:val="28"/>
                <w:szCs w:val="28"/>
                <w:lang w:val="uk-UA" w:eastAsia="ru-RU"/>
              </w:rPr>
              <w:t>±4,3</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шкірно-суглобова</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52,6±11,4</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9</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40,9±10,4</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5</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26,3±10,1</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24</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40</w:t>
            </w:r>
            <w:r w:rsidR="009A67C0" w:rsidRPr="004E3FE9">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±6,3</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 форма</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4</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21</w:t>
            </w:r>
            <w:r w:rsidR="009A67C0" w:rsidRPr="004E3FE9">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±9,3</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45,5±10,6</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5</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26,3±10,1</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19</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31,6</w:t>
            </w:r>
            <w:r w:rsidRPr="004E3FE9">
              <w:rPr>
                <w:rFonts w:ascii="Times New Roman" w:eastAsia="Times New Roman" w:hAnsi="Times New Roman" w:cs="Times New Roman"/>
                <w:sz w:val="28"/>
                <w:szCs w:val="28"/>
                <w:lang w:val="uk-UA" w:eastAsia="ru-RU"/>
              </w:rPr>
              <w:t>±6</w:t>
            </w:r>
            <w:r w:rsidR="009A67C0" w:rsidRPr="004E3FE9">
              <w:rPr>
                <w:rFonts w:ascii="Times New Roman" w:eastAsia="Times New Roman" w:hAnsi="Times New Roman" w:cs="Times New Roman"/>
                <w:sz w:val="28"/>
                <w:szCs w:val="28"/>
                <w:lang w:val="uk-UA" w:eastAsia="ru-RU"/>
              </w:rPr>
              <w:t>,0</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 форма з нирковим синдромом</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0</w:t>
            </w:r>
          </w:p>
        </w:tc>
        <w:tc>
          <w:tcPr>
            <w:tcW w:w="0" w:type="auto"/>
            <w:shd w:val="clear" w:color="auto" w:fill="auto"/>
            <w:vAlign w:val="center"/>
          </w:tcPr>
          <w:p w:rsidR="00BD0BF2" w:rsidRPr="004E3FE9" w:rsidRDefault="003A3A9E" w:rsidP="00721EA2">
            <w:pPr>
              <w:spacing w:after="0" w:line="360" w:lineRule="auto"/>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9</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47,7±11,4</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9</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15</w:t>
            </w:r>
            <w:r w:rsidR="009A67C0" w:rsidRPr="004E3FE9">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±4,6</w:t>
            </w:r>
          </w:p>
        </w:tc>
      </w:tr>
      <w:tr w:rsidR="00BD0BF2" w:rsidRPr="004E3FE9" w:rsidTr="00721EA2">
        <w:trPr>
          <w:trHeight w:val="454"/>
        </w:trPr>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Усього</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19</w:t>
            </w:r>
          </w:p>
        </w:tc>
        <w:tc>
          <w:tcPr>
            <w:tcW w:w="0" w:type="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31,6</w:t>
            </w:r>
            <w:r w:rsidRPr="004E3FE9">
              <w:rPr>
                <w:rFonts w:ascii="Times New Roman" w:eastAsia="Times New Roman" w:hAnsi="Times New Roman" w:cs="Times New Roman"/>
                <w:sz w:val="28"/>
                <w:szCs w:val="28"/>
                <w:lang w:val="uk-UA" w:eastAsia="ru-RU"/>
              </w:rPr>
              <w:t>±6</w:t>
            </w:r>
            <w:r w:rsidR="009A67C0" w:rsidRPr="004E3FE9">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22</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36,6</w:t>
            </w:r>
            <w:r w:rsidRPr="004E3FE9">
              <w:rPr>
                <w:rFonts w:ascii="Times New Roman" w:eastAsia="Times New Roman" w:hAnsi="Times New Roman" w:cs="Times New Roman"/>
                <w:sz w:val="28"/>
                <w:szCs w:val="28"/>
                <w:lang w:val="uk-UA" w:eastAsia="ru-RU"/>
              </w:rPr>
              <w:t>±6,</w:t>
            </w:r>
            <w:r w:rsidR="009A67C0" w:rsidRPr="004E3FE9">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19</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31,6</w:t>
            </w:r>
            <w:r w:rsidRPr="004E3FE9">
              <w:rPr>
                <w:rFonts w:ascii="Times New Roman" w:eastAsia="Times New Roman" w:hAnsi="Times New Roman" w:cs="Times New Roman"/>
                <w:sz w:val="28"/>
                <w:szCs w:val="28"/>
                <w:lang w:val="uk-UA" w:eastAsia="ru-RU"/>
              </w:rPr>
              <w:t>±6</w:t>
            </w:r>
            <w:r w:rsidR="009A67C0" w:rsidRPr="004E3FE9">
              <w:rPr>
                <w:rFonts w:ascii="Times New Roman" w:eastAsia="Times New Roman" w:hAnsi="Times New Roman" w:cs="Times New Roman"/>
                <w:sz w:val="28"/>
                <w:szCs w:val="28"/>
                <w:lang w:val="uk-UA" w:eastAsia="ru-RU"/>
              </w:rPr>
              <w:t>,0</w:t>
            </w:r>
            <w:r w:rsidRPr="004E3FE9">
              <w:rPr>
                <w:rFonts w:ascii="Times New Roman" w:eastAsia="Times New Roman" w:hAnsi="Times New Roman" w:cs="Times New Roman"/>
                <w:sz w:val="28"/>
                <w:szCs w:val="28"/>
                <w:lang w:val="uk-UA" w:eastAsia="ru-RU"/>
              </w:rPr>
              <w:t>*</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60</w:t>
            </w:r>
          </w:p>
        </w:tc>
        <w:tc>
          <w:tcPr>
            <w:tcW w:w="0" w:type="auto"/>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100</w:t>
            </w:r>
          </w:p>
        </w:tc>
      </w:tr>
    </w:tbl>
    <w:p w:rsidR="00BD0BF2" w:rsidRPr="004E3FE9" w:rsidRDefault="001C558E" w:rsidP="00BD0BF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w:t>
      </w:r>
      <w:r w:rsidR="00BD0BF2" w:rsidRPr="004E3FE9">
        <w:rPr>
          <w:rFonts w:ascii="Times New Roman" w:hAnsi="Times New Roman" w:cs="Times New Roman"/>
          <w:sz w:val="28"/>
          <w:szCs w:val="28"/>
          <w:lang w:val="uk-UA"/>
        </w:rPr>
        <w:t xml:space="preserve"> * - % від загальної кількості хворих</w:t>
      </w:r>
      <w:r>
        <w:rPr>
          <w:rFonts w:ascii="Times New Roman" w:hAnsi="Times New Roman" w:cs="Times New Roman"/>
          <w:sz w:val="28"/>
          <w:szCs w:val="28"/>
          <w:lang w:val="uk-UA"/>
        </w:rPr>
        <w:t>.</w:t>
      </w:r>
      <w:r w:rsidR="00BD0BF2"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Суглобовий синдром зустрічався другим за частотою у 50 (83,3</w:t>
      </w:r>
      <w:r w:rsidRPr="004E3FE9">
        <w:rPr>
          <w:rFonts w:ascii="Times New Roman" w:eastAsia="Times New Roman" w:hAnsi="Times New Roman" w:cs="Times New Roman"/>
          <w:sz w:val="28"/>
          <w:szCs w:val="28"/>
          <w:lang w:val="uk-UA" w:eastAsia="ru-RU"/>
        </w:rPr>
        <w:t>±4,8%</w:t>
      </w:r>
      <w:r w:rsidRPr="004E3FE9">
        <w:rPr>
          <w:rFonts w:ascii="Times New Roman" w:hAnsi="Times New Roman" w:cs="Times New Roman"/>
          <w:sz w:val="28"/>
          <w:szCs w:val="28"/>
          <w:lang w:val="uk-UA"/>
        </w:rPr>
        <w:t>) хворих та виникав водночас зі шкірним. Клінічно даний синдром проявлявся артралгіями, набряком та обмеженням рухів. У 8 (16</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±5,1%</w:t>
      </w:r>
      <w:r w:rsidRPr="004E3FE9">
        <w:rPr>
          <w:rFonts w:ascii="Times New Roman" w:hAnsi="Times New Roman" w:cs="Times New Roman"/>
          <w:sz w:val="28"/>
          <w:szCs w:val="28"/>
          <w:lang w:val="uk-UA"/>
        </w:rPr>
        <w:t>) хворих зафіксована гіперемія уражених суглобів. Найбільш часто уражались гомілкові суглоби (47 (94</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±3,3%</w:t>
      </w:r>
      <w:r w:rsidRPr="004E3FE9">
        <w:rPr>
          <w:rFonts w:ascii="Times New Roman" w:hAnsi="Times New Roman" w:cs="Times New Roman"/>
          <w:sz w:val="28"/>
          <w:szCs w:val="28"/>
          <w:lang w:val="uk-UA"/>
        </w:rPr>
        <w:t xml:space="preserve">) хворих), на другому місці колінні суглоби </w:t>
      </w:r>
      <w:r w:rsidRPr="004E3FE9">
        <w:rPr>
          <w:rFonts w:ascii="Times New Roman" w:hAnsi="Times New Roman" w:cs="Times New Roman"/>
          <w:sz w:val="28"/>
          <w:szCs w:val="28"/>
          <w:lang w:val="uk-UA"/>
        </w:rPr>
        <w:lastRenderedPageBreak/>
        <w:t>– у 19 (38</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±6,8%</w:t>
      </w:r>
      <w:r w:rsidRPr="004E3FE9">
        <w:rPr>
          <w:rFonts w:ascii="Times New Roman" w:hAnsi="Times New Roman" w:cs="Times New Roman"/>
          <w:sz w:val="28"/>
          <w:szCs w:val="28"/>
          <w:lang w:val="uk-UA"/>
        </w:rPr>
        <w:t>) хворих, потім – променевозапястні (7 (14</w:t>
      </w:r>
      <w:r w:rsidR="00941012">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±4,9%</w:t>
      </w:r>
      <w:r w:rsidRPr="004E3FE9">
        <w:rPr>
          <w:rFonts w:ascii="Times New Roman" w:hAnsi="Times New Roman" w:cs="Times New Roman"/>
          <w:sz w:val="28"/>
          <w:szCs w:val="28"/>
          <w:lang w:val="uk-UA"/>
        </w:rPr>
        <w:t>) дітей) та лише у однієї дитини зафіксовано ураження ліктьового суглобу.</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Абдомінальний синдром встановлено у 25 (42</w:t>
      </w:r>
      <w:r w:rsidR="009A67C0" w:rsidRPr="004E3FE9">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±6,3%</w:t>
      </w:r>
      <w:r w:rsidRPr="004E3FE9">
        <w:rPr>
          <w:rFonts w:ascii="Times New Roman" w:hAnsi="Times New Roman" w:cs="Times New Roman"/>
          <w:sz w:val="28"/>
          <w:szCs w:val="28"/>
          <w:lang w:val="uk-UA"/>
        </w:rPr>
        <w:t>) хворих, який проявлявся у всіх хворих вираженими схваткоподібними болями без чіткої локалізації. Крім цього у 8 (32</w:t>
      </w:r>
      <w:r w:rsidR="009A67C0" w:rsidRPr="004E3FE9">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±9,3%</w:t>
      </w:r>
      <w:r w:rsidRPr="004E3FE9">
        <w:rPr>
          <w:rFonts w:ascii="Times New Roman" w:hAnsi="Times New Roman" w:cs="Times New Roman"/>
          <w:sz w:val="28"/>
          <w:szCs w:val="28"/>
          <w:lang w:val="uk-UA"/>
        </w:rPr>
        <w:t>) хворих зареєстровані диспепт</w:t>
      </w:r>
      <w:r w:rsidR="009A67C0" w:rsidRPr="004E3FE9">
        <w:rPr>
          <w:rFonts w:ascii="Times New Roman" w:hAnsi="Times New Roman" w:cs="Times New Roman"/>
          <w:sz w:val="28"/>
          <w:szCs w:val="28"/>
          <w:lang w:val="uk-UA"/>
        </w:rPr>
        <w:t>ичні розлади з боку Ш</w:t>
      </w:r>
      <w:r w:rsidRPr="004E3FE9">
        <w:rPr>
          <w:rFonts w:ascii="Times New Roman" w:hAnsi="Times New Roman" w:cs="Times New Roman"/>
          <w:sz w:val="28"/>
          <w:szCs w:val="28"/>
          <w:lang w:val="uk-UA"/>
        </w:rPr>
        <w:t xml:space="preserve">КТ у вигляді нудоти та блювання та у 2 хворих – у вигляді послаблення стулу.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Нирковий синдром зустрічався у 9 (15</w:t>
      </w:r>
      <w:r w:rsidR="009A67C0" w:rsidRPr="004E3FE9">
        <w:rPr>
          <w:rFonts w:ascii="Times New Roman" w:hAnsi="Times New Roman" w:cs="Times New Roman"/>
          <w:sz w:val="28"/>
          <w:szCs w:val="28"/>
          <w:lang w:val="uk-UA"/>
        </w:rPr>
        <w:t>,0</w:t>
      </w:r>
      <w:r w:rsidRPr="004E3FE9">
        <w:rPr>
          <w:rFonts w:ascii="Times New Roman" w:eastAsia="Times New Roman" w:hAnsi="Times New Roman" w:cs="Times New Roman"/>
          <w:sz w:val="28"/>
          <w:szCs w:val="28"/>
          <w:lang w:val="uk-UA" w:eastAsia="ru-RU"/>
        </w:rPr>
        <w:t>±4,6%</w:t>
      </w:r>
      <w:r w:rsidRPr="004E3FE9">
        <w:rPr>
          <w:rFonts w:ascii="Times New Roman" w:hAnsi="Times New Roman" w:cs="Times New Roman"/>
          <w:sz w:val="28"/>
          <w:szCs w:val="28"/>
          <w:lang w:val="uk-UA"/>
        </w:rPr>
        <w:t xml:space="preserve">) хворих наряду з іншими трьома синдромами. Його наявність характеризувалась змінами в загальному аналізі сечі у вигляді гематурії, протеїнурії та циліндрурії, а також порушенням функції нирок з подальшим збільшенням значень креатинину, сечовини та зниженням швидкості клубочкової фільтрації.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Default="00BD0BF2" w:rsidP="00A51BD1">
      <w:pPr>
        <w:pStyle w:val="2"/>
        <w:spacing w:line="360" w:lineRule="auto"/>
        <w:rPr>
          <w:rFonts w:ascii="Times New Roman" w:hAnsi="Times New Roman" w:cs="Times New Roman"/>
          <w:color w:val="000000" w:themeColor="text1"/>
          <w:sz w:val="28"/>
          <w:szCs w:val="28"/>
          <w:lang w:val="uk-UA"/>
        </w:rPr>
      </w:pPr>
      <w:bookmarkStart w:id="13" w:name="_Toc465797610"/>
      <w:r w:rsidRPr="004E3FE9">
        <w:rPr>
          <w:rFonts w:ascii="Times New Roman" w:hAnsi="Times New Roman" w:cs="Times New Roman"/>
          <w:color w:val="000000" w:themeColor="text1"/>
          <w:sz w:val="28"/>
          <w:szCs w:val="28"/>
          <w:lang w:val="uk-UA"/>
        </w:rPr>
        <w:t>3.2</w:t>
      </w:r>
      <w:r w:rsidR="0061729E">
        <w:rPr>
          <w:rFonts w:ascii="Times New Roman" w:hAnsi="Times New Roman" w:cs="Times New Roman"/>
          <w:color w:val="000000" w:themeColor="text1"/>
          <w:sz w:val="28"/>
          <w:szCs w:val="28"/>
          <w:lang w:val="uk-UA"/>
        </w:rPr>
        <w:t>.</w:t>
      </w:r>
      <w:r w:rsidRPr="004E3FE9">
        <w:rPr>
          <w:rFonts w:ascii="Times New Roman" w:hAnsi="Times New Roman" w:cs="Times New Roman"/>
          <w:color w:val="000000" w:themeColor="text1"/>
          <w:sz w:val="28"/>
          <w:szCs w:val="28"/>
          <w:lang w:val="uk-UA"/>
        </w:rPr>
        <w:t xml:space="preserve"> Клініко-лабораторна характеристика дітей, хворих на геморагічний васкуліт</w:t>
      </w:r>
      <w:r w:rsidR="00A51BD1" w:rsidRPr="004E3FE9">
        <w:rPr>
          <w:rFonts w:ascii="Times New Roman" w:hAnsi="Times New Roman" w:cs="Times New Roman"/>
          <w:color w:val="000000" w:themeColor="text1"/>
          <w:sz w:val="28"/>
          <w:szCs w:val="28"/>
          <w:lang w:val="uk-UA"/>
        </w:rPr>
        <w:t>, залежно</w:t>
      </w:r>
      <w:r w:rsidRPr="004E3FE9">
        <w:rPr>
          <w:rFonts w:ascii="Times New Roman" w:hAnsi="Times New Roman" w:cs="Times New Roman"/>
          <w:color w:val="000000" w:themeColor="text1"/>
          <w:sz w:val="28"/>
          <w:szCs w:val="28"/>
          <w:lang w:val="uk-UA"/>
        </w:rPr>
        <w:t xml:space="preserve"> від ступеня активності патологічного процесу</w:t>
      </w:r>
      <w:bookmarkEnd w:id="13"/>
    </w:p>
    <w:p w:rsidR="00C518BC" w:rsidRPr="00C518BC" w:rsidRDefault="00C518BC" w:rsidP="00C518BC">
      <w:pPr>
        <w:rPr>
          <w:lang w:val="uk-UA"/>
        </w:rPr>
      </w:pPr>
    </w:p>
    <w:p w:rsidR="00BD0BF2" w:rsidRPr="004E3FE9" w:rsidRDefault="00BD0BF2" w:rsidP="00A51BD1">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З урахуванням важкості перебігу та ступеня активності патологічного процесу всі діти були поділені на наступні групи: 1 група - пацієнти з легким перебігом захворювання або І ступенем активності (n=19), 2 група - діти із середньотяжким перебігом або ІІ ступенем активності ГВ (n=22) і 3 група - з важким перебігом або ІІІ ступенем активності (n=19). Розподіл хворих за віком і статтю в обстежуваних групах дітей представлений в табл. 3.7.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Як видно з табл. 3.7, серед дітей 1, 2 та 3 груп спостерігається тенденція до зростання відносної кількості пацієнтів чоловічої статі (52,6±6,4%, 63,6±6,2%, 57,8±6,3%, відповідно). Отримані результати співпадають із загальновідомими даними літератури щодо більшої вірогідності розвитку геморагічного васкуліту серед пацієнтів чоловічої статі. В нашому дослідженні загальна кількість хлопчиків серед дітей 1 групи в 1,1 рази більше, серед дітей 2 групи в – 1,75 рази більше хлопчиків, серед </w:t>
      </w:r>
      <w:r w:rsidRPr="004E3FE9">
        <w:rPr>
          <w:rFonts w:ascii="Times New Roman" w:hAnsi="Times New Roman" w:cs="Times New Roman"/>
          <w:sz w:val="28"/>
          <w:szCs w:val="28"/>
          <w:lang w:val="uk-UA"/>
        </w:rPr>
        <w:lastRenderedPageBreak/>
        <w:t>дітей 3 групи в – 1,37 рази більше хлопчиків, ніж дівчаток. Також під час аналізу вікових особливостей серед дітей 1, 2 та 3 груп спостерігається чітка тенденція до зростання питомої ваги дітей дошкільного та шкільного віку (89,2±7,1%, 77,1±8,9%, 94,7±5,1%, відповідно).</w:t>
      </w:r>
    </w:p>
    <w:p w:rsidR="00BD0BF2" w:rsidRPr="001C558E" w:rsidRDefault="00BD0BF2" w:rsidP="00BD0BF2">
      <w:pPr>
        <w:spacing w:line="360" w:lineRule="auto"/>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3.7</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Розподіл хворих обстежуваних груп дітей з ге</w:t>
      </w:r>
      <w:r w:rsidR="003A3A9E">
        <w:rPr>
          <w:rFonts w:ascii="Times New Roman" w:hAnsi="Times New Roman" w:cs="Times New Roman"/>
          <w:b/>
          <w:sz w:val="28"/>
          <w:szCs w:val="28"/>
          <w:lang w:val="uk-UA"/>
        </w:rPr>
        <w:t xml:space="preserve">морагічним васкулітом за віком </w:t>
      </w:r>
      <w:r w:rsidRPr="004E3FE9">
        <w:rPr>
          <w:rFonts w:ascii="Times New Roman" w:hAnsi="Times New Roman" w:cs="Times New Roman"/>
          <w:b/>
          <w:sz w:val="28"/>
          <w:szCs w:val="28"/>
          <w:lang w:val="uk-UA"/>
        </w:rPr>
        <w:t>і статтю</w:t>
      </w: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19"/>
        <w:gridCol w:w="1425"/>
        <w:gridCol w:w="496"/>
        <w:gridCol w:w="1350"/>
        <w:gridCol w:w="496"/>
        <w:gridCol w:w="1803"/>
        <w:gridCol w:w="435"/>
        <w:gridCol w:w="1459"/>
        <w:gridCol w:w="496"/>
        <w:gridCol w:w="1210"/>
      </w:tblGrid>
      <w:tr w:rsidR="00BD0BF2" w:rsidRPr="004E3FE9" w:rsidTr="00721EA2">
        <w:trPr>
          <w:trHeight w:val="323"/>
        </w:trPr>
        <w:tc>
          <w:tcPr>
            <w:tcW w:w="0" w:type="auto"/>
            <w:gridSpan w:val="2"/>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Групи обстежених</w:t>
            </w:r>
          </w:p>
        </w:tc>
        <w:tc>
          <w:tcPr>
            <w:tcW w:w="0" w:type="auto"/>
            <w:gridSpan w:val="2"/>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 рік – 6 років 11 міс 29 днів</w:t>
            </w:r>
          </w:p>
        </w:tc>
        <w:tc>
          <w:tcPr>
            <w:tcW w:w="0" w:type="auto"/>
            <w:gridSpan w:val="2"/>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 років – 12 років 11 міс 29 днів</w:t>
            </w:r>
          </w:p>
        </w:tc>
        <w:tc>
          <w:tcPr>
            <w:tcW w:w="0" w:type="auto"/>
            <w:gridSpan w:val="2"/>
            <w:shd w:val="clear" w:color="auto" w:fill="auto"/>
            <w:vAlign w:val="center"/>
          </w:tcPr>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13 років - 17 років</w:t>
            </w:r>
          </w:p>
          <w:p w:rsidR="00BD0BF2" w:rsidRPr="004E3FE9" w:rsidRDefault="00BD0BF2" w:rsidP="00721EA2">
            <w:pPr>
              <w:spacing w:after="0" w:line="360" w:lineRule="auto"/>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11 міс 29 днів</w:t>
            </w: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Усього</w:t>
            </w:r>
          </w:p>
        </w:tc>
      </w:tr>
      <w:tr w:rsidR="00BD0BF2" w:rsidRPr="004E3FE9" w:rsidTr="00721EA2">
        <w:trPr>
          <w:trHeight w:val="322"/>
        </w:trPr>
        <w:tc>
          <w:tcPr>
            <w:tcW w:w="0" w:type="auto"/>
            <w:gridSpan w:val="2"/>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р%±s</w:t>
            </w:r>
            <w:r w:rsidRPr="004E3FE9">
              <w:rPr>
                <w:rFonts w:ascii="Times New Roman" w:hAnsi="Times New Roman" w:cs="Times New Roman"/>
                <w:sz w:val="28"/>
                <w:szCs w:val="28"/>
                <w:vertAlign w:val="subscript"/>
                <w:lang w:val="uk-UA"/>
              </w:rPr>
              <w:t>p%</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р%±s</w:t>
            </w:r>
            <w:r w:rsidRPr="004E3FE9">
              <w:rPr>
                <w:rFonts w:ascii="Times New Roman" w:hAnsi="Times New Roman" w:cs="Times New Roman"/>
                <w:sz w:val="28"/>
                <w:szCs w:val="28"/>
                <w:vertAlign w:val="subscript"/>
                <w:lang w:val="uk-UA"/>
              </w:rPr>
              <w:t>p%</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р%±s</w:t>
            </w:r>
            <w:r w:rsidRPr="004E3FE9">
              <w:rPr>
                <w:rFonts w:ascii="Times New Roman" w:hAnsi="Times New Roman" w:cs="Times New Roman"/>
                <w:sz w:val="28"/>
                <w:szCs w:val="28"/>
                <w:vertAlign w:val="subscript"/>
                <w:lang w:val="uk-UA"/>
              </w:rPr>
              <w:t>p%</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р%±s</w:t>
            </w:r>
            <w:r w:rsidRPr="004E3FE9">
              <w:rPr>
                <w:rFonts w:ascii="Times New Roman" w:hAnsi="Times New Roman" w:cs="Times New Roman"/>
                <w:sz w:val="28"/>
                <w:szCs w:val="28"/>
                <w:vertAlign w:val="subscript"/>
                <w:lang w:val="uk-UA"/>
              </w:rPr>
              <w:t>p%</w:t>
            </w:r>
          </w:p>
        </w:tc>
      </w:tr>
      <w:tr w:rsidR="00BD0BF2" w:rsidRPr="004E3FE9" w:rsidTr="00721EA2">
        <w:trPr>
          <w:trHeight w:val="322"/>
        </w:trPr>
        <w:tc>
          <w:tcPr>
            <w:tcW w:w="0" w:type="auto"/>
            <w:vMerge w:val="restart"/>
            <w:textDirection w:val="btLr"/>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1-а  гр.</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Хлопчики</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26,3±10,1</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15,7±8,3</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10,5±7</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52,6±6,4</w:t>
            </w:r>
          </w:p>
        </w:tc>
      </w:tr>
      <w:tr w:rsidR="00BD0BF2" w:rsidRPr="004E3FE9" w:rsidTr="00721EA2">
        <w:trPr>
          <w:trHeight w:val="322"/>
        </w:trPr>
        <w:tc>
          <w:tcPr>
            <w:tcW w:w="0" w:type="auto"/>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Дівчатка</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31,5±10,6</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15,7±8,3</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47,4±6,4</w:t>
            </w:r>
          </w:p>
        </w:tc>
      </w:tr>
      <w:tr w:rsidR="00BD0BF2" w:rsidRPr="004E3FE9" w:rsidTr="00721EA2">
        <w:trPr>
          <w:trHeight w:val="322"/>
        </w:trPr>
        <w:tc>
          <w:tcPr>
            <w:tcW w:w="0" w:type="auto"/>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Усього</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57,8±6,3*</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31,4±5,9*</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10,5±3,9*</w:t>
            </w: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19</w:t>
            </w:r>
          </w:p>
        </w:tc>
      </w:tr>
      <w:tr w:rsidR="00BD0BF2" w:rsidRPr="004E3FE9" w:rsidTr="00721EA2">
        <w:trPr>
          <w:trHeight w:val="627"/>
        </w:trPr>
        <w:tc>
          <w:tcPr>
            <w:tcW w:w="0" w:type="auto"/>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w:t>
            </w: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0,83</w:t>
            </w: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w:t>
            </w:r>
          </w:p>
        </w:tc>
      </w:tr>
      <w:tr w:rsidR="00BD0BF2" w:rsidRPr="004E3FE9" w:rsidTr="00721EA2">
        <w:trPr>
          <w:trHeight w:val="322"/>
        </w:trPr>
        <w:tc>
          <w:tcPr>
            <w:tcW w:w="0" w:type="auto"/>
            <w:vMerge w:val="restart"/>
            <w:textDirection w:val="btLr"/>
            <w:vAlign w:val="center"/>
          </w:tcPr>
          <w:p w:rsidR="00BD0BF2" w:rsidRPr="004E3FE9" w:rsidRDefault="00BD0BF2" w:rsidP="00721EA2">
            <w:pPr>
              <w:spacing w:line="360" w:lineRule="auto"/>
              <w:ind w:left="113" w:right="113"/>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2-а гр.</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Хлопчики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22,7±8,9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w:t>
            </w:r>
          </w:p>
        </w:tc>
        <w:tc>
          <w:tcPr>
            <w:tcW w:w="1489" w:type="dxa"/>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27,2±9,4</w:t>
            </w: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13,6±7,3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63,6±6,2</w:t>
            </w:r>
          </w:p>
        </w:tc>
      </w:tr>
      <w:tr w:rsidR="00BD0BF2" w:rsidRPr="004E3FE9" w:rsidTr="00721EA2">
        <w:trPr>
          <w:trHeight w:val="322"/>
        </w:trPr>
        <w:tc>
          <w:tcPr>
            <w:tcW w:w="0" w:type="auto"/>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Дівчатка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22,7±8,9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1489" w:type="dxa"/>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4,5±4,4</w:t>
            </w:r>
          </w:p>
        </w:tc>
        <w:tc>
          <w:tcPr>
            <w:tcW w:w="534" w:type="dxa"/>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9,1±6,1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36,4±6,2</w:t>
            </w:r>
          </w:p>
        </w:tc>
      </w:tr>
      <w:tr w:rsidR="00BD0BF2" w:rsidRPr="004E3FE9" w:rsidTr="00721EA2">
        <w:trPr>
          <w:trHeight w:val="322"/>
        </w:trPr>
        <w:tc>
          <w:tcPr>
            <w:tcW w:w="0" w:type="auto"/>
            <w:vMerge/>
            <w:textDirection w:val="btLr"/>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Усього</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45,4±6,4*</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w:t>
            </w:r>
          </w:p>
        </w:tc>
        <w:tc>
          <w:tcPr>
            <w:tcW w:w="1489"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31,7±6,1*</w:t>
            </w:r>
          </w:p>
        </w:tc>
        <w:tc>
          <w:tcPr>
            <w:tcW w:w="534"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22,7±5,4*</w:t>
            </w: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w:t>
            </w:r>
          </w:p>
        </w:tc>
      </w:tr>
      <w:tr w:rsidR="00BD0BF2" w:rsidRPr="004E3FE9" w:rsidTr="00721EA2">
        <w:trPr>
          <w:trHeight w:val="322"/>
        </w:trPr>
        <w:tc>
          <w:tcPr>
            <w:tcW w:w="0" w:type="auto"/>
            <w:vMerge/>
            <w:textDirection w:val="btLr"/>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w:t>
            </w: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2036" w:type="dxa"/>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w:t>
            </w:r>
          </w:p>
        </w:tc>
        <w:tc>
          <w:tcPr>
            <w:tcW w:w="1976" w:type="dxa"/>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w:t>
            </w: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1,75</w:t>
            </w:r>
          </w:p>
        </w:tc>
      </w:tr>
      <w:tr w:rsidR="00BD0BF2" w:rsidRPr="004E3FE9" w:rsidTr="00721EA2">
        <w:trPr>
          <w:trHeight w:val="322"/>
        </w:trPr>
        <w:tc>
          <w:tcPr>
            <w:tcW w:w="0" w:type="auto"/>
            <w:vMerge w:val="restart"/>
            <w:textDirection w:val="btLr"/>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3-а  гр.</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Хлопчики</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26,3±10,1</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c>
          <w:tcPr>
            <w:tcW w:w="1489"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26,3±10,1</w:t>
            </w:r>
          </w:p>
        </w:tc>
        <w:tc>
          <w:tcPr>
            <w:tcW w:w="534"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5,3±5</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57,8±6,3</w:t>
            </w:r>
          </w:p>
        </w:tc>
      </w:tr>
      <w:tr w:rsidR="00BD0BF2" w:rsidRPr="004E3FE9" w:rsidTr="00721EA2">
        <w:trPr>
          <w:trHeight w:val="322"/>
        </w:trPr>
        <w:tc>
          <w:tcPr>
            <w:tcW w:w="0" w:type="auto"/>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Дівчатка</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15,7±8,3</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c>
          <w:tcPr>
            <w:tcW w:w="1489"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26,3±10,1</w:t>
            </w:r>
          </w:p>
        </w:tc>
        <w:tc>
          <w:tcPr>
            <w:tcW w:w="534"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42,2±6,3</w:t>
            </w:r>
          </w:p>
        </w:tc>
      </w:tr>
      <w:tr w:rsidR="00BD0BF2" w:rsidRPr="004E3FE9" w:rsidTr="00721EA2">
        <w:trPr>
          <w:trHeight w:val="322"/>
        </w:trPr>
        <w:tc>
          <w:tcPr>
            <w:tcW w:w="0" w:type="auto"/>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Усього</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42,1±6,3*</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w:t>
            </w:r>
          </w:p>
        </w:tc>
        <w:tc>
          <w:tcPr>
            <w:tcW w:w="1489"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52,6±6,4*</w:t>
            </w:r>
          </w:p>
        </w:tc>
        <w:tc>
          <w:tcPr>
            <w:tcW w:w="534"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0" w:type="auto"/>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5,3±2,8*</w:t>
            </w: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19</w:t>
            </w:r>
          </w:p>
        </w:tc>
      </w:tr>
      <w:tr w:rsidR="00BD0BF2" w:rsidRPr="004E3FE9" w:rsidTr="00721EA2">
        <w:trPr>
          <w:trHeight w:val="322"/>
        </w:trPr>
        <w:tc>
          <w:tcPr>
            <w:tcW w:w="0" w:type="auto"/>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w:t>
            </w: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w:t>
            </w:r>
          </w:p>
        </w:tc>
        <w:tc>
          <w:tcPr>
            <w:tcW w:w="2036" w:type="dxa"/>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1976" w:type="dxa"/>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0" w:type="auto"/>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1,37</w:t>
            </w:r>
          </w:p>
        </w:tc>
      </w:tr>
    </w:tbl>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Примітки: </w:t>
      </w:r>
    </w:p>
    <w:p w:rsidR="00BD0BF2" w:rsidRPr="004E3FE9" w:rsidRDefault="00BD0BF2" w:rsidP="00BD119A">
      <w:pP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 </w:t>
      </w:r>
      <w:r w:rsidRPr="004E3FE9">
        <w:rPr>
          <w:rFonts w:ascii="Times New Roman" w:hAnsi="Times New Roman" w:cs="Times New Roman"/>
          <w:position w:val="-30"/>
          <w:sz w:val="28"/>
          <w:szCs w:val="28"/>
          <w:lang w:val="uk-UA"/>
        </w:rPr>
        <w:object w:dxaOrig="3260" w:dyaOrig="680">
          <v:shape id="_x0000_i1026" type="#_x0000_t75" style="width:162pt;height:33pt" o:ole="">
            <v:imagedata r:id="rId8" o:title=""/>
          </v:shape>
          <o:OLEObject Type="Embed" ProgID="Equation.3" ShapeID="_x0000_i1026" DrawAspect="Content" ObjectID="_1551694209" r:id="rId10"/>
        </w:object>
      </w:r>
    </w:p>
    <w:p w:rsidR="00BD0BF2" w:rsidRPr="004E3FE9" w:rsidRDefault="00BD0BF2" w:rsidP="00BD0BF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2. * - % від загальної кількості дітей відповідної групи</w:t>
      </w:r>
    </w:p>
    <w:p w:rsidR="00BD0BF2" w:rsidRPr="004E3FE9" w:rsidRDefault="00BD0BF2" w:rsidP="00BD0BF2">
      <w:pPr>
        <w:spacing w:line="360" w:lineRule="auto"/>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Таким чином, проведений статистичний аналіз групових вікових і статевих відмінностей серед обстежених дітей 1, 2 та 3 груп виявив наступні тенденції: зростання питомої ваги дітей дошкільного та шкільного віку, а також відповідне підвищення кількості хлопчиків серед обстежених дітей.</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З І ступенем активності патологічного процесу означено 19 (31,6±6%) хворих. З’ясовано, що у 17 (89,4±7%) дітей захворювання розпочалось після перенесених гострих респіраторних захворювань та у 2 (10</w:t>
      </w:r>
      <w:r w:rsidR="009A67C0" w:rsidRPr="004E3FE9">
        <w:rPr>
          <w:rFonts w:ascii="Times New Roman" w:hAnsi="Times New Roman" w:cs="Times New Roman"/>
          <w:sz w:val="28"/>
          <w:szCs w:val="28"/>
          <w:lang w:val="uk-UA"/>
        </w:rPr>
        <w:t>,0</w:t>
      </w:r>
      <w:r w:rsidRPr="004E3FE9">
        <w:rPr>
          <w:rFonts w:ascii="Times New Roman" w:hAnsi="Times New Roman" w:cs="Times New Roman"/>
          <w:sz w:val="28"/>
          <w:szCs w:val="28"/>
          <w:lang w:val="uk-UA"/>
        </w:rPr>
        <w:t xml:space="preserve">±7%) дітей батьки не змогли пов’язати маніфестацію ГВ з конкретною причиною. Майже кожний другий пацієнт (47,3±11,4%) вказував на наявність різноманітних алергійних реакцій в анамнезі. Важливо, що 8 (42,1±11,3%) дітей мали хронічні вогнища інфекції з боку верхніх дихальних шляхів.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Всі діти з мінімальним ступенем активності надходили до стаціонару у стані середньої важкості. При зовнішньому огляді у 8 (42,1±11,3%) дітей звертала на себе увагу блідість шкірних покровів. Висип на шкірі у всіх хворих носив плямисто-папульозний характер, у 4 (21,1±10,3%) дітей відмічалась тенденція до злиття. У всіх хворих висип локалізувався на нижніх кінцівках, у 7 (36,8±11,1%) дітей розповсюджувався на сідниці та у 5 (26,3±10,1%) – окрім того і на верхні кінцівки. Суглобовий синдром зафіксовано у 13 (68,4±10,6%) хворих, який проявлявся артралгіями та набряком уражених суглобів. В патологічний процес залучались гомілкові та колінні суглоби. Абдомінальний синдром спостерігали лише у 4 (21,1±10,3%) хворих, його проявами служили переймоподібні болі в животі. Нирковий синдром у дітей першої групи не спостерігали.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Показники загального аналізу крові дітей, хворих на геморагічний васкуліт з легким перебігом в гострий період, свідчили про достовірно вищі рівні ШОЕ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Також, нами відмічено статистично достовірне зниження рівнів тромбоцитів у дітей з І ступенем активності патологічного процесу як в гострий період захворювання, так і в період клініко-лаборатоної ремісії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ІІ-к</w:t>
      </w:r>
      <w:r w:rsidRPr="004E3FE9">
        <w:rPr>
          <w:rFonts w:ascii="Times New Roman" w:hAnsi="Times New Roman" w:cs="Times New Roman"/>
          <w:sz w:val="28"/>
          <w:szCs w:val="28"/>
          <w:lang w:val="uk-UA"/>
        </w:rPr>
        <w:t>=0,000 відповідно).</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1C558E" w:rsidRDefault="00BD0BF2" w:rsidP="00BD0BF2">
      <w:pPr>
        <w:spacing w:line="360" w:lineRule="auto"/>
        <w:ind w:firstLine="709"/>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lastRenderedPageBreak/>
        <w:t>Таблиця 3.8</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клінічного аналізу крові у дітей, хворих на геморагічний васкуліт з І ступенем активності в динаміці захворювання</w:t>
      </w:r>
      <w:r w:rsidR="003A3A9E">
        <w:rPr>
          <w:rFonts w:ascii="Times New Roman" w:hAnsi="Times New Roman" w:cs="Times New Roman"/>
          <w:b/>
          <w:sz w:val="28"/>
          <w:szCs w:val="28"/>
          <w:lang w:val="uk-UA"/>
        </w:rPr>
        <w:t>, (Me(Lq;Uq))</w:t>
      </w:r>
    </w:p>
    <w:tbl>
      <w:tblPr>
        <w:tblStyle w:val="a8"/>
        <w:tblW w:w="0" w:type="auto"/>
        <w:tblInd w:w="108" w:type="dxa"/>
        <w:tblLook w:val="04A0"/>
      </w:tblPr>
      <w:tblGrid>
        <w:gridCol w:w="2694"/>
        <w:gridCol w:w="2268"/>
        <w:gridCol w:w="2410"/>
        <w:gridCol w:w="2091"/>
      </w:tblGrid>
      <w:tr w:rsidR="00BD0BF2" w:rsidRPr="004E3FE9" w:rsidTr="00721EA2">
        <w:trPr>
          <w:trHeight w:val="232"/>
        </w:trPr>
        <w:tc>
          <w:tcPr>
            <w:tcW w:w="2694"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2268"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 n=17</w:t>
            </w:r>
          </w:p>
        </w:tc>
        <w:tc>
          <w:tcPr>
            <w:tcW w:w="4501" w:type="dxa"/>
            <w:gridSpan w:val="2"/>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Період захворювання</w:t>
            </w:r>
          </w:p>
        </w:tc>
      </w:tr>
      <w:tr w:rsidR="00BD0BF2" w:rsidRPr="004E3FE9" w:rsidTr="00721EA2">
        <w:trPr>
          <w:trHeight w:val="231"/>
        </w:trPr>
        <w:tc>
          <w:tcPr>
            <w:tcW w:w="2694"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268"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n=19</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 n=19</w:t>
            </w:r>
          </w:p>
        </w:tc>
      </w:tr>
      <w:tr w:rsidR="00BD0BF2" w:rsidRPr="004E3FE9" w:rsidTr="00721EA2">
        <w:tc>
          <w:tcPr>
            <w:tcW w:w="269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Гемоглобін, г/л</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 (123;129)</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 (121;134)</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124 (117;132)</w:t>
            </w:r>
          </w:p>
        </w:tc>
      </w:tr>
      <w:tr w:rsidR="00BD0BF2" w:rsidRPr="004E3FE9" w:rsidTr="00721EA2">
        <w:tc>
          <w:tcPr>
            <w:tcW w:w="269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Еритроцити, 10</w:t>
            </w:r>
            <w:r w:rsidRPr="004E3FE9">
              <w:rPr>
                <w:rFonts w:ascii="Times New Roman" w:hAnsi="Times New Roman" w:cs="Times New Roman"/>
                <w:sz w:val="28"/>
                <w:szCs w:val="28"/>
                <w:vertAlign w:val="superscript"/>
                <w:lang w:val="uk-UA"/>
              </w:rPr>
              <w:t>12</w:t>
            </w:r>
            <w:r w:rsidRPr="004E3FE9">
              <w:rPr>
                <w:rFonts w:ascii="Times New Roman" w:hAnsi="Times New Roman" w:cs="Times New Roman"/>
                <w:sz w:val="28"/>
                <w:szCs w:val="28"/>
                <w:lang w:val="uk-UA"/>
              </w:rPr>
              <w:t>/л</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4,3 (4,2;4,6)</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 (4,0;4,5)</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 (3,9;4,5)</w:t>
            </w:r>
          </w:p>
        </w:tc>
      </w:tr>
      <w:tr w:rsidR="00BD0BF2" w:rsidRPr="004E3FE9" w:rsidTr="00721EA2">
        <w:tc>
          <w:tcPr>
            <w:tcW w:w="269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Лейкоцити,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5,9 (5,6;6,3)</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5,9 (4,5;6,9)</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 (4,3;5,4)</w:t>
            </w:r>
          </w:p>
        </w:tc>
      </w:tr>
      <w:tr w:rsidR="00BD0BF2" w:rsidRPr="004E3FE9" w:rsidTr="00721EA2">
        <w:tc>
          <w:tcPr>
            <w:tcW w:w="269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Тромбоцити,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266 (250;287)</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212 (187;255)*</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214 (185;235)*</w:t>
            </w:r>
          </w:p>
        </w:tc>
      </w:tr>
      <w:tr w:rsidR="00BD0BF2" w:rsidRPr="004E3FE9" w:rsidTr="00721EA2">
        <w:tc>
          <w:tcPr>
            <w:tcW w:w="269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Палочкоядерні, %</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 (1,0;2,0)</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 (1,0;1,0)</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 (1,0;1,0)</w:t>
            </w:r>
          </w:p>
        </w:tc>
      </w:tr>
      <w:tr w:rsidR="00BD0BF2" w:rsidRPr="004E3FE9" w:rsidTr="00721EA2">
        <w:tc>
          <w:tcPr>
            <w:tcW w:w="269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Сегментоядерні, %</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50,7 (48,0;54,0)</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55,0 (50,0;60,0)</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50,0 (42,0;62,0)</w:t>
            </w:r>
          </w:p>
        </w:tc>
      </w:tr>
      <w:tr w:rsidR="00BD0BF2" w:rsidRPr="004E3FE9" w:rsidTr="00721EA2">
        <w:tc>
          <w:tcPr>
            <w:tcW w:w="269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Еозінофіли, %</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 (1,0;1,0)</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 (1,0;2,0)</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 (1,0;2,0)</w:t>
            </w:r>
          </w:p>
        </w:tc>
      </w:tr>
      <w:tr w:rsidR="00BD0BF2" w:rsidRPr="004E3FE9" w:rsidTr="00721EA2">
        <w:tc>
          <w:tcPr>
            <w:tcW w:w="269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Лімфоцити, %</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42,3 (40,0;45,0)</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40,0 (32,0;43,0)</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42,0 (32,0;50,0)</w:t>
            </w:r>
          </w:p>
        </w:tc>
      </w:tr>
      <w:tr w:rsidR="00BD0BF2" w:rsidRPr="004E3FE9" w:rsidTr="00721EA2">
        <w:tc>
          <w:tcPr>
            <w:tcW w:w="269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Моноцити, %</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4,4 (3,0;6,0)</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 (2,0;4,0)</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 (4,0;6,0)</w:t>
            </w:r>
          </w:p>
        </w:tc>
      </w:tr>
      <w:tr w:rsidR="00BD0BF2" w:rsidRPr="004E3FE9" w:rsidTr="00721EA2">
        <w:tc>
          <w:tcPr>
            <w:tcW w:w="269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ШОЕ, мм/г</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7,7 (7,0;9,0)</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 (10,0;20,0)*</w:t>
            </w:r>
          </w:p>
        </w:tc>
        <w:tc>
          <w:tcPr>
            <w:tcW w:w="0" w:type="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7,0 (5,0;12,0) **</w:t>
            </w:r>
          </w:p>
        </w:tc>
      </w:tr>
    </w:tbl>
    <w:p w:rsidR="00BD0BF2" w:rsidRPr="004E3FE9" w:rsidRDefault="001C558E" w:rsidP="00BD0BF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w:t>
      </w:r>
      <w:r w:rsidR="00BD0BF2" w:rsidRPr="004E3FE9">
        <w:rPr>
          <w:rFonts w:ascii="Times New Roman" w:hAnsi="Times New Roman" w:cs="Times New Roman"/>
          <w:sz w:val="28"/>
          <w:szCs w:val="28"/>
          <w:lang w:val="uk-UA"/>
        </w:rPr>
        <w:t xml:space="preserve"> Тут і надалі в таблицях 3.9, 3.11, 3.12, 3.14,3.15: І, ІІ – періоди захворювання (І – гострий період, ІІ – період клініко-лабораторної ремісії), * - достовірна різниця показників в порівнянні з показниками дітей контрольної групи (к), ** - достовірна різниця показників І та ІІ періодів.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 табл. 3.9 відображені отримані дані біохімічних досліджень дітей з легким перебігом геморагічного васкуліту, які свідчать про активність патологічного процесу.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 гострий період захворювання відмічалось достовірне підвищення рівня глікопротеїдів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=0,005) та явища диспротеїнемії у вигляді підвищення рівнів гамма-глобулінів і зниження значень бета-глобулінів</w:t>
      </w:r>
      <w:r w:rsidR="009A67C0" w:rsidRPr="004E3FE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 xml:space="preserve">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ІІ-к</w:t>
      </w:r>
      <w:r w:rsidRPr="004E3FE9">
        <w:rPr>
          <w:rFonts w:ascii="Times New Roman" w:hAnsi="Times New Roman" w:cs="Times New Roman"/>
          <w:sz w:val="28"/>
          <w:szCs w:val="28"/>
          <w:lang w:val="uk-UA"/>
        </w:rPr>
        <w:t>=0,008 відповідно).</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contextualSpacing/>
        <w:jc w:val="both"/>
        <w:rPr>
          <w:rFonts w:ascii="Times New Roman" w:hAnsi="Times New Roman" w:cs="Times New Roman"/>
          <w:sz w:val="28"/>
          <w:szCs w:val="28"/>
          <w:lang w:val="uk-UA"/>
        </w:rPr>
      </w:pPr>
    </w:p>
    <w:p w:rsidR="00BD0BF2" w:rsidRPr="001C558E" w:rsidRDefault="00BD0BF2" w:rsidP="00BD0BF2">
      <w:pPr>
        <w:spacing w:line="360" w:lineRule="auto"/>
        <w:ind w:firstLine="709"/>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lastRenderedPageBreak/>
        <w:t>Таблиця 3.9</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Динаміка показників гострої фази запалення та протеїнограми у дітей, хворих на геморагічний васкуліт з І ступенем активності в динаміці захворювання</w:t>
      </w:r>
      <w:r w:rsidR="003A3A9E">
        <w:rPr>
          <w:rFonts w:ascii="Times New Roman" w:hAnsi="Times New Roman" w:cs="Times New Roman"/>
          <w:b/>
          <w:sz w:val="28"/>
          <w:szCs w:val="28"/>
          <w:lang w:val="uk-UA"/>
        </w:rPr>
        <w:t>, (Me(Lq;Uq))</w:t>
      </w:r>
    </w:p>
    <w:tbl>
      <w:tblPr>
        <w:tblStyle w:val="a8"/>
        <w:tblW w:w="9498" w:type="dxa"/>
        <w:tblInd w:w="108" w:type="dxa"/>
        <w:tblLook w:val="04A0"/>
      </w:tblPr>
      <w:tblGrid>
        <w:gridCol w:w="2552"/>
        <w:gridCol w:w="2268"/>
        <w:gridCol w:w="2268"/>
        <w:gridCol w:w="2410"/>
      </w:tblGrid>
      <w:tr w:rsidR="00BD0BF2" w:rsidRPr="004E3FE9" w:rsidTr="00721EA2">
        <w:tc>
          <w:tcPr>
            <w:tcW w:w="2552"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2268"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 n=17</w:t>
            </w:r>
          </w:p>
        </w:tc>
        <w:tc>
          <w:tcPr>
            <w:tcW w:w="4678" w:type="dxa"/>
            <w:gridSpan w:val="2"/>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Період захворювання</w:t>
            </w:r>
          </w:p>
        </w:tc>
      </w:tr>
      <w:tr w:rsidR="00BD0BF2" w:rsidRPr="004E3FE9" w:rsidTr="00721EA2">
        <w:tc>
          <w:tcPr>
            <w:tcW w:w="2552"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268"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n=19</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 n=19</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Серомукоїд,</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од. опт. щ.</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3,9</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(3,6;4,3)</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4,4</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(3,5;6,7)</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(3,1;3,8)</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Глікопротеїди,</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од. опт. щ.</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(0,265;0,345)</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0,435 (0,318;0,454)*</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0,256 (0,255;0,354) **</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Загальний білок, г/л</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69,7</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(66,0;75,0)</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67,4</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(65,0;72,0)</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68,4</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(64,5;69,0)</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Альбуміни, %</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57,0 (54,8;58,0)</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58,4 (53,1;59,8)*</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56, 0 (54,0;58,0)</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Глобуліни:</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α</w:t>
            </w:r>
            <w:r w:rsidRPr="004E3FE9">
              <w:rPr>
                <w:rFonts w:ascii="Times New Roman" w:hAnsi="Times New Roman" w:cs="Times New Roman"/>
                <w:sz w:val="28"/>
                <w:szCs w:val="28"/>
                <w:vertAlign w:val="subscript"/>
                <w:lang w:val="uk-UA"/>
              </w:rPr>
              <w:t xml:space="preserve">1, </w:t>
            </w:r>
            <w:r w:rsidRPr="004E3FE9">
              <w:rPr>
                <w:rFonts w:ascii="Times New Roman" w:hAnsi="Times New Roman" w:cs="Times New Roman"/>
                <w:sz w:val="28"/>
                <w:szCs w:val="28"/>
                <w:lang w:val="uk-UA"/>
              </w:rPr>
              <w:t>%</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 (4,6;5,6)</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5,3 (2,9;6,5)</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4,3 (2,5;4,9)</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α</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9,0 (7,9;10,1)</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8,5 (7,5;11,5)</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8,4 (6,7;9,4)</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β, %</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12,1 (11,6;12,6)</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10,6 (9,7;11,5)*</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7,6 (5,6;8,9)*,**</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γ, %</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15,7 (14,6;16,9)</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20,0 (15,8;21,3)*</w:t>
            </w:r>
          </w:p>
        </w:tc>
        <w:tc>
          <w:tcPr>
            <w:tcW w:w="2410"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16,7 (15,6;18,7)**</w:t>
            </w:r>
          </w:p>
        </w:tc>
      </w:tr>
    </w:tbl>
    <w:p w:rsidR="00BD0BF2" w:rsidRPr="004E3FE9" w:rsidRDefault="00BD0BF2" w:rsidP="00BD0BF2">
      <w:pPr>
        <w:spacing w:line="360" w:lineRule="auto"/>
        <w:contextualSpacing/>
        <w:jc w:val="both"/>
        <w:rPr>
          <w:rFonts w:ascii="Times New Roman" w:hAnsi="Times New Roman" w:cs="Times New Roman"/>
          <w:sz w:val="28"/>
          <w:szCs w:val="28"/>
          <w:lang w:val="uk-UA"/>
        </w:rPr>
      </w:pPr>
    </w:p>
    <w:p w:rsidR="00E62C2B" w:rsidRPr="004E3FE9" w:rsidRDefault="00E62C2B" w:rsidP="00BD0BF2">
      <w:pPr>
        <w:spacing w:line="360" w:lineRule="auto"/>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На фоні проведеної терапії повністю куповані клінічні прояви захворювання. Лабораторні показники клінічних та біохімічних досліджень набули нормальних рівнів в порівнянні з показниками групи контролю. А саме знизились рівні ШОЕ (Т=7,5,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 серомукоїду та глікопротеїдів (Т=3,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 Т=6,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 xml:space="preserve">=0,000 відповідно), що дозволило розцінювати це як розвиток клініко-лабораторної ремісії.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Діти з середньоважким перебігом захворювання (або із ІІ ступенем активності патологічного процесу) надходили до стаціонару у стані середньої важкості. Всі діти на момент первинного огляду мали геморагічний плямисто-папульозний висип на шкірі, серед них 11 (50</w:t>
      </w:r>
      <w:r w:rsidR="00941012">
        <w:rPr>
          <w:rFonts w:ascii="Times New Roman" w:hAnsi="Times New Roman" w:cs="Times New Roman"/>
          <w:sz w:val="28"/>
          <w:szCs w:val="28"/>
          <w:lang w:val="uk-UA"/>
        </w:rPr>
        <w:t>,0</w:t>
      </w:r>
      <w:r w:rsidRPr="004E3FE9">
        <w:rPr>
          <w:rFonts w:ascii="Times New Roman" w:hAnsi="Times New Roman" w:cs="Times New Roman"/>
          <w:sz w:val="28"/>
          <w:szCs w:val="28"/>
          <w:lang w:val="uk-UA"/>
        </w:rPr>
        <w:t xml:space="preserve">±10,6%) дітей </w:t>
      </w:r>
      <w:r w:rsidRPr="004E3FE9">
        <w:rPr>
          <w:rFonts w:ascii="Times New Roman" w:hAnsi="Times New Roman" w:cs="Times New Roman"/>
          <w:sz w:val="28"/>
          <w:szCs w:val="28"/>
          <w:lang w:val="uk-UA"/>
        </w:rPr>
        <w:lastRenderedPageBreak/>
        <w:t>скаржились на підвищення температури тіла до фебрильних цифр, 18 (81,8±8,2%) дітей відмічали симптоми загальної інтоксикаціі, 19 (86,3±7,3%) дітей пред’являли скарги на болі та набряк в суглобах та 10 (45,4±10,6%) дітей – на болі в животі.</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Анамнестичні дані свідчать, що у 17 (77,2±8,9) хворих захворювання почалось після перенесених запальних захворювань ЛОР-органів та верхніх дихальних шляхів. 5 (22,7±8,9%) дітей пов’язували розвиток хвороби з погрішністю в дієті. Алергічні реакції в анамнезі засвідчили батьки 9 (40,9±10,4%) дітей, наявність хронічних вогнищ інфекції верхніх дихальних шляхів мали 10 (45,4±10,6%) хворих.</w:t>
      </w:r>
    </w:p>
    <w:p w:rsidR="00BD0BF2" w:rsidRPr="004E3FE9" w:rsidRDefault="00BD0BF2" w:rsidP="00E62C2B">
      <w:pPr>
        <w:spacing w:line="360" w:lineRule="auto"/>
        <w:ind w:firstLine="709"/>
        <w:contextualSpacing/>
        <w:jc w:val="both"/>
        <w:rPr>
          <w:rFonts w:ascii="Times New Roman" w:hAnsi="Times New Roman" w:cs="Times New Roman"/>
          <w:b/>
          <w:sz w:val="28"/>
          <w:szCs w:val="28"/>
          <w:lang w:val="uk-UA"/>
        </w:rPr>
      </w:pPr>
      <w:r w:rsidRPr="004E3FE9">
        <w:rPr>
          <w:rFonts w:ascii="Times New Roman" w:hAnsi="Times New Roman" w:cs="Times New Roman"/>
          <w:sz w:val="28"/>
          <w:szCs w:val="28"/>
          <w:lang w:val="uk-UA"/>
        </w:rPr>
        <w:t>Шкірний синдром у всіх хворих з середньо важким перебігом ГВ протікав з обов’язковою локалізацією висипу на нижніх кінцівках та відсутністю його на шиї та обличчі. У 12 (54,5±10,4%) дітей висип проявлявся тен</w:t>
      </w:r>
      <w:r w:rsidR="00E62C2B" w:rsidRPr="004E3FE9">
        <w:rPr>
          <w:rFonts w:ascii="Times New Roman" w:hAnsi="Times New Roman" w:cs="Times New Roman"/>
          <w:sz w:val="28"/>
          <w:szCs w:val="28"/>
          <w:lang w:val="uk-UA"/>
        </w:rPr>
        <w:t>денцією до злиття та свербежем.</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Суглобовий синдром зустрічався у 19 (86,3±7,3%) хворих цієї групи та проявлявся артралгіями, набряком та обмеженням рухів. Найбільш частіше до патологічного процесу залучались гомілкові (18 (81,8±8,2%) спостережень), колінні (7 (31,8±9,9%) спостережень) та променезап'ясткові (3 (13,6±7,3%) спостережень) суглоби. Абдомінальний синдром проявлявся у 10 (45,4±10,6%) дітей на фоні шкірного та суглобового синдромів та протікав у вигляді переймоподібн</w:t>
      </w:r>
      <w:r w:rsidR="00E62C2B" w:rsidRPr="004E3FE9">
        <w:rPr>
          <w:rFonts w:ascii="Times New Roman" w:hAnsi="Times New Roman" w:cs="Times New Roman"/>
          <w:sz w:val="28"/>
          <w:szCs w:val="28"/>
          <w:lang w:val="uk-UA"/>
        </w:rPr>
        <w:t>ого болю</w:t>
      </w:r>
      <w:r w:rsidRPr="004E3FE9">
        <w:rPr>
          <w:rFonts w:ascii="Times New Roman" w:hAnsi="Times New Roman" w:cs="Times New Roman"/>
          <w:sz w:val="28"/>
          <w:szCs w:val="28"/>
          <w:lang w:val="uk-UA"/>
        </w:rPr>
        <w:t xml:space="preserve"> в животі, у 2 хворих спостерігали нудоту та послаблення стулу. Даних на користь розвитку ниркового синдрому у жодної дитини зафіксовано не було.</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Показники гемограми представлені в табл. 3.1</w:t>
      </w:r>
      <w:r w:rsidR="00144A30" w:rsidRPr="004E3FE9">
        <w:rPr>
          <w:rFonts w:ascii="Times New Roman" w:hAnsi="Times New Roman" w:cs="Times New Roman"/>
          <w:sz w:val="28"/>
          <w:szCs w:val="28"/>
          <w:lang w:val="uk-UA"/>
        </w:rPr>
        <w:t>0</w:t>
      </w:r>
      <w:r w:rsidRPr="004E3FE9">
        <w:rPr>
          <w:rFonts w:ascii="Times New Roman" w:hAnsi="Times New Roman" w:cs="Times New Roman"/>
          <w:sz w:val="28"/>
          <w:szCs w:val="28"/>
          <w:lang w:val="uk-UA"/>
        </w:rPr>
        <w:t xml:space="preserve"> та характеризуються достовірним збільшенням рівнів лейкоцитів з сегментоядерним нейтрофільозом та ШОЕ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відповідно).</w:t>
      </w:r>
    </w:p>
    <w:p w:rsidR="00E62C2B" w:rsidRPr="004E3FE9" w:rsidRDefault="00E62C2B"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Серед показників гострої фази запалення та протеїнограми можна відмітити достовірне збільшення рівнів серомукоїду, глюкопротеїдів та гамма-глобулінів (табл. 3.1</w:t>
      </w:r>
      <w:r w:rsidR="00144A30" w:rsidRPr="004E3FE9">
        <w:rPr>
          <w:rFonts w:ascii="Times New Roman" w:hAnsi="Times New Roman" w:cs="Times New Roman"/>
          <w:sz w:val="28"/>
          <w:szCs w:val="28"/>
          <w:lang w:val="uk-UA"/>
        </w:rPr>
        <w:t>0</w:t>
      </w:r>
      <w:r w:rsidRPr="004E3FE9">
        <w:rPr>
          <w:rFonts w:ascii="Times New Roman" w:hAnsi="Times New Roman" w:cs="Times New Roman"/>
          <w:sz w:val="28"/>
          <w:szCs w:val="28"/>
          <w:lang w:val="uk-UA"/>
        </w:rPr>
        <w:t>).</w:t>
      </w:r>
    </w:p>
    <w:p w:rsidR="00E62C2B" w:rsidRPr="004E3FE9" w:rsidRDefault="00E62C2B" w:rsidP="00BD0BF2">
      <w:pPr>
        <w:spacing w:line="360" w:lineRule="auto"/>
        <w:ind w:firstLine="709"/>
        <w:contextualSpacing/>
        <w:jc w:val="right"/>
        <w:rPr>
          <w:rFonts w:ascii="Times New Roman" w:hAnsi="Times New Roman" w:cs="Times New Roman"/>
          <w:sz w:val="28"/>
          <w:szCs w:val="28"/>
          <w:lang w:val="uk-UA"/>
        </w:rPr>
      </w:pPr>
    </w:p>
    <w:p w:rsidR="00BD0BF2" w:rsidRPr="001C558E" w:rsidRDefault="00BD0BF2" w:rsidP="00BD0BF2">
      <w:pPr>
        <w:spacing w:line="360" w:lineRule="auto"/>
        <w:ind w:firstLine="709"/>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lastRenderedPageBreak/>
        <w:t>Таблиця 3.1</w:t>
      </w:r>
      <w:r w:rsidR="00144A30" w:rsidRPr="001C558E">
        <w:rPr>
          <w:rFonts w:ascii="Times New Roman" w:hAnsi="Times New Roman" w:cs="Times New Roman"/>
          <w:i/>
          <w:sz w:val="28"/>
          <w:szCs w:val="28"/>
          <w:lang w:val="uk-UA"/>
        </w:rPr>
        <w:t>0</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клінічного аналізу крові у дітей, хворих на геморагічний васкуліт з ІІ ступенем активності в динаміці захворювання</w:t>
      </w:r>
      <w:r w:rsidR="003A3A9E">
        <w:rPr>
          <w:rFonts w:ascii="Times New Roman" w:hAnsi="Times New Roman" w:cs="Times New Roman"/>
          <w:b/>
          <w:sz w:val="28"/>
          <w:szCs w:val="28"/>
          <w:lang w:val="uk-UA"/>
        </w:rPr>
        <w:t>, (Me(Lq;Uq))</w:t>
      </w:r>
    </w:p>
    <w:tbl>
      <w:tblPr>
        <w:tblStyle w:val="a8"/>
        <w:tblW w:w="0" w:type="auto"/>
        <w:tblInd w:w="108" w:type="dxa"/>
        <w:tblLook w:val="04A0"/>
      </w:tblPr>
      <w:tblGrid>
        <w:gridCol w:w="2584"/>
        <w:gridCol w:w="2392"/>
        <w:gridCol w:w="2177"/>
        <w:gridCol w:w="2310"/>
      </w:tblGrid>
      <w:tr w:rsidR="00BD0BF2" w:rsidRPr="004E3FE9" w:rsidTr="00721EA2">
        <w:tc>
          <w:tcPr>
            <w:tcW w:w="2584"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2392"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 n=17</w:t>
            </w:r>
          </w:p>
        </w:tc>
        <w:tc>
          <w:tcPr>
            <w:tcW w:w="4487" w:type="dxa"/>
            <w:gridSpan w:val="2"/>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Період захворювання</w:t>
            </w:r>
          </w:p>
        </w:tc>
      </w:tr>
      <w:tr w:rsidR="00BD0BF2" w:rsidRPr="004E3FE9" w:rsidTr="00721EA2">
        <w:tc>
          <w:tcPr>
            <w:tcW w:w="2584"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392"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17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n=22</w:t>
            </w:r>
          </w:p>
        </w:tc>
        <w:tc>
          <w:tcPr>
            <w:tcW w:w="23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 n=22</w:t>
            </w:r>
          </w:p>
        </w:tc>
      </w:tr>
      <w:tr w:rsidR="00BD0BF2" w:rsidRPr="004E3FE9" w:rsidTr="00721EA2">
        <w:tc>
          <w:tcPr>
            <w:tcW w:w="258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Гемоглобін, г/л</w:t>
            </w:r>
          </w:p>
        </w:tc>
        <w:tc>
          <w:tcPr>
            <w:tcW w:w="23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 (123;129)</w:t>
            </w:r>
          </w:p>
        </w:tc>
        <w:tc>
          <w:tcPr>
            <w:tcW w:w="217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128 (121;138)</w:t>
            </w:r>
          </w:p>
        </w:tc>
        <w:tc>
          <w:tcPr>
            <w:tcW w:w="23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 (119;136)</w:t>
            </w:r>
          </w:p>
        </w:tc>
      </w:tr>
      <w:tr w:rsidR="00BD0BF2" w:rsidRPr="004E3FE9" w:rsidTr="00721EA2">
        <w:tc>
          <w:tcPr>
            <w:tcW w:w="258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Еритроцити, 10</w:t>
            </w:r>
            <w:r w:rsidRPr="004E3FE9">
              <w:rPr>
                <w:rFonts w:ascii="Times New Roman" w:hAnsi="Times New Roman" w:cs="Times New Roman"/>
                <w:sz w:val="28"/>
                <w:szCs w:val="28"/>
                <w:vertAlign w:val="superscript"/>
                <w:lang w:val="uk-UA"/>
              </w:rPr>
              <w:t>12</w:t>
            </w:r>
            <w:r w:rsidRPr="004E3FE9">
              <w:rPr>
                <w:rFonts w:ascii="Times New Roman" w:hAnsi="Times New Roman" w:cs="Times New Roman"/>
                <w:sz w:val="28"/>
                <w:szCs w:val="28"/>
                <w:lang w:val="uk-UA"/>
              </w:rPr>
              <w:t>/л</w:t>
            </w:r>
          </w:p>
        </w:tc>
        <w:tc>
          <w:tcPr>
            <w:tcW w:w="23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4,3 (4,2;4,6)</w:t>
            </w:r>
          </w:p>
        </w:tc>
        <w:tc>
          <w:tcPr>
            <w:tcW w:w="217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4,3 (4,1;4,7)</w:t>
            </w:r>
          </w:p>
        </w:tc>
        <w:tc>
          <w:tcPr>
            <w:tcW w:w="23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4,3 (4,0;4,4)</w:t>
            </w:r>
          </w:p>
        </w:tc>
      </w:tr>
      <w:tr w:rsidR="00BD0BF2" w:rsidRPr="004E3FE9" w:rsidTr="00721EA2">
        <w:tc>
          <w:tcPr>
            <w:tcW w:w="258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Лейкоцити,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23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5,9 (5,6;6,3)</w:t>
            </w:r>
          </w:p>
        </w:tc>
        <w:tc>
          <w:tcPr>
            <w:tcW w:w="217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7,8 (6,3;10,8)*</w:t>
            </w:r>
          </w:p>
        </w:tc>
        <w:tc>
          <w:tcPr>
            <w:tcW w:w="23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5,2 (4,8;5,8)**</w:t>
            </w:r>
          </w:p>
        </w:tc>
      </w:tr>
      <w:tr w:rsidR="00BD0BF2" w:rsidRPr="004E3FE9" w:rsidTr="00721EA2">
        <w:tc>
          <w:tcPr>
            <w:tcW w:w="258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Тромбоцити,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23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266 (250;287)</w:t>
            </w:r>
          </w:p>
        </w:tc>
        <w:tc>
          <w:tcPr>
            <w:tcW w:w="217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215 (190;342)</w:t>
            </w:r>
          </w:p>
        </w:tc>
        <w:tc>
          <w:tcPr>
            <w:tcW w:w="23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196 (177;209)</w:t>
            </w:r>
          </w:p>
        </w:tc>
      </w:tr>
      <w:tr w:rsidR="00BD0BF2" w:rsidRPr="004E3FE9" w:rsidTr="00721EA2">
        <w:tc>
          <w:tcPr>
            <w:tcW w:w="258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Палочкоядерні, %</w:t>
            </w:r>
          </w:p>
        </w:tc>
        <w:tc>
          <w:tcPr>
            <w:tcW w:w="23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 (1,0;2,0)</w:t>
            </w:r>
          </w:p>
        </w:tc>
        <w:tc>
          <w:tcPr>
            <w:tcW w:w="217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 (1,0 6,0)</w:t>
            </w:r>
          </w:p>
        </w:tc>
        <w:tc>
          <w:tcPr>
            <w:tcW w:w="23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 (1,0;1,0)**</w:t>
            </w:r>
          </w:p>
        </w:tc>
      </w:tr>
      <w:tr w:rsidR="00BD0BF2" w:rsidRPr="004E3FE9" w:rsidTr="00721EA2">
        <w:tc>
          <w:tcPr>
            <w:tcW w:w="258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Сегментоядерні, %</w:t>
            </w:r>
          </w:p>
        </w:tc>
        <w:tc>
          <w:tcPr>
            <w:tcW w:w="23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50,7 (48,0;54,0)</w:t>
            </w:r>
          </w:p>
        </w:tc>
        <w:tc>
          <w:tcPr>
            <w:tcW w:w="217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60,0 (48,0;62,0)*</w:t>
            </w:r>
          </w:p>
        </w:tc>
        <w:tc>
          <w:tcPr>
            <w:tcW w:w="23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49,5 (46,0;54,0)**</w:t>
            </w:r>
          </w:p>
        </w:tc>
      </w:tr>
      <w:tr w:rsidR="00BD0BF2" w:rsidRPr="004E3FE9" w:rsidTr="00721EA2">
        <w:tc>
          <w:tcPr>
            <w:tcW w:w="258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Еозінофіли, %</w:t>
            </w:r>
          </w:p>
        </w:tc>
        <w:tc>
          <w:tcPr>
            <w:tcW w:w="23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 (1,0;1,0)</w:t>
            </w:r>
          </w:p>
        </w:tc>
        <w:tc>
          <w:tcPr>
            <w:tcW w:w="217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 (1,0;2,0)</w:t>
            </w:r>
          </w:p>
        </w:tc>
        <w:tc>
          <w:tcPr>
            <w:tcW w:w="23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 (1,0;3,0)**</w:t>
            </w:r>
          </w:p>
        </w:tc>
      </w:tr>
      <w:tr w:rsidR="00BD0BF2" w:rsidRPr="004E3FE9" w:rsidTr="00721EA2">
        <w:tc>
          <w:tcPr>
            <w:tcW w:w="258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Лімфоцити, %</w:t>
            </w:r>
          </w:p>
        </w:tc>
        <w:tc>
          <w:tcPr>
            <w:tcW w:w="23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42,3 (40,0;45,0)</w:t>
            </w:r>
          </w:p>
        </w:tc>
        <w:tc>
          <w:tcPr>
            <w:tcW w:w="217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30,5 (24,0;38,0)*</w:t>
            </w:r>
          </w:p>
        </w:tc>
        <w:tc>
          <w:tcPr>
            <w:tcW w:w="23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42,0 (37,0;46,0)**</w:t>
            </w:r>
          </w:p>
        </w:tc>
      </w:tr>
      <w:tr w:rsidR="00BD0BF2" w:rsidRPr="004E3FE9" w:rsidTr="00721EA2">
        <w:tc>
          <w:tcPr>
            <w:tcW w:w="258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Моноцити, %</w:t>
            </w:r>
          </w:p>
        </w:tc>
        <w:tc>
          <w:tcPr>
            <w:tcW w:w="23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4,4 (3,0;6,0)</w:t>
            </w:r>
          </w:p>
        </w:tc>
        <w:tc>
          <w:tcPr>
            <w:tcW w:w="217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6,0 (3,0;9,0)</w:t>
            </w:r>
          </w:p>
        </w:tc>
        <w:tc>
          <w:tcPr>
            <w:tcW w:w="23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 (3,0;9,0)</w:t>
            </w:r>
          </w:p>
        </w:tc>
      </w:tr>
      <w:tr w:rsidR="00BD0BF2" w:rsidRPr="004E3FE9" w:rsidTr="00721EA2">
        <w:tc>
          <w:tcPr>
            <w:tcW w:w="2584"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ШОЕ, мм/г</w:t>
            </w:r>
          </w:p>
        </w:tc>
        <w:tc>
          <w:tcPr>
            <w:tcW w:w="23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7,7 (7,0;9,0)</w:t>
            </w:r>
          </w:p>
        </w:tc>
        <w:tc>
          <w:tcPr>
            <w:tcW w:w="217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20,0 (14,0;27,0)*</w:t>
            </w:r>
          </w:p>
        </w:tc>
        <w:tc>
          <w:tcPr>
            <w:tcW w:w="2310"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6,0 (5,0;10,0)**</w:t>
            </w:r>
          </w:p>
        </w:tc>
      </w:tr>
    </w:tbl>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 більшості хворих через тиждень перебування в стаціонарі відмічали позитивну клінічну динаміку, у вигляді нормалізації температурної реакції, покращення самопочуття, зворотного розвитку висипу. У 4 (18,1±8,1%) хворих зафіксовано рецидив шкірного синдрому на фоні гострого респіраторного захворювання та приєднання симптомів загальної інтоксикації.</w:t>
      </w:r>
    </w:p>
    <w:p w:rsidR="00E62C2B" w:rsidRPr="004E3FE9" w:rsidRDefault="00E62C2B" w:rsidP="001C558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Позитивна динаміка клінічних проявів ГВ, а саме покращення на 3-4 тижні захворювання загального стану дітей, відсутність шкірного, суглобового та абдомінальних синдромів та нормалізація клінічних та біохімічних показників, зокрема статистично достовірне зниження рівнів лейкоцитів (Т=23,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 палочкоядерних нейтрофілів (Т=2,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=0,005), сегментоядерних нейтрофілів (Т=23,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=0,015), ШОЕ (Т=3,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 серомукоїду, глікопротеїдів та гамма-глобулінів (Т=2,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 xml:space="preserve">=0,000, Т=6, </w:t>
      </w:r>
      <w:r w:rsidR="00980585">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lastRenderedPageBreak/>
        <w:t>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 Т=19,5,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 відповідно), що свідчило про розвиток клініко-лабораторної ремісії у хворих з ІІ ступенем активності ГВ</w:t>
      </w:r>
      <w:r w:rsidR="00144A30" w:rsidRPr="004E3FE9">
        <w:rPr>
          <w:rFonts w:ascii="Times New Roman" w:hAnsi="Times New Roman" w:cs="Times New Roman"/>
          <w:sz w:val="28"/>
          <w:szCs w:val="28"/>
          <w:lang w:val="uk-UA"/>
        </w:rPr>
        <w:t xml:space="preserve"> (табл. 3.11)</w:t>
      </w:r>
      <w:r w:rsidRPr="004E3FE9">
        <w:rPr>
          <w:rFonts w:ascii="Times New Roman" w:hAnsi="Times New Roman" w:cs="Times New Roman"/>
          <w:sz w:val="28"/>
          <w:szCs w:val="28"/>
          <w:lang w:val="uk-UA"/>
        </w:rPr>
        <w:t>.</w:t>
      </w:r>
    </w:p>
    <w:p w:rsidR="00BD0BF2" w:rsidRPr="001C558E" w:rsidRDefault="00BD0BF2" w:rsidP="00BD0BF2">
      <w:pPr>
        <w:spacing w:line="360" w:lineRule="auto"/>
        <w:ind w:firstLine="709"/>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3.1</w:t>
      </w:r>
      <w:r w:rsidR="00144A30" w:rsidRPr="001C558E">
        <w:rPr>
          <w:rFonts w:ascii="Times New Roman" w:hAnsi="Times New Roman" w:cs="Times New Roman"/>
          <w:i/>
          <w:sz w:val="28"/>
          <w:szCs w:val="28"/>
          <w:lang w:val="uk-UA"/>
        </w:rPr>
        <w:t>1</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Динаміка показників гострої фази запалення та протеїнограми у дітей, хворих на геморагічний васкуліт з ІІ ступенем активності, в динаміці захворювання</w:t>
      </w:r>
      <w:r w:rsidR="003A3A9E">
        <w:rPr>
          <w:rFonts w:ascii="Times New Roman" w:hAnsi="Times New Roman" w:cs="Times New Roman"/>
          <w:b/>
          <w:sz w:val="28"/>
          <w:szCs w:val="28"/>
          <w:lang w:val="uk-UA"/>
        </w:rPr>
        <w:t>, (Me(Lq;Uq))</w:t>
      </w:r>
    </w:p>
    <w:tbl>
      <w:tblPr>
        <w:tblStyle w:val="a8"/>
        <w:tblW w:w="9498" w:type="dxa"/>
        <w:tblInd w:w="108" w:type="dxa"/>
        <w:tblLayout w:type="fixed"/>
        <w:tblLook w:val="04A0"/>
      </w:tblPr>
      <w:tblGrid>
        <w:gridCol w:w="2552"/>
        <w:gridCol w:w="2268"/>
        <w:gridCol w:w="2339"/>
        <w:gridCol w:w="2339"/>
      </w:tblGrid>
      <w:tr w:rsidR="00BD0BF2" w:rsidRPr="004E3FE9" w:rsidTr="00721EA2">
        <w:tc>
          <w:tcPr>
            <w:tcW w:w="2552"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2268"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 n=17</w:t>
            </w:r>
          </w:p>
        </w:tc>
        <w:tc>
          <w:tcPr>
            <w:tcW w:w="4678" w:type="dxa"/>
            <w:gridSpan w:val="2"/>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Період захворювання</w:t>
            </w:r>
          </w:p>
        </w:tc>
      </w:tr>
      <w:tr w:rsidR="00BD0BF2" w:rsidRPr="004E3FE9" w:rsidTr="00721EA2">
        <w:tc>
          <w:tcPr>
            <w:tcW w:w="2552"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268"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n=22</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 n=22</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Серомукоїд,</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од. опт. щ.</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3,9</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(3,6;4,3)</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5,9</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(4,5;7,9)*</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3,8</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(3,4;4,2)**</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Глікопротеїди,</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од. опт. щ.</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(0,265;0,345)</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0,391</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(0,322;0,533)*</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0,301 (0,264;0,344)**</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Загальний білок, г/л</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69,7</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(66,0;75,0)</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67,5</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(63,2;70,0)</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66,2</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(63,4;69,2)</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Альбуміни, %</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57,0 (54,8;58,0)</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52,1 (49,0;56,4)</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56,0 (52,0;58,0)</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Глобуліни:</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α</w:t>
            </w:r>
            <w:r w:rsidRPr="004E3FE9">
              <w:rPr>
                <w:rFonts w:ascii="Times New Roman" w:hAnsi="Times New Roman" w:cs="Times New Roman"/>
                <w:sz w:val="28"/>
                <w:szCs w:val="28"/>
                <w:vertAlign w:val="subscript"/>
                <w:lang w:val="uk-UA"/>
              </w:rPr>
              <w:t xml:space="preserve">1, </w:t>
            </w:r>
            <w:r w:rsidRPr="004E3FE9">
              <w:rPr>
                <w:rFonts w:ascii="Times New Roman" w:hAnsi="Times New Roman" w:cs="Times New Roman"/>
                <w:sz w:val="28"/>
                <w:szCs w:val="28"/>
                <w:lang w:val="uk-UA"/>
              </w:rPr>
              <w:t>%</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 (4,6;5,6)</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4,9 (2,9;7,0)</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4,4 (3,2;6,6)</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α</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9,0 (7,9;10,1)</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9,1 (6,0;11,8)</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9,7 (7,7;11,3)</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β, %</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12,1 (11,6;12,6)</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12,7 (11,1;15,0)</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11,5 (7,5;13,8)</w:t>
            </w:r>
          </w:p>
        </w:tc>
      </w:tr>
      <w:tr w:rsidR="00BD0BF2" w:rsidRPr="004E3FE9" w:rsidTr="00721EA2">
        <w:tc>
          <w:tcPr>
            <w:tcW w:w="25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γ, %</w:t>
            </w:r>
          </w:p>
        </w:tc>
        <w:tc>
          <w:tcPr>
            <w:tcW w:w="226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15,7 (14,6;16,9)</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20,3 (18,1;23,9)*</w:t>
            </w:r>
          </w:p>
        </w:tc>
        <w:tc>
          <w:tcPr>
            <w:tcW w:w="2339"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16,0 (13,0;21,0)**</w:t>
            </w:r>
          </w:p>
        </w:tc>
      </w:tr>
    </w:tbl>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Діти, хворі на ГВ з ІІІ ступенем активності патологічного процесу надходили до стаціонару переважно в стані середньої важкості (16 (84,2±8,3%) хворих) та 3 (15,7±8,3%) дітей перебували в важкому стані. Всі хворі цієї групи скаржились на досить виражені симптоми загальної інтоксикації у вигляді головного болю, слабкості, млявості та зниження апетиту. Також всім дітям був притаманний рясний геморагічний висип, 18 (94,7±5,1%) хворих пред’являли скарги на болі в суглобах, 11 (57,8±11,3%) </w:t>
      </w:r>
      <w:r w:rsidRPr="004E3FE9">
        <w:rPr>
          <w:rFonts w:ascii="Times New Roman" w:hAnsi="Times New Roman" w:cs="Times New Roman"/>
          <w:sz w:val="28"/>
          <w:szCs w:val="28"/>
          <w:lang w:val="uk-UA"/>
        </w:rPr>
        <w:lastRenderedPageBreak/>
        <w:t xml:space="preserve">хворих – на абдомінальні болі та у 5 (26,3±10,1%) дітей спостерігали нудоту, блювання та послаблення стулу.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 13 (68,4±10,6%) хворих ГВ розпочався після перенесених напередодні гострих респіраторних захворювань та 6 (31,5±10,6%) дітей пов’язували розвиток хвороби з похибками в дієті, прийманням ліків та укусів комах. З анамнезу життя відомо, що 12 (63,1±11,1%) дітей мали алергійну налаштованість та половина (52,6±11,4%) хворих мали захворювання верхніх дихальних шляхів та ЛОР-органів.</w:t>
      </w:r>
    </w:p>
    <w:p w:rsidR="00BD0BF2" w:rsidRPr="004E3FE9" w:rsidRDefault="00BD0BF2" w:rsidP="00E62C2B">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Під час аналізу характеру шкірного синдрому нами з’ясовано наступне: висип носив розповсюджений характер з тенденцією до </w:t>
      </w:r>
      <w:r w:rsidR="00941012">
        <w:rPr>
          <w:rFonts w:ascii="Times New Roman" w:hAnsi="Times New Roman" w:cs="Times New Roman"/>
          <w:sz w:val="28"/>
          <w:szCs w:val="28"/>
          <w:lang w:val="uk-UA"/>
        </w:rPr>
        <w:t>злиття та супроводжувався свербі</w:t>
      </w:r>
      <w:r w:rsidRPr="004E3FE9">
        <w:rPr>
          <w:rFonts w:ascii="Times New Roman" w:hAnsi="Times New Roman" w:cs="Times New Roman"/>
          <w:sz w:val="28"/>
          <w:szCs w:val="28"/>
          <w:lang w:val="uk-UA"/>
        </w:rPr>
        <w:t xml:space="preserve">жем та печінням.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Суглобовий синдром зареєстровано у 18 (94,7±5,1%) хворих та також як і у попередніх хворих проявлявся артралгіями, периартикулярним набряком та обмеженням рухів . До патологічного процесу залучались гомілкові (18 (94,7±5,1%) дітей), колінні – (8 (42,1±11,3%) діте</w:t>
      </w:r>
      <w:r w:rsidR="00941012">
        <w:rPr>
          <w:rFonts w:ascii="Times New Roman" w:hAnsi="Times New Roman" w:cs="Times New Roman"/>
          <w:sz w:val="28"/>
          <w:szCs w:val="28"/>
          <w:lang w:val="uk-UA"/>
        </w:rPr>
        <w:t>й), променезап'ясткові (4 (21,1</w:t>
      </w:r>
      <w:r w:rsidRPr="004E3FE9">
        <w:rPr>
          <w:rFonts w:ascii="Times New Roman" w:hAnsi="Times New Roman" w:cs="Times New Roman"/>
          <w:sz w:val="28"/>
          <w:szCs w:val="28"/>
          <w:lang w:val="uk-UA"/>
        </w:rPr>
        <w:t>±9,3%) дітей) суглоби та у одного хворого зафіксовано ураження ліктьових суглобів.</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Абдомінальний синдром розвився у 10 (52,6±11,4%) хворих та протікав на фоні шкірного та суглобового синдромів. Проявами його стали колікоподібні болі в животі, нудота, блювання.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Ураження нирок зафіксовано у 9 (47,3±11,4%) хворих з ІІІ ступенем активності патологічного процесу на фоні шкірного, суглобового та абдомінального синдромів. У 2 хворих зміни в аналізах сечі зафіксовані в перші дні захворювання, у інших 7 хворих – на 2-3 тижні. Головним чином залучення нирок в патологічний процес фіксували у вигляді сечового синдрому (транзиторна гематурія, протеїнурія та циліндрурія).</w:t>
      </w:r>
    </w:p>
    <w:p w:rsidR="00E62C2B" w:rsidRPr="004E3FE9" w:rsidRDefault="00BD0BF2" w:rsidP="00314598">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Лабораторні показники загального аналізу крові підтверджували важкість перебігу ГВ у дітей цієї групи, а саме статистично достовірне підвищення рівнів лейкоцитів, палочкоядерних та сегментоядерних нейтрофілів, ШОЕ (р</w:t>
      </w:r>
      <w:r w:rsidRPr="004E3FE9">
        <w:rPr>
          <w:rFonts w:ascii="Times New Roman" w:hAnsi="Times New Roman" w:cs="Times New Roman"/>
          <w:sz w:val="28"/>
          <w:szCs w:val="28"/>
          <w:vertAlign w:val="subscript"/>
          <w:lang w:val="uk-UA"/>
        </w:rPr>
        <w:t>ІІІ-к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=0,019,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 xml:space="preserve">=0,000 відповідно) та </w:t>
      </w:r>
      <w:r w:rsidRPr="004E3FE9">
        <w:rPr>
          <w:rFonts w:ascii="Times New Roman" w:hAnsi="Times New Roman" w:cs="Times New Roman"/>
          <w:sz w:val="28"/>
          <w:szCs w:val="28"/>
          <w:lang w:val="uk-UA"/>
        </w:rPr>
        <w:lastRenderedPageBreak/>
        <w:t>зниження рівнів тромбоцитів та лімфоцитів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відповідно) (табл. 3.1</w:t>
      </w:r>
      <w:r w:rsidR="00144A30" w:rsidRPr="004E3FE9">
        <w:rPr>
          <w:rFonts w:ascii="Times New Roman" w:hAnsi="Times New Roman" w:cs="Times New Roman"/>
          <w:sz w:val="28"/>
          <w:szCs w:val="28"/>
          <w:lang w:val="uk-UA"/>
        </w:rPr>
        <w:t>2</w:t>
      </w:r>
      <w:r w:rsidRPr="004E3FE9">
        <w:rPr>
          <w:rFonts w:ascii="Times New Roman" w:hAnsi="Times New Roman" w:cs="Times New Roman"/>
          <w:sz w:val="28"/>
          <w:szCs w:val="28"/>
          <w:lang w:val="uk-UA"/>
        </w:rPr>
        <w:t xml:space="preserve">). </w:t>
      </w:r>
    </w:p>
    <w:p w:rsidR="00BD0BF2" w:rsidRPr="001C558E" w:rsidRDefault="00BD0BF2" w:rsidP="00BD0BF2">
      <w:pPr>
        <w:spacing w:line="360" w:lineRule="auto"/>
        <w:ind w:firstLine="709"/>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t>Таблиця 3.1</w:t>
      </w:r>
      <w:r w:rsidR="00144A30" w:rsidRPr="001C558E">
        <w:rPr>
          <w:rFonts w:ascii="Times New Roman" w:hAnsi="Times New Roman" w:cs="Times New Roman"/>
          <w:i/>
          <w:sz w:val="28"/>
          <w:szCs w:val="28"/>
          <w:lang w:val="uk-UA"/>
        </w:rPr>
        <w:t>2</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клінічного аналізу крові у дітей, хворих на геморагічний васкуліт з ІІІ ступенем активності, в динаміці захворювання</w:t>
      </w:r>
      <w:r w:rsidR="003A3A9E">
        <w:rPr>
          <w:rFonts w:ascii="Times New Roman" w:hAnsi="Times New Roman" w:cs="Times New Roman"/>
          <w:b/>
          <w:sz w:val="28"/>
          <w:szCs w:val="28"/>
          <w:lang w:val="uk-UA"/>
        </w:rPr>
        <w:t>, (Me(Lq;Uq))</w:t>
      </w:r>
    </w:p>
    <w:tbl>
      <w:tblPr>
        <w:tblStyle w:val="a8"/>
        <w:tblW w:w="0" w:type="auto"/>
        <w:tblInd w:w="108" w:type="dxa"/>
        <w:tblLook w:val="04A0"/>
      </w:tblPr>
      <w:tblGrid>
        <w:gridCol w:w="2592"/>
        <w:gridCol w:w="2135"/>
        <w:gridCol w:w="2573"/>
        <w:gridCol w:w="2163"/>
      </w:tblGrid>
      <w:tr w:rsidR="00BD0BF2" w:rsidRPr="004E3FE9" w:rsidTr="00721EA2">
        <w:tc>
          <w:tcPr>
            <w:tcW w:w="2592"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2135"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 n=17</w:t>
            </w:r>
          </w:p>
        </w:tc>
        <w:tc>
          <w:tcPr>
            <w:tcW w:w="4736" w:type="dxa"/>
            <w:gridSpan w:val="2"/>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Період захворювання</w:t>
            </w:r>
          </w:p>
        </w:tc>
      </w:tr>
      <w:tr w:rsidR="00BD0BF2" w:rsidRPr="004E3FE9" w:rsidTr="00721EA2">
        <w:tc>
          <w:tcPr>
            <w:tcW w:w="2592"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135" w:type="dxa"/>
            <w:vMerge/>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57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n=19</w:t>
            </w:r>
          </w:p>
        </w:tc>
        <w:tc>
          <w:tcPr>
            <w:tcW w:w="21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 n=19</w:t>
            </w:r>
          </w:p>
        </w:tc>
      </w:tr>
      <w:tr w:rsidR="00BD0BF2" w:rsidRPr="004E3FE9" w:rsidTr="00721EA2">
        <w:tc>
          <w:tcPr>
            <w:tcW w:w="25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Гемоглобін, г/л</w:t>
            </w:r>
          </w:p>
        </w:tc>
        <w:tc>
          <w:tcPr>
            <w:tcW w:w="213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 (123;129)</w:t>
            </w:r>
          </w:p>
        </w:tc>
        <w:tc>
          <w:tcPr>
            <w:tcW w:w="257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123 (117;140)</w:t>
            </w:r>
          </w:p>
        </w:tc>
        <w:tc>
          <w:tcPr>
            <w:tcW w:w="21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119 (115;129)</w:t>
            </w:r>
          </w:p>
        </w:tc>
      </w:tr>
      <w:tr w:rsidR="00BD0BF2" w:rsidRPr="004E3FE9" w:rsidTr="00721EA2">
        <w:tc>
          <w:tcPr>
            <w:tcW w:w="25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Еритроцити, 10</w:t>
            </w:r>
            <w:r w:rsidRPr="004E3FE9">
              <w:rPr>
                <w:rFonts w:ascii="Times New Roman" w:hAnsi="Times New Roman" w:cs="Times New Roman"/>
                <w:sz w:val="28"/>
                <w:szCs w:val="28"/>
                <w:vertAlign w:val="superscript"/>
                <w:lang w:val="uk-UA"/>
              </w:rPr>
              <w:t>12</w:t>
            </w:r>
            <w:r w:rsidRPr="004E3FE9">
              <w:rPr>
                <w:rFonts w:ascii="Times New Roman" w:hAnsi="Times New Roman" w:cs="Times New Roman"/>
                <w:sz w:val="28"/>
                <w:szCs w:val="28"/>
                <w:lang w:val="uk-UA"/>
              </w:rPr>
              <w:t>/л</w:t>
            </w:r>
          </w:p>
        </w:tc>
        <w:tc>
          <w:tcPr>
            <w:tcW w:w="213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4,3 (4,2;4,6)</w:t>
            </w:r>
          </w:p>
        </w:tc>
        <w:tc>
          <w:tcPr>
            <w:tcW w:w="257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 (3,9;4,5)</w:t>
            </w:r>
          </w:p>
        </w:tc>
        <w:tc>
          <w:tcPr>
            <w:tcW w:w="21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 (3,7;4,3)*</w:t>
            </w:r>
          </w:p>
        </w:tc>
      </w:tr>
      <w:tr w:rsidR="00BD0BF2" w:rsidRPr="004E3FE9" w:rsidTr="00721EA2">
        <w:tc>
          <w:tcPr>
            <w:tcW w:w="25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Лейкоцити,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213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5,9 (5,6;6,3)</w:t>
            </w:r>
          </w:p>
        </w:tc>
        <w:tc>
          <w:tcPr>
            <w:tcW w:w="257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11,8 (6,4;15,0)*</w:t>
            </w:r>
          </w:p>
        </w:tc>
        <w:tc>
          <w:tcPr>
            <w:tcW w:w="21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7,3 (6,0;8,5)*</w:t>
            </w:r>
          </w:p>
        </w:tc>
      </w:tr>
      <w:tr w:rsidR="00BD0BF2" w:rsidRPr="004E3FE9" w:rsidTr="00721EA2">
        <w:tc>
          <w:tcPr>
            <w:tcW w:w="25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Тромбоцити,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213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266 (250;287)</w:t>
            </w:r>
          </w:p>
        </w:tc>
        <w:tc>
          <w:tcPr>
            <w:tcW w:w="257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194 (156;256)*</w:t>
            </w:r>
          </w:p>
        </w:tc>
        <w:tc>
          <w:tcPr>
            <w:tcW w:w="21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188 (160;217)*</w:t>
            </w:r>
          </w:p>
        </w:tc>
      </w:tr>
      <w:tr w:rsidR="00BD0BF2" w:rsidRPr="004E3FE9" w:rsidTr="00721EA2">
        <w:tc>
          <w:tcPr>
            <w:tcW w:w="25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Палочкоядерні, %</w:t>
            </w:r>
          </w:p>
        </w:tc>
        <w:tc>
          <w:tcPr>
            <w:tcW w:w="213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 (1,0;2,0)</w:t>
            </w:r>
          </w:p>
        </w:tc>
        <w:tc>
          <w:tcPr>
            <w:tcW w:w="257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 (1,0;5,0)*</w:t>
            </w:r>
          </w:p>
        </w:tc>
        <w:tc>
          <w:tcPr>
            <w:tcW w:w="21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 (1,0;1,0)</w:t>
            </w:r>
          </w:p>
        </w:tc>
      </w:tr>
      <w:tr w:rsidR="00BD0BF2" w:rsidRPr="004E3FE9" w:rsidTr="00721EA2">
        <w:tc>
          <w:tcPr>
            <w:tcW w:w="25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Сегментоядерні, %</w:t>
            </w:r>
          </w:p>
        </w:tc>
        <w:tc>
          <w:tcPr>
            <w:tcW w:w="213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50,7 (48,0;54,0)</w:t>
            </w:r>
          </w:p>
        </w:tc>
        <w:tc>
          <w:tcPr>
            <w:tcW w:w="257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60,0 (55,0;70,0)*</w:t>
            </w:r>
          </w:p>
        </w:tc>
        <w:tc>
          <w:tcPr>
            <w:tcW w:w="21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50,0 (46,0;57,0)</w:t>
            </w:r>
          </w:p>
        </w:tc>
      </w:tr>
      <w:tr w:rsidR="00BD0BF2" w:rsidRPr="004E3FE9" w:rsidTr="00721EA2">
        <w:tc>
          <w:tcPr>
            <w:tcW w:w="25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Еозінофіли, %</w:t>
            </w:r>
          </w:p>
        </w:tc>
        <w:tc>
          <w:tcPr>
            <w:tcW w:w="213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 (1,0;1,0)</w:t>
            </w:r>
          </w:p>
        </w:tc>
        <w:tc>
          <w:tcPr>
            <w:tcW w:w="257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 (1,0;2,0)</w:t>
            </w:r>
          </w:p>
        </w:tc>
        <w:tc>
          <w:tcPr>
            <w:tcW w:w="21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 (1,0;2,0)</w:t>
            </w:r>
          </w:p>
        </w:tc>
      </w:tr>
      <w:tr w:rsidR="00BD0BF2" w:rsidRPr="004E3FE9" w:rsidTr="00721EA2">
        <w:tc>
          <w:tcPr>
            <w:tcW w:w="25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Лімфоцити, %</w:t>
            </w:r>
          </w:p>
        </w:tc>
        <w:tc>
          <w:tcPr>
            <w:tcW w:w="213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42,3 (40,0;45,0)</w:t>
            </w:r>
          </w:p>
        </w:tc>
        <w:tc>
          <w:tcPr>
            <w:tcW w:w="257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29,0 (19,0;36,0)*</w:t>
            </w:r>
          </w:p>
        </w:tc>
        <w:tc>
          <w:tcPr>
            <w:tcW w:w="21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40,0 (36,0;47,0)</w:t>
            </w:r>
          </w:p>
        </w:tc>
      </w:tr>
      <w:tr w:rsidR="00BD0BF2" w:rsidRPr="004E3FE9" w:rsidTr="00721EA2">
        <w:tc>
          <w:tcPr>
            <w:tcW w:w="25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Моноцити, %</w:t>
            </w:r>
          </w:p>
        </w:tc>
        <w:tc>
          <w:tcPr>
            <w:tcW w:w="213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4,4 (3,0;6,0)</w:t>
            </w:r>
          </w:p>
        </w:tc>
        <w:tc>
          <w:tcPr>
            <w:tcW w:w="257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 (2,0;5,0)</w:t>
            </w:r>
          </w:p>
        </w:tc>
        <w:tc>
          <w:tcPr>
            <w:tcW w:w="21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 (4,0;7,0)</w:t>
            </w:r>
          </w:p>
        </w:tc>
      </w:tr>
      <w:tr w:rsidR="00BD0BF2" w:rsidRPr="004E3FE9" w:rsidTr="00721EA2">
        <w:tc>
          <w:tcPr>
            <w:tcW w:w="259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ШОЕ, мм/г</w:t>
            </w:r>
          </w:p>
        </w:tc>
        <w:tc>
          <w:tcPr>
            <w:tcW w:w="213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7,7 (7,0;9,0)</w:t>
            </w:r>
          </w:p>
        </w:tc>
        <w:tc>
          <w:tcPr>
            <w:tcW w:w="257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25,0 (22,0;28,0)*</w:t>
            </w:r>
          </w:p>
        </w:tc>
        <w:tc>
          <w:tcPr>
            <w:tcW w:w="216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6,0 (5,0;10,0)</w:t>
            </w:r>
          </w:p>
        </w:tc>
      </w:tr>
    </w:tbl>
    <w:p w:rsidR="00E62C2B" w:rsidRPr="004E3FE9" w:rsidRDefault="00E62C2B" w:rsidP="00314598">
      <w:pPr>
        <w:spacing w:line="360" w:lineRule="auto"/>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Реєстрували також достовірне підвищення рівнів серомукоїду, глікопротеїдів та гамма-глобулінів, як маркерів гострої фази запалення, в порівнянні з показниками дітей групи контролю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 xml:space="preserve">=0,000, </w:t>
      </w:r>
      <w:r w:rsidR="003A3A9E">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відповідно) (табл 3.1</w:t>
      </w:r>
      <w:r w:rsidR="00144A30" w:rsidRPr="004E3FE9">
        <w:rPr>
          <w:rFonts w:ascii="Times New Roman" w:hAnsi="Times New Roman" w:cs="Times New Roman"/>
          <w:sz w:val="28"/>
          <w:szCs w:val="28"/>
          <w:lang w:val="uk-UA"/>
        </w:rPr>
        <w:t>3</w:t>
      </w:r>
      <w:r w:rsidRPr="004E3FE9">
        <w:rPr>
          <w:rFonts w:ascii="Times New Roman" w:hAnsi="Times New Roman" w:cs="Times New Roman"/>
          <w:sz w:val="28"/>
          <w:szCs w:val="28"/>
          <w:lang w:val="uk-UA"/>
        </w:rPr>
        <w:t xml:space="preserve">).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На фоні проведеної терапії у 11 (57,8±11,3%) хворих спостерігався рецидив шкірного синдрому. У хворих зі змішаною формою з нирковим синдромом сечовий синдром зберігався на протязі 1-2 місяців.</w:t>
      </w:r>
    </w:p>
    <w:p w:rsidR="00E62C2B" w:rsidRPr="004E3FE9" w:rsidRDefault="00E62C2B" w:rsidP="00BD0BF2">
      <w:pPr>
        <w:spacing w:line="360" w:lineRule="auto"/>
        <w:ind w:firstLine="709"/>
        <w:contextualSpacing/>
        <w:jc w:val="both"/>
        <w:rPr>
          <w:rFonts w:ascii="Times New Roman" w:hAnsi="Times New Roman" w:cs="Times New Roman"/>
          <w:sz w:val="28"/>
          <w:szCs w:val="28"/>
          <w:lang w:val="uk-UA"/>
        </w:rPr>
      </w:pPr>
    </w:p>
    <w:p w:rsidR="00314598" w:rsidRPr="004E3FE9" w:rsidRDefault="00314598" w:rsidP="00BD0BF2">
      <w:pPr>
        <w:spacing w:line="360" w:lineRule="auto"/>
        <w:ind w:firstLine="709"/>
        <w:contextualSpacing/>
        <w:jc w:val="both"/>
        <w:rPr>
          <w:rFonts w:ascii="Times New Roman" w:hAnsi="Times New Roman" w:cs="Times New Roman"/>
          <w:sz w:val="28"/>
          <w:szCs w:val="28"/>
          <w:lang w:val="uk-UA"/>
        </w:rPr>
      </w:pPr>
    </w:p>
    <w:p w:rsidR="00314598" w:rsidRPr="004E3FE9" w:rsidRDefault="00314598" w:rsidP="00BD0BF2">
      <w:pPr>
        <w:spacing w:line="360" w:lineRule="auto"/>
        <w:ind w:firstLine="709"/>
        <w:contextualSpacing/>
        <w:jc w:val="both"/>
        <w:rPr>
          <w:rFonts w:ascii="Times New Roman" w:hAnsi="Times New Roman" w:cs="Times New Roman"/>
          <w:sz w:val="28"/>
          <w:szCs w:val="28"/>
          <w:lang w:val="uk-UA"/>
        </w:rPr>
      </w:pPr>
    </w:p>
    <w:p w:rsidR="00BD0BF2" w:rsidRPr="001C558E" w:rsidRDefault="00BD0BF2" w:rsidP="00BD0BF2">
      <w:pPr>
        <w:spacing w:line="360" w:lineRule="auto"/>
        <w:ind w:firstLine="709"/>
        <w:contextualSpacing/>
        <w:jc w:val="right"/>
        <w:rPr>
          <w:rFonts w:ascii="Times New Roman" w:hAnsi="Times New Roman" w:cs="Times New Roman"/>
          <w:i/>
          <w:sz w:val="28"/>
          <w:szCs w:val="28"/>
          <w:lang w:val="uk-UA"/>
        </w:rPr>
      </w:pPr>
      <w:r w:rsidRPr="001C558E">
        <w:rPr>
          <w:rFonts w:ascii="Times New Roman" w:hAnsi="Times New Roman" w:cs="Times New Roman"/>
          <w:i/>
          <w:sz w:val="28"/>
          <w:szCs w:val="28"/>
          <w:lang w:val="uk-UA"/>
        </w:rPr>
        <w:lastRenderedPageBreak/>
        <w:t>Таблиця 3.1</w:t>
      </w:r>
      <w:r w:rsidR="00144A30" w:rsidRPr="001C558E">
        <w:rPr>
          <w:rFonts w:ascii="Times New Roman" w:hAnsi="Times New Roman" w:cs="Times New Roman"/>
          <w:i/>
          <w:sz w:val="28"/>
          <w:szCs w:val="28"/>
          <w:lang w:val="uk-UA"/>
        </w:rPr>
        <w:t>3</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Динаміка показників гострої фази запалення та протеїнограми у дітей, хворих на геморагічний васкуліт з ІІІ ступенем активності, в динаміці захворювання</w:t>
      </w:r>
      <w:r w:rsidR="003A3A9E">
        <w:rPr>
          <w:rFonts w:ascii="Times New Roman" w:hAnsi="Times New Roman" w:cs="Times New Roman"/>
          <w:b/>
          <w:sz w:val="28"/>
          <w:szCs w:val="28"/>
          <w:lang w:val="uk-UA"/>
        </w:rPr>
        <w:t>, (Me(Lq;Uq))</w:t>
      </w:r>
    </w:p>
    <w:tbl>
      <w:tblPr>
        <w:tblStyle w:val="a8"/>
        <w:tblW w:w="9640" w:type="dxa"/>
        <w:tblInd w:w="-34" w:type="dxa"/>
        <w:tblLayout w:type="fixed"/>
        <w:tblLook w:val="04A0"/>
      </w:tblPr>
      <w:tblGrid>
        <w:gridCol w:w="2977"/>
        <w:gridCol w:w="2127"/>
        <w:gridCol w:w="2409"/>
        <w:gridCol w:w="2127"/>
      </w:tblGrid>
      <w:tr w:rsidR="00BD0BF2" w:rsidRPr="004E3FE9" w:rsidTr="00314598">
        <w:tc>
          <w:tcPr>
            <w:tcW w:w="2977" w:type="dxa"/>
            <w:vMerge w:val="restart"/>
          </w:tcPr>
          <w:p w:rsidR="00BD0BF2" w:rsidRPr="004E3FE9" w:rsidRDefault="00BD0BF2" w:rsidP="00314598">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2127" w:type="dxa"/>
            <w:vMerge w:val="restart"/>
          </w:tcPr>
          <w:p w:rsidR="00BD0BF2" w:rsidRPr="004E3FE9" w:rsidRDefault="00BD0BF2" w:rsidP="00314598">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 n=17</w:t>
            </w:r>
          </w:p>
        </w:tc>
        <w:tc>
          <w:tcPr>
            <w:tcW w:w="4536" w:type="dxa"/>
            <w:gridSpan w:val="2"/>
          </w:tcPr>
          <w:p w:rsidR="00BD0BF2" w:rsidRPr="004E3FE9" w:rsidRDefault="00BD0BF2" w:rsidP="00314598">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Період захворювання</w:t>
            </w:r>
          </w:p>
        </w:tc>
      </w:tr>
      <w:tr w:rsidR="00BD0BF2" w:rsidRPr="004E3FE9" w:rsidTr="004E51EA">
        <w:tc>
          <w:tcPr>
            <w:tcW w:w="2977" w:type="dxa"/>
            <w:vMerge/>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127" w:type="dxa"/>
            <w:vMerge/>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2409"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n=19</w:t>
            </w:r>
          </w:p>
        </w:tc>
        <w:tc>
          <w:tcPr>
            <w:tcW w:w="212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 n=19</w:t>
            </w:r>
          </w:p>
        </w:tc>
      </w:tr>
      <w:tr w:rsidR="00BD0BF2" w:rsidRPr="004E3FE9" w:rsidTr="004E51EA">
        <w:tc>
          <w:tcPr>
            <w:tcW w:w="29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Серомукоїд,</w:t>
            </w:r>
            <w:r w:rsidR="003A3A9E">
              <w:rPr>
                <w:rFonts w:ascii="Times New Roman" w:hAnsi="Times New Roman" w:cs="Times New Roman"/>
                <w:sz w:val="28"/>
                <w:szCs w:val="28"/>
                <w:lang w:val="uk-UA"/>
              </w:rPr>
              <w:t xml:space="preserve"> од.</w:t>
            </w:r>
            <w:r w:rsidRPr="004E3FE9">
              <w:rPr>
                <w:rFonts w:ascii="Times New Roman" w:hAnsi="Times New Roman" w:cs="Times New Roman"/>
                <w:sz w:val="28"/>
                <w:szCs w:val="28"/>
                <w:lang w:val="uk-UA"/>
              </w:rPr>
              <w:t>опт. щ.</w:t>
            </w:r>
          </w:p>
        </w:tc>
        <w:tc>
          <w:tcPr>
            <w:tcW w:w="212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3,9 (3,6;4,3)</w:t>
            </w:r>
          </w:p>
        </w:tc>
        <w:tc>
          <w:tcPr>
            <w:tcW w:w="2409"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7,2 (4,8;9,1)*</w:t>
            </w:r>
          </w:p>
        </w:tc>
        <w:tc>
          <w:tcPr>
            <w:tcW w:w="2127"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4,2 (3,7;4,5)</w:t>
            </w:r>
          </w:p>
        </w:tc>
      </w:tr>
      <w:tr w:rsidR="00BD0BF2" w:rsidRPr="004E3FE9" w:rsidTr="004E51EA">
        <w:tc>
          <w:tcPr>
            <w:tcW w:w="29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Глікопротеїди, </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од. опт. щ.</w:t>
            </w:r>
          </w:p>
        </w:tc>
        <w:tc>
          <w:tcPr>
            <w:tcW w:w="212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0,300 </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(0,265;0,345)</w:t>
            </w:r>
          </w:p>
        </w:tc>
        <w:tc>
          <w:tcPr>
            <w:tcW w:w="2409"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0,492 (0,338;0,554)*</w:t>
            </w:r>
          </w:p>
        </w:tc>
        <w:tc>
          <w:tcPr>
            <w:tcW w:w="2127"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0,333 (0,273;0,456)</w:t>
            </w:r>
          </w:p>
        </w:tc>
      </w:tr>
      <w:tr w:rsidR="00BD0BF2" w:rsidRPr="004E3FE9" w:rsidTr="004E51EA">
        <w:tc>
          <w:tcPr>
            <w:tcW w:w="29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Загальний білок, г/л</w:t>
            </w:r>
          </w:p>
        </w:tc>
        <w:tc>
          <w:tcPr>
            <w:tcW w:w="212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69,7 (66,0;75,0)</w:t>
            </w:r>
          </w:p>
        </w:tc>
        <w:tc>
          <w:tcPr>
            <w:tcW w:w="2409"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65,5 (60,0;75,0)</w:t>
            </w:r>
          </w:p>
        </w:tc>
        <w:tc>
          <w:tcPr>
            <w:tcW w:w="2127"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65,0 (60,0;68,0)</w:t>
            </w:r>
          </w:p>
        </w:tc>
      </w:tr>
      <w:tr w:rsidR="00BD0BF2" w:rsidRPr="004E3FE9" w:rsidTr="004E51EA">
        <w:tc>
          <w:tcPr>
            <w:tcW w:w="29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Альбуміни, %</w:t>
            </w:r>
          </w:p>
        </w:tc>
        <w:tc>
          <w:tcPr>
            <w:tcW w:w="212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57,0 (54,8;58,0)</w:t>
            </w:r>
          </w:p>
        </w:tc>
        <w:tc>
          <w:tcPr>
            <w:tcW w:w="2409"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55,6 (50,0;60,6)</w:t>
            </w:r>
          </w:p>
        </w:tc>
        <w:tc>
          <w:tcPr>
            <w:tcW w:w="2127"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54,0 (50,0;57,0)</w:t>
            </w:r>
          </w:p>
        </w:tc>
      </w:tr>
      <w:tr w:rsidR="00BD0BF2" w:rsidRPr="004E3FE9" w:rsidTr="004E51EA">
        <w:tc>
          <w:tcPr>
            <w:tcW w:w="29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Глобуліни:</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α</w:t>
            </w:r>
            <w:r w:rsidRPr="004E3FE9">
              <w:rPr>
                <w:rFonts w:ascii="Times New Roman" w:hAnsi="Times New Roman" w:cs="Times New Roman"/>
                <w:sz w:val="28"/>
                <w:szCs w:val="28"/>
                <w:vertAlign w:val="subscript"/>
                <w:lang w:val="uk-UA"/>
              </w:rPr>
              <w:t xml:space="preserve">1, </w:t>
            </w:r>
            <w:r w:rsidRPr="004E3FE9">
              <w:rPr>
                <w:rFonts w:ascii="Times New Roman" w:hAnsi="Times New Roman" w:cs="Times New Roman"/>
                <w:sz w:val="28"/>
                <w:szCs w:val="28"/>
                <w:lang w:val="uk-UA"/>
              </w:rPr>
              <w:t>%</w:t>
            </w:r>
          </w:p>
        </w:tc>
        <w:tc>
          <w:tcPr>
            <w:tcW w:w="212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 (4,6;5,6)</w:t>
            </w:r>
          </w:p>
        </w:tc>
        <w:tc>
          <w:tcPr>
            <w:tcW w:w="2409"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4,4 (3,0;5,0)*</w:t>
            </w:r>
          </w:p>
        </w:tc>
        <w:tc>
          <w:tcPr>
            <w:tcW w:w="212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4,9 (3,3;6,9)</w:t>
            </w:r>
          </w:p>
        </w:tc>
      </w:tr>
      <w:tr w:rsidR="00BD0BF2" w:rsidRPr="004E3FE9" w:rsidTr="004E51EA">
        <w:tc>
          <w:tcPr>
            <w:tcW w:w="29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α</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w:t>
            </w:r>
          </w:p>
        </w:tc>
        <w:tc>
          <w:tcPr>
            <w:tcW w:w="212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9,0 (7,9;10,1)</w:t>
            </w:r>
          </w:p>
        </w:tc>
        <w:tc>
          <w:tcPr>
            <w:tcW w:w="2409"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9,5 (7,6;11,4)</w:t>
            </w:r>
          </w:p>
        </w:tc>
        <w:tc>
          <w:tcPr>
            <w:tcW w:w="2127"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8,9 (8,4;12,1)</w:t>
            </w:r>
          </w:p>
        </w:tc>
      </w:tr>
      <w:tr w:rsidR="00BD0BF2" w:rsidRPr="004E3FE9" w:rsidTr="004E51EA">
        <w:tc>
          <w:tcPr>
            <w:tcW w:w="29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β, %</w:t>
            </w:r>
          </w:p>
        </w:tc>
        <w:tc>
          <w:tcPr>
            <w:tcW w:w="212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12,1 (11,6;12,6)</w:t>
            </w:r>
          </w:p>
        </w:tc>
        <w:tc>
          <w:tcPr>
            <w:tcW w:w="2409"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10,0 (8,6;11,0)*</w:t>
            </w:r>
          </w:p>
        </w:tc>
        <w:tc>
          <w:tcPr>
            <w:tcW w:w="2127"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13,0 (10,5;14,1)</w:t>
            </w:r>
          </w:p>
        </w:tc>
      </w:tr>
      <w:tr w:rsidR="00BD0BF2" w:rsidRPr="004E3FE9" w:rsidTr="004E51EA">
        <w:tc>
          <w:tcPr>
            <w:tcW w:w="297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γ, %</w:t>
            </w:r>
          </w:p>
        </w:tc>
        <w:tc>
          <w:tcPr>
            <w:tcW w:w="2127" w:type="dxa"/>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15,7 (14,6;16,9)</w:t>
            </w:r>
          </w:p>
        </w:tc>
        <w:tc>
          <w:tcPr>
            <w:tcW w:w="2409"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25,0 (21,5;26,0)*</w:t>
            </w:r>
          </w:p>
        </w:tc>
        <w:tc>
          <w:tcPr>
            <w:tcW w:w="2127" w:type="dxa"/>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14,2 (8,9;20,5)</w:t>
            </w:r>
          </w:p>
        </w:tc>
      </w:tr>
    </w:tbl>
    <w:p w:rsidR="00E62C2B" w:rsidRPr="004E3FE9" w:rsidRDefault="00E62C2B" w:rsidP="00BD0BF2">
      <w:pPr>
        <w:spacing w:line="360" w:lineRule="auto"/>
        <w:ind w:firstLine="709"/>
        <w:contextualSpacing/>
        <w:jc w:val="both"/>
        <w:rPr>
          <w:rFonts w:ascii="Times New Roman" w:hAnsi="Times New Roman" w:cs="Times New Roman"/>
          <w:sz w:val="28"/>
          <w:szCs w:val="28"/>
          <w:lang w:val="uk-UA"/>
        </w:rPr>
      </w:pPr>
    </w:p>
    <w:p w:rsidR="00BD0BF2" w:rsidRDefault="00BD0BF2" w:rsidP="00BD0BF2">
      <w:pPr>
        <w:spacing w:line="360" w:lineRule="auto"/>
        <w:ind w:firstLine="709"/>
        <w:contextualSpacing/>
        <w:jc w:val="both"/>
        <w:rPr>
          <w:rFonts w:ascii="Times New Roman" w:hAnsi="Times New Roman" w:cs="Times New Roman"/>
          <w:noProof/>
          <w:sz w:val="28"/>
          <w:szCs w:val="28"/>
          <w:lang w:val="uk-UA" w:eastAsia="ru-RU"/>
        </w:rPr>
      </w:pPr>
      <w:r w:rsidRPr="004E3FE9">
        <w:rPr>
          <w:rFonts w:ascii="Times New Roman" w:hAnsi="Times New Roman" w:cs="Times New Roman"/>
          <w:sz w:val="28"/>
          <w:szCs w:val="28"/>
          <w:lang w:val="uk-UA"/>
        </w:rPr>
        <w:t>Стосовно лабораторних показників, то в динаміці рівні лейкоцитів знизились (Т=26,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=0,005), але залишились достовірно вищими за рівні групи контролю (р</w:t>
      </w:r>
      <w:r w:rsidRPr="004E3FE9">
        <w:rPr>
          <w:rFonts w:ascii="Times New Roman" w:hAnsi="Times New Roman" w:cs="Times New Roman"/>
          <w:sz w:val="28"/>
          <w:szCs w:val="28"/>
          <w:vertAlign w:val="subscript"/>
          <w:lang w:val="uk-UA"/>
        </w:rPr>
        <w:t>ІІ-к</w:t>
      </w:r>
      <w:r w:rsidRPr="004E3FE9">
        <w:rPr>
          <w:rFonts w:ascii="Times New Roman" w:hAnsi="Times New Roman" w:cs="Times New Roman"/>
          <w:sz w:val="28"/>
          <w:szCs w:val="28"/>
          <w:lang w:val="uk-UA"/>
        </w:rPr>
        <w:t>=0,008). Рівні палочкоядерних та сегментоядерних нейтрофілів, лімфоцитів та ШОЕ статистично достовірно змінились (Т=0,</w:t>
      </w:r>
      <w:r w:rsidR="003A3A9E">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 xml:space="preserve">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=0,003, Т=26,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=0,005, Т=22,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=0,003, Т=1,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 відповідно) та відповідали нормам. Показники гострої фази запалення також знизились та досягли нормальних рівнів (серомукоїд Т=6,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 глікопротеїдиТ=24,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=0,004)</w:t>
      </w:r>
      <w:r w:rsidRPr="004E3FE9">
        <w:rPr>
          <w:rFonts w:ascii="Times New Roman" w:hAnsi="Times New Roman" w:cs="Times New Roman"/>
          <w:noProof/>
          <w:sz w:val="28"/>
          <w:szCs w:val="28"/>
          <w:lang w:val="uk-UA" w:eastAsia="ru-RU"/>
        </w:rPr>
        <w:t>.</w:t>
      </w:r>
    </w:p>
    <w:p w:rsidR="00C518BC" w:rsidRDefault="00C518BC" w:rsidP="00BD0BF2">
      <w:pPr>
        <w:spacing w:line="360" w:lineRule="auto"/>
        <w:ind w:firstLine="709"/>
        <w:contextualSpacing/>
        <w:jc w:val="both"/>
        <w:rPr>
          <w:rFonts w:ascii="Times New Roman" w:hAnsi="Times New Roman" w:cs="Times New Roman"/>
          <w:sz w:val="28"/>
          <w:szCs w:val="28"/>
          <w:lang w:val="uk-UA"/>
        </w:rPr>
      </w:pPr>
    </w:p>
    <w:p w:rsidR="00C518BC" w:rsidRPr="004E3FE9" w:rsidRDefault="00C518BC" w:rsidP="00BD0BF2">
      <w:pPr>
        <w:spacing w:line="360" w:lineRule="auto"/>
        <w:ind w:firstLine="709"/>
        <w:contextualSpacing/>
        <w:jc w:val="both"/>
        <w:rPr>
          <w:rFonts w:ascii="Times New Roman" w:hAnsi="Times New Roman" w:cs="Times New Roman"/>
          <w:sz w:val="28"/>
          <w:szCs w:val="28"/>
          <w:lang w:val="uk-UA"/>
        </w:rPr>
      </w:pPr>
    </w:p>
    <w:p w:rsidR="00BD0BF2" w:rsidRDefault="00BD0BF2" w:rsidP="00A51BD1">
      <w:pPr>
        <w:pStyle w:val="2"/>
        <w:spacing w:line="360" w:lineRule="auto"/>
        <w:rPr>
          <w:rFonts w:ascii="Times New Roman" w:hAnsi="Times New Roman" w:cs="Times New Roman"/>
          <w:color w:val="000000" w:themeColor="text1"/>
          <w:sz w:val="28"/>
          <w:szCs w:val="28"/>
          <w:lang w:val="uk-UA"/>
        </w:rPr>
      </w:pPr>
      <w:bookmarkStart w:id="14" w:name="_Toc465797611"/>
      <w:r w:rsidRPr="004E3FE9">
        <w:rPr>
          <w:rFonts w:ascii="Times New Roman" w:hAnsi="Times New Roman" w:cs="Times New Roman"/>
          <w:color w:val="000000" w:themeColor="text1"/>
          <w:sz w:val="28"/>
          <w:szCs w:val="28"/>
          <w:lang w:val="uk-UA"/>
        </w:rPr>
        <w:lastRenderedPageBreak/>
        <w:t>3.3</w:t>
      </w:r>
      <w:r w:rsidR="0061729E">
        <w:rPr>
          <w:rFonts w:ascii="Times New Roman" w:hAnsi="Times New Roman" w:cs="Times New Roman"/>
          <w:color w:val="000000" w:themeColor="text1"/>
          <w:sz w:val="28"/>
          <w:szCs w:val="28"/>
          <w:lang w:val="uk-UA"/>
        </w:rPr>
        <w:t>.</w:t>
      </w:r>
      <w:r w:rsidRPr="004E3FE9">
        <w:rPr>
          <w:rFonts w:ascii="Times New Roman" w:hAnsi="Times New Roman" w:cs="Times New Roman"/>
          <w:color w:val="000000" w:themeColor="text1"/>
          <w:sz w:val="28"/>
          <w:szCs w:val="28"/>
          <w:lang w:val="uk-UA"/>
        </w:rPr>
        <w:t xml:space="preserve"> Характеристика системи гемостазу у дітей, хворих на геморагічний васкуліт</w:t>
      </w:r>
      <w:bookmarkEnd w:id="14"/>
      <w:r w:rsidRPr="004E3FE9">
        <w:rPr>
          <w:rFonts w:ascii="Times New Roman" w:hAnsi="Times New Roman" w:cs="Times New Roman"/>
          <w:color w:val="000000" w:themeColor="text1"/>
          <w:sz w:val="28"/>
          <w:szCs w:val="28"/>
          <w:lang w:val="uk-UA"/>
        </w:rPr>
        <w:t xml:space="preserve"> </w:t>
      </w:r>
    </w:p>
    <w:p w:rsidR="00C518BC" w:rsidRPr="00C518BC" w:rsidRDefault="00C518BC" w:rsidP="00C518BC">
      <w:pPr>
        <w:rPr>
          <w:lang w:val="uk-UA"/>
        </w:rPr>
      </w:pPr>
    </w:p>
    <w:p w:rsidR="00BD0BF2" w:rsidRPr="004E3FE9" w:rsidRDefault="00BD0BF2" w:rsidP="00A51BD1">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Патогенез розвитку геморагічного васкуліту у дітей в значній мірі визначається порушеннями систем зсідання та проти зсідання, що спричинені пошкодженим ендотелієм судинної стінки в системі мікроциркуляції. Зміни в системі гемостазу при геморагічному васкуліті схожі з такими при ДВЗ-синдромі, проте є відмінності від «класичного» ДВЗ. При васкулиті процес обмежується I (гіперкоагуляційною) стадією. Вкрай рідко (тільки при блискавичній формі) виникають ознаки, властиві II і III стадіями ДВЗ.</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Про стан коагуляційного потенціалу крові судили за результатами показників аутокоагуляціоного тесту (АКТ), рівнів протромбінового часу (індексу) і фібриногену, а також тромбоцитів крові. Показники аутокоагуляційного тесту дозволяють оцінити ранні етапи утворення тромбопластину і тромбіну, про що судять за показниками активності зсідання (А, %) на другій хвилині інкубації гемолізат-кальцієвої суміші, максимальної активності зсідання (МА, %), Т1-часу (хв.) досягнення половини МА, Т2-часу (хв.) досягнення максимальної активності зсідання, індексу інактивації тромбопластину і тромбіну (ІІТ, у.о.), що дозволяє побічно судити про рівень антитромбіну-III в крові, фібринолізу (Ф, хв.). Оскільки висхідна частина кривої АКТ відображає наростання і максимальну активність зсідання крові, а спадна - швидкість і інтенсивність інактивації тромбіну, то АКТ дає досить переконливе уявлення про стан системи гемостазу.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На нашу думку, доцільним було проведення аналізу показників коагуляційного гемостазу в залежності від ступеня активності ГВ, як в гострий період, так і в період клініко-лабораторної ремісії (табл. 3.1</w:t>
      </w:r>
      <w:r w:rsidR="00144A30" w:rsidRPr="004E3FE9">
        <w:rPr>
          <w:rFonts w:ascii="Times New Roman" w:hAnsi="Times New Roman" w:cs="Times New Roman"/>
          <w:sz w:val="28"/>
          <w:szCs w:val="28"/>
          <w:lang w:val="uk-UA"/>
        </w:rPr>
        <w:t>4</w:t>
      </w:r>
      <w:r w:rsidRPr="004E3FE9">
        <w:rPr>
          <w:rFonts w:ascii="Times New Roman" w:hAnsi="Times New Roman" w:cs="Times New Roman"/>
          <w:sz w:val="28"/>
          <w:szCs w:val="28"/>
          <w:lang w:val="uk-UA"/>
        </w:rPr>
        <w:t>).</w:t>
      </w:r>
    </w:p>
    <w:p w:rsidR="003A3A9E" w:rsidRPr="004E3FE9" w:rsidRDefault="00BD0BF2" w:rsidP="00C518BC">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Встановлено, що у дітей з мінімальним ступенем активності в гострий період статистично достовірно підвищувались рівні А та фібриногену </w:t>
      </w:r>
      <w:r w:rsidR="003A3A9E">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1-к</w:t>
      </w:r>
      <w:r w:rsidRPr="004E3FE9">
        <w:rPr>
          <w:rFonts w:ascii="Times New Roman" w:hAnsi="Times New Roman" w:cs="Times New Roman"/>
          <w:sz w:val="28"/>
          <w:szCs w:val="28"/>
          <w:lang w:val="uk-UA"/>
        </w:rPr>
        <w:t xml:space="preserve">=0,000, відповідно) та зменшувались рівні T2, ІІТ та </w:t>
      </w:r>
      <w:r w:rsidRPr="004E3FE9">
        <w:rPr>
          <w:rFonts w:ascii="Times New Roman" w:hAnsi="Times New Roman" w:cs="Times New Roman"/>
          <w:sz w:val="28"/>
          <w:szCs w:val="28"/>
          <w:lang w:val="uk-UA"/>
        </w:rPr>
        <w:lastRenderedPageBreak/>
        <w:t>протромбінового індексу (р</w:t>
      </w:r>
      <w:r w:rsidRPr="004E3FE9">
        <w:rPr>
          <w:rFonts w:ascii="Times New Roman" w:hAnsi="Times New Roman" w:cs="Times New Roman"/>
          <w:sz w:val="28"/>
          <w:szCs w:val="28"/>
          <w:vertAlign w:val="subscript"/>
          <w:lang w:val="uk-UA"/>
        </w:rPr>
        <w:t>1-к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1-к</w:t>
      </w:r>
      <w:r w:rsidRPr="004E3FE9">
        <w:rPr>
          <w:rFonts w:ascii="Times New Roman" w:hAnsi="Times New Roman" w:cs="Times New Roman"/>
          <w:sz w:val="28"/>
          <w:szCs w:val="28"/>
          <w:lang w:val="uk-UA"/>
        </w:rPr>
        <w:t>=0,016, р</w:t>
      </w:r>
      <w:r w:rsidRPr="004E3FE9">
        <w:rPr>
          <w:rFonts w:ascii="Times New Roman" w:hAnsi="Times New Roman" w:cs="Times New Roman"/>
          <w:sz w:val="28"/>
          <w:szCs w:val="28"/>
          <w:vertAlign w:val="subscript"/>
          <w:lang w:val="uk-UA"/>
        </w:rPr>
        <w:t>1-к</w:t>
      </w:r>
      <w:r w:rsidRPr="004E3FE9">
        <w:rPr>
          <w:rFonts w:ascii="Times New Roman" w:hAnsi="Times New Roman" w:cs="Times New Roman"/>
          <w:sz w:val="28"/>
          <w:szCs w:val="28"/>
          <w:lang w:val="uk-UA"/>
        </w:rPr>
        <w:t>=0,028) в порівнянні з показ</w:t>
      </w:r>
      <w:r w:rsidR="00C518BC">
        <w:rPr>
          <w:rFonts w:ascii="Times New Roman" w:hAnsi="Times New Roman" w:cs="Times New Roman"/>
          <w:sz w:val="28"/>
          <w:szCs w:val="28"/>
          <w:lang w:val="uk-UA"/>
        </w:rPr>
        <w:t>никами дітей контрольної групи.</w:t>
      </w:r>
    </w:p>
    <w:p w:rsidR="00BD0BF2" w:rsidRPr="001056B7" w:rsidRDefault="00BD0BF2" w:rsidP="00BD0BF2">
      <w:pPr>
        <w:spacing w:line="360" w:lineRule="auto"/>
        <w:ind w:firstLine="709"/>
        <w:contextualSpacing/>
        <w:jc w:val="right"/>
        <w:rPr>
          <w:rFonts w:ascii="Times New Roman" w:hAnsi="Times New Roman" w:cs="Times New Roman"/>
          <w:i/>
          <w:sz w:val="28"/>
          <w:szCs w:val="28"/>
          <w:lang w:val="uk-UA"/>
        </w:rPr>
      </w:pPr>
      <w:r w:rsidRPr="001056B7">
        <w:rPr>
          <w:rFonts w:ascii="Times New Roman" w:hAnsi="Times New Roman" w:cs="Times New Roman"/>
          <w:i/>
          <w:sz w:val="28"/>
          <w:szCs w:val="28"/>
          <w:lang w:val="uk-UA"/>
        </w:rPr>
        <w:t>Таблиця 3.1</w:t>
      </w:r>
      <w:r w:rsidR="00144A30" w:rsidRPr="001056B7">
        <w:rPr>
          <w:rFonts w:ascii="Times New Roman" w:hAnsi="Times New Roman" w:cs="Times New Roman"/>
          <w:i/>
          <w:sz w:val="28"/>
          <w:szCs w:val="28"/>
          <w:lang w:val="uk-UA"/>
        </w:rPr>
        <w:t>4</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систем зсідання та проти зсідання крові у дітей хворих на геморагічний васкуліт в залежності від ступеня активності захворювання в гострий період</w:t>
      </w:r>
      <w:r w:rsidR="003A3A9E">
        <w:rPr>
          <w:rFonts w:ascii="Times New Roman" w:hAnsi="Times New Roman" w:cs="Times New Roman"/>
          <w:b/>
          <w:sz w:val="28"/>
          <w:szCs w:val="28"/>
          <w:lang w:val="uk-UA"/>
        </w:rPr>
        <w:t>,</w:t>
      </w:r>
      <w:r w:rsidRPr="004E3FE9">
        <w:rPr>
          <w:rFonts w:ascii="Times New Roman" w:hAnsi="Times New Roman" w:cs="Times New Roman"/>
          <w:b/>
          <w:sz w:val="28"/>
          <w:szCs w:val="28"/>
          <w:lang w:val="uk-UA"/>
        </w:rPr>
        <w:t xml:space="preserve"> (Me(Lq;Uq))</w:t>
      </w:r>
    </w:p>
    <w:tbl>
      <w:tblPr>
        <w:tblStyle w:val="a8"/>
        <w:tblW w:w="9498" w:type="dxa"/>
        <w:tblInd w:w="108" w:type="dxa"/>
        <w:tblLayout w:type="fixed"/>
        <w:tblLook w:val="04A0"/>
      </w:tblPr>
      <w:tblGrid>
        <w:gridCol w:w="2127"/>
        <w:gridCol w:w="1701"/>
        <w:gridCol w:w="1842"/>
        <w:gridCol w:w="1985"/>
        <w:gridCol w:w="1843"/>
      </w:tblGrid>
      <w:tr w:rsidR="00BD0BF2" w:rsidRPr="004E3FE9" w:rsidTr="00941012">
        <w:tc>
          <w:tcPr>
            <w:tcW w:w="2127"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1701" w:type="dxa"/>
            <w:vMerge w:val="restart"/>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 n=17</w:t>
            </w:r>
          </w:p>
        </w:tc>
        <w:tc>
          <w:tcPr>
            <w:tcW w:w="5670" w:type="dxa"/>
            <w:gridSpan w:val="3"/>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r>
      <w:tr w:rsidR="00BD0BF2" w:rsidRPr="004E3FE9" w:rsidTr="00941012">
        <w:tc>
          <w:tcPr>
            <w:tcW w:w="2127" w:type="dxa"/>
            <w:vMerge/>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p>
        </w:tc>
        <w:tc>
          <w:tcPr>
            <w:tcW w:w="1701" w:type="dxa"/>
            <w:vMerge/>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p>
        </w:tc>
        <w:tc>
          <w:tcPr>
            <w:tcW w:w="184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98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84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r>
      <w:tr w:rsidR="00BD0BF2" w:rsidRPr="004E3FE9" w:rsidTr="00941012">
        <w:tc>
          <w:tcPr>
            <w:tcW w:w="212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 %</w:t>
            </w:r>
          </w:p>
        </w:tc>
        <w:tc>
          <w:tcPr>
            <w:tcW w:w="1701"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 0 (15,6;16,5)</w:t>
            </w:r>
          </w:p>
        </w:tc>
        <w:tc>
          <w:tcPr>
            <w:tcW w:w="1842"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28,0 (26,0;30,0)*</w:t>
            </w:r>
          </w:p>
        </w:tc>
        <w:tc>
          <w:tcPr>
            <w:tcW w:w="198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26,0</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(24,0;28,0)</w:t>
            </w:r>
            <w:r w:rsidR="00FD232E" w:rsidRPr="004E3FE9">
              <w:rPr>
                <w:rFonts w:ascii="Times New Roman" w:hAnsi="Times New Roman" w:cs="Times New Roman"/>
                <w:sz w:val="28"/>
                <w:szCs w:val="28"/>
                <w:lang w:val="uk-UA"/>
              </w:rPr>
              <w:t>*</w:t>
            </w:r>
          </w:p>
        </w:tc>
        <w:tc>
          <w:tcPr>
            <w:tcW w:w="184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30,5</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(24,0;33,0)</w:t>
            </w:r>
            <w:r w:rsidR="00FD232E" w:rsidRPr="004E3FE9">
              <w:rPr>
                <w:rFonts w:ascii="Times New Roman" w:hAnsi="Times New Roman" w:cs="Times New Roman"/>
                <w:sz w:val="28"/>
                <w:szCs w:val="28"/>
                <w:lang w:val="uk-UA"/>
              </w:rPr>
              <w:t>*</w:t>
            </w:r>
          </w:p>
        </w:tc>
      </w:tr>
      <w:tr w:rsidR="00BD0BF2" w:rsidRPr="004E3FE9" w:rsidTr="00941012">
        <w:tc>
          <w:tcPr>
            <w:tcW w:w="212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Т1, хв.</w:t>
            </w:r>
          </w:p>
        </w:tc>
        <w:tc>
          <w:tcPr>
            <w:tcW w:w="1701"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3,4 (3,2;3,5)</w:t>
            </w:r>
          </w:p>
        </w:tc>
        <w:tc>
          <w:tcPr>
            <w:tcW w:w="1842"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3,1 (2,8;3,7)</w:t>
            </w:r>
          </w:p>
        </w:tc>
        <w:tc>
          <w:tcPr>
            <w:tcW w:w="1985"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3,5 (3,4;3,7)</w:t>
            </w:r>
          </w:p>
        </w:tc>
        <w:tc>
          <w:tcPr>
            <w:tcW w:w="1843"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3,6 (3,2;3,9)</w:t>
            </w:r>
          </w:p>
        </w:tc>
      </w:tr>
      <w:tr w:rsidR="00BD0BF2" w:rsidRPr="004E3FE9" w:rsidTr="00941012">
        <w:tc>
          <w:tcPr>
            <w:tcW w:w="212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Т2, хв.</w:t>
            </w:r>
          </w:p>
        </w:tc>
        <w:tc>
          <w:tcPr>
            <w:tcW w:w="1701"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 (10,0;10,0)</w:t>
            </w:r>
          </w:p>
        </w:tc>
        <w:tc>
          <w:tcPr>
            <w:tcW w:w="184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8,0</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(8,0;9,0)*</w:t>
            </w:r>
          </w:p>
        </w:tc>
        <w:tc>
          <w:tcPr>
            <w:tcW w:w="198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8,0</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(8,0;10,0)</w:t>
            </w:r>
            <w:r w:rsidR="00FD232E" w:rsidRPr="004E3FE9">
              <w:rPr>
                <w:rFonts w:ascii="Times New Roman" w:hAnsi="Times New Roman" w:cs="Times New Roman"/>
                <w:sz w:val="28"/>
                <w:szCs w:val="28"/>
                <w:lang w:val="uk-UA"/>
              </w:rPr>
              <w:t>*</w:t>
            </w:r>
          </w:p>
        </w:tc>
        <w:tc>
          <w:tcPr>
            <w:tcW w:w="184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8,0</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(8,0;10,0)</w:t>
            </w:r>
            <w:r w:rsidR="00FD232E" w:rsidRPr="004E3FE9">
              <w:rPr>
                <w:rFonts w:ascii="Times New Roman" w:hAnsi="Times New Roman" w:cs="Times New Roman"/>
                <w:sz w:val="28"/>
                <w:szCs w:val="28"/>
                <w:lang w:val="uk-UA"/>
              </w:rPr>
              <w:t>*</w:t>
            </w:r>
          </w:p>
        </w:tc>
      </w:tr>
      <w:tr w:rsidR="00BD0BF2" w:rsidRPr="004E3FE9" w:rsidTr="00941012">
        <w:tc>
          <w:tcPr>
            <w:tcW w:w="212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МА, %</w:t>
            </w:r>
          </w:p>
        </w:tc>
        <w:tc>
          <w:tcPr>
            <w:tcW w:w="1701"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97,0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(96,0;98,0)</w:t>
            </w:r>
          </w:p>
        </w:tc>
        <w:tc>
          <w:tcPr>
            <w:tcW w:w="1842"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98,0 (93,0;103,0)</w:t>
            </w:r>
          </w:p>
        </w:tc>
        <w:tc>
          <w:tcPr>
            <w:tcW w:w="1985"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103,5 (100,0;105,0)</w:t>
            </w:r>
            <w:r w:rsidR="00FD232E" w:rsidRPr="004E3FE9">
              <w:rPr>
                <w:rFonts w:ascii="Times New Roman" w:hAnsi="Times New Roman" w:cs="Times New Roman"/>
                <w:sz w:val="28"/>
                <w:szCs w:val="28"/>
                <w:lang w:val="uk-UA"/>
              </w:rPr>
              <w:t>*</w:t>
            </w:r>
          </w:p>
        </w:tc>
        <w:tc>
          <w:tcPr>
            <w:tcW w:w="1843"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105,0 (98,0;108,0)</w:t>
            </w:r>
            <w:r w:rsidR="00FD232E" w:rsidRPr="004E3FE9">
              <w:rPr>
                <w:rFonts w:ascii="Times New Roman" w:hAnsi="Times New Roman" w:cs="Times New Roman"/>
                <w:sz w:val="28"/>
                <w:szCs w:val="28"/>
                <w:lang w:val="uk-UA"/>
              </w:rPr>
              <w:t>*</w:t>
            </w:r>
          </w:p>
        </w:tc>
      </w:tr>
      <w:tr w:rsidR="00BD0BF2" w:rsidRPr="004E3FE9" w:rsidTr="00941012">
        <w:tc>
          <w:tcPr>
            <w:tcW w:w="212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 хв</w:t>
            </w:r>
          </w:p>
        </w:tc>
        <w:tc>
          <w:tcPr>
            <w:tcW w:w="1701"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54,0 (53,0;54,0)</w:t>
            </w:r>
          </w:p>
        </w:tc>
        <w:tc>
          <w:tcPr>
            <w:tcW w:w="1842"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53,0 (50,0;54,0)</w:t>
            </w:r>
          </w:p>
        </w:tc>
        <w:tc>
          <w:tcPr>
            <w:tcW w:w="1985"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54,0 (50,0;60,0)</w:t>
            </w:r>
          </w:p>
        </w:tc>
        <w:tc>
          <w:tcPr>
            <w:tcW w:w="1843"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54,0 (53,0;60,0)</w:t>
            </w:r>
          </w:p>
        </w:tc>
      </w:tr>
      <w:tr w:rsidR="00BD0BF2" w:rsidRPr="004E3FE9" w:rsidTr="00941012">
        <w:tc>
          <w:tcPr>
            <w:tcW w:w="212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ІІТ, у.о.</w:t>
            </w:r>
          </w:p>
        </w:tc>
        <w:tc>
          <w:tcPr>
            <w:tcW w:w="1701"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(2,0;2,1)</w:t>
            </w:r>
          </w:p>
        </w:tc>
        <w:tc>
          <w:tcPr>
            <w:tcW w:w="184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(1,8;2,0)*</w:t>
            </w:r>
          </w:p>
        </w:tc>
        <w:tc>
          <w:tcPr>
            <w:tcW w:w="198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1,9</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(1,7;2,0)*</w:t>
            </w:r>
          </w:p>
        </w:tc>
        <w:tc>
          <w:tcPr>
            <w:tcW w:w="184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w:t>
            </w:r>
          </w:p>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(1,7;2,0)*</w:t>
            </w:r>
          </w:p>
        </w:tc>
      </w:tr>
      <w:tr w:rsidR="00BD0BF2" w:rsidRPr="004E3FE9" w:rsidTr="00941012">
        <w:tc>
          <w:tcPr>
            <w:tcW w:w="212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Фібриноген, г/л</w:t>
            </w:r>
          </w:p>
        </w:tc>
        <w:tc>
          <w:tcPr>
            <w:tcW w:w="1701"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 (2,8;3,3)</w:t>
            </w:r>
          </w:p>
        </w:tc>
        <w:tc>
          <w:tcPr>
            <w:tcW w:w="1842"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3,8 (3,6;4,0)*</w:t>
            </w:r>
          </w:p>
        </w:tc>
        <w:tc>
          <w:tcPr>
            <w:tcW w:w="1985"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3,6 (2,7;4,4)</w:t>
            </w:r>
          </w:p>
        </w:tc>
        <w:tc>
          <w:tcPr>
            <w:tcW w:w="1843"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4,4 (3,6;5,0)</w:t>
            </w:r>
            <w:r w:rsidR="00FD232E" w:rsidRPr="004E3FE9">
              <w:rPr>
                <w:rFonts w:ascii="Times New Roman" w:hAnsi="Times New Roman" w:cs="Times New Roman"/>
                <w:sz w:val="28"/>
                <w:szCs w:val="28"/>
                <w:lang w:val="uk-UA"/>
              </w:rPr>
              <w:t>*</w:t>
            </w:r>
          </w:p>
        </w:tc>
      </w:tr>
      <w:tr w:rsidR="00BD0BF2" w:rsidRPr="004E3FE9" w:rsidTr="00941012">
        <w:tc>
          <w:tcPr>
            <w:tcW w:w="212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Протромбіновий індекс, %</w:t>
            </w:r>
          </w:p>
        </w:tc>
        <w:tc>
          <w:tcPr>
            <w:tcW w:w="1701"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99,8 (99,5;100,0)</w:t>
            </w:r>
          </w:p>
        </w:tc>
        <w:tc>
          <w:tcPr>
            <w:tcW w:w="1842"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98,0 (84,0;100,0)*</w:t>
            </w:r>
          </w:p>
        </w:tc>
        <w:tc>
          <w:tcPr>
            <w:tcW w:w="1985"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94,5 (87,0;100,0)</w:t>
            </w:r>
            <w:r w:rsidR="00FD232E" w:rsidRPr="004E3FE9">
              <w:rPr>
                <w:rFonts w:ascii="Times New Roman" w:hAnsi="Times New Roman" w:cs="Times New Roman"/>
                <w:sz w:val="28"/>
                <w:szCs w:val="28"/>
                <w:lang w:val="uk-UA"/>
              </w:rPr>
              <w:t>*</w:t>
            </w:r>
          </w:p>
        </w:tc>
        <w:tc>
          <w:tcPr>
            <w:tcW w:w="1843"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96,0 (90,0;100,0)</w:t>
            </w:r>
          </w:p>
        </w:tc>
      </w:tr>
      <w:tr w:rsidR="00BD0BF2" w:rsidRPr="004E3FE9" w:rsidTr="00721EA2">
        <w:tc>
          <w:tcPr>
            <w:tcW w:w="9498" w:type="dxa"/>
            <w:gridSpan w:val="5"/>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eastAsia="ru-RU"/>
              </w:rPr>
              <w:t>KWH (</w:t>
            </w:r>
            <w:r w:rsidRPr="004E3FE9">
              <w:rPr>
                <w:rFonts w:ascii="Times New Roman" w:hAnsi="Times New Roman" w:cs="Times New Roman"/>
                <w:sz w:val="28"/>
                <w:szCs w:val="28"/>
                <w:lang w:val="uk-UA"/>
              </w:rPr>
              <w:t>А, %</w:t>
            </w:r>
            <w:r w:rsidRPr="004E3FE9">
              <w:rPr>
                <w:rFonts w:ascii="Times New Roman" w:hAnsi="Times New Roman" w:cs="Times New Roman"/>
                <w:sz w:val="28"/>
                <w:szCs w:val="28"/>
                <w:lang w:val="uk-UA" w:eastAsia="ru-RU"/>
              </w:rPr>
              <w:t>)=43,23, p=0,000, KWH (</w:t>
            </w:r>
            <w:r w:rsidRPr="004E3FE9">
              <w:rPr>
                <w:rFonts w:ascii="Times New Roman" w:hAnsi="Times New Roman" w:cs="Times New Roman"/>
                <w:sz w:val="28"/>
                <w:szCs w:val="28"/>
                <w:lang w:val="uk-UA"/>
              </w:rPr>
              <w:t>Т2, хв.</w:t>
            </w:r>
            <w:r w:rsidRPr="004E3FE9">
              <w:rPr>
                <w:rFonts w:ascii="Times New Roman" w:hAnsi="Times New Roman" w:cs="Times New Roman"/>
                <w:sz w:val="28"/>
                <w:szCs w:val="28"/>
                <w:lang w:val="uk-UA" w:eastAsia="ru-RU"/>
              </w:rPr>
              <w:t>)=19,58, p=0,000, KWH (</w:t>
            </w:r>
            <w:r w:rsidRPr="004E3FE9">
              <w:rPr>
                <w:rFonts w:ascii="Times New Roman" w:hAnsi="Times New Roman" w:cs="Times New Roman"/>
                <w:sz w:val="28"/>
                <w:szCs w:val="28"/>
                <w:lang w:val="uk-UA"/>
              </w:rPr>
              <w:t>МА, %</w:t>
            </w:r>
            <w:r w:rsidRPr="004E3FE9">
              <w:rPr>
                <w:rFonts w:ascii="Times New Roman" w:hAnsi="Times New Roman" w:cs="Times New Roman"/>
                <w:sz w:val="28"/>
                <w:szCs w:val="28"/>
                <w:lang w:val="uk-UA" w:eastAsia="ru-RU"/>
              </w:rPr>
              <w:t>)=21,89, p=0,000, KWH (</w:t>
            </w:r>
            <w:r w:rsidRPr="004E3FE9">
              <w:rPr>
                <w:rFonts w:ascii="Times New Roman" w:hAnsi="Times New Roman" w:cs="Times New Roman"/>
                <w:sz w:val="28"/>
                <w:szCs w:val="28"/>
                <w:lang w:val="uk-UA"/>
              </w:rPr>
              <w:t>ІІТ, у.о.</w:t>
            </w:r>
            <w:r w:rsidRPr="004E3FE9">
              <w:rPr>
                <w:rFonts w:ascii="Times New Roman" w:hAnsi="Times New Roman" w:cs="Times New Roman"/>
                <w:sz w:val="28"/>
                <w:szCs w:val="28"/>
                <w:lang w:val="uk-UA" w:eastAsia="ru-RU"/>
              </w:rPr>
              <w:t>)=11,55, p=0,000, KWH (</w:t>
            </w:r>
            <w:r w:rsidRPr="004E3FE9">
              <w:rPr>
                <w:rFonts w:ascii="Times New Roman" w:hAnsi="Times New Roman" w:cs="Times New Roman"/>
                <w:sz w:val="28"/>
                <w:szCs w:val="28"/>
                <w:lang w:val="uk-UA"/>
              </w:rPr>
              <w:t>Фібриноген, г/л</w:t>
            </w:r>
            <w:r w:rsidRPr="004E3FE9">
              <w:rPr>
                <w:rFonts w:ascii="Times New Roman" w:hAnsi="Times New Roman" w:cs="Times New Roman"/>
                <w:sz w:val="28"/>
                <w:szCs w:val="28"/>
                <w:lang w:val="uk-UA" w:eastAsia="ru-RU"/>
              </w:rPr>
              <w:t>)=24,88, p=0,000</w:t>
            </w:r>
          </w:p>
        </w:tc>
      </w:tr>
    </w:tbl>
    <w:p w:rsidR="001056B7" w:rsidRDefault="00BD0BF2" w:rsidP="001056B7">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Примітки:</w:t>
      </w:r>
    </w:p>
    <w:p w:rsidR="001056B7" w:rsidRPr="001056B7" w:rsidRDefault="001056B7" w:rsidP="001056B7">
      <w:pPr>
        <w:pStyle w:val="a7"/>
        <w:numPr>
          <w:ilvl w:val="0"/>
          <w:numId w:val="17"/>
        </w:numPr>
        <w:spacing w:line="360" w:lineRule="auto"/>
        <w:ind w:left="426" w:hanging="426"/>
        <w:jc w:val="both"/>
        <w:rPr>
          <w:rFonts w:ascii="Times New Roman" w:hAnsi="Times New Roman" w:cs="Times New Roman"/>
          <w:b/>
          <w:sz w:val="28"/>
          <w:szCs w:val="28"/>
          <w:lang w:val="uk-UA"/>
        </w:rPr>
      </w:pPr>
      <w:r>
        <w:rPr>
          <w:rFonts w:ascii="Times New Roman" w:hAnsi="Times New Roman" w:cs="Times New Roman"/>
          <w:sz w:val="28"/>
          <w:szCs w:val="28"/>
          <w:lang w:val="uk-UA"/>
        </w:rPr>
        <w:t>*</w:t>
      </w:r>
      <w:r w:rsidR="00BD0BF2" w:rsidRPr="001056B7">
        <w:rPr>
          <w:rFonts w:ascii="Times New Roman" w:hAnsi="Times New Roman" w:cs="Times New Roman"/>
          <w:sz w:val="28"/>
          <w:szCs w:val="28"/>
          <w:lang w:val="uk-UA"/>
        </w:rPr>
        <w:t>- р&lt;0,01- різниця вірогідна з показником дітей групи контролю.</w:t>
      </w:r>
      <w:r w:rsidR="00FD232E" w:rsidRPr="001056B7">
        <w:rPr>
          <w:rFonts w:ascii="Times New Roman" w:hAnsi="Times New Roman" w:cs="Times New Roman"/>
          <w:sz w:val="28"/>
          <w:szCs w:val="28"/>
          <w:lang w:val="uk-UA"/>
        </w:rPr>
        <w:t xml:space="preserve"> </w:t>
      </w:r>
    </w:p>
    <w:p w:rsidR="00BD0BF2" w:rsidRPr="001056B7" w:rsidRDefault="00FD232E" w:rsidP="001056B7">
      <w:pPr>
        <w:pStyle w:val="a7"/>
        <w:numPr>
          <w:ilvl w:val="0"/>
          <w:numId w:val="17"/>
        </w:numPr>
        <w:spacing w:line="360" w:lineRule="auto"/>
        <w:ind w:left="426" w:hanging="426"/>
        <w:jc w:val="both"/>
        <w:rPr>
          <w:rFonts w:ascii="Times New Roman" w:hAnsi="Times New Roman" w:cs="Times New Roman"/>
          <w:b/>
          <w:sz w:val="28"/>
          <w:szCs w:val="28"/>
          <w:lang w:val="uk-UA"/>
        </w:rPr>
      </w:pPr>
      <w:r w:rsidRPr="001056B7">
        <w:rPr>
          <w:rFonts w:ascii="Times New Roman" w:hAnsi="Times New Roman" w:cs="Times New Roman"/>
          <w:sz w:val="28"/>
          <w:szCs w:val="28"/>
          <w:lang w:val="uk-UA"/>
        </w:rPr>
        <w:t>І, ІІ, ІІІ – ступінь активності</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У дітей з ІІ ступенем активності виявили ідентичні зміни показників системи гемостазу, але ще більш виражені та до них долучилось підвищення рівня максимальної активності зсідання (р</w:t>
      </w:r>
      <w:r w:rsidR="00FD232E"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vertAlign w:val="subscript"/>
          <w:lang w:val="uk-UA"/>
        </w:rPr>
        <w:t>-к</w:t>
      </w:r>
      <w:r w:rsidRPr="004E3FE9">
        <w:rPr>
          <w:rFonts w:ascii="Times New Roman" w:hAnsi="Times New Roman" w:cs="Times New Roman"/>
          <w:sz w:val="28"/>
          <w:szCs w:val="28"/>
          <w:lang w:val="uk-UA"/>
        </w:rPr>
        <w:t>=0,000). Зміни показників систем зсідання та проти зсідання у дітей з важким перебігом та ІІІ ступенем активності ГВ мали найбільш виражений характер порушень. Наведені дані свідчать про суттєві порушення системи гемостазу, які проявляються різним ступенем гіперкоагуляції, яка, в свою чергу знаходилась в прямій залежності від важкості перебігу захворювання.</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Виявлені наступні кореляційні зв’язки між деякими біохімічними показниками та рівнями значень системи зсідання та проти сідання. Так, у хворих з мінімальним ступенем активності ГВ зафіксовано достовірні прямі кореляційні зв’язки рівнів активності зсідання (А, %) на другій хвилині інкубації гемолізат-кальцієвої суміші та рівнів ШОЕ, серомукоїду, глікопротеїдів, максимальної активності зсідання (МА, %), фібриногену </w:t>
      </w:r>
      <w:r w:rsidR="003A3A9E">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003A3A9E">
        <w:rPr>
          <w:rFonts w:ascii="Times New Roman" w:hAnsi="Times New Roman" w:cs="Times New Roman"/>
          <w:sz w:val="28"/>
          <w:szCs w:val="28"/>
          <w:lang w:val="uk-UA"/>
        </w:rPr>
        <w:t>=</w:t>
      </w:r>
      <w:r w:rsidRPr="004E3FE9">
        <w:rPr>
          <w:rFonts w:ascii="Times New Roman" w:hAnsi="Times New Roman" w:cs="Times New Roman"/>
          <w:sz w:val="28"/>
          <w:szCs w:val="28"/>
          <w:lang w:val="uk-UA"/>
        </w:rPr>
        <w:t>0,70,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0,68,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0,64,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0,47,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0,51 відповідно (р&lt;0,05)), рівнів Т2 та рівнів тромбоцитів, ІІТ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0,52 відповідно (р&lt;0,05)). Зворотній кореляційний зв'язок спостерігали серед рівнів А та показників Т1, Т2</w:t>
      </w:r>
      <w:r w:rsidR="003A3A9E">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003A3A9E">
        <w:rPr>
          <w:rFonts w:ascii="Times New Roman" w:hAnsi="Times New Roman" w:cs="Times New Roman"/>
          <w:sz w:val="28"/>
          <w:szCs w:val="28"/>
          <w:lang w:val="uk-UA"/>
        </w:rPr>
        <w:t>=</w:t>
      </w:r>
      <w:r w:rsidRPr="004E3FE9">
        <w:rPr>
          <w:rFonts w:ascii="Times New Roman" w:hAnsi="Times New Roman" w:cs="Times New Roman"/>
          <w:sz w:val="28"/>
          <w:szCs w:val="28"/>
          <w:lang w:val="uk-UA"/>
        </w:rPr>
        <w:t>-0,53, r</w:t>
      </w:r>
      <w:r w:rsidRPr="004E3FE9">
        <w:rPr>
          <w:rFonts w:ascii="Times New Roman" w:hAnsi="Times New Roman" w:cs="Times New Roman"/>
          <w:sz w:val="28"/>
          <w:szCs w:val="28"/>
          <w:vertAlign w:val="subscript"/>
          <w:lang w:val="uk-UA"/>
        </w:rPr>
        <w:t>xy</w:t>
      </w:r>
      <w:r w:rsidR="003A3A9E">
        <w:rPr>
          <w:rFonts w:ascii="Times New Roman" w:hAnsi="Times New Roman" w:cs="Times New Roman"/>
          <w:sz w:val="28"/>
          <w:szCs w:val="28"/>
          <w:lang w:val="uk-UA"/>
        </w:rPr>
        <w:t>=</w:t>
      </w:r>
      <w:r w:rsidRPr="004E3FE9">
        <w:rPr>
          <w:rFonts w:ascii="Times New Roman" w:hAnsi="Times New Roman" w:cs="Times New Roman"/>
          <w:sz w:val="28"/>
          <w:szCs w:val="28"/>
          <w:lang w:val="uk-UA"/>
        </w:rPr>
        <w:t>-0,54, відповідно (р&lt;0,05)), між рівнем Т1 та рівнем фібриногену (r</w:t>
      </w:r>
      <w:r w:rsidRPr="004E3FE9">
        <w:rPr>
          <w:rFonts w:ascii="Times New Roman" w:hAnsi="Times New Roman" w:cs="Times New Roman"/>
          <w:sz w:val="28"/>
          <w:szCs w:val="28"/>
          <w:vertAlign w:val="subscript"/>
          <w:lang w:val="uk-UA"/>
        </w:rPr>
        <w:t>xy</w:t>
      </w:r>
      <w:r w:rsidR="003A3A9E">
        <w:rPr>
          <w:rFonts w:ascii="Times New Roman" w:hAnsi="Times New Roman" w:cs="Times New Roman"/>
          <w:sz w:val="28"/>
          <w:szCs w:val="28"/>
          <w:lang w:val="uk-UA"/>
        </w:rPr>
        <w:t>=</w:t>
      </w:r>
      <w:r w:rsidRPr="004E3FE9">
        <w:rPr>
          <w:rFonts w:ascii="Times New Roman" w:hAnsi="Times New Roman" w:cs="Times New Roman"/>
          <w:sz w:val="28"/>
          <w:szCs w:val="28"/>
          <w:lang w:val="uk-UA"/>
        </w:rPr>
        <w:t>-0,47, відповідно (р&lt;0,05)), рівнів Т2 та рівнів серомукоїду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-0,56, відповідно (р&lt;0,05)). У хворих з ІІ ступенем активності ГВ зареєстровані достовірні прямі кореляційні зв’язки рівнів А та показників лейкоцитів, ШОЕ, серомукоїду, фібриногену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0,50,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0,63,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0,45 відповідно (р&lt;0,05)), між рівнями МА та фібриногену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0,45 відповідно (р&lt;0,05)), рівнів фібриногену та рівнів лейкоцитів, ШОЕ, серомукоїду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0,46,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0,43,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0,52 відповідно (р&lt;0,05)). Зворотній кореляційний зв'язок спостерігали серед рівнів А та показників Т1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-0,66, відповідно (р&lt;0,05)), рівнів МА та рівнів ІІТ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-0,42, відповідно (р&lt;0,05)). У дітей з ІІІ ступенем активності ГВ виявлені достовірні позитивні кореляційні зв’язки рівнів А та рівнів ШОЕ, тромбоцитів, серомукоїду, глікопротеїдів, гамма-глобулінів, фібриногену крові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0,46, </w:t>
      </w:r>
      <w:r w:rsidRPr="004E3FE9">
        <w:rPr>
          <w:rFonts w:ascii="Times New Roman" w:hAnsi="Times New Roman" w:cs="Times New Roman"/>
          <w:sz w:val="28"/>
          <w:szCs w:val="28"/>
          <w:lang w:val="uk-UA"/>
        </w:rPr>
        <w:lastRenderedPageBreak/>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0,47,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0,60,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0,73,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0,60 відповідно (р&lt;0,05)). Зворотні кореляційні зв’язки рівнів А та Т1, Т2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-0,57, </w:t>
      </w:r>
      <w:r w:rsidR="00941012">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-0,67, відповідно (р&lt;0,05)), рівнів Т2 та серомукоїдів, глікопротеїдів, гамма-глобулінів крові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-0,49,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-0,54, відповідно (р&lt;0,05)).</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Таким чином, наявними кореляційними зв’язками підтверджено залежність хара</w:t>
      </w:r>
      <w:r w:rsidR="00980585">
        <w:rPr>
          <w:rFonts w:ascii="Times New Roman" w:hAnsi="Times New Roman" w:cs="Times New Roman"/>
          <w:sz w:val="28"/>
          <w:szCs w:val="28"/>
          <w:lang w:val="uk-UA"/>
        </w:rPr>
        <w:t>ктеру та вираженості коагуляцій</w:t>
      </w:r>
      <w:r w:rsidRPr="004E3FE9">
        <w:rPr>
          <w:rFonts w:ascii="Times New Roman" w:hAnsi="Times New Roman" w:cs="Times New Roman"/>
          <w:sz w:val="28"/>
          <w:szCs w:val="28"/>
          <w:lang w:val="uk-UA"/>
        </w:rPr>
        <w:t>них порушень від важкості та активності запального процесу.</w:t>
      </w:r>
    </w:p>
    <w:p w:rsidR="00BD0BF2" w:rsidRPr="001056B7" w:rsidRDefault="00BD0BF2" w:rsidP="00BD0BF2">
      <w:pPr>
        <w:spacing w:line="360" w:lineRule="auto"/>
        <w:ind w:firstLine="709"/>
        <w:contextualSpacing/>
        <w:jc w:val="right"/>
        <w:rPr>
          <w:rFonts w:ascii="Times New Roman" w:hAnsi="Times New Roman" w:cs="Times New Roman"/>
          <w:i/>
          <w:sz w:val="28"/>
          <w:szCs w:val="28"/>
          <w:lang w:val="uk-UA"/>
        </w:rPr>
      </w:pPr>
      <w:r w:rsidRPr="001056B7">
        <w:rPr>
          <w:rFonts w:ascii="Times New Roman" w:hAnsi="Times New Roman" w:cs="Times New Roman"/>
          <w:i/>
          <w:sz w:val="28"/>
          <w:szCs w:val="28"/>
          <w:lang w:val="uk-UA"/>
        </w:rPr>
        <w:t>Таблиця 3.1</w:t>
      </w:r>
      <w:r w:rsidR="00144A30" w:rsidRPr="001056B7">
        <w:rPr>
          <w:rFonts w:ascii="Times New Roman" w:hAnsi="Times New Roman" w:cs="Times New Roman"/>
          <w:i/>
          <w:sz w:val="28"/>
          <w:szCs w:val="28"/>
          <w:lang w:val="uk-UA"/>
        </w:rPr>
        <w:t>5</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систем зсідання та проти зсідання крові у дітей, хворих на геморагічний васкуліт, в залежності від ступеня активності захворювання в період клініко-лабораторної ремісії</w:t>
      </w:r>
      <w:r w:rsidR="00941012">
        <w:rPr>
          <w:rFonts w:ascii="Times New Roman" w:hAnsi="Times New Roman" w:cs="Times New Roman"/>
          <w:b/>
          <w:sz w:val="28"/>
          <w:szCs w:val="28"/>
          <w:lang w:val="uk-UA"/>
        </w:rPr>
        <w:t>, (Me(Lq;Uq))</w:t>
      </w:r>
    </w:p>
    <w:tbl>
      <w:tblPr>
        <w:tblStyle w:val="a8"/>
        <w:tblW w:w="9640" w:type="dxa"/>
        <w:tblInd w:w="-34" w:type="dxa"/>
        <w:tblLayout w:type="fixed"/>
        <w:tblLook w:val="04A0"/>
      </w:tblPr>
      <w:tblGrid>
        <w:gridCol w:w="2127"/>
        <w:gridCol w:w="1701"/>
        <w:gridCol w:w="1984"/>
        <w:gridCol w:w="1843"/>
        <w:gridCol w:w="1985"/>
      </w:tblGrid>
      <w:tr w:rsidR="00BD0BF2" w:rsidRPr="004E3FE9" w:rsidTr="00941012">
        <w:tc>
          <w:tcPr>
            <w:tcW w:w="2127" w:type="dxa"/>
            <w:vMerge w:val="restart"/>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1701" w:type="dxa"/>
            <w:vMerge w:val="restart"/>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 n=17</w:t>
            </w:r>
          </w:p>
        </w:tc>
        <w:tc>
          <w:tcPr>
            <w:tcW w:w="5812" w:type="dxa"/>
            <w:gridSpan w:val="3"/>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r>
      <w:tr w:rsidR="00BD0BF2" w:rsidRPr="004E3FE9" w:rsidTr="00941012">
        <w:tc>
          <w:tcPr>
            <w:tcW w:w="2127" w:type="dxa"/>
            <w:vMerge/>
          </w:tcPr>
          <w:p w:rsidR="00BD0BF2" w:rsidRPr="004E3FE9" w:rsidRDefault="00BD0BF2" w:rsidP="001C5375">
            <w:pPr>
              <w:spacing w:line="276" w:lineRule="auto"/>
              <w:contextualSpacing/>
              <w:jc w:val="center"/>
              <w:rPr>
                <w:rFonts w:ascii="Times New Roman" w:hAnsi="Times New Roman" w:cs="Times New Roman"/>
                <w:sz w:val="28"/>
                <w:szCs w:val="28"/>
                <w:lang w:val="uk-UA"/>
              </w:rPr>
            </w:pPr>
          </w:p>
        </w:tc>
        <w:tc>
          <w:tcPr>
            <w:tcW w:w="1701" w:type="dxa"/>
            <w:vMerge/>
          </w:tcPr>
          <w:p w:rsidR="00BD0BF2" w:rsidRPr="004E3FE9" w:rsidRDefault="00BD0BF2" w:rsidP="001C5375">
            <w:pPr>
              <w:spacing w:line="276" w:lineRule="auto"/>
              <w:contextualSpacing/>
              <w:jc w:val="center"/>
              <w:rPr>
                <w:rFonts w:ascii="Times New Roman" w:hAnsi="Times New Roman" w:cs="Times New Roman"/>
                <w:sz w:val="28"/>
                <w:szCs w:val="28"/>
                <w:lang w:val="uk-UA"/>
              </w:rPr>
            </w:pPr>
          </w:p>
        </w:tc>
        <w:tc>
          <w:tcPr>
            <w:tcW w:w="1984"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843"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985"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r>
      <w:tr w:rsidR="00BD0BF2" w:rsidRPr="004E3FE9" w:rsidTr="00941012">
        <w:tc>
          <w:tcPr>
            <w:tcW w:w="2127"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А, %</w:t>
            </w:r>
          </w:p>
        </w:tc>
        <w:tc>
          <w:tcPr>
            <w:tcW w:w="1701"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 0 (15,6;16,5)</w:t>
            </w:r>
          </w:p>
        </w:tc>
        <w:tc>
          <w:tcPr>
            <w:tcW w:w="1984"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18,0 </w:t>
            </w:r>
          </w:p>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(16,0;23,0)</w:t>
            </w:r>
          </w:p>
        </w:tc>
        <w:tc>
          <w:tcPr>
            <w:tcW w:w="1843"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17,9 </w:t>
            </w:r>
          </w:p>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(12,0;20,5)</w:t>
            </w:r>
          </w:p>
        </w:tc>
        <w:tc>
          <w:tcPr>
            <w:tcW w:w="1985"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24,0 </w:t>
            </w:r>
          </w:p>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(20,0;25,0)*</w:t>
            </w:r>
          </w:p>
        </w:tc>
      </w:tr>
      <w:tr w:rsidR="00BD0BF2" w:rsidRPr="004E3FE9" w:rsidTr="00941012">
        <w:tc>
          <w:tcPr>
            <w:tcW w:w="2127"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Т1, хв.</w:t>
            </w:r>
          </w:p>
        </w:tc>
        <w:tc>
          <w:tcPr>
            <w:tcW w:w="1701"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3,4 (3,2;3,5)</w:t>
            </w:r>
          </w:p>
        </w:tc>
        <w:tc>
          <w:tcPr>
            <w:tcW w:w="1984"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3,0 (2,7;3,4)</w:t>
            </w:r>
          </w:p>
        </w:tc>
        <w:tc>
          <w:tcPr>
            <w:tcW w:w="1843"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3,4 (3,3;3,6)</w:t>
            </w:r>
          </w:p>
        </w:tc>
        <w:tc>
          <w:tcPr>
            <w:tcW w:w="1985"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3,0 (2,8;3,3)*</w:t>
            </w:r>
          </w:p>
        </w:tc>
      </w:tr>
      <w:tr w:rsidR="00BD0BF2" w:rsidRPr="004E3FE9" w:rsidTr="00941012">
        <w:tc>
          <w:tcPr>
            <w:tcW w:w="2127"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Т2, хв.</w:t>
            </w:r>
          </w:p>
        </w:tc>
        <w:tc>
          <w:tcPr>
            <w:tcW w:w="1701"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 (10,0;10,0)</w:t>
            </w:r>
          </w:p>
        </w:tc>
        <w:tc>
          <w:tcPr>
            <w:tcW w:w="1984"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10,0 (10,0;10,0)</w:t>
            </w:r>
          </w:p>
        </w:tc>
        <w:tc>
          <w:tcPr>
            <w:tcW w:w="1843"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10,0 </w:t>
            </w:r>
          </w:p>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(8,0;11,0)</w:t>
            </w:r>
          </w:p>
        </w:tc>
        <w:tc>
          <w:tcPr>
            <w:tcW w:w="1985"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10,0 (10,0;10,0)</w:t>
            </w:r>
          </w:p>
        </w:tc>
      </w:tr>
      <w:tr w:rsidR="00BD0BF2" w:rsidRPr="004E3FE9" w:rsidTr="00941012">
        <w:tc>
          <w:tcPr>
            <w:tcW w:w="2127"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МА, %</w:t>
            </w:r>
          </w:p>
        </w:tc>
        <w:tc>
          <w:tcPr>
            <w:tcW w:w="1701"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97,0 </w:t>
            </w:r>
          </w:p>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(96,0;98,0)</w:t>
            </w:r>
          </w:p>
        </w:tc>
        <w:tc>
          <w:tcPr>
            <w:tcW w:w="1984"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100,0 (98,0;103,0)</w:t>
            </w:r>
          </w:p>
        </w:tc>
        <w:tc>
          <w:tcPr>
            <w:tcW w:w="1843"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100,0 (94,0;103,0)</w:t>
            </w:r>
          </w:p>
        </w:tc>
        <w:tc>
          <w:tcPr>
            <w:tcW w:w="1985"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100,0 (100,0;103,0)*</w:t>
            </w:r>
          </w:p>
        </w:tc>
      </w:tr>
      <w:tr w:rsidR="00BD0BF2" w:rsidRPr="004E3FE9" w:rsidTr="00941012">
        <w:tc>
          <w:tcPr>
            <w:tcW w:w="2127"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 хв</w:t>
            </w:r>
          </w:p>
        </w:tc>
        <w:tc>
          <w:tcPr>
            <w:tcW w:w="1701"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54,0 (53,0;54,0)</w:t>
            </w:r>
          </w:p>
        </w:tc>
        <w:tc>
          <w:tcPr>
            <w:tcW w:w="1984"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52,0 (52,0;52,0)*</w:t>
            </w:r>
          </w:p>
        </w:tc>
        <w:tc>
          <w:tcPr>
            <w:tcW w:w="1843"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52,0 (52,0;53,0)*</w:t>
            </w:r>
          </w:p>
        </w:tc>
        <w:tc>
          <w:tcPr>
            <w:tcW w:w="1985"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54,0 (52,0;54,0)</w:t>
            </w:r>
          </w:p>
        </w:tc>
      </w:tr>
      <w:tr w:rsidR="00BD0BF2" w:rsidRPr="004E3FE9" w:rsidTr="00941012">
        <w:tc>
          <w:tcPr>
            <w:tcW w:w="2127"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ІІТ, у.о.</w:t>
            </w:r>
          </w:p>
        </w:tc>
        <w:tc>
          <w:tcPr>
            <w:tcW w:w="1701"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 (2,0;2,1)</w:t>
            </w:r>
          </w:p>
        </w:tc>
        <w:tc>
          <w:tcPr>
            <w:tcW w:w="1984"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2,0 (1,8;2,0)</w:t>
            </w:r>
          </w:p>
        </w:tc>
        <w:tc>
          <w:tcPr>
            <w:tcW w:w="1843"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2,0 (2,0;2,1)</w:t>
            </w:r>
          </w:p>
        </w:tc>
        <w:tc>
          <w:tcPr>
            <w:tcW w:w="1985"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2,0 (2,0;2,1)</w:t>
            </w:r>
          </w:p>
        </w:tc>
      </w:tr>
      <w:tr w:rsidR="00BD0BF2" w:rsidRPr="004E3FE9" w:rsidTr="00941012">
        <w:tc>
          <w:tcPr>
            <w:tcW w:w="2127"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Фібриноген, г/л</w:t>
            </w:r>
          </w:p>
        </w:tc>
        <w:tc>
          <w:tcPr>
            <w:tcW w:w="1701"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 (2,8;3,3)</w:t>
            </w:r>
          </w:p>
        </w:tc>
        <w:tc>
          <w:tcPr>
            <w:tcW w:w="1984"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3,0 (2,2;3,6)</w:t>
            </w:r>
          </w:p>
        </w:tc>
        <w:tc>
          <w:tcPr>
            <w:tcW w:w="1843"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3,1 (2,4;3,6)</w:t>
            </w:r>
          </w:p>
        </w:tc>
        <w:tc>
          <w:tcPr>
            <w:tcW w:w="1985"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 (2,4;3,6)</w:t>
            </w:r>
          </w:p>
        </w:tc>
      </w:tr>
      <w:tr w:rsidR="00BD0BF2" w:rsidRPr="004E3FE9" w:rsidTr="00941012">
        <w:tc>
          <w:tcPr>
            <w:tcW w:w="2127"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Протромбіновий індекс, %</w:t>
            </w:r>
          </w:p>
        </w:tc>
        <w:tc>
          <w:tcPr>
            <w:tcW w:w="1701"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99,8 </w:t>
            </w:r>
          </w:p>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(99,5;100,0)</w:t>
            </w:r>
          </w:p>
        </w:tc>
        <w:tc>
          <w:tcPr>
            <w:tcW w:w="1984"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98,0 (86,0;100,0)</w:t>
            </w:r>
          </w:p>
        </w:tc>
        <w:tc>
          <w:tcPr>
            <w:tcW w:w="1843" w:type="dxa"/>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93,0 </w:t>
            </w:r>
          </w:p>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(83,0;98,0)*</w:t>
            </w:r>
          </w:p>
        </w:tc>
        <w:tc>
          <w:tcPr>
            <w:tcW w:w="1985" w:type="dxa"/>
          </w:tcPr>
          <w:p w:rsidR="00BD0BF2" w:rsidRPr="004E3FE9" w:rsidRDefault="00BD0BF2" w:rsidP="001C5375">
            <w:pPr>
              <w:spacing w:line="276" w:lineRule="auto"/>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98,0 (92,0;104,0)</w:t>
            </w:r>
          </w:p>
        </w:tc>
      </w:tr>
      <w:tr w:rsidR="00BD0BF2" w:rsidRPr="004E3FE9" w:rsidTr="00314598">
        <w:tc>
          <w:tcPr>
            <w:tcW w:w="9640" w:type="dxa"/>
            <w:gridSpan w:val="5"/>
          </w:tcPr>
          <w:p w:rsidR="00BD0BF2" w:rsidRPr="004E3FE9" w:rsidRDefault="00BD0BF2" w:rsidP="001C5375">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eastAsia="ru-RU"/>
              </w:rPr>
              <w:t>KWH (</w:t>
            </w:r>
            <w:r w:rsidRPr="004E3FE9">
              <w:rPr>
                <w:rFonts w:ascii="Times New Roman" w:hAnsi="Times New Roman" w:cs="Times New Roman"/>
                <w:sz w:val="28"/>
                <w:szCs w:val="28"/>
                <w:lang w:val="uk-UA"/>
              </w:rPr>
              <w:t>А, %</w:t>
            </w:r>
            <w:r w:rsidRPr="004E3FE9">
              <w:rPr>
                <w:rFonts w:ascii="Times New Roman" w:hAnsi="Times New Roman" w:cs="Times New Roman"/>
                <w:sz w:val="28"/>
                <w:szCs w:val="28"/>
                <w:lang w:val="uk-UA" w:eastAsia="ru-RU"/>
              </w:rPr>
              <w:t>)=26,29, p=0,000, KWH (</w:t>
            </w:r>
            <w:r w:rsidRPr="004E3FE9">
              <w:rPr>
                <w:rFonts w:ascii="Times New Roman" w:hAnsi="Times New Roman" w:cs="Times New Roman"/>
                <w:sz w:val="28"/>
                <w:szCs w:val="28"/>
                <w:lang w:val="uk-UA"/>
              </w:rPr>
              <w:t>Т1, хв.</w:t>
            </w:r>
            <w:r w:rsidRPr="004E3FE9">
              <w:rPr>
                <w:rFonts w:ascii="Times New Roman" w:hAnsi="Times New Roman" w:cs="Times New Roman"/>
                <w:sz w:val="28"/>
                <w:szCs w:val="28"/>
                <w:lang w:val="uk-UA" w:eastAsia="ru-RU"/>
              </w:rPr>
              <w:t>)=17,40, p=0,000, KWH (</w:t>
            </w:r>
            <w:r w:rsidRPr="004E3FE9">
              <w:rPr>
                <w:rFonts w:ascii="Times New Roman" w:hAnsi="Times New Roman" w:cs="Times New Roman"/>
                <w:sz w:val="28"/>
                <w:szCs w:val="28"/>
                <w:lang w:val="uk-UA"/>
              </w:rPr>
              <w:t>МА, %</w:t>
            </w:r>
            <w:r w:rsidRPr="004E3FE9">
              <w:rPr>
                <w:rFonts w:ascii="Times New Roman" w:hAnsi="Times New Roman" w:cs="Times New Roman"/>
                <w:sz w:val="28"/>
                <w:szCs w:val="28"/>
                <w:lang w:val="uk-UA" w:eastAsia="ru-RU"/>
              </w:rPr>
              <w:t>)=14,31, p=0,002</w:t>
            </w:r>
          </w:p>
        </w:tc>
      </w:tr>
    </w:tbl>
    <w:p w:rsidR="00BD0BF2" w:rsidRPr="004E3FE9" w:rsidRDefault="001056B7" w:rsidP="00BD0BF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Примітка. </w:t>
      </w:r>
      <w:r w:rsidR="00BD0BF2" w:rsidRPr="004E3FE9">
        <w:rPr>
          <w:rFonts w:ascii="Times New Roman" w:hAnsi="Times New Roman" w:cs="Times New Roman"/>
          <w:sz w:val="28"/>
          <w:szCs w:val="28"/>
          <w:lang w:val="uk-UA"/>
        </w:rPr>
        <w:t>* - р&lt;0,01- різниця вірогідна з показником дітей групи контролю.</w:t>
      </w:r>
    </w:p>
    <w:p w:rsidR="00BD0BF2" w:rsidRPr="004E3FE9" w:rsidRDefault="00BD0BF2" w:rsidP="00314598">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 динаміці, в період формування клініко-лабораторної ремісії спостерігали зменшення ознак гіперкоагуляції та покращення процесів </w:t>
      </w:r>
      <w:r w:rsidRPr="004E3FE9">
        <w:rPr>
          <w:rFonts w:ascii="Times New Roman" w:hAnsi="Times New Roman" w:cs="Times New Roman"/>
          <w:sz w:val="28"/>
          <w:szCs w:val="28"/>
          <w:lang w:val="uk-UA"/>
        </w:rPr>
        <w:lastRenderedPageBreak/>
        <w:t>фібринолізу, що сприяло врівноваженню функціональній активності систем зсідання та проти зсідання крові (табл. 3.1</w:t>
      </w:r>
      <w:r w:rsidR="00144A30" w:rsidRPr="004E3FE9">
        <w:rPr>
          <w:rFonts w:ascii="Times New Roman" w:hAnsi="Times New Roman" w:cs="Times New Roman"/>
          <w:sz w:val="28"/>
          <w:szCs w:val="28"/>
          <w:lang w:val="uk-UA"/>
        </w:rPr>
        <w:t>5</w:t>
      </w:r>
      <w:r w:rsidR="00314598" w:rsidRPr="004E3FE9">
        <w:rPr>
          <w:rFonts w:ascii="Times New Roman" w:hAnsi="Times New Roman" w:cs="Times New Roman"/>
          <w:sz w:val="28"/>
          <w:szCs w:val="28"/>
          <w:lang w:val="uk-UA"/>
        </w:rPr>
        <w:t>).</w:t>
      </w:r>
    </w:p>
    <w:p w:rsidR="00BD0BF2" w:rsidRDefault="00BD0BF2" w:rsidP="00A51BD1">
      <w:pPr>
        <w:pStyle w:val="2"/>
        <w:spacing w:line="360" w:lineRule="auto"/>
        <w:rPr>
          <w:rFonts w:ascii="Times New Roman" w:hAnsi="Times New Roman" w:cs="Times New Roman"/>
          <w:color w:val="000000" w:themeColor="text1"/>
          <w:sz w:val="28"/>
          <w:szCs w:val="28"/>
          <w:lang w:val="uk-UA"/>
        </w:rPr>
      </w:pPr>
      <w:bookmarkStart w:id="15" w:name="_Toc465797612"/>
      <w:r w:rsidRPr="004E3FE9">
        <w:rPr>
          <w:rFonts w:ascii="Times New Roman" w:hAnsi="Times New Roman" w:cs="Times New Roman"/>
          <w:color w:val="000000" w:themeColor="text1"/>
          <w:sz w:val="28"/>
          <w:szCs w:val="28"/>
          <w:lang w:val="uk-UA"/>
        </w:rPr>
        <w:t>3.4</w:t>
      </w:r>
      <w:r w:rsidR="0061729E">
        <w:rPr>
          <w:rFonts w:ascii="Times New Roman" w:hAnsi="Times New Roman" w:cs="Times New Roman"/>
          <w:color w:val="000000" w:themeColor="text1"/>
          <w:sz w:val="28"/>
          <w:szCs w:val="28"/>
          <w:lang w:val="uk-UA"/>
        </w:rPr>
        <w:t>.</w:t>
      </w:r>
      <w:r w:rsidRPr="004E3FE9">
        <w:rPr>
          <w:rFonts w:ascii="Times New Roman" w:hAnsi="Times New Roman" w:cs="Times New Roman"/>
          <w:color w:val="000000" w:themeColor="text1"/>
          <w:sz w:val="28"/>
          <w:szCs w:val="28"/>
          <w:lang w:val="uk-UA"/>
        </w:rPr>
        <w:t xml:space="preserve"> Показники клітинної, гуморальної ланок імунітету та фагоцитозу у дітей, хворих на </w:t>
      </w:r>
      <w:r w:rsidR="00A51BD1" w:rsidRPr="004E3FE9">
        <w:rPr>
          <w:rFonts w:ascii="Times New Roman" w:hAnsi="Times New Roman" w:cs="Times New Roman"/>
          <w:color w:val="000000" w:themeColor="text1"/>
          <w:sz w:val="28"/>
          <w:szCs w:val="28"/>
          <w:lang w:val="uk-UA"/>
        </w:rPr>
        <w:t>геморагічний васкуліт</w:t>
      </w:r>
      <w:r w:rsidRPr="004E3FE9">
        <w:rPr>
          <w:rFonts w:ascii="Times New Roman" w:hAnsi="Times New Roman" w:cs="Times New Roman"/>
          <w:color w:val="000000" w:themeColor="text1"/>
          <w:sz w:val="28"/>
          <w:szCs w:val="28"/>
          <w:lang w:val="uk-UA"/>
        </w:rPr>
        <w:t>.</w:t>
      </w:r>
      <w:bookmarkEnd w:id="15"/>
    </w:p>
    <w:p w:rsidR="00C518BC" w:rsidRPr="00C518BC" w:rsidRDefault="00C518BC" w:rsidP="00C518BC">
      <w:pPr>
        <w:rPr>
          <w:lang w:val="uk-UA"/>
        </w:rPr>
      </w:pPr>
    </w:p>
    <w:p w:rsidR="00BD0BF2" w:rsidRPr="004E3FE9" w:rsidRDefault="00BD0BF2" w:rsidP="00A51BD1">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Щоб мати уявлення про специфічні та неспецифічні показники захисту організму у дітей, хворих на ГВ, в динаміці захворювання вивчались  наступні показники: абсолютні та відносні рівні CD</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 заг.), абсолютні та відносні рівні 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 xml:space="preserve"> (Т хелп.), абсолютні та відносні рівні CD</w:t>
      </w:r>
      <w:r w:rsidRPr="004E3FE9">
        <w:rPr>
          <w:rFonts w:ascii="Times New Roman" w:hAnsi="Times New Roman" w:cs="Times New Roman"/>
          <w:sz w:val="28"/>
          <w:szCs w:val="28"/>
          <w:vertAlign w:val="subscript"/>
          <w:lang w:val="uk-UA"/>
        </w:rPr>
        <w:t>8</w:t>
      </w:r>
      <w:r w:rsidRPr="004E3FE9">
        <w:rPr>
          <w:rFonts w:ascii="Times New Roman" w:hAnsi="Times New Roman" w:cs="Times New Roman"/>
          <w:sz w:val="28"/>
          <w:szCs w:val="28"/>
          <w:lang w:val="uk-UA"/>
        </w:rPr>
        <w:t xml:space="preserve"> (Т кіл.), співвідношення 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 xml:space="preserve">8, </w:t>
      </w:r>
      <w:r w:rsidRPr="004E3FE9">
        <w:rPr>
          <w:rFonts w:ascii="Times New Roman" w:hAnsi="Times New Roman" w:cs="Times New Roman"/>
          <w:sz w:val="28"/>
          <w:szCs w:val="28"/>
          <w:lang w:val="uk-UA"/>
        </w:rPr>
        <w:t>абсолютні та відносні рівні CD</w:t>
      </w:r>
      <w:r w:rsidRPr="004E3FE9">
        <w:rPr>
          <w:rFonts w:ascii="Times New Roman" w:hAnsi="Times New Roman" w:cs="Times New Roman"/>
          <w:sz w:val="28"/>
          <w:szCs w:val="28"/>
          <w:vertAlign w:val="subscript"/>
          <w:lang w:val="uk-UA"/>
        </w:rPr>
        <w:t>22</w:t>
      </w:r>
      <w:r w:rsidRPr="004E3FE9">
        <w:rPr>
          <w:rFonts w:ascii="Times New Roman" w:hAnsi="Times New Roman" w:cs="Times New Roman"/>
          <w:sz w:val="28"/>
          <w:szCs w:val="28"/>
          <w:lang w:val="uk-UA"/>
        </w:rPr>
        <w:t xml:space="preserve"> (В лімф.), абсолютні та відносні рівні CD</w:t>
      </w:r>
      <w:r w:rsidRPr="004E3FE9">
        <w:rPr>
          <w:rFonts w:ascii="Times New Roman" w:hAnsi="Times New Roman" w:cs="Times New Roman"/>
          <w:sz w:val="28"/>
          <w:szCs w:val="28"/>
          <w:vertAlign w:val="subscript"/>
          <w:lang w:val="uk-UA"/>
        </w:rPr>
        <w:t>16</w:t>
      </w:r>
      <w:r w:rsidRPr="004E3FE9">
        <w:rPr>
          <w:rFonts w:ascii="Times New Roman" w:hAnsi="Times New Roman" w:cs="Times New Roman"/>
          <w:sz w:val="28"/>
          <w:szCs w:val="28"/>
          <w:lang w:val="uk-UA"/>
        </w:rPr>
        <w:t xml:space="preserve"> (NK), ЦІК, Ig G, Ig A, Ig M. Ig M, г/л, нейтрофіли фагоцитуючі, фагоцитарне число, ІАН, мієлопероксидаза, ЛКБ, NST-тест.</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Стосовно клітинних ефекторів імунної системи в гострий період захворювання, то їх зміни носили різноспрямований характер при різних ступенях важкості ГВ. Так, вміст Т-лімфоцитів в крові у дітей з І ступенем активності патологічного процесу статистично не відрізнявся від показників групи контролю. </w:t>
      </w:r>
    </w:p>
    <w:p w:rsidR="00941012" w:rsidRPr="004E3FE9" w:rsidRDefault="00BD0BF2" w:rsidP="001056B7">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 дітей з ІІ ступенем активності зафіксовано підвищення загального числа абсолютної та відносної кількості Т-лімфоцитів (2,50 (2,20;3,20)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 73 (68;80) %) в порівнянні з показниками крупи контролю, що свідчить про гіперреактивність системи. Також виявлено підвищення показника співвідношення Т-хелперів та Т-супресорів за рахунок підвищення перших та зниження останніх в порівнянні з показниками групи контролю. Також рівень натуральних кілерів був в 2 рази вище за рівні даних групи контролю. У дітей з ІІІ ступенем активності ГВ виявлені аналогічні зміни стану Т-клітинної ланки, але ще більш виражені. Зниження функції CD</w:t>
      </w:r>
      <w:r w:rsidRPr="004E3FE9">
        <w:rPr>
          <w:rFonts w:ascii="Times New Roman" w:hAnsi="Times New Roman" w:cs="Times New Roman"/>
          <w:sz w:val="28"/>
          <w:szCs w:val="28"/>
          <w:vertAlign w:val="subscript"/>
          <w:lang w:val="uk-UA"/>
        </w:rPr>
        <w:t>8</w:t>
      </w:r>
      <w:r w:rsidRPr="004E3FE9">
        <w:rPr>
          <w:rFonts w:ascii="Times New Roman" w:hAnsi="Times New Roman" w:cs="Times New Roman"/>
          <w:sz w:val="28"/>
          <w:szCs w:val="28"/>
          <w:lang w:val="uk-UA"/>
        </w:rPr>
        <w:t xml:space="preserve"> веде до переважання стимулюючого впливу Т-хелперів, в тому числі і на В-лімфоцити, які продукують антитіла. При цьому їх кількість </w:t>
      </w:r>
      <w:r w:rsidRPr="004E3FE9">
        <w:rPr>
          <w:rFonts w:ascii="Times New Roman" w:hAnsi="Times New Roman" w:cs="Times New Roman"/>
          <w:sz w:val="28"/>
          <w:szCs w:val="28"/>
          <w:lang w:val="uk-UA"/>
        </w:rPr>
        <w:lastRenderedPageBreak/>
        <w:t>може досягти критичного рівня, що здатне викликати пошкодження власних тканин організму (табл. 3.1</w:t>
      </w:r>
      <w:r w:rsidR="00144A30" w:rsidRPr="004E3FE9">
        <w:rPr>
          <w:rFonts w:ascii="Times New Roman" w:hAnsi="Times New Roman" w:cs="Times New Roman"/>
          <w:sz w:val="28"/>
          <w:szCs w:val="28"/>
          <w:lang w:val="uk-UA"/>
        </w:rPr>
        <w:t>6</w:t>
      </w:r>
      <w:r w:rsidRPr="004E3FE9">
        <w:rPr>
          <w:rFonts w:ascii="Times New Roman" w:hAnsi="Times New Roman" w:cs="Times New Roman"/>
          <w:sz w:val="28"/>
          <w:szCs w:val="28"/>
          <w:lang w:val="uk-UA"/>
        </w:rPr>
        <w:t>).</w:t>
      </w:r>
    </w:p>
    <w:p w:rsidR="00BD0BF2" w:rsidRPr="001056B7" w:rsidRDefault="00BD0BF2" w:rsidP="00BD0BF2">
      <w:pPr>
        <w:spacing w:line="360" w:lineRule="auto"/>
        <w:ind w:firstLine="709"/>
        <w:contextualSpacing/>
        <w:jc w:val="right"/>
        <w:rPr>
          <w:rFonts w:ascii="Times New Roman" w:hAnsi="Times New Roman" w:cs="Times New Roman"/>
          <w:i/>
          <w:sz w:val="28"/>
          <w:szCs w:val="28"/>
          <w:lang w:val="uk-UA"/>
        </w:rPr>
      </w:pPr>
      <w:r w:rsidRPr="001056B7">
        <w:rPr>
          <w:rFonts w:ascii="Times New Roman" w:hAnsi="Times New Roman" w:cs="Times New Roman"/>
          <w:i/>
          <w:sz w:val="28"/>
          <w:szCs w:val="28"/>
          <w:lang w:val="uk-UA"/>
        </w:rPr>
        <w:t>Таблиця 3.1</w:t>
      </w:r>
      <w:r w:rsidR="00144A30" w:rsidRPr="001056B7">
        <w:rPr>
          <w:rFonts w:ascii="Times New Roman" w:hAnsi="Times New Roman" w:cs="Times New Roman"/>
          <w:i/>
          <w:sz w:val="28"/>
          <w:szCs w:val="28"/>
          <w:lang w:val="uk-UA"/>
        </w:rPr>
        <w:t>6</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клітинної ланки імунітету в залежності від ступеня активності геморагічного васкуліту у дітей, в гострий період захворювання</w:t>
      </w:r>
      <w:r w:rsidR="00941012">
        <w:rPr>
          <w:rFonts w:ascii="Times New Roman" w:hAnsi="Times New Roman" w:cs="Times New Roman"/>
          <w:b/>
          <w:sz w:val="28"/>
          <w:szCs w:val="28"/>
          <w:lang w:val="uk-UA"/>
        </w:rPr>
        <w:t>, (Me(Lq;Uq))</w:t>
      </w:r>
    </w:p>
    <w:tbl>
      <w:tblPr>
        <w:tblStyle w:val="a8"/>
        <w:tblW w:w="0" w:type="auto"/>
        <w:tblInd w:w="108" w:type="dxa"/>
        <w:tblLook w:val="04A0"/>
      </w:tblPr>
      <w:tblGrid>
        <w:gridCol w:w="2916"/>
        <w:gridCol w:w="1602"/>
        <w:gridCol w:w="1742"/>
        <w:gridCol w:w="1742"/>
        <w:gridCol w:w="1461"/>
      </w:tblGrid>
      <w:tr w:rsidR="00BD0BF2" w:rsidRPr="004E3FE9" w:rsidTr="00721EA2">
        <w:trPr>
          <w:trHeight w:val="850"/>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0" w:type="auto"/>
            <w:gridSpan w:val="3"/>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0" w:type="auto"/>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tc>
      </w:tr>
      <w:tr w:rsidR="00BD0BF2" w:rsidRPr="004E3FE9" w:rsidTr="00721EA2">
        <w:trPr>
          <w:trHeight w:val="850"/>
        </w:trPr>
        <w:tc>
          <w:tcPr>
            <w:tcW w:w="0" w:type="auto"/>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jc w:val="center"/>
              <w:rPr>
                <w:rFonts w:ascii="Times New Roman" w:hAnsi="Times New Roman" w:cs="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74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74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jc w:val="center"/>
              <w:rPr>
                <w:rFonts w:ascii="Times New Roman" w:hAnsi="Times New Roman" w:cs="Times New Roman"/>
                <w:sz w:val="28"/>
                <w:szCs w:val="28"/>
                <w:lang w:val="uk-UA"/>
              </w:rPr>
            </w:pP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 заг.), абс.ч.</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1,60</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(1,56;1,68)</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2,50</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(2,20;3,20)*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5,70</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(4,00;6,90)*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1,60</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(1,40;1,80)</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67</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(65;68)</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73</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(68;80)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79</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(76;80)*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69</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(65;72)</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 xml:space="preserve"> (Т хелп.),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(0,90;1,00)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1,75</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(1,50;2,00)*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3,90</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(3,20;4,50)*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(0,80;1,00)</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36</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(34;40)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(36;39)</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53</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(51;60)*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(35;40)</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8</w:t>
            </w:r>
            <w:r w:rsidRPr="004E3FE9">
              <w:rPr>
                <w:rFonts w:ascii="Times New Roman" w:hAnsi="Times New Roman" w:cs="Times New Roman"/>
                <w:sz w:val="28"/>
                <w:szCs w:val="28"/>
                <w:lang w:val="uk-UA"/>
              </w:rPr>
              <w:t xml:space="preserve"> (Т кіл.),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0,75</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(0,65;0,75)</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0,75</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(0,70;0,80)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1,70</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(1,00;2,00)*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0,74</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(0,70;0,80)</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(30;34)</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(22;30)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27</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(24;30)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(27;32)</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 CD</w:t>
            </w:r>
            <w:r w:rsidRPr="004E3FE9">
              <w:rPr>
                <w:rFonts w:ascii="Times New Roman" w:hAnsi="Times New Roman" w:cs="Times New Roman"/>
                <w:sz w:val="28"/>
                <w:szCs w:val="28"/>
                <w:vertAlign w:val="subscript"/>
                <w:lang w:val="uk-UA"/>
              </w:rPr>
              <w:t>8</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1,28</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(1,20;1,53)</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2,31</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(1,50;2,85)*</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2,38</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(1,85;2,73)*</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1,17</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(1,12;1,25)</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16</w:t>
            </w:r>
            <w:r w:rsidRPr="004E3FE9">
              <w:rPr>
                <w:rFonts w:ascii="Times New Roman" w:hAnsi="Times New Roman" w:cs="Times New Roman"/>
                <w:sz w:val="28"/>
                <w:szCs w:val="28"/>
                <w:lang w:val="uk-UA"/>
              </w:rPr>
              <w:t xml:space="preserve"> (NK),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0,34</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(0,30;0,35)</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0,60</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(0,50;0,90)*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1,80</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(0,90;2,00)*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0,30</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(0,20;0,30)</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(11;12)</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(15;19)*</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(18;25)*</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(10;14)</w:t>
            </w:r>
          </w:p>
        </w:tc>
      </w:tr>
    </w:tbl>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Примітка.</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*-р&lt;0,01- різниця вірогідна з показником дітей групи контролю.</w:t>
      </w:r>
    </w:p>
    <w:p w:rsidR="00144A30" w:rsidRPr="004E3FE9" w:rsidRDefault="00144A30" w:rsidP="00BD0BF2">
      <w:pPr>
        <w:spacing w:line="360" w:lineRule="auto"/>
        <w:ind w:right="142" w:firstLine="709"/>
        <w:contextualSpacing/>
        <w:jc w:val="both"/>
        <w:rPr>
          <w:rFonts w:ascii="Times New Roman" w:hAnsi="Times New Roman" w:cs="Times New Roman"/>
          <w:sz w:val="28"/>
          <w:szCs w:val="28"/>
          <w:lang w:val="uk-UA"/>
        </w:rPr>
      </w:pPr>
    </w:p>
    <w:p w:rsidR="00E62C2B" w:rsidRPr="004E3FE9" w:rsidRDefault="00BD0BF2" w:rsidP="004E51EA">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Наведені дані підтверджує аналіз рівнів клітинних ефекторів гуморальної ланки імунітету (CD</w:t>
      </w:r>
      <w:r w:rsidRPr="004E3FE9">
        <w:rPr>
          <w:rFonts w:ascii="Times New Roman" w:hAnsi="Times New Roman" w:cs="Times New Roman"/>
          <w:sz w:val="28"/>
          <w:szCs w:val="28"/>
          <w:vertAlign w:val="subscript"/>
          <w:lang w:val="uk-UA"/>
        </w:rPr>
        <w:t>22</w:t>
      </w:r>
      <w:r w:rsidRPr="004E3FE9">
        <w:rPr>
          <w:rFonts w:ascii="Times New Roman" w:hAnsi="Times New Roman" w:cs="Times New Roman"/>
          <w:sz w:val="28"/>
          <w:szCs w:val="28"/>
          <w:lang w:val="uk-UA"/>
        </w:rPr>
        <w:t>), який вказує на їх підвищення та наявність прямої залежності від важкості перебігу ГВ (табл. 3.1</w:t>
      </w:r>
      <w:r w:rsidR="00144A30" w:rsidRPr="004E3FE9">
        <w:rPr>
          <w:rFonts w:ascii="Times New Roman" w:hAnsi="Times New Roman" w:cs="Times New Roman"/>
          <w:sz w:val="28"/>
          <w:szCs w:val="28"/>
          <w:lang w:val="uk-UA"/>
        </w:rPr>
        <w:t>7</w:t>
      </w:r>
      <w:r w:rsidRPr="004E3FE9">
        <w:rPr>
          <w:rFonts w:ascii="Times New Roman" w:hAnsi="Times New Roman" w:cs="Times New Roman"/>
          <w:sz w:val="28"/>
          <w:szCs w:val="28"/>
          <w:lang w:val="uk-UA"/>
        </w:rPr>
        <w:t>).</w:t>
      </w:r>
    </w:p>
    <w:p w:rsidR="00BD0BF2" w:rsidRPr="001056B7" w:rsidRDefault="00BD0BF2" w:rsidP="00BD0BF2">
      <w:pPr>
        <w:spacing w:line="360" w:lineRule="auto"/>
        <w:ind w:firstLine="709"/>
        <w:contextualSpacing/>
        <w:jc w:val="right"/>
        <w:rPr>
          <w:rFonts w:ascii="Times New Roman" w:hAnsi="Times New Roman" w:cs="Times New Roman"/>
          <w:i/>
          <w:sz w:val="28"/>
          <w:szCs w:val="28"/>
          <w:lang w:val="uk-UA"/>
        </w:rPr>
      </w:pPr>
      <w:r w:rsidRPr="001056B7">
        <w:rPr>
          <w:rFonts w:ascii="Times New Roman" w:hAnsi="Times New Roman" w:cs="Times New Roman"/>
          <w:i/>
          <w:sz w:val="28"/>
          <w:szCs w:val="28"/>
          <w:lang w:val="uk-UA"/>
        </w:rPr>
        <w:t>Таблиця 3.1</w:t>
      </w:r>
      <w:r w:rsidR="00144A30" w:rsidRPr="001056B7">
        <w:rPr>
          <w:rFonts w:ascii="Times New Roman" w:hAnsi="Times New Roman" w:cs="Times New Roman"/>
          <w:i/>
          <w:sz w:val="28"/>
          <w:szCs w:val="28"/>
          <w:lang w:val="uk-UA"/>
        </w:rPr>
        <w:t>7</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гуморальної ланки імунітету в залежності від ступеня активності геморагічного васкуліту у дітей, в гострий період захворювання</w:t>
      </w:r>
      <w:r w:rsidR="00941012">
        <w:rPr>
          <w:rFonts w:ascii="Times New Roman" w:hAnsi="Times New Roman" w:cs="Times New Roman"/>
          <w:b/>
          <w:sz w:val="28"/>
          <w:szCs w:val="28"/>
          <w:lang w:val="uk-UA"/>
        </w:rPr>
        <w:t>, (Me(Lq;Uq))</w:t>
      </w:r>
    </w:p>
    <w:tbl>
      <w:tblPr>
        <w:tblStyle w:val="a8"/>
        <w:tblW w:w="0" w:type="auto"/>
        <w:tblInd w:w="108" w:type="dxa"/>
        <w:tblLayout w:type="fixed"/>
        <w:tblLook w:val="04A0"/>
      </w:tblPr>
      <w:tblGrid>
        <w:gridCol w:w="2058"/>
        <w:gridCol w:w="1770"/>
        <w:gridCol w:w="1984"/>
        <w:gridCol w:w="1843"/>
        <w:gridCol w:w="1701"/>
      </w:tblGrid>
      <w:tr w:rsidR="00BD0BF2" w:rsidRPr="004E3FE9" w:rsidTr="00A75E08">
        <w:trPr>
          <w:trHeight w:val="850"/>
        </w:trPr>
        <w:tc>
          <w:tcPr>
            <w:tcW w:w="2058" w:type="dxa"/>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5597" w:type="dxa"/>
            <w:gridSpan w:val="3"/>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1701"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tc>
      </w:tr>
      <w:tr w:rsidR="00BD0BF2" w:rsidRPr="004E3FE9" w:rsidTr="00A75E08">
        <w:trPr>
          <w:trHeight w:val="850"/>
        </w:trPr>
        <w:tc>
          <w:tcPr>
            <w:tcW w:w="2058"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177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98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843"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r>
      <w:tr w:rsidR="00BD0BF2" w:rsidRPr="004E3FE9" w:rsidTr="00A75E08">
        <w:trPr>
          <w:trHeight w:val="850"/>
        </w:trPr>
        <w:tc>
          <w:tcPr>
            <w:tcW w:w="205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22</w:t>
            </w:r>
            <w:r w:rsidRPr="004E3FE9">
              <w:rPr>
                <w:rFonts w:ascii="Times New Roman" w:hAnsi="Times New Roman" w:cs="Times New Roman"/>
                <w:sz w:val="28"/>
                <w:szCs w:val="28"/>
                <w:lang w:val="uk-UA"/>
              </w:rPr>
              <w:t xml:space="preserve"> (В лімф.),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177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0,60</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(0,50;0,65)*</w:t>
            </w:r>
          </w:p>
        </w:tc>
        <w:tc>
          <w:tcPr>
            <w:tcW w:w="198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1,21</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(1,10;1,32)*</w:t>
            </w:r>
          </w:p>
        </w:tc>
        <w:tc>
          <w:tcPr>
            <w:tcW w:w="18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1,90</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(1,60;2,40)*</w:t>
            </w:r>
          </w:p>
        </w:tc>
        <w:tc>
          <w:tcPr>
            <w:tcW w:w="170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0,50</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(0,40;0,60)</w:t>
            </w:r>
          </w:p>
        </w:tc>
      </w:tr>
      <w:tr w:rsidR="00BD0BF2" w:rsidRPr="004E3FE9" w:rsidTr="00A75E08">
        <w:trPr>
          <w:trHeight w:val="850"/>
        </w:trPr>
        <w:tc>
          <w:tcPr>
            <w:tcW w:w="205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177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(17;20)</w:t>
            </w:r>
          </w:p>
        </w:tc>
        <w:tc>
          <w:tcPr>
            <w:tcW w:w="198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(22;29)*</w:t>
            </w:r>
          </w:p>
        </w:tc>
        <w:tc>
          <w:tcPr>
            <w:tcW w:w="18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(27;37)*</w:t>
            </w:r>
          </w:p>
        </w:tc>
        <w:tc>
          <w:tcPr>
            <w:tcW w:w="170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(13;19)</w:t>
            </w:r>
          </w:p>
        </w:tc>
      </w:tr>
      <w:tr w:rsidR="00BD0BF2" w:rsidRPr="004E3FE9" w:rsidTr="00A75E08">
        <w:trPr>
          <w:trHeight w:val="850"/>
        </w:trPr>
        <w:tc>
          <w:tcPr>
            <w:tcW w:w="205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Ig A,</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w:t>
            </w:r>
          </w:p>
        </w:tc>
        <w:tc>
          <w:tcPr>
            <w:tcW w:w="177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2,29 (2,12;2,43)*</w:t>
            </w:r>
          </w:p>
        </w:tc>
        <w:tc>
          <w:tcPr>
            <w:tcW w:w="198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3,25 (2,90;3,50)*</w:t>
            </w:r>
          </w:p>
        </w:tc>
        <w:tc>
          <w:tcPr>
            <w:tcW w:w="18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2,70 (2,20;3,30)*</w:t>
            </w:r>
          </w:p>
        </w:tc>
        <w:tc>
          <w:tcPr>
            <w:tcW w:w="170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1,22 (0,90;1,62)</w:t>
            </w:r>
          </w:p>
        </w:tc>
      </w:tr>
      <w:tr w:rsidR="00BD0BF2" w:rsidRPr="004E3FE9" w:rsidTr="00A75E08">
        <w:trPr>
          <w:trHeight w:val="850"/>
        </w:trPr>
        <w:tc>
          <w:tcPr>
            <w:tcW w:w="205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Ig M,</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w:t>
            </w:r>
          </w:p>
        </w:tc>
        <w:tc>
          <w:tcPr>
            <w:tcW w:w="177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1,70 (1,10;2,00)*</w:t>
            </w:r>
          </w:p>
        </w:tc>
        <w:tc>
          <w:tcPr>
            <w:tcW w:w="198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2,15 (2,00;2,60)*</w:t>
            </w:r>
          </w:p>
        </w:tc>
        <w:tc>
          <w:tcPr>
            <w:tcW w:w="18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1,55 (1,26;2,40)*</w:t>
            </w:r>
          </w:p>
        </w:tc>
        <w:tc>
          <w:tcPr>
            <w:tcW w:w="170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0,98 (0,82;1,11)</w:t>
            </w:r>
          </w:p>
        </w:tc>
      </w:tr>
      <w:tr w:rsidR="00BD0BF2" w:rsidRPr="004E3FE9" w:rsidTr="00A75E08">
        <w:trPr>
          <w:trHeight w:val="850"/>
        </w:trPr>
        <w:tc>
          <w:tcPr>
            <w:tcW w:w="205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Ig G,</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w:t>
            </w:r>
          </w:p>
        </w:tc>
        <w:tc>
          <w:tcPr>
            <w:tcW w:w="177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10,70 (9,98;12,30)</w:t>
            </w:r>
          </w:p>
        </w:tc>
        <w:tc>
          <w:tcPr>
            <w:tcW w:w="198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14,35 (13,00;15,70)*</w:t>
            </w:r>
          </w:p>
        </w:tc>
        <w:tc>
          <w:tcPr>
            <w:tcW w:w="18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9,98 (8,00;12,70)</w:t>
            </w:r>
          </w:p>
        </w:tc>
        <w:tc>
          <w:tcPr>
            <w:tcW w:w="170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9,95 (8,16;11,24)</w:t>
            </w:r>
          </w:p>
        </w:tc>
      </w:tr>
      <w:tr w:rsidR="00BD0BF2" w:rsidRPr="004E3FE9" w:rsidTr="00A75E08">
        <w:trPr>
          <w:trHeight w:val="850"/>
        </w:trPr>
        <w:tc>
          <w:tcPr>
            <w:tcW w:w="205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ЦІК, у.о.</w:t>
            </w:r>
          </w:p>
        </w:tc>
        <w:tc>
          <w:tcPr>
            <w:tcW w:w="177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67 (59;74)*</w:t>
            </w:r>
          </w:p>
        </w:tc>
        <w:tc>
          <w:tcPr>
            <w:tcW w:w="198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81 (76;86)*</w:t>
            </w:r>
          </w:p>
        </w:tc>
        <w:tc>
          <w:tcPr>
            <w:tcW w:w="18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136 (100;162)*</w:t>
            </w:r>
          </w:p>
        </w:tc>
        <w:tc>
          <w:tcPr>
            <w:tcW w:w="170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 (25;34)</w:t>
            </w:r>
          </w:p>
        </w:tc>
      </w:tr>
    </w:tbl>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Примітка.</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р&lt;0,01- різниця вірогідна з показником дітей групи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 гострий період захворювання реєстрували підвищення рівнів ЦІК в крові. Статистична обробка отриманих даних вказують на достовірні відмінності рівнів ЦІК у дітей від мінімального до максимального ступеня активності ГВ (67 (59;74) у.о., 81 (76;86) у.о., 136 (100;162) у.о., відповідно). Підчас аналізу рівнів Ig A в сироватці крові в гострий період ГВ виявлені </w:t>
      </w:r>
      <w:r w:rsidRPr="004E3FE9">
        <w:rPr>
          <w:rFonts w:ascii="Times New Roman" w:hAnsi="Times New Roman" w:cs="Times New Roman"/>
          <w:sz w:val="28"/>
          <w:szCs w:val="28"/>
          <w:lang w:val="uk-UA"/>
        </w:rPr>
        <w:lastRenderedPageBreak/>
        <w:t>статистично значущі відмінності з показниками групи контролю. Найбільш виражені зміни виявлені у дітей з ІІ ступенем активності (3,25 (2,90;3,50) г/л). Стосовно рівнів Ig G в сироватці крові, то достовірне підвищення зареєстровано у дітей з середньоважким перебігом ГВ (14,35 (13,00;15,70) г/л). Рівень Ig M в сироватці крові достовірно підвищено в гострий період захворювання у дітей всіх ступенів активності (табл. 3.1</w:t>
      </w:r>
      <w:r w:rsidR="00144A30" w:rsidRPr="004E3FE9">
        <w:rPr>
          <w:rFonts w:ascii="Times New Roman" w:hAnsi="Times New Roman" w:cs="Times New Roman"/>
          <w:sz w:val="28"/>
          <w:szCs w:val="28"/>
          <w:lang w:val="uk-UA"/>
        </w:rPr>
        <w:t>7</w:t>
      </w:r>
      <w:r w:rsidRPr="004E3FE9">
        <w:rPr>
          <w:rFonts w:ascii="Times New Roman" w:hAnsi="Times New Roman" w:cs="Times New Roman"/>
          <w:sz w:val="28"/>
          <w:szCs w:val="28"/>
          <w:lang w:val="uk-UA"/>
        </w:rPr>
        <w:t>).</w:t>
      </w:r>
    </w:p>
    <w:p w:rsidR="00BD0BF2" w:rsidRPr="001056B7" w:rsidRDefault="00BD0BF2" w:rsidP="00BD0BF2">
      <w:pPr>
        <w:spacing w:line="360" w:lineRule="auto"/>
        <w:ind w:firstLine="709"/>
        <w:contextualSpacing/>
        <w:jc w:val="right"/>
        <w:rPr>
          <w:rFonts w:ascii="Times New Roman" w:hAnsi="Times New Roman" w:cs="Times New Roman"/>
          <w:i/>
          <w:sz w:val="28"/>
          <w:szCs w:val="28"/>
          <w:lang w:val="uk-UA"/>
        </w:rPr>
      </w:pPr>
      <w:r w:rsidRPr="001056B7">
        <w:rPr>
          <w:rFonts w:ascii="Times New Roman" w:hAnsi="Times New Roman" w:cs="Times New Roman"/>
          <w:i/>
          <w:sz w:val="28"/>
          <w:szCs w:val="28"/>
          <w:lang w:val="uk-UA"/>
        </w:rPr>
        <w:t>Таблиця 3.1</w:t>
      </w:r>
      <w:r w:rsidR="00144A30" w:rsidRPr="001056B7">
        <w:rPr>
          <w:rFonts w:ascii="Times New Roman" w:hAnsi="Times New Roman" w:cs="Times New Roman"/>
          <w:i/>
          <w:sz w:val="28"/>
          <w:szCs w:val="28"/>
          <w:lang w:val="uk-UA"/>
        </w:rPr>
        <w:t>8</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Показники фагоцитозу в залежності від ступеня активності геморагічного васкуліту у дітей, в гострий </w:t>
      </w:r>
      <w:r w:rsidR="00941012">
        <w:rPr>
          <w:rFonts w:ascii="Times New Roman" w:hAnsi="Times New Roman" w:cs="Times New Roman"/>
          <w:b/>
          <w:sz w:val="28"/>
          <w:szCs w:val="28"/>
          <w:lang w:val="uk-UA"/>
        </w:rPr>
        <w:t>період захворювання, (Me(Lq;Uq))</w:t>
      </w:r>
    </w:p>
    <w:tbl>
      <w:tblPr>
        <w:tblStyle w:val="a8"/>
        <w:tblW w:w="9498" w:type="dxa"/>
        <w:tblInd w:w="108" w:type="dxa"/>
        <w:tblLayout w:type="fixed"/>
        <w:tblLook w:val="04A0"/>
      </w:tblPr>
      <w:tblGrid>
        <w:gridCol w:w="2410"/>
        <w:gridCol w:w="1748"/>
        <w:gridCol w:w="1890"/>
        <w:gridCol w:w="1890"/>
        <w:gridCol w:w="1560"/>
      </w:tblGrid>
      <w:tr w:rsidR="00BD0BF2" w:rsidRPr="004E3FE9" w:rsidTr="00721EA2">
        <w:trPr>
          <w:trHeight w:val="850"/>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5528" w:type="dxa"/>
            <w:gridSpan w:val="3"/>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156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tc>
      </w:tr>
      <w:tr w:rsidR="00BD0BF2" w:rsidRPr="004E3FE9" w:rsidTr="00721EA2">
        <w:trPr>
          <w:trHeight w:val="850"/>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174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r>
      <w:tr w:rsidR="00BD0BF2" w:rsidRPr="004E3FE9" w:rsidTr="00721EA2">
        <w:trPr>
          <w:trHeight w:val="966"/>
        </w:trPr>
        <w:tc>
          <w:tcPr>
            <w:tcW w:w="241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Нейтрофіли фагоцитуючі, %</w:t>
            </w:r>
          </w:p>
        </w:tc>
        <w:tc>
          <w:tcPr>
            <w:tcW w:w="174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88 </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(85;94)*</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67 </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(64;77)*</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50 </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(47;55)*</w:t>
            </w:r>
          </w:p>
        </w:tc>
        <w:tc>
          <w:tcPr>
            <w:tcW w:w="156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82</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(78;86)</w:t>
            </w:r>
          </w:p>
        </w:tc>
      </w:tr>
      <w:tr w:rsidR="00BD0BF2" w:rsidRPr="004E3FE9" w:rsidTr="00721EA2">
        <w:trPr>
          <w:trHeight w:val="966"/>
        </w:trPr>
        <w:tc>
          <w:tcPr>
            <w:tcW w:w="241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Фагоцитарне число</w:t>
            </w:r>
          </w:p>
        </w:tc>
        <w:tc>
          <w:tcPr>
            <w:tcW w:w="174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6,0 (4,3;6,5)*</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 (3,1;5,0)</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2,4 (2,2;3,1)*</w:t>
            </w:r>
          </w:p>
        </w:tc>
        <w:tc>
          <w:tcPr>
            <w:tcW w:w="156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(3,8;4,8)</w:t>
            </w:r>
          </w:p>
        </w:tc>
      </w:tr>
      <w:tr w:rsidR="00BD0BF2" w:rsidRPr="004E3FE9" w:rsidTr="00721EA2">
        <w:trPr>
          <w:trHeight w:val="966"/>
        </w:trPr>
        <w:tc>
          <w:tcPr>
            <w:tcW w:w="241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ІАН</w:t>
            </w:r>
          </w:p>
        </w:tc>
        <w:tc>
          <w:tcPr>
            <w:tcW w:w="174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0,98 (0,90;1,00)*</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 (0,90;1,30)</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0,92 (0,78;0,92)*</w:t>
            </w:r>
          </w:p>
        </w:tc>
        <w:tc>
          <w:tcPr>
            <w:tcW w:w="156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1,09 (1,00;1,15)</w:t>
            </w:r>
          </w:p>
        </w:tc>
      </w:tr>
      <w:tr w:rsidR="00BD0BF2" w:rsidRPr="004E3FE9" w:rsidTr="00721EA2">
        <w:trPr>
          <w:trHeight w:val="966"/>
        </w:trPr>
        <w:tc>
          <w:tcPr>
            <w:tcW w:w="241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Мієлопероксидаза, СЦК</w:t>
            </w:r>
          </w:p>
        </w:tc>
        <w:tc>
          <w:tcPr>
            <w:tcW w:w="174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2,30 (2,25;2,45)*</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2,25 (2,25;2,34)*</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2,00 (1,88;2,50)*</w:t>
            </w:r>
          </w:p>
        </w:tc>
        <w:tc>
          <w:tcPr>
            <w:tcW w:w="156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2,56 (2,55;2,57)</w:t>
            </w:r>
          </w:p>
        </w:tc>
      </w:tr>
      <w:tr w:rsidR="00BD0BF2" w:rsidRPr="004E3FE9" w:rsidTr="00721EA2">
        <w:trPr>
          <w:trHeight w:val="966"/>
        </w:trPr>
        <w:tc>
          <w:tcPr>
            <w:tcW w:w="241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ЛКБ, СЦК</w:t>
            </w:r>
          </w:p>
        </w:tc>
        <w:tc>
          <w:tcPr>
            <w:tcW w:w="174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1,26 (1,20;1,30)</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1,27 (1,22;1,35)</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1,24 (1,12;1,26)*</w:t>
            </w:r>
          </w:p>
        </w:tc>
        <w:tc>
          <w:tcPr>
            <w:tcW w:w="156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1,23 (1,22;1,24)</w:t>
            </w:r>
          </w:p>
        </w:tc>
      </w:tr>
      <w:tr w:rsidR="00BD0BF2" w:rsidRPr="004E3FE9" w:rsidTr="00721EA2">
        <w:trPr>
          <w:trHeight w:val="966"/>
        </w:trPr>
        <w:tc>
          <w:tcPr>
            <w:tcW w:w="241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NST-тест, %</w:t>
            </w:r>
          </w:p>
        </w:tc>
        <w:tc>
          <w:tcPr>
            <w:tcW w:w="174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 (24;30)*</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 (30;38)*</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 (14;20)*</w:t>
            </w:r>
          </w:p>
        </w:tc>
        <w:tc>
          <w:tcPr>
            <w:tcW w:w="156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 (7;12)</w:t>
            </w:r>
          </w:p>
        </w:tc>
      </w:tr>
    </w:tbl>
    <w:p w:rsidR="00BD0BF2"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Примітка.</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 xml:space="preserve">р&lt;0,01 - різниця вірогідна з показником дітей групи контролю. </w:t>
      </w:r>
    </w:p>
    <w:p w:rsidR="00237479" w:rsidRPr="004E3FE9" w:rsidRDefault="00237479"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Процеси фагоцитозу реалізуються за рахунок киснезалежних механізмів, які в свою чергу здійснюються за допомогою пероксидази або перексидазонезалежних реакцій про які судять за NST-тестом, або кисненезалежних механізмів, про які судять за рівнями лізосомальних катіонних білків.</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У хворих з мінімальним ступенем активності в гострий період захворювання спостерігається достовірне збільшення показників факоцитуючих нейтрофілів та фагоцитарного числа (88 (85;94) %, 6,0 (4,3;6,5), відповідно). У дітей з ІІ та ІІІ ступенем активності ГВ реєстрували поступове зниження цих показників, що може свідчити про низький резерв компенсаторних можливостей фагоцитозу у хворих даних груп та виснаження їх у зв’язку з залученням їх до елімінації продуктів запалення та ЦІК із організму.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У всіх хворих з різним ступенем активності захворювання зафіксовано достовірне збільшення  показників NST-тесту в порівнянні з показниками групи контролю. Найбільші цифри реєстрували у дітей з ІІ </w:t>
      </w:r>
      <w:r w:rsidR="00237479">
        <w:rPr>
          <w:rFonts w:ascii="Times New Roman" w:hAnsi="Times New Roman" w:cs="Times New Roman"/>
          <w:sz w:val="28"/>
          <w:szCs w:val="28"/>
          <w:lang w:val="uk-UA"/>
        </w:rPr>
        <w:t>ступенем активності (35 (30;38)</w:t>
      </w:r>
      <w:r w:rsidRPr="004E3FE9">
        <w:rPr>
          <w:rFonts w:ascii="Times New Roman" w:hAnsi="Times New Roman" w:cs="Times New Roman"/>
          <w:sz w:val="28"/>
          <w:szCs w:val="28"/>
          <w:lang w:val="uk-UA"/>
        </w:rPr>
        <w:t xml:space="preserve"> %).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Активність мієлопероксидази лейкоцитів, за даними середнього цитохімічного коефіцієнту, в гострий період знижена у хворих всіх груп в порівнянні з показниками контрольної групи, особливо у дітей з ІІІ ступенем активності ГВ (2,00 (1,88;2,50), СЦК)</w:t>
      </w:r>
      <w:r w:rsidR="004E51EA" w:rsidRPr="004E3FE9">
        <w:rPr>
          <w:rFonts w:ascii="Times New Roman" w:hAnsi="Times New Roman" w:cs="Times New Roman"/>
          <w:sz w:val="28"/>
          <w:szCs w:val="28"/>
          <w:lang w:val="uk-UA"/>
        </w:rPr>
        <w:t xml:space="preserve"> (табл. 3.18)</w:t>
      </w:r>
      <w:r w:rsidRPr="004E3FE9">
        <w:rPr>
          <w:rFonts w:ascii="Times New Roman" w:hAnsi="Times New Roman" w:cs="Times New Roman"/>
          <w:sz w:val="28"/>
          <w:szCs w:val="28"/>
          <w:lang w:val="uk-UA"/>
        </w:rPr>
        <w:t>.</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Показники ЛКБ у дітей з І та ІІ ступенем активності статистично не відрізнялись </w:t>
      </w:r>
      <w:r w:rsidR="004E51EA" w:rsidRPr="004E3FE9">
        <w:rPr>
          <w:rFonts w:ascii="Times New Roman" w:hAnsi="Times New Roman" w:cs="Times New Roman"/>
          <w:sz w:val="28"/>
          <w:szCs w:val="28"/>
          <w:lang w:val="uk-UA"/>
        </w:rPr>
        <w:t xml:space="preserve">від показників групи контролю, </w:t>
      </w:r>
      <w:r w:rsidRPr="004E3FE9">
        <w:rPr>
          <w:rFonts w:ascii="Times New Roman" w:hAnsi="Times New Roman" w:cs="Times New Roman"/>
          <w:sz w:val="28"/>
          <w:szCs w:val="28"/>
          <w:lang w:val="uk-UA"/>
        </w:rPr>
        <w:t xml:space="preserve">достовірне їх збільшення </w:t>
      </w:r>
      <w:r w:rsidR="004E51EA" w:rsidRPr="004E3FE9">
        <w:rPr>
          <w:rFonts w:ascii="Times New Roman" w:hAnsi="Times New Roman" w:cs="Times New Roman"/>
          <w:sz w:val="28"/>
          <w:szCs w:val="28"/>
          <w:lang w:val="uk-UA"/>
        </w:rPr>
        <w:t>зафіксовано</w:t>
      </w:r>
      <w:r w:rsidRPr="004E3FE9">
        <w:rPr>
          <w:rFonts w:ascii="Times New Roman" w:hAnsi="Times New Roman" w:cs="Times New Roman"/>
          <w:sz w:val="28"/>
          <w:szCs w:val="28"/>
          <w:lang w:val="uk-UA"/>
        </w:rPr>
        <w:t xml:space="preserve"> у дітей з ІІІ ступенем активності (1,24 (1,12;1,26), СЦК).</w:t>
      </w:r>
    </w:p>
    <w:p w:rsidR="00A75E08" w:rsidRPr="004E3FE9" w:rsidRDefault="00BD0BF2" w:rsidP="001056B7">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Аналізуючи показники клітинної ланки імунітету в період клініко-лабораторної ремісії </w:t>
      </w:r>
      <w:r w:rsidR="00237479">
        <w:rPr>
          <w:rFonts w:ascii="Times New Roman" w:hAnsi="Times New Roman" w:cs="Times New Roman"/>
          <w:sz w:val="28"/>
          <w:szCs w:val="28"/>
          <w:lang w:val="uk-UA"/>
        </w:rPr>
        <w:t>з’ясова</w:t>
      </w:r>
      <w:r w:rsidR="00237479" w:rsidRPr="004E3FE9">
        <w:rPr>
          <w:rFonts w:ascii="Times New Roman" w:hAnsi="Times New Roman" w:cs="Times New Roman"/>
          <w:sz w:val="28"/>
          <w:szCs w:val="28"/>
          <w:lang w:val="uk-UA"/>
        </w:rPr>
        <w:t>но</w:t>
      </w:r>
      <w:r w:rsidRPr="004E3FE9">
        <w:rPr>
          <w:rFonts w:ascii="Times New Roman" w:hAnsi="Times New Roman" w:cs="Times New Roman"/>
          <w:sz w:val="28"/>
          <w:szCs w:val="28"/>
          <w:lang w:val="uk-UA"/>
        </w:rPr>
        <w:t>, що у дітей з мінімальною активністю ГВ достовірних відмінностей в порівнянні з показниками групи контролю не виявлено. У дітей з ІІ ступенем активності також результати наближались до нормальних значень окрім  абсолютних значень CD</w:t>
      </w:r>
      <w:r w:rsidRPr="004E3FE9">
        <w:rPr>
          <w:rFonts w:ascii="Times New Roman" w:hAnsi="Times New Roman" w:cs="Times New Roman"/>
          <w:sz w:val="28"/>
          <w:szCs w:val="28"/>
          <w:vertAlign w:val="subscript"/>
          <w:lang w:val="uk-UA"/>
        </w:rPr>
        <w:t xml:space="preserve">16 </w:t>
      </w:r>
      <w:r w:rsidRPr="004E3FE9">
        <w:rPr>
          <w:rFonts w:ascii="Times New Roman" w:hAnsi="Times New Roman" w:cs="Times New Roman"/>
          <w:sz w:val="28"/>
          <w:szCs w:val="28"/>
          <w:lang w:val="uk-UA"/>
        </w:rPr>
        <w:t>(0,50 (0,30;0,70)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 xml:space="preserve">/л). У дітей з максимальною активністю патологічного процесу зберігались </w:t>
      </w:r>
      <w:r w:rsidRPr="004E3FE9">
        <w:rPr>
          <w:rFonts w:ascii="Times New Roman" w:hAnsi="Times New Roman" w:cs="Times New Roman"/>
          <w:sz w:val="28"/>
          <w:szCs w:val="28"/>
          <w:lang w:val="uk-UA"/>
        </w:rPr>
        <w:lastRenderedPageBreak/>
        <w:t>досить значні порушення клітинної ланки імунітету, а саме високі рівні Т-хелперів (1,60 (1,10;2,30)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 Проте дещо підвищились рівні Т-супресорів (1,0 (0,75;2,10)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 за рахунок чого прийшов до нормальних значень показних співвідношення 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8</w:t>
      </w:r>
      <w:r w:rsidRPr="004E3FE9">
        <w:rPr>
          <w:rFonts w:ascii="Times New Roman" w:hAnsi="Times New Roman" w:cs="Times New Roman"/>
          <w:sz w:val="28"/>
          <w:szCs w:val="28"/>
          <w:lang w:val="uk-UA"/>
        </w:rPr>
        <w:t>. Вміст абсолютного та відносної кількості CD</w:t>
      </w:r>
      <w:r w:rsidRPr="004E3FE9">
        <w:rPr>
          <w:rFonts w:ascii="Times New Roman" w:hAnsi="Times New Roman" w:cs="Times New Roman"/>
          <w:sz w:val="28"/>
          <w:szCs w:val="28"/>
          <w:vertAlign w:val="subscript"/>
          <w:lang w:val="uk-UA"/>
        </w:rPr>
        <w:t>16</w:t>
      </w:r>
      <w:r w:rsidRPr="004E3FE9">
        <w:rPr>
          <w:rFonts w:ascii="Times New Roman" w:hAnsi="Times New Roman" w:cs="Times New Roman"/>
          <w:sz w:val="28"/>
          <w:szCs w:val="28"/>
          <w:lang w:val="uk-UA"/>
        </w:rPr>
        <w:t xml:space="preserve"> залишався на високому рівні та статистично відрізнявся від показників групи контролю (1,30 (0,50;1,80)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 20 (14;24) %) (табл. 3.1</w:t>
      </w:r>
      <w:r w:rsidR="00314598" w:rsidRPr="004E3FE9">
        <w:rPr>
          <w:rFonts w:ascii="Times New Roman" w:hAnsi="Times New Roman" w:cs="Times New Roman"/>
          <w:sz w:val="28"/>
          <w:szCs w:val="28"/>
          <w:lang w:val="uk-UA"/>
        </w:rPr>
        <w:t>9</w:t>
      </w:r>
      <w:r w:rsidRPr="004E3FE9">
        <w:rPr>
          <w:rFonts w:ascii="Times New Roman" w:hAnsi="Times New Roman" w:cs="Times New Roman"/>
          <w:sz w:val="28"/>
          <w:szCs w:val="28"/>
          <w:lang w:val="uk-UA"/>
        </w:rPr>
        <w:t>).</w:t>
      </w:r>
    </w:p>
    <w:p w:rsidR="00BD0BF2" w:rsidRPr="001056B7" w:rsidRDefault="00BD0BF2" w:rsidP="00BD0BF2">
      <w:pPr>
        <w:spacing w:line="360" w:lineRule="auto"/>
        <w:ind w:firstLine="709"/>
        <w:contextualSpacing/>
        <w:jc w:val="right"/>
        <w:rPr>
          <w:rFonts w:ascii="Times New Roman" w:hAnsi="Times New Roman" w:cs="Times New Roman"/>
          <w:i/>
          <w:sz w:val="28"/>
          <w:szCs w:val="28"/>
          <w:lang w:val="uk-UA"/>
        </w:rPr>
      </w:pPr>
      <w:r w:rsidRPr="001056B7">
        <w:rPr>
          <w:rFonts w:ascii="Times New Roman" w:hAnsi="Times New Roman" w:cs="Times New Roman"/>
          <w:i/>
          <w:sz w:val="28"/>
          <w:szCs w:val="28"/>
          <w:lang w:val="uk-UA"/>
        </w:rPr>
        <w:t>Таблиця 3.19</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клітинної ланки імунітету в залежності від ступеня активності геморагічного васкуліту у дітей, в період клініко-лабораторної ремісії  захворювання</w:t>
      </w:r>
      <w:r w:rsidR="00237479">
        <w:rPr>
          <w:rFonts w:ascii="Times New Roman" w:hAnsi="Times New Roman" w:cs="Times New Roman"/>
          <w:b/>
          <w:sz w:val="28"/>
          <w:szCs w:val="28"/>
          <w:lang w:val="uk-UA"/>
        </w:rPr>
        <w:t>, (Me(Lq;Uq))</w:t>
      </w:r>
    </w:p>
    <w:tbl>
      <w:tblPr>
        <w:tblStyle w:val="a8"/>
        <w:tblW w:w="0" w:type="auto"/>
        <w:tblInd w:w="108" w:type="dxa"/>
        <w:tblLook w:val="04A0"/>
      </w:tblPr>
      <w:tblGrid>
        <w:gridCol w:w="2493"/>
        <w:gridCol w:w="1743"/>
        <w:gridCol w:w="1883"/>
        <w:gridCol w:w="1883"/>
        <w:gridCol w:w="1461"/>
      </w:tblGrid>
      <w:tr w:rsidR="00BD0BF2" w:rsidRPr="004E3FE9" w:rsidTr="00721EA2">
        <w:trPr>
          <w:trHeight w:val="850"/>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0" w:type="auto"/>
            <w:gridSpan w:val="3"/>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0" w:type="auto"/>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tc>
      </w:tr>
      <w:tr w:rsidR="00BD0BF2" w:rsidRPr="004E3FE9" w:rsidTr="00721EA2">
        <w:trPr>
          <w:trHeight w:val="850"/>
        </w:trPr>
        <w:tc>
          <w:tcPr>
            <w:tcW w:w="0" w:type="auto"/>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jc w:val="center"/>
              <w:rPr>
                <w:rFonts w:ascii="Times New Roman" w:hAnsi="Times New Roman" w:cs="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jc w:val="center"/>
              <w:rPr>
                <w:rFonts w:ascii="Times New Roman" w:hAnsi="Times New Roman" w:cs="Times New Roman"/>
                <w:sz w:val="28"/>
                <w:szCs w:val="28"/>
                <w:lang w:val="uk-UA"/>
              </w:rPr>
            </w:pP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 заг.), абс.ч.</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1,61 (1,51;1,65)</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1,85 (1,70;2,10)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4,20 (2,84;4,80)*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1,60</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(1,40;1,80)</w:t>
            </w:r>
          </w:p>
        </w:tc>
      </w:tr>
      <w:tr w:rsidR="00BD0BF2" w:rsidRPr="004E3FE9" w:rsidTr="00721EA2">
        <w:trPr>
          <w:trHeight w:val="677"/>
        </w:trPr>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66 (64;68)</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68 (63;75)</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72 (70;74)</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69 (65;72)</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 xml:space="preserve"> (Т хелп.),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 (0,80;0,90)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 (0,80;1,40)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1,60 (1,10;2,30)*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(0,80;1,00)</w:t>
            </w:r>
          </w:p>
        </w:tc>
      </w:tr>
      <w:tr w:rsidR="00BD0BF2" w:rsidRPr="004E3FE9" w:rsidTr="00721EA2">
        <w:trPr>
          <w:trHeight w:val="699"/>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 (34;37)</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 (35;39)</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 (25;36)*</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 (35;40)</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8</w:t>
            </w:r>
            <w:r w:rsidRPr="004E3FE9">
              <w:rPr>
                <w:rFonts w:ascii="Times New Roman" w:hAnsi="Times New Roman" w:cs="Times New Roman"/>
                <w:sz w:val="28"/>
                <w:szCs w:val="28"/>
                <w:lang w:val="uk-UA"/>
              </w:rPr>
              <w:t xml:space="preserve"> (Т кіл.),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0,70 (0,65;0,75)</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0,80 (0,75;0,95)</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 (0,75;2,10)*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0,74</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(0,70;0,80)</w:t>
            </w:r>
          </w:p>
        </w:tc>
      </w:tr>
      <w:tr w:rsidR="00BD0BF2" w:rsidRPr="004E3FE9" w:rsidTr="00721EA2">
        <w:trPr>
          <w:trHeight w:val="693"/>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 (28;31)</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 (28;34)</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 (28;35)</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 (27;32)</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 CD</w:t>
            </w:r>
            <w:r w:rsidRPr="004E3FE9">
              <w:rPr>
                <w:rFonts w:ascii="Times New Roman" w:hAnsi="Times New Roman" w:cs="Times New Roman"/>
                <w:sz w:val="28"/>
                <w:szCs w:val="28"/>
                <w:vertAlign w:val="subscript"/>
                <w:lang w:val="uk-UA"/>
              </w:rPr>
              <w:t>8</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 (1,14;1,28)</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1,34 (0,88;1,57)</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1,21 (0,91;2,00)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1,17</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(1,12;1,25)</w:t>
            </w:r>
          </w:p>
        </w:tc>
      </w:tr>
      <w:tr w:rsidR="00BD0BF2" w:rsidRPr="004E3FE9" w:rsidTr="00721EA2">
        <w:trPr>
          <w:trHeight w:val="850"/>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16</w:t>
            </w:r>
            <w:r w:rsidRPr="004E3FE9">
              <w:rPr>
                <w:rFonts w:ascii="Times New Roman" w:hAnsi="Times New Roman" w:cs="Times New Roman"/>
                <w:sz w:val="28"/>
                <w:szCs w:val="28"/>
                <w:lang w:val="uk-UA"/>
              </w:rPr>
              <w:t xml:space="preserve"> (NK),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0,30 (0,25;0,32)</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0,50 (0,30;0,70)*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1,30 (0,50;1,80)*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0,30</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(0,20;0,30)</w:t>
            </w:r>
          </w:p>
        </w:tc>
      </w:tr>
      <w:tr w:rsidR="00BD0BF2" w:rsidRPr="004E3FE9" w:rsidTr="00721EA2">
        <w:trPr>
          <w:trHeight w:val="685"/>
        </w:trPr>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 (11;12)</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jc w:val="center"/>
              <w:rPr>
                <w:lang w:val="uk-UA"/>
              </w:rPr>
            </w:pPr>
            <w:r w:rsidRPr="004E3FE9">
              <w:rPr>
                <w:rFonts w:ascii="Times New Roman" w:hAnsi="Times New Roman" w:cs="Times New Roman"/>
                <w:sz w:val="28"/>
                <w:szCs w:val="28"/>
                <w:lang w:val="uk-UA"/>
              </w:rPr>
              <w:t>12 (11;14)</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 (14;24)*</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 (10;14)</w:t>
            </w:r>
          </w:p>
        </w:tc>
      </w:tr>
    </w:tbl>
    <w:p w:rsidR="00237479" w:rsidRPr="004E3FE9" w:rsidRDefault="00BD0BF2" w:rsidP="001056B7">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Примітка.</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р&lt;0,01- різниця вірогідна з показником дітей групи контролю.</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Показники гуморальної ланки імунітету у дітей різних ступенів активності ГВ в період клініко-лабораторної ремісії представлені в табл. 3.20. Реєстрували підвищення абсолютних значень CD</w:t>
      </w:r>
      <w:r w:rsidRPr="004E3FE9">
        <w:rPr>
          <w:rFonts w:ascii="Times New Roman" w:hAnsi="Times New Roman" w:cs="Times New Roman"/>
          <w:sz w:val="28"/>
          <w:szCs w:val="28"/>
          <w:vertAlign w:val="subscript"/>
          <w:lang w:val="uk-UA"/>
        </w:rPr>
        <w:t xml:space="preserve">22 </w:t>
      </w:r>
      <w:r w:rsidRPr="004E3FE9">
        <w:rPr>
          <w:rFonts w:ascii="Times New Roman" w:hAnsi="Times New Roman" w:cs="Times New Roman"/>
          <w:sz w:val="28"/>
          <w:szCs w:val="28"/>
          <w:lang w:val="uk-UA"/>
        </w:rPr>
        <w:t>(0,86 (0,80;0,99) *10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 у дітей з ІІ ступенем активності ГВ в період клініко-лабораторної ремісії. Рівні ЦІК у дітей всіх ступенів активності патологічного процесу перевищували показники контрольної групи проте виявлена чітка тенденція до їх зниження.</w:t>
      </w:r>
    </w:p>
    <w:p w:rsidR="00BD0BF2" w:rsidRPr="004E3FE9" w:rsidRDefault="00BD0BF2" w:rsidP="00BD0BF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 період одужання рівні Ig A у дітей з І та ІІ ступенем активності статистично не відрізнялись від такових дітей контрольної групи, проте у дітей з максимальним ступенем активності вміст Ig A в сироватці крові значно перевищував показники групи контролю (2,30 (1,90;3,00) г/л). Також у дітей з ІІІ ступенем активності залишався підвищений рівень Ig G (15,00 (12,10;15,78) г/л). Показники Ig M статистично не відрізнялись від показників групи контролю у дітей з І та ІІІ ступенів активності та перевищували їх у дітей з ІІ ступенем активності (табл. 3.20).</w:t>
      </w:r>
    </w:p>
    <w:p w:rsidR="00A75E08" w:rsidRPr="004E3FE9" w:rsidRDefault="00A75E08" w:rsidP="00BD0BF2">
      <w:pPr>
        <w:spacing w:line="360" w:lineRule="auto"/>
        <w:contextualSpacing/>
        <w:jc w:val="both"/>
        <w:rPr>
          <w:rFonts w:ascii="Times New Roman" w:hAnsi="Times New Roman" w:cs="Times New Roman"/>
          <w:sz w:val="28"/>
          <w:szCs w:val="28"/>
          <w:lang w:val="uk-UA"/>
        </w:rPr>
      </w:pPr>
    </w:p>
    <w:p w:rsidR="00BD0BF2" w:rsidRPr="001056B7" w:rsidRDefault="00BD0BF2" w:rsidP="00BD0BF2">
      <w:pPr>
        <w:spacing w:line="360" w:lineRule="auto"/>
        <w:ind w:firstLine="709"/>
        <w:contextualSpacing/>
        <w:jc w:val="right"/>
        <w:rPr>
          <w:rFonts w:ascii="Times New Roman" w:hAnsi="Times New Roman" w:cs="Times New Roman"/>
          <w:i/>
          <w:sz w:val="28"/>
          <w:szCs w:val="28"/>
          <w:lang w:val="uk-UA"/>
        </w:rPr>
      </w:pPr>
      <w:r w:rsidRPr="001056B7">
        <w:rPr>
          <w:rFonts w:ascii="Times New Roman" w:hAnsi="Times New Roman" w:cs="Times New Roman"/>
          <w:i/>
          <w:sz w:val="28"/>
          <w:szCs w:val="28"/>
          <w:lang w:val="uk-UA"/>
        </w:rPr>
        <w:t>Таблиця 3.20</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гуморальної ланки імунітету в залежності від ступеня активності геморагічного васкуліту у дітей, в період клініко-лабораторної ремісії захворювання</w:t>
      </w:r>
      <w:r w:rsidR="00237479">
        <w:rPr>
          <w:rFonts w:ascii="Times New Roman" w:hAnsi="Times New Roman" w:cs="Times New Roman"/>
          <w:b/>
          <w:sz w:val="28"/>
          <w:szCs w:val="28"/>
          <w:lang w:val="uk-UA"/>
        </w:rPr>
        <w:t>, (Me(Lq;Uq))</w:t>
      </w:r>
    </w:p>
    <w:tbl>
      <w:tblPr>
        <w:tblStyle w:val="a8"/>
        <w:tblW w:w="0" w:type="auto"/>
        <w:tblInd w:w="108" w:type="dxa"/>
        <w:tblLook w:val="04A0"/>
      </w:tblPr>
      <w:tblGrid>
        <w:gridCol w:w="2127"/>
        <w:gridCol w:w="1755"/>
        <w:gridCol w:w="1754"/>
        <w:gridCol w:w="1881"/>
        <w:gridCol w:w="1946"/>
      </w:tblGrid>
      <w:tr w:rsidR="00BD0BF2" w:rsidRPr="004E3FE9" w:rsidTr="00721EA2">
        <w:trPr>
          <w:trHeight w:val="850"/>
        </w:trPr>
        <w:tc>
          <w:tcPr>
            <w:tcW w:w="2127" w:type="dxa"/>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5390" w:type="dxa"/>
            <w:gridSpan w:val="3"/>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194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tc>
      </w:tr>
      <w:tr w:rsidR="00BD0BF2" w:rsidRPr="004E3FE9" w:rsidTr="00721EA2">
        <w:trPr>
          <w:trHeight w:val="850"/>
        </w:trPr>
        <w:tc>
          <w:tcPr>
            <w:tcW w:w="2127"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175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88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946"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r>
      <w:tr w:rsidR="00BD0BF2" w:rsidRPr="004E3FE9" w:rsidTr="00721EA2">
        <w:trPr>
          <w:trHeight w:val="624"/>
        </w:trPr>
        <w:tc>
          <w:tcPr>
            <w:tcW w:w="2127"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175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w:t>
            </w:r>
          </w:p>
        </w:tc>
        <w:tc>
          <w:tcPr>
            <w:tcW w:w="188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w:t>
            </w:r>
          </w:p>
        </w:tc>
        <w:tc>
          <w:tcPr>
            <w:tcW w:w="194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r>
      <w:tr w:rsidR="00BD0BF2" w:rsidRPr="004E3FE9" w:rsidTr="00721EA2">
        <w:trPr>
          <w:trHeight w:val="850"/>
        </w:trPr>
        <w:tc>
          <w:tcPr>
            <w:tcW w:w="2127"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22</w:t>
            </w:r>
            <w:r w:rsidRPr="004E3FE9">
              <w:rPr>
                <w:rFonts w:ascii="Times New Roman" w:hAnsi="Times New Roman" w:cs="Times New Roman"/>
                <w:sz w:val="28"/>
                <w:szCs w:val="28"/>
                <w:lang w:val="uk-UA"/>
              </w:rPr>
              <w:t xml:space="preserve"> (В лімф.),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175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0,55 (0,50;0,60)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 (0,80;0,99)*</w:t>
            </w:r>
          </w:p>
        </w:tc>
        <w:tc>
          <w:tcPr>
            <w:tcW w:w="188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0,60 (0,30;1,00)</w:t>
            </w:r>
          </w:p>
        </w:tc>
        <w:tc>
          <w:tcPr>
            <w:tcW w:w="194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0,50</w:t>
            </w:r>
          </w:p>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(0,40;0,60)</w:t>
            </w:r>
          </w:p>
        </w:tc>
      </w:tr>
      <w:tr w:rsidR="00BD0BF2" w:rsidRPr="004E3FE9" w:rsidTr="00721EA2">
        <w:trPr>
          <w:trHeight w:val="624"/>
        </w:trPr>
        <w:tc>
          <w:tcPr>
            <w:tcW w:w="2127"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175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 (17;18)</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 (17;23)</w:t>
            </w:r>
          </w:p>
        </w:tc>
        <w:tc>
          <w:tcPr>
            <w:tcW w:w="188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19 (11;21)</w:t>
            </w:r>
          </w:p>
        </w:tc>
        <w:tc>
          <w:tcPr>
            <w:tcW w:w="194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 (13;19)</w:t>
            </w:r>
          </w:p>
        </w:tc>
      </w:tr>
      <w:tr w:rsidR="00BD0BF2" w:rsidRPr="004E3FE9" w:rsidTr="00721EA2">
        <w:trPr>
          <w:trHeight w:val="850"/>
        </w:trPr>
        <w:tc>
          <w:tcPr>
            <w:tcW w:w="2127"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Ig A,</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w:t>
            </w:r>
          </w:p>
        </w:tc>
        <w:tc>
          <w:tcPr>
            <w:tcW w:w="175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1,41</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(1,24;1,55)</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1,17</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(0,90;1,40)</w:t>
            </w:r>
          </w:p>
        </w:tc>
        <w:tc>
          <w:tcPr>
            <w:tcW w:w="188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(1,90;3,00)*</w:t>
            </w:r>
          </w:p>
        </w:tc>
        <w:tc>
          <w:tcPr>
            <w:tcW w:w="194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1,22 (0,90;1,62)</w:t>
            </w:r>
          </w:p>
        </w:tc>
      </w:tr>
    </w:tbl>
    <w:p w:rsidR="00BD0BF2" w:rsidRPr="004E3FE9" w:rsidRDefault="00BD0BF2" w:rsidP="00BD0BF2">
      <w:pPr>
        <w:rPr>
          <w:lang w:val="uk-UA"/>
        </w:rPr>
      </w:pPr>
    </w:p>
    <w:tbl>
      <w:tblPr>
        <w:tblStyle w:val="a8"/>
        <w:tblW w:w="0" w:type="auto"/>
        <w:tblInd w:w="108" w:type="dxa"/>
        <w:tblLook w:val="04A0"/>
      </w:tblPr>
      <w:tblGrid>
        <w:gridCol w:w="2127"/>
        <w:gridCol w:w="1755"/>
        <w:gridCol w:w="1754"/>
        <w:gridCol w:w="1881"/>
        <w:gridCol w:w="1946"/>
      </w:tblGrid>
      <w:tr w:rsidR="00BD0BF2" w:rsidRPr="004E3FE9" w:rsidTr="00721EA2">
        <w:trPr>
          <w:trHeight w:val="624"/>
        </w:trPr>
        <w:tc>
          <w:tcPr>
            <w:tcW w:w="2127"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1</w:t>
            </w:r>
          </w:p>
        </w:tc>
        <w:tc>
          <w:tcPr>
            <w:tcW w:w="175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w:t>
            </w:r>
          </w:p>
        </w:tc>
        <w:tc>
          <w:tcPr>
            <w:tcW w:w="188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w:t>
            </w:r>
          </w:p>
        </w:tc>
        <w:tc>
          <w:tcPr>
            <w:tcW w:w="194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r>
      <w:tr w:rsidR="00BD0BF2" w:rsidRPr="004E3FE9" w:rsidTr="00721EA2">
        <w:trPr>
          <w:trHeight w:val="850"/>
        </w:trPr>
        <w:tc>
          <w:tcPr>
            <w:tcW w:w="2127"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Ig M,</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w:t>
            </w:r>
          </w:p>
        </w:tc>
        <w:tc>
          <w:tcPr>
            <w:tcW w:w="175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1,37 </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(0,77;1,67)</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1,30 </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(1,20;1,70)*</w:t>
            </w:r>
          </w:p>
        </w:tc>
        <w:tc>
          <w:tcPr>
            <w:tcW w:w="188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1,10 </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(1,00;1,50)</w:t>
            </w:r>
          </w:p>
        </w:tc>
        <w:tc>
          <w:tcPr>
            <w:tcW w:w="194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0,98 (0,82;1,11)</w:t>
            </w:r>
          </w:p>
        </w:tc>
      </w:tr>
      <w:tr w:rsidR="00BD0BF2" w:rsidRPr="004E3FE9" w:rsidTr="00721EA2">
        <w:trPr>
          <w:trHeight w:val="850"/>
        </w:trPr>
        <w:tc>
          <w:tcPr>
            <w:tcW w:w="2127"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Ig G,</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w:t>
            </w:r>
          </w:p>
        </w:tc>
        <w:tc>
          <w:tcPr>
            <w:tcW w:w="175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9,50 (8,78;11,10)</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8,90 (7,90;10,60)</w:t>
            </w:r>
          </w:p>
        </w:tc>
        <w:tc>
          <w:tcPr>
            <w:tcW w:w="188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jc w:val="center"/>
              <w:rPr>
                <w:lang w:val="uk-UA"/>
              </w:rPr>
            </w:pPr>
            <w:r w:rsidRPr="004E3FE9">
              <w:rPr>
                <w:rFonts w:ascii="Times New Roman" w:hAnsi="Times New Roman" w:cs="Times New Roman"/>
                <w:sz w:val="28"/>
                <w:szCs w:val="28"/>
                <w:lang w:val="uk-UA"/>
              </w:rPr>
              <w:t>15,00 (12,10;15,78)*</w:t>
            </w:r>
          </w:p>
        </w:tc>
        <w:tc>
          <w:tcPr>
            <w:tcW w:w="194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9,95 (8,16;11,24)</w:t>
            </w:r>
          </w:p>
        </w:tc>
      </w:tr>
      <w:tr w:rsidR="00BD0BF2" w:rsidRPr="004E3FE9" w:rsidTr="00721EA2">
        <w:trPr>
          <w:trHeight w:val="850"/>
        </w:trPr>
        <w:tc>
          <w:tcPr>
            <w:tcW w:w="2127"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ЦІК, у.о.</w:t>
            </w:r>
          </w:p>
        </w:tc>
        <w:tc>
          <w:tcPr>
            <w:tcW w:w="175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47 (45;51)*</w:t>
            </w:r>
          </w:p>
        </w:tc>
        <w:tc>
          <w:tcPr>
            <w:tcW w:w="0" w:type="auto"/>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59 (54;64)*</w:t>
            </w:r>
          </w:p>
        </w:tc>
        <w:tc>
          <w:tcPr>
            <w:tcW w:w="188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62 (49;74)*</w:t>
            </w:r>
          </w:p>
        </w:tc>
        <w:tc>
          <w:tcPr>
            <w:tcW w:w="194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276"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 (25;34)</w:t>
            </w:r>
          </w:p>
        </w:tc>
      </w:tr>
    </w:tbl>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Примітка.</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 xml:space="preserve">р&lt;0,01- різниця вірогідна з показником дітей групи контролю. </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 період констатації одужання процеси фагоцитозу дещо нормалізувались та набули нормальних значень. Проте у дітей з ІІ ступенем активності ГВ рівні мієлопероксидази та ЛКБ залишались нижче показників групи контролю. На етапі одужання показники NST-тесту залишались вище показників групи контролю та статистично значимо відрізнялись від них. Такі дані, ймовірно, відображають напругу функціональних метаболічних резервних можливостей лейкоцитів з напрацювання форм активованого кисню, які забезпечують знешкодження та загибель чужорідних речовин та ЦІК в умовах порушення гемостазу.</w:t>
      </w:r>
    </w:p>
    <w:p w:rsidR="00BD0BF2" w:rsidRPr="00B40288" w:rsidRDefault="00BD0BF2" w:rsidP="00BD0BF2">
      <w:pPr>
        <w:spacing w:line="360" w:lineRule="auto"/>
        <w:ind w:firstLine="709"/>
        <w:contextualSpacing/>
        <w:jc w:val="right"/>
        <w:rPr>
          <w:rFonts w:ascii="Times New Roman" w:hAnsi="Times New Roman" w:cs="Times New Roman"/>
          <w:i/>
          <w:sz w:val="28"/>
          <w:szCs w:val="28"/>
          <w:lang w:val="uk-UA"/>
        </w:rPr>
      </w:pPr>
      <w:r w:rsidRPr="00B40288">
        <w:rPr>
          <w:rFonts w:ascii="Times New Roman" w:hAnsi="Times New Roman" w:cs="Times New Roman"/>
          <w:i/>
          <w:sz w:val="28"/>
          <w:szCs w:val="28"/>
          <w:lang w:val="uk-UA"/>
        </w:rPr>
        <w:t>Таблиця 3.21</w:t>
      </w:r>
    </w:p>
    <w:p w:rsidR="00BD0BF2" w:rsidRPr="004E3FE9" w:rsidRDefault="00BD0BF2" w:rsidP="00BD0BF2">
      <w:pPr>
        <w:spacing w:line="360" w:lineRule="auto"/>
        <w:ind w:firstLine="709"/>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фагоцитозу в залежності від ступеня активності геморагічного васкуліту у дітей, в гострий період захворювання</w:t>
      </w:r>
      <w:r w:rsidR="00237479">
        <w:rPr>
          <w:rFonts w:ascii="Times New Roman" w:hAnsi="Times New Roman" w:cs="Times New Roman"/>
          <w:b/>
          <w:sz w:val="28"/>
          <w:szCs w:val="28"/>
          <w:lang w:val="uk-UA"/>
        </w:rPr>
        <w:t>, (Me(Lq;Uq))</w:t>
      </w:r>
    </w:p>
    <w:tbl>
      <w:tblPr>
        <w:tblStyle w:val="a8"/>
        <w:tblW w:w="0" w:type="auto"/>
        <w:tblInd w:w="108" w:type="dxa"/>
        <w:tblLook w:val="04A0"/>
      </w:tblPr>
      <w:tblGrid>
        <w:gridCol w:w="2534"/>
        <w:gridCol w:w="1643"/>
        <w:gridCol w:w="1635"/>
        <w:gridCol w:w="1985"/>
        <w:gridCol w:w="1666"/>
      </w:tblGrid>
      <w:tr w:rsidR="00BD0BF2" w:rsidRPr="004E3FE9" w:rsidTr="00721EA2">
        <w:trPr>
          <w:trHeight w:val="850"/>
        </w:trPr>
        <w:tc>
          <w:tcPr>
            <w:tcW w:w="2534" w:type="dxa"/>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5263" w:type="dxa"/>
            <w:gridSpan w:val="3"/>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166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360"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tc>
      </w:tr>
      <w:tr w:rsidR="00BD0BF2" w:rsidRPr="004E3FE9" w:rsidTr="00721EA2">
        <w:trPr>
          <w:trHeight w:val="850"/>
        </w:trPr>
        <w:tc>
          <w:tcPr>
            <w:tcW w:w="2534"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1643"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63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98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666"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r>
      <w:tr w:rsidR="00BD0BF2" w:rsidRPr="004E3FE9" w:rsidTr="00721EA2">
        <w:trPr>
          <w:trHeight w:val="567"/>
        </w:trPr>
        <w:tc>
          <w:tcPr>
            <w:tcW w:w="253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16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163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w:t>
            </w:r>
          </w:p>
        </w:tc>
        <w:tc>
          <w:tcPr>
            <w:tcW w:w="198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w:t>
            </w:r>
          </w:p>
        </w:tc>
        <w:tc>
          <w:tcPr>
            <w:tcW w:w="166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r>
      <w:tr w:rsidR="00BD0BF2" w:rsidRPr="004E3FE9" w:rsidTr="00721EA2">
        <w:trPr>
          <w:trHeight w:val="966"/>
        </w:trPr>
        <w:tc>
          <w:tcPr>
            <w:tcW w:w="253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Нейтрофіли фагоцитуючі, %</w:t>
            </w:r>
          </w:p>
        </w:tc>
        <w:tc>
          <w:tcPr>
            <w:tcW w:w="16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76 (72;80)*</w:t>
            </w:r>
          </w:p>
        </w:tc>
        <w:tc>
          <w:tcPr>
            <w:tcW w:w="163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76 (73;82)</w:t>
            </w:r>
          </w:p>
        </w:tc>
        <w:tc>
          <w:tcPr>
            <w:tcW w:w="198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76 (74;80)</w:t>
            </w:r>
          </w:p>
        </w:tc>
        <w:tc>
          <w:tcPr>
            <w:tcW w:w="166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82 (78;86)</w:t>
            </w:r>
          </w:p>
        </w:tc>
      </w:tr>
    </w:tbl>
    <w:p w:rsidR="00BD0BF2" w:rsidRPr="004E3FE9" w:rsidRDefault="00BD0BF2" w:rsidP="00BD0BF2">
      <w:pPr>
        <w:rPr>
          <w:lang w:val="uk-UA"/>
        </w:rPr>
      </w:pPr>
    </w:p>
    <w:p w:rsidR="00BD0BF2" w:rsidRPr="00C518BC" w:rsidRDefault="00BD0BF2" w:rsidP="00C518BC">
      <w:pPr>
        <w:spacing w:after="0"/>
        <w:jc w:val="right"/>
        <w:rPr>
          <w:rFonts w:ascii="Times New Roman" w:hAnsi="Times New Roman" w:cs="Times New Roman"/>
          <w:i/>
          <w:sz w:val="28"/>
          <w:szCs w:val="28"/>
          <w:lang w:val="uk-UA"/>
        </w:rPr>
      </w:pPr>
      <w:r w:rsidRPr="00C518BC">
        <w:rPr>
          <w:rFonts w:ascii="Times New Roman" w:hAnsi="Times New Roman" w:cs="Times New Roman"/>
          <w:i/>
          <w:sz w:val="28"/>
          <w:szCs w:val="28"/>
          <w:lang w:val="uk-UA"/>
        </w:rPr>
        <w:lastRenderedPageBreak/>
        <w:t>Продовження таблиці 3.21</w:t>
      </w:r>
    </w:p>
    <w:tbl>
      <w:tblPr>
        <w:tblStyle w:val="a8"/>
        <w:tblW w:w="0" w:type="auto"/>
        <w:tblInd w:w="108" w:type="dxa"/>
        <w:tblLook w:val="04A0"/>
      </w:tblPr>
      <w:tblGrid>
        <w:gridCol w:w="2534"/>
        <w:gridCol w:w="1643"/>
        <w:gridCol w:w="1635"/>
        <w:gridCol w:w="1985"/>
        <w:gridCol w:w="1666"/>
      </w:tblGrid>
      <w:tr w:rsidR="00BD0BF2" w:rsidRPr="004E3FE9" w:rsidTr="00721EA2">
        <w:trPr>
          <w:trHeight w:val="567"/>
        </w:trPr>
        <w:tc>
          <w:tcPr>
            <w:tcW w:w="253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16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163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w:t>
            </w:r>
          </w:p>
        </w:tc>
        <w:tc>
          <w:tcPr>
            <w:tcW w:w="198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w:t>
            </w:r>
          </w:p>
        </w:tc>
        <w:tc>
          <w:tcPr>
            <w:tcW w:w="166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r>
      <w:tr w:rsidR="00BD0BF2" w:rsidRPr="004E3FE9" w:rsidTr="00721EA2">
        <w:trPr>
          <w:trHeight w:val="966"/>
        </w:trPr>
        <w:tc>
          <w:tcPr>
            <w:tcW w:w="253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Фагоцитарне число</w:t>
            </w:r>
          </w:p>
        </w:tc>
        <w:tc>
          <w:tcPr>
            <w:tcW w:w="16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3,90 (3,90;4,20)</w:t>
            </w:r>
          </w:p>
        </w:tc>
        <w:tc>
          <w:tcPr>
            <w:tcW w:w="163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4,25 (3,90;5,10)</w:t>
            </w:r>
          </w:p>
        </w:tc>
        <w:tc>
          <w:tcPr>
            <w:tcW w:w="198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3,60 (3,30;4,20)*</w:t>
            </w:r>
          </w:p>
        </w:tc>
        <w:tc>
          <w:tcPr>
            <w:tcW w:w="166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4,2</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(3,8;4,8)</w:t>
            </w:r>
          </w:p>
        </w:tc>
      </w:tr>
      <w:tr w:rsidR="00BD0BF2" w:rsidRPr="004E3FE9" w:rsidTr="00721EA2">
        <w:trPr>
          <w:trHeight w:val="966"/>
        </w:trPr>
        <w:tc>
          <w:tcPr>
            <w:tcW w:w="253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ІАН</w:t>
            </w:r>
          </w:p>
        </w:tc>
        <w:tc>
          <w:tcPr>
            <w:tcW w:w="16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 (1,00;1,10)</w:t>
            </w:r>
          </w:p>
        </w:tc>
        <w:tc>
          <w:tcPr>
            <w:tcW w:w="163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1,15 (1,00;1,30)</w:t>
            </w:r>
          </w:p>
        </w:tc>
        <w:tc>
          <w:tcPr>
            <w:tcW w:w="198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0,93 (0,75;1,25)</w:t>
            </w:r>
          </w:p>
        </w:tc>
        <w:tc>
          <w:tcPr>
            <w:tcW w:w="166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1,09 (1,00;1,15)</w:t>
            </w:r>
          </w:p>
        </w:tc>
      </w:tr>
      <w:tr w:rsidR="00BD0BF2" w:rsidRPr="004E3FE9" w:rsidTr="00721EA2">
        <w:trPr>
          <w:trHeight w:val="966"/>
        </w:trPr>
        <w:tc>
          <w:tcPr>
            <w:tcW w:w="253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Мієлопероксидаза, СЦК</w:t>
            </w:r>
          </w:p>
        </w:tc>
        <w:tc>
          <w:tcPr>
            <w:tcW w:w="16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2,28 (1,95;2,60)</w:t>
            </w:r>
          </w:p>
        </w:tc>
        <w:tc>
          <w:tcPr>
            <w:tcW w:w="163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2,16 (1,95;2,55)*</w:t>
            </w:r>
          </w:p>
        </w:tc>
        <w:tc>
          <w:tcPr>
            <w:tcW w:w="198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2,10 (1,98;2,63)</w:t>
            </w:r>
          </w:p>
        </w:tc>
        <w:tc>
          <w:tcPr>
            <w:tcW w:w="166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2,56 (2,55;2,57)</w:t>
            </w:r>
          </w:p>
        </w:tc>
      </w:tr>
      <w:tr w:rsidR="00BD0BF2" w:rsidRPr="004E3FE9" w:rsidTr="00721EA2">
        <w:trPr>
          <w:trHeight w:val="966"/>
        </w:trPr>
        <w:tc>
          <w:tcPr>
            <w:tcW w:w="253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ЛКБ, СЦК</w:t>
            </w:r>
          </w:p>
        </w:tc>
        <w:tc>
          <w:tcPr>
            <w:tcW w:w="16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1,21 (1,15;1,25)</w:t>
            </w:r>
          </w:p>
        </w:tc>
        <w:tc>
          <w:tcPr>
            <w:tcW w:w="163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0,98 (0,94;1,10)*</w:t>
            </w:r>
          </w:p>
        </w:tc>
        <w:tc>
          <w:tcPr>
            <w:tcW w:w="198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1,24 (1,11;1,26)</w:t>
            </w:r>
          </w:p>
        </w:tc>
        <w:tc>
          <w:tcPr>
            <w:tcW w:w="166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1,23 (1,22;1,24)</w:t>
            </w:r>
          </w:p>
        </w:tc>
      </w:tr>
      <w:tr w:rsidR="00BD0BF2" w:rsidRPr="004E3FE9" w:rsidTr="00721EA2">
        <w:trPr>
          <w:trHeight w:val="966"/>
        </w:trPr>
        <w:tc>
          <w:tcPr>
            <w:tcW w:w="253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NST-тест, %</w:t>
            </w:r>
          </w:p>
        </w:tc>
        <w:tc>
          <w:tcPr>
            <w:tcW w:w="1643"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 (21;24)*</w:t>
            </w:r>
          </w:p>
        </w:tc>
        <w:tc>
          <w:tcPr>
            <w:tcW w:w="163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jc w:val="center"/>
              <w:rPr>
                <w:lang w:val="uk-UA"/>
              </w:rPr>
            </w:pPr>
            <w:r w:rsidRPr="004E3FE9">
              <w:rPr>
                <w:rFonts w:ascii="Times New Roman" w:hAnsi="Times New Roman" w:cs="Times New Roman"/>
                <w:sz w:val="28"/>
                <w:szCs w:val="28"/>
                <w:lang w:val="uk-UA"/>
              </w:rPr>
              <w:t>25 (21;28)*</w:t>
            </w:r>
          </w:p>
        </w:tc>
        <w:tc>
          <w:tcPr>
            <w:tcW w:w="198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jc w:val="center"/>
              <w:rPr>
                <w:lang w:val="uk-UA"/>
              </w:rPr>
            </w:pPr>
            <w:r w:rsidRPr="004E3FE9">
              <w:rPr>
                <w:rFonts w:ascii="Times New Roman" w:hAnsi="Times New Roman" w:cs="Times New Roman"/>
                <w:sz w:val="28"/>
                <w:szCs w:val="28"/>
                <w:lang w:val="uk-UA"/>
              </w:rPr>
              <w:t>12 (10;15)*</w:t>
            </w:r>
          </w:p>
        </w:tc>
        <w:tc>
          <w:tcPr>
            <w:tcW w:w="166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 (7;12)</w:t>
            </w:r>
          </w:p>
        </w:tc>
      </w:tr>
    </w:tbl>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Примітка.</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 xml:space="preserve">р&lt;0,01 - різниця вірогідна з показником дітей групи контролю.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Узагальнюючи результати отриманих даних, можна констатувати, що специфічні та неспецифічні фактори захисту при ГВ у дітей мають значні зміни. Ці зміни неоднозначні та характеризуються, а першу чергу, підвищенням рівнів ЦІК, ступінь яких знаходиться в прямій залежності від важкості перебігу ГВ від мінімального до максимального ступеня активності патологічного процесу. Підвищеним утворюванням ЦІК представляється можливим пояснити підвищення рівнів всіх класів Ig, які є постачальниками антитіл при утворювання імунних комплексів. Враховуючи, що В-лімфоцити експерсую</w:t>
      </w:r>
      <w:r w:rsidR="00237479">
        <w:rPr>
          <w:rFonts w:ascii="Times New Roman" w:hAnsi="Times New Roman" w:cs="Times New Roman"/>
          <w:sz w:val="28"/>
          <w:szCs w:val="28"/>
          <w:lang w:val="uk-UA"/>
        </w:rPr>
        <w:t>ть всі види Ig, можна пояснити ї</w:t>
      </w:r>
      <w:r w:rsidRPr="004E3FE9">
        <w:rPr>
          <w:rFonts w:ascii="Times New Roman" w:hAnsi="Times New Roman" w:cs="Times New Roman"/>
          <w:sz w:val="28"/>
          <w:szCs w:val="28"/>
          <w:lang w:val="uk-UA"/>
        </w:rPr>
        <w:t>х підвищення наявними кореляційними зв’язками у дітей з ІІ ступенем активності рівнів Ig A, Ig M, Ig G та CD</w:t>
      </w:r>
      <w:r w:rsidRPr="004E3FE9">
        <w:rPr>
          <w:rFonts w:ascii="Times New Roman" w:hAnsi="Times New Roman" w:cs="Times New Roman"/>
          <w:sz w:val="28"/>
          <w:szCs w:val="28"/>
          <w:vertAlign w:val="subscript"/>
          <w:lang w:val="uk-UA"/>
        </w:rPr>
        <w:t>22</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+0,73 відповідно, n=22) та у у дітей з ІІІ ступенем активності рівнів Ig A, Ig M, Ig G та CD</w:t>
      </w:r>
      <w:r w:rsidRPr="004E3FE9">
        <w:rPr>
          <w:rFonts w:ascii="Times New Roman" w:hAnsi="Times New Roman" w:cs="Times New Roman"/>
          <w:sz w:val="28"/>
          <w:szCs w:val="28"/>
          <w:vertAlign w:val="subscript"/>
          <w:lang w:val="uk-UA"/>
        </w:rPr>
        <w:t xml:space="preserve">22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+0,86,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+0,80, </w:t>
      </w:r>
      <w:r w:rsidR="003D2427" w:rsidRPr="004E3FE9">
        <w:rPr>
          <w:rFonts w:ascii="Times New Roman" w:hAnsi="Times New Roman" w:cs="Times New Roman"/>
          <w:sz w:val="28"/>
          <w:szCs w:val="28"/>
          <w:lang w:val="uk-UA"/>
        </w:rPr>
        <w:t>r</w:t>
      </w:r>
      <w:r w:rsidR="003D2427" w:rsidRPr="004E3FE9">
        <w:rPr>
          <w:rFonts w:ascii="Times New Roman" w:hAnsi="Times New Roman" w:cs="Times New Roman"/>
          <w:sz w:val="28"/>
          <w:szCs w:val="28"/>
          <w:vertAlign w:val="subscript"/>
          <w:lang w:val="uk-UA"/>
        </w:rPr>
        <w:t>xy</w:t>
      </w:r>
      <w:r w:rsidR="003D2427" w:rsidRPr="004E3FE9">
        <w:rPr>
          <w:rFonts w:ascii="Times New Roman" w:hAnsi="Times New Roman" w:cs="Times New Roman"/>
          <w:sz w:val="28"/>
          <w:szCs w:val="28"/>
          <w:lang w:val="uk-UA"/>
        </w:rPr>
        <w:t xml:space="preserve"> = +0,82, </w:t>
      </w:r>
      <w:r w:rsidRPr="004E3FE9">
        <w:rPr>
          <w:rFonts w:ascii="Times New Roman" w:hAnsi="Times New Roman" w:cs="Times New Roman"/>
          <w:sz w:val="28"/>
          <w:szCs w:val="28"/>
          <w:lang w:val="uk-UA"/>
        </w:rPr>
        <w:t xml:space="preserve">відповідно, n=19). Що стосується клітинного імунітету, то зміни його показників характеризувались підвищенням рівнів Т-хелперів та зниженням рівнів Т-супресорів та внаслідок чого підвищення показника </w:t>
      </w:r>
      <w:r w:rsidRPr="004E3FE9">
        <w:rPr>
          <w:rFonts w:ascii="Times New Roman" w:hAnsi="Times New Roman" w:cs="Times New Roman"/>
          <w:sz w:val="28"/>
          <w:szCs w:val="28"/>
          <w:lang w:val="uk-UA"/>
        </w:rPr>
        <w:lastRenderedPageBreak/>
        <w:t>співвідношення 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8</w:t>
      </w:r>
      <w:r w:rsidRPr="004E3FE9">
        <w:rPr>
          <w:rFonts w:ascii="Times New Roman" w:hAnsi="Times New Roman" w:cs="Times New Roman"/>
          <w:sz w:val="28"/>
          <w:szCs w:val="28"/>
          <w:lang w:val="uk-UA"/>
        </w:rPr>
        <w:t xml:space="preserve">, який знаходився в прямій залежності від активності патологічного процесу. </w:t>
      </w:r>
    </w:p>
    <w:p w:rsidR="00BD0BF2"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Отримані дані відносно процесів фагоцитозу вказують на виснаження його компенсаторних можливостей, киснезалежних та кисненезалежних механізмів кілінга та відчиняє шлях до хронізації імунокомплексного процесу, розвитку імунопатологічних органних уражень, ускладнень, включаючи і формування гломерулонефриту, на що вказують найбільш виражені зміни у дітей з максимальним ступенем активності.</w:t>
      </w:r>
    </w:p>
    <w:p w:rsidR="00237479" w:rsidRDefault="00237479" w:rsidP="00BD0BF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p>
    <w:p w:rsidR="00237479" w:rsidRDefault="003C6D87" w:rsidP="00BD0BF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237479">
        <w:rPr>
          <w:rFonts w:ascii="Times New Roman" w:hAnsi="Times New Roman" w:cs="Times New Roman"/>
          <w:sz w:val="28"/>
          <w:szCs w:val="28"/>
          <w:lang w:val="uk-UA"/>
        </w:rPr>
        <w:t>ільшість</w:t>
      </w:r>
      <w:r w:rsidR="00237479" w:rsidRPr="004E3FE9">
        <w:rPr>
          <w:rFonts w:ascii="Times New Roman" w:hAnsi="Times New Roman" w:cs="Times New Roman"/>
          <w:sz w:val="28"/>
          <w:szCs w:val="28"/>
          <w:lang w:val="uk-UA"/>
        </w:rPr>
        <w:t xml:space="preserve"> дітей хворіють на ГВ у віці до 12 років, що свідчить про значне «омолодження» цієї патології. </w:t>
      </w:r>
      <w:r>
        <w:rPr>
          <w:rFonts w:ascii="Times New Roman" w:hAnsi="Times New Roman" w:cs="Times New Roman"/>
          <w:sz w:val="28"/>
          <w:szCs w:val="28"/>
          <w:lang w:val="uk-UA"/>
        </w:rPr>
        <w:t>К</w:t>
      </w:r>
      <w:r w:rsidR="00FC1886">
        <w:rPr>
          <w:rFonts w:ascii="Times New Roman" w:hAnsi="Times New Roman" w:cs="Times New Roman"/>
          <w:sz w:val="28"/>
          <w:szCs w:val="28"/>
          <w:lang w:val="uk-UA"/>
        </w:rPr>
        <w:t>ожна друга дитина основної групи мала</w:t>
      </w:r>
      <w:r w:rsidR="00FC1886" w:rsidRPr="004E3FE9">
        <w:rPr>
          <w:rFonts w:ascii="Times New Roman" w:hAnsi="Times New Roman" w:cs="Times New Roman"/>
          <w:sz w:val="28"/>
          <w:szCs w:val="28"/>
          <w:lang w:val="uk-UA"/>
        </w:rPr>
        <w:t xml:space="preserve"> алергічну настроєність організму</w:t>
      </w:r>
      <w:r w:rsidR="00FC1886">
        <w:rPr>
          <w:rFonts w:ascii="Times New Roman" w:hAnsi="Times New Roman" w:cs="Times New Roman"/>
          <w:sz w:val="28"/>
          <w:szCs w:val="28"/>
          <w:lang w:val="uk-UA"/>
        </w:rPr>
        <w:t xml:space="preserve"> та наявні хронічні</w:t>
      </w:r>
      <w:r w:rsidR="00FC1886" w:rsidRPr="004E3FE9">
        <w:rPr>
          <w:rFonts w:ascii="Times New Roman" w:hAnsi="Times New Roman" w:cs="Times New Roman"/>
          <w:sz w:val="28"/>
          <w:szCs w:val="28"/>
          <w:lang w:val="uk-UA"/>
        </w:rPr>
        <w:t xml:space="preserve"> вогнищ</w:t>
      </w:r>
      <w:r w:rsidR="00FC1886">
        <w:rPr>
          <w:rFonts w:ascii="Times New Roman" w:hAnsi="Times New Roman" w:cs="Times New Roman"/>
          <w:sz w:val="28"/>
          <w:szCs w:val="28"/>
          <w:lang w:val="uk-UA"/>
        </w:rPr>
        <w:t>а</w:t>
      </w:r>
      <w:r w:rsidR="00FC1886" w:rsidRPr="004E3FE9">
        <w:rPr>
          <w:rFonts w:ascii="Times New Roman" w:hAnsi="Times New Roman" w:cs="Times New Roman"/>
          <w:sz w:val="28"/>
          <w:szCs w:val="28"/>
          <w:lang w:val="uk-UA"/>
        </w:rPr>
        <w:t xml:space="preserve"> інфекцій ЛОР-органів</w:t>
      </w:r>
      <w:r w:rsidR="00FC1886">
        <w:rPr>
          <w:rFonts w:ascii="Times New Roman" w:hAnsi="Times New Roman" w:cs="Times New Roman"/>
          <w:sz w:val="28"/>
          <w:szCs w:val="28"/>
          <w:lang w:val="uk-UA"/>
        </w:rPr>
        <w:t xml:space="preserve">, що </w:t>
      </w:r>
      <w:r w:rsidR="00FC1886" w:rsidRPr="004E3FE9">
        <w:rPr>
          <w:rFonts w:ascii="Times New Roman" w:hAnsi="Times New Roman" w:cs="Times New Roman"/>
          <w:sz w:val="28"/>
          <w:szCs w:val="28"/>
          <w:lang w:val="uk-UA"/>
        </w:rPr>
        <w:t>може значно впливати на захисні сили організму та сприяти в подальшому розвитку ГВ.</w:t>
      </w:r>
      <w:r w:rsidR="00FC1886">
        <w:rPr>
          <w:rFonts w:ascii="Times New Roman" w:hAnsi="Times New Roman" w:cs="Times New Roman"/>
          <w:sz w:val="28"/>
          <w:szCs w:val="28"/>
          <w:lang w:val="uk-UA"/>
        </w:rPr>
        <w:t xml:space="preserve"> </w:t>
      </w:r>
      <w:r>
        <w:rPr>
          <w:rFonts w:ascii="Times New Roman" w:hAnsi="Times New Roman" w:cs="Times New Roman"/>
          <w:sz w:val="28"/>
          <w:szCs w:val="28"/>
          <w:lang w:val="uk-UA"/>
        </w:rPr>
        <w:t>Ш</w:t>
      </w:r>
      <w:r w:rsidRPr="004E3FE9">
        <w:rPr>
          <w:rFonts w:ascii="Times New Roman" w:hAnsi="Times New Roman" w:cs="Times New Roman"/>
          <w:sz w:val="28"/>
          <w:szCs w:val="28"/>
          <w:lang w:val="uk-UA"/>
        </w:rPr>
        <w:t xml:space="preserve">кіряний синдром реєстрували у всіх дітей основної групи. </w:t>
      </w:r>
      <w:r>
        <w:rPr>
          <w:rFonts w:ascii="Times New Roman" w:hAnsi="Times New Roman" w:cs="Times New Roman"/>
          <w:sz w:val="28"/>
          <w:szCs w:val="28"/>
          <w:lang w:val="uk-UA"/>
        </w:rPr>
        <w:t>У</w:t>
      </w:r>
      <w:r w:rsidRPr="004E3F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більш ніж 80% </w:t>
      </w:r>
      <w:r w:rsidRPr="004E3FE9">
        <w:rPr>
          <w:rFonts w:ascii="Times New Roman" w:hAnsi="Times New Roman" w:cs="Times New Roman"/>
          <w:sz w:val="28"/>
          <w:szCs w:val="28"/>
          <w:lang w:val="uk-UA"/>
        </w:rPr>
        <w:t>дітей з</w:t>
      </w:r>
      <w:r>
        <w:rPr>
          <w:rFonts w:ascii="Times New Roman" w:hAnsi="Times New Roman" w:cs="Times New Roman"/>
          <w:sz w:val="28"/>
          <w:szCs w:val="28"/>
          <w:lang w:val="uk-UA"/>
        </w:rPr>
        <w:t xml:space="preserve">афіксований суглобовий синдром, </w:t>
      </w:r>
      <w:r w:rsidRPr="004E3FE9">
        <w:rPr>
          <w:rFonts w:ascii="Times New Roman" w:hAnsi="Times New Roman" w:cs="Times New Roman"/>
          <w:sz w:val="28"/>
          <w:szCs w:val="28"/>
          <w:lang w:val="uk-UA"/>
        </w:rPr>
        <w:t>у кожної 2 хворої дитини реєструвався абдомінальний синдром та у кожної 5 – нирковий</w:t>
      </w:r>
      <w:r>
        <w:rPr>
          <w:rFonts w:ascii="Times New Roman" w:hAnsi="Times New Roman" w:cs="Times New Roman"/>
          <w:sz w:val="28"/>
          <w:szCs w:val="28"/>
          <w:lang w:val="uk-UA"/>
        </w:rPr>
        <w:t xml:space="preserve">. Таким чином </w:t>
      </w:r>
      <w:r w:rsidRPr="004E3FE9">
        <w:rPr>
          <w:rFonts w:ascii="Times New Roman" w:hAnsi="Times New Roman" w:cs="Times New Roman"/>
          <w:sz w:val="28"/>
          <w:szCs w:val="28"/>
          <w:lang w:val="uk-UA"/>
        </w:rPr>
        <w:t>число зареєстрованих синдромів більше числа дітей, які знаходились під наглядом, що пояснюється різноманітними варіан</w:t>
      </w:r>
      <w:r>
        <w:rPr>
          <w:rFonts w:ascii="Times New Roman" w:hAnsi="Times New Roman" w:cs="Times New Roman"/>
          <w:sz w:val="28"/>
          <w:szCs w:val="28"/>
          <w:lang w:val="uk-UA"/>
        </w:rPr>
        <w:t>тами поєднання синдромів у хворих</w:t>
      </w:r>
      <w:r w:rsidRPr="004E3FE9">
        <w:rPr>
          <w:rFonts w:ascii="Times New Roman" w:hAnsi="Times New Roman" w:cs="Times New Roman"/>
          <w:sz w:val="28"/>
          <w:szCs w:val="28"/>
          <w:lang w:val="uk-UA"/>
        </w:rPr>
        <w:t>.</w:t>
      </w:r>
      <w:r>
        <w:rPr>
          <w:rFonts w:ascii="Times New Roman" w:hAnsi="Times New Roman" w:cs="Times New Roman"/>
          <w:sz w:val="28"/>
          <w:szCs w:val="28"/>
          <w:lang w:val="uk-UA"/>
        </w:rPr>
        <w:t xml:space="preserve"> С</w:t>
      </w:r>
      <w:r w:rsidRPr="004E3FE9">
        <w:rPr>
          <w:rFonts w:ascii="Times New Roman" w:hAnsi="Times New Roman" w:cs="Times New Roman"/>
          <w:sz w:val="28"/>
          <w:szCs w:val="28"/>
          <w:lang w:val="uk-UA"/>
        </w:rPr>
        <w:t>еред дітей з І ступенем переважали хворі зі шкірно-суглобовою формою, ІІ ступінь майже порівну розділили між собою шкірно-суглобова та змішана форми  та серед дітей з ІІІ ступенем активності переважали хворі зі змішаною формою з нирковим синдромом.</w:t>
      </w:r>
      <w:r>
        <w:rPr>
          <w:rFonts w:ascii="Times New Roman" w:hAnsi="Times New Roman" w:cs="Times New Roman"/>
          <w:sz w:val="28"/>
          <w:szCs w:val="28"/>
          <w:lang w:val="uk-UA"/>
        </w:rPr>
        <w:t xml:space="preserve"> </w:t>
      </w:r>
    </w:p>
    <w:p w:rsidR="00980585" w:rsidRDefault="00980585" w:rsidP="0098058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Лабораторні показники клінічного аналізу крові та показники гострої фази запалення відображали ступінь активності патологічного процесу, які на фоні отриманої терапії приходили до нормальних значень. Н</w:t>
      </w:r>
      <w:r w:rsidRPr="004E3FE9">
        <w:rPr>
          <w:rFonts w:ascii="Times New Roman" w:hAnsi="Times New Roman" w:cs="Times New Roman"/>
          <w:sz w:val="28"/>
          <w:szCs w:val="28"/>
          <w:lang w:val="uk-UA"/>
        </w:rPr>
        <w:t>аявними кореляційними зв’язками підтверджено залежність хара</w:t>
      </w:r>
      <w:r>
        <w:rPr>
          <w:rFonts w:ascii="Times New Roman" w:hAnsi="Times New Roman" w:cs="Times New Roman"/>
          <w:sz w:val="28"/>
          <w:szCs w:val="28"/>
          <w:lang w:val="uk-UA"/>
        </w:rPr>
        <w:t>ктеру та вираженості коагуляцій</w:t>
      </w:r>
      <w:r w:rsidRPr="004E3FE9">
        <w:rPr>
          <w:rFonts w:ascii="Times New Roman" w:hAnsi="Times New Roman" w:cs="Times New Roman"/>
          <w:sz w:val="28"/>
          <w:szCs w:val="28"/>
          <w:lang w:val="uk-UA"/>
        </w:rPr>
        <w:t>них порушень від важкості та активності запального процесу</w:t>
      </w:r>
      <w:r>
        <w:rPr>
          <w:rFonts w:ascii="Times New Roman" w:hAnsi="Times New Roman" w:cs="Times New Roman"/>
          <w:sz w:val="28"/>
          <w:szCs w:val="28"/>
          <w:lang w:val="uk-UA"/>
        </w:rPr>
        <w:t>.</w:t>
      </w:r>
    </w:p>
    <w:p w:rsidR="00980585" w:rsidRDefault="00FE0329" w:rsidP="00980585">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Зниження функції CD</w:t>
      </w:r>
      <w:r w:rsidRPr="004E3FE9">
        <w:rPr>
          <w:rFonts w:ascii="Times New Roman" w:hAnsi="Times New Roman" w:cs="Times New Roman"/>
          <w:sz w:val="28"/>
          <w:szCs w:val="28"/>
          <w:vertAlign w:val="subscript"/>
          <w:lang w:val="uk-UA"/>
        </w:rPr>
        <w:t>8</w:t>
      </w:r>
      <w:r w:rsidRPr="004E3FE9">
        <w:rPr>
          <w:rFonts w:ascii="Times New Roman" w:hAnsi="Times New Roman" w:cs="Times New Roman"/>
          <w:sz w:val="28"/>
          <w:szCs w:val="28"/>
          <w:lang w:val="uk-UA"/>
        </w:rPr>
        <w:t xml:space="preserve"> веде до переважання стимулюючого впливу Т-хелперів, в тому числі і на В-лімфоцити, які продукують антитіла. При цьому їх кількість може досягти критичного рівня, що здатне викликати </w:t>
      </w:r>
      <w:r w:rsidRPr="004E3FE9">
        <w:rPr>
          <w:rFonts w:ascii="Times New Roman" w:hAnsi="Times New Roman" w:cs="Times New Roman"/>
          <w:sz w:val="28"/>
          <w:szCs w:val="28"/>
          <w:lang w:val="uk-UA"/>
        </w:rPr>
        <w:lastRenderedPageBreak/>
        <w:t>пошкодження власних тканин організму</w:t>
      </w:r>
      <w:r>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Рівні ЦІК у дітей всіх ступенів активності патологічного процесу перевищували показники контрольної групи проте виявлена</w:t>
      </w:r>
      <w:r>
        <w:rPr>
          <w:rFonts w:ascii="Times New Roman" w:hAnsi="Times New Roman" w:cs="Times New Roman"/>
          <w:sz w:val="28"/>
          <w:szCs w:val="28"/>
          <w:lang w:val="uk-UA"/>
        </w:rPr>
        <w:t xml:space="preserve"> чітка тенденція до їх зниження в період одужання. </w:t>
      </w:r>
      <w:r w:rsidRPr="004E3FE9">
        <w:rPr>
          <w:rFonts w:ascii="Times New Roman" w:hAnsi="Times New Roman" w:cs="Times New Roman"/>
          <w:sz w:val="28"/>
          <w:szCs w:val="28"/>
          <w:lang w:val="uk-UA"/>
        </w:rPr>
        <w:t>Підвищеним утворюванням ЦІК представляється можливим пояснити підвищення рівнів всіх класів Ig, які є постачальниками антитіл при утворювання імунних комплексів. Враховуючи, що В-лімфоцити експерсую</w:t>
      </w:r>
      <w:r>
        <w:rPr>
          <w:rFonts w:ascii="Times New Roman" w:hAnsi="Times New Roman" w:cs="Times New Roman"/>
          <w:sz w:val="28"/>
          <w:szCs w:val="28"/>
          <w:lang w:val="uk-UA"/>
        </w:rPr>
        <w:t>ть всі види Ig, можна пояснити ї</w:t>
      </w:r>
      <w:r w:rsidRPr="004E3FE9">
        <w:rPr>
          <w:rFonts w:ascii="Times New Roman" w:hAnsi="Times New Roman" w:cs="Times New Roman"/>
          <w:sz w:val="28"/>
          <w:szCs w:val="28"/>
          <w:lang w:val="uk-UA"/>
        </w:rPr>
        <w:t>х підвищення наявними кореляційними зв’язками</w:t>
      </w:r>
      <w:r>
        <w:rPr>
          <w:rFonts w:ascii="Times New Roman" w:hAnsi="Times New Roman" w:cs="Times New Roman"/>
          <w:sz w:val="28"/>
          <w:szCs w:val="28"/>
          <w:lang w:val="uk-UA"/>
        </w:rPr>
        <w:t>.</w:t>
      </w:r>
    </w:p>
    <w:p w:rsidR="00FE0329" w:rsidRDefault="00FE0329" w:rsidP="00980585">
      <w:pPr>
        <w:spacing w:line="360" w:lineRule="auto"/>
        <w:ind w:firstLine="709"/>
        <w:contextualSpacing/>
        <w:jc w:val="both"/>
        <w:rPr>
          <w:rFonts w:ascii="Times New Roman" w:hAnsi="Times New Roman" w:cs="Times New Roman"/>
          <w:sz w:val="28"/>
          <w:szCs w:val="28"/>
          <w:lang w:val="uk-UA"/>
        </w:rPr>
      </w:pPr>
      <w:r w:rsidRPr="00FE0329">
        <w:rPr>
          <w:rFonts w:ascii="Times New Roman" w:hAnsi="Times New Roman" w:cs="Times New Roman"/>
          <w:sz w:val="28"/>
          <w:szCs w:val="28"/>
          <w:lang w:val="uk-UA"/>
        </w:rPr>
        <w:t>Основні результати дослідження та його положення, які викладені в даному ро</w:t>
      </w:r>
      <w:r w:rsidR="00B40288">
        <w:rPr>
          <w:rFonts w:ascii="Times New Roman" w:hAnsi="Times New Roman" w:cs="Times New Roman"/>
          <w:sz w:val="28"/>
          <w:szCs w:val="28"/>
          <w:lang w:val="uk-UA"/>
        </w:rPr>
        <w:t>зділі, апробовані на місцевому рівні</w:t>
      </w:r>
      <w:r w:rsidRPr="00FE0329">
        <w:rPr>
          <w:rFonts w:ascii="Times New Roman" w:hAnsi="Times New Roman" w:cs="Times New Roman"/>
          <w:sz w:val="28"/>
          <w:szCs w:val="28"/>
          <w:lang w:val="uk-UA"/>
        </w:rPr>
        <w:t>, що знайшло відображення в таких публікаціях:</w:t>
      </w:r>
    </w:p>
    <w:p w:rsidR="00FE0329" w:rsidRDefault="00FE0329" w:rsidP="00FE0329">
      <w:pPr>
        <w:pStyle w:val="a7"/>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В. Особливості перебігу геморагічного васкуліту у дітей / Ю.В. Одинець, М.В. Яворович // Проблемні питання діагностики та лікування дітей з соматичною патологією: матеріали  Української науково-практичної конференції лікарів-педіатрів з міжнародною участю, 18 березня 2016 р. –Харків, 2015. – С.109-110.</w:t>
      </w:r>
    </w:p>
    <w:p w:rsidR="00FE0329" w:rsidRPr="00FE0329" w:rsidRDefault="00FE0329" w:rsidP="00FE0329">
      <w:pPr>
        <w:pStyle w:val="a7"/>
        <w:spacing w:line="360" w:lineRule="auto"/>
        <w:jc w:val="both"/>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Default="00BD0BF2" w:rsidP="00A51BD1">
      <w:pPr>
        <w:pStyle w:val="1"/>
        <w:spacing w:line="360" w:lineRule="auto"/>
        <w:jc w:val="center"/>
        <w:rPr>
          <w:rFonts w:ascii="Times New Roman" w:hAnsi="Times New Roman" w:cs="Times New Roman"/>
          <w:color w:val="000000" w:themeColor="text1"/>
          <w:lang w:val="uk-UA"/>
        </w:rPr>
      </w:pPr>
      <w:bookmarkStart w:id="16" w:name="_Toc465797613"/>
      <w:r w:rsidRPr="004E3FE9">
        <w:rPr>
          <w:rFonts w:ascii="Times New Roman" w:hAnsi="Times New Roman" w:cs="Times New Roman"/>
          <w:color w:val="000000" w:themeColor="text1"/>
          <w:lang w:val="uk-UA"/>
        </w:rPr>
        <w:lastRenderedPageBreak/>
        <w:t>РОЗДІЛ 4</w:t>
      </w:r>
      <w:r w:rsidR="00A51BD1" w:rsidRPr="004E3FE9">
        <w:rPr>
          <w:rFonts w:ascii="Times New Roman" w:hAnsi="Times New Roman" w:cs="Times New Roman"/>
          <w:color w:val="000000" w:themeColor="text1"/>
          <w:lang w:val="uk-UA"/>
        </w:rPr>
        <w:br/>
      </w:r>
      <w:r w:rsidRPr="004E3FE9">
        <w:rPr>
          <w:rFonts w:ascii="Times New Roman" w:hAnsi="Times New Roman" w:cs="Times New Roman"/>
          <w:color w:val="000000" w:themeColor="text1"/>
          <w:lang w:val="uk-UA"/>
        </w:rPr>
        <w:t>ХАРАКТЕРИСТИКА ФУНКЦІЇ ЕНДОТЕЛІЮ СУДИН У ДІТЕЙ, ХВОРИХ НА ГЕМОРАГІЧНИЙ ВАСКУЛІТ</w:t>
      </w:r>
      <w:bookmarkEnd w:id="16"/>
    </w:p>
    <w:p w:rsidR="00B40288" w:rsidRDefault="00B40288" w:rsidP="00B40288">
      <w:pPr>
        <w:rPr>
          <w:lang w:val="uk-UA"/>
        </w:rPr>
      </w:pPr>
    </w:p>
    <w:p w:rsidR="00B40288" w:rsidRDefault="00B40288" w:rsidP="00B40288">
      <w:pPr>
        <w:rPr>
          <w:lang w:val="uk-UA"/>
        </w:rPr>
      </w:pPr>
    </w:p>
    <w:p w:rsidR="00B40288" w:rsidRPr="00B40288" w:rsidRDefault="00B40288" w:rsidP="00B40288">
      <w:pPr>
        <w:rPr>
          <w:lang w:val="uk-UA"/>
        </w:rPr>
      </w:pPr>
    </w:p>
    <w:p w:rsidR="00BD0BF2" w:rsidRDefault="00CC1596" w:rsidP="00B40288">
      <w:pPr>
        <w:pStyle w:val="2"/>
        <w:numPr>
          <w:ilvl w:val="1"/>
          <w:numId w:val="4"/>
        </w:numPr>
        <w:spacing w:line="360" w:lineRule="auto"/>
        <w:rPr>
          <w:rFonts w:ascii="Times New Roman" w:hAnsi="Times New Roman" w:cs="Times New Roman"/>
          <w:color w:val="000000" w:themeColor="text1"/>
          <w:sz w:val="28"/>
          <w:szCs w:val="28"/>
          <w:lang w:val="uk-UA"/>
        </w:rPr>
      </w:pPr>
      <w:bookmarkStart w:id="17" w:name="_Toc465797614"/>
      <w:r w:rsidRPr="004E3FE9">
        <w:rPr>
          <w:rFonts w:ascii="Times New Roman" w:hAnsi="Times New Roman" w:cs="Times New Roman"/>
          <w:color w:val="000000" w:themeColor="text1"/>
          <w:sz w:val="28"/>
          <w:szCs w:val="28"/>
          <w:lang w:val="uk-UA"/>
        </w:rPr>
        <w:t>Вміст метаболітів</w:t>
      </w:r>
      <w:r w:rsidR="00BD0BF2" w:rsidRPr="004E3FE9">
        <w:rPr>
          <w:rFonts w:ascii="Times New Roman" w:hAnsi="Times New Roman" w:cs="Times New Roman"/>
          <w:color w:val="000000" w:themeColor="text1"/>
          <w:sz w:val="28"/>
          <w:szCs w:val="28"/>
          <w:lang w:val="uk-UA"/>
        </w:rPr>
        <w:t xml:space="preserve"> оксиду азоту та </w:t>
      </w:r>
      <w:r w:rsidR="009A67C0" w:rsidRPr="004E3FE9">
        <w:rPr>
          <w:rFonts w:ascii="Times New Roman" w:hAnsi="Times New Roman" w:cs="Times New Roman"/>
          <w:color w:val="000000" w:themeColor="text1"/>
          <w:sz w:val="28"/>
          <w:szCs w:val="28"/>
          <w:lang w:val="uk-UA"/>
        </w:rPr>
        <w:t>ФВ</w:t>
      </w:r>
      <w:r w:rsidR="00BD0BF2" w:rsidRPr="004E3FE9">
        <w:rPr>
          <w:rFonts w:ascii="Times New Roman" w:hAnsi="Times New Roman" w:cs="Times New Roman"/>
          <w:color w:val="000000" w:themeColor="text1"/>
          <w:sz w:val="28"/>
          <w:szCs w:val="28"/>
          <w:lang w:val="uk-UA"/>
        </w:rPr>
        <w:t xml:space="preserve"> в сироватці крові при геморагічному васкуліті у дітей</w:t>
      </w:r>
      <w:bookmarkEnd w:id="17"/>
    </w:p>
    <w:p w:rsidR="00B40288" w:rsidRPr="00B40288" w:rsidRDefault="00B40288" w:rsidP="00B40288">
      <w:pPr>
        <w:ind w:left="360"/>
        <w:rPr>
          <w:lang w:val="uk-UA"/>
        </w:rPr>
      </w:pP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На сучасному етапі велика увага приділяється вивченню ролі оксиду азоту (NO), як універсального трансмітера, в розвитку різних патологічних станів, а саме стану функції ендотелію. Щоб мати уявлення про вміст оксиду азоту визначали концентрацію стабільних його метаболітів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S-нітрозотіол) в сироватці крові. При фізіологічних умовах ендотелій судин продукує велику кількість біологічно активних факторів, які безперервно пов'язані з гомеостазом, фібринолізом, порушенням судинного тонусу і проникністю судин. Однією з таких речовин і є фактор Віллебранда, який визначався у дітей з геморагічним васкулітом в якості одного з провідних показників функціонального стану ендотелію судин.</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Як свідчать дані табл. 4.1, рівні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в кожній віковій групі не відрізнявся від показників контрольної групи, але його рівні у підлітків були достовірно вищими (14,49 (12,99;16,34) мкмоль/л) ніж у дітей дошкільного та шкільного віку. Показники NO</w:t>
      </w:r>
      <w:r w:rsidRPr="004E3FE9">
        <w:rPr>
          <w:rFonts w:ascii="Times New Roman" w:hAnsi="Times New Roman" w:cs="Times New Roman"/>
          <w:sz w:val="28"/>
          <w:szCs w:val="28"/>
          <w:vertAlign w:val="subscript"/>
          <w:lang w:val="uk-UA"/>
        </w:rPr>
        <w:t xml:space="preserve">3 </w:t>
      </w:r>
      <w:r w:rsidRPr="004E3FE9">
        <w:rPr>
          <w:rFonts w:ascii="Times New Roman" w:hAnsi="Times New Roman" w:cs="Times New Roman"/>
          <w:sz w:val="28"/>
          <w:szCs w:val="28"/>
          <w:lang w:val="uk-UA"/>
        </w:rPr>
        <w:t xml:space="preserve"> та S-нітрозотіолу були достовірно вищими у дітей дошкільного віку та підлітків (35,82 (14,98;46,57) мкмоль/л, 0,56 (0,24;0,64) ммоль/л та 45,22 (35,21;47,28) мкмоль/л, 0,54 (0,46;0,62) ммоль/л, відповідно) в порівнянні з показниками дітей групи контролю в гострий період захворювання. Рівень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був майже в півтора рази вищим у дітей всіх вікових груп ніж у дітей групи контролю в гострий період захворювання. При аналізі окремих лабораторних показників функції ендотелію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S-нітрозотіол, фактор Віллебранда) в залежності від </w:t>
      </w:r>
      <w:r w:rsidRPr="004E3FE9">
        <w:rPr>
          <w:rFonts w:ascii="Times New Roman" w:hAnsi="Times New Roman" w:cs="Times New Roman"/>
          <w:sz w:val="28"/>
          <w:szCs w:val="28"/>
          <w:lang w:val="uk-UA"/>
        </w:rPr>
        <w:lastRenderedPageBreak/>
        <w:t>віку ми відмітили, що найбільша схильність до розвитку ендотеліальної дисфункції при геморагічному васкуліті характерна для дітей віком 1-6 років та 13-17 років, про що свідчать дані табл. 4.1.</w:t>
      </w:r>
    </w:p>
    <w:p w:rsidR="00BD0BF2" w:rsidRPr="00B40288" w:rsidRDefault="00BD0BF2" w:rsidP="00BD0BF2">
      <w:pPr>
        <w:spacing w:line="360" w:lineRule="auto"/>
        <w:ind w:right="141"/>
        <w:contextualSpacing/>
        <w:jc w:val="right"/>
        <w:rPr>
          <w:rFonts w:ascii="Times New Roman" w:hAnsi="Times New Roman" w:cs="Times New Roman"/>
          <w:i/>
          <w:sz w:val="28"/>
          <w:szCs w:val="28"/>
          <w:lang w:val="uk-UA"/>
        </w:rPr>
      </w:pPr>
      <w:r w:rsidRPr="00B40288">
        <w:rPr>
          <w:rFonts w:ascii="Times New Roman" w:hAnsi="Times New Roman" w:cs="Times New Roman"/>
          <w:i/>
          <w:sz w:val="28"/>
          <w:szCs w:val="28"/>
          <w:lang w:val="uk-UA"/>
        </w:rPr>
        <w:t>Таблиця 4.1</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Показники метаболітів оксиду азоту та </w:t>
      </w:r>
      <w:r w:rsidR="004F59FF" w:rsidRPr="004E3FE9">
        <w:rPr>
          <w:rFonts w:ascii="Times New Roman" w:hAnsi="Times New Roman" w:cs="Times New Roman"/>
          <w:b/>
          <w:sz w:val="28"/>
          <w:szCs w:val="28"/>
          <w:lang w:val="uk-UA"/>
        </w:rPr>
        <w:t>фактору Віллебранда</w:t>
      </w:r>
      <w:r w:rsidRPr="004E3FE9">
        <w:rPr>
          <w:rFonts w:ascii="Times New Roman" w:hAnsi="Times New Roman" w:cs="Times New Roman"/>
          <w:b/>
          <w:sz w:val="28"/>
          <w:szCs w:val="28"/>
          <w:lang w:val="uk-UA"/>
        </w:rPr>
        <w:t xml:space="preserve"> у дітей різного віку, хворих на геморагічний васкулі</w:t>
      </w:r>
      <w:r w:rsidR="004F59FF" w:rsidRPr="004E3FE9">
        <w:rPr>
          <w:rFonts w:ascii="Times New Roman" w:hAnsi="Times New Roman" w:cs="Times New Roman"/>
          <w:b/>
          <w:sz w:val="28"/>
          <w:szCs w:val="28"/>
          <w:lang w:val="uk-UA"/>
        </w:rPr>
        <w:t>т в гострий період захворювання</w:t>
      </w:r>
      <w:r w:rsidR="00FE0329">
        <w:rPr>
          <w:rFonts w:ascii="Times New Roman" w:hAnsi="Times New Roman" w:cs="Times New Roman"/>
          <w:b/>
          <w:sz w:val="28"/>
          <w:szCs w:val="28"/>
          <w:lang w:val="uk-UA"/>
        </w:rPr>
        <w:t>,</w:t>
      </w:r>
      <w:r w:rsidRPr="004E3FE9">
        <w:rPr>
          <w:rFonts w:ascii="Times New Roman" w:hAnsi="Times New Roman" w:cs="Times New Roman"/>
          <w:b/>
          <w:sz w:val="28"/>
          <w:szCs w:val="28"/>
          <w:lang w:val="uk-UA"/>
        </w:rPr>
        <w:t xml:space="preserve"> (Me(Lq;Uq))</w:t>
      </w:r>
    </w:p>
    <w:tbl>
      <w:tblPr>
        <w:tblStyle w:val="a8"/>
        <w:tblW w:w="0" w:type="auto"/>
        <w:tblInd w:w="108" w:type="dxa"/>
        <w:tblLook w:val="04A0"/>
      </w:tblPr>
      <w:tblGrid>
        <w:gridCol w:w="2295"/>
        <w:gridCol w:w="1711"/>
        <w:gridCol w:w="1720"/>
        <w:gridCol w:w="1782"/>
        <w:gridCol w:w="1955"/>
      </w:tblGrid>
      <w:tr w:rsidR="00BD0BF2" w:rsidRPr="004E3FE9" w:rsidTr="00721EA2">
        <w:trPr>
          <w:trHeight w:val="366"/>
        </w:trPr>
        <w:tc>
          <w:tcPr>
            <w:tcW w:w="0" w:type="auto"/>
            <w:vMerge w:val="restart"/>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0" w:type="auto"/>
            <w:vMerge w:val="restart"/>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p w:rsidR="00BD0BF2" w:rsidRPr="004E3FE9" w:rsidRDefault="00BD0BF2" w:rsidP="00721EA2">
            <w:pPr>
              <w:spacing w:line="360" w:lineRule="auto"/>
              <w:ind w:right="141"/>
              <w:contextualSpacing/>
              <w:rPr>
                <w:rFonts w:ascii="Times New Roman" w:hAnsi="Times New Roman" w:cs="Times New Roman"/>
                <w:sz w:val="28"/>
                <w:szCs w:val="28"/>
                <w:lang w:val="uk-UA"/>
              </w:rPr>
            </w:pP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c>
          <w:tcPr>
            <w:tcW w:w="0" w:type="auto"/>
            <w:gridSpan w:val="3"/>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Вік дітей, хворих на ГВ</w:t>
            </w:r>
          </w:p>
        </w:tc>
      </w:tr>
      <w:tr w:rsidR="00BD0BF2" w:rsidRPr="00810999" w:rsidTr="00721EA2">
        <w:trPr>
          <w:trHeight w:val="1547"/>
        </w:trPr>
        <w:tc>
          <w:tcPr>
            <w:tcW w:w="0" w:type="auto"/>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0" w:type="auto"/>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0" w:type="auto"/>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 рік – 6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n=29</w:t>
            </w:r>
          </w:p>
        </w:tc>
        <w:tc>
          <w:tcPr>
            <w:tcW w:w="0" w:type="auto"/>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 років – 12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n=23</w:t>
            </w:r>
          </w:p>
        </w:tc>
        <w:tc>
          <w:tcPr>
            <w:tcW w:w="0" w:type="auto"/>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13 років - 17 років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n=8</w:t>
            </w:r>
          </w:p>
        </w:tc>
      </w:tr>
      <w:tr w:rsidR="00BD0BF2" w:rsidRPr="004E3FE9" w:rsidTr="00721EA2">
        <w:trPr>
          <w:trHeight w:val="1633"/>
        </w:trPr>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12,79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(12,35;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14,00)</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12,45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(6,54;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13,62)</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11,45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(6,89;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14,20)</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14,49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(12,99;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16,34)**,***</w:t>
            </w:r>
          </w:p>
        </w:tc>
      </w:tr>
      <w:tr w:rsidR="00BD0BF2" w:rsidRPr="004E3FE9" w:rsidTr="00721EA2">
        <w:trPr>
          <w:trHeight w:val="301"/>
        </w:trPr>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30,93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(28,79;</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32,05)</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35,82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(14,98;</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46,57)*</w:t>
            </w:r>
          </w:p>
        </w:tc>
        <w:tc>
          <w:tcPr>
            <w:tcW w:w="0" w:type="auto"/>
            <w:vAlign w:val="center"/>
          </w:tcPr>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30,55</w:t>
            </w:r>
          </w:p>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(14,62;</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48,26)</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45,22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(35,21;</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47,28)*</w:t>
            </w:r>
          </w:p>
        </w:tc>
      </w:tr>
      <w:tr w:rsidR="00BD0BF2" w:rsidRPr="004E3FE9" w:rsidTr="00721EA2">
        <w:trPr>
          <w:trHeight w:val="1526"/>
        </w:trPr>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 ммоль/л</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0,36)</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0,64)*</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(0,10;</w:t>
            </w:r>
          </w:p>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0,54)</w:t>
            </w:r>
          </w:p>
        </w:tc>
        <w:tc>
          <w:tcPr>
            <w:tcW w:w="0" w:type="auto"/>
            <w:vAlign w:val="center"/>
          </w:tcPr>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0,54</w:t>
            </w:r>
          </w:p>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0,62)*</w:t>
            </w:r>
          </w:p>
        </w:tc>
      </w:tr>
      <w:tr w:rsidR="00BD0BF2" w:rsidRPr="004E3FE9" w:rsidTr="00721EA2">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(95,4;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102,4)</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168,52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(138,64;</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179,64)*</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175,34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(146,54;</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188,45)*</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156,95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(149,06;</w:t>
            </w:r>
          </w:p>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164,26)*</w:t>
            </w:r>
          </w:p>
        </w:tc>
      </w:tr>
    </w:tbl>
    <w:p w:rsidR="00BD0BF2" w:rsidRPr="004E3FE9" w:rsidRDefault="00BD0BF2" w:rsidP="00BD0BF2">
      <w:pPr>
        <w:tabs>
          <w:tab w:val="left" w:pos="6660"/>
        </w:tabs>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Примітки:* - р&lt;0,0</w:t>
      </w:r>
      <w:r w:rsidR="002F7F35" w:rsidRPr="004E3FE9">
        <w:rPr>
          <w:rFonts w:ascii="Times New Roman" w:hAnsi="Times New Roman" w:cs="Times New Roman"/>
          <w:sz w:val="28"/>
          <w:szCs w:val="28"/>
          <w:lang w:val="uk-UA"/>
        </w:rPr>
        <w:t>1</w:t>
      </w:r>
      <w:r w:rsidRPr="004E3FE9">
        <w:rPr>
          <w:rFonts w:ascii="Times New Roman" w:hAnsi="Times New Roman" w:cs="Times New Roman"/>
          <w:sz w:val="28"/>
          <w:szCs w:val="28"/>
          <w:lang w:val="uk-UA"/>
        </w:rPr>
        <w:t xml:space="preserve">- різниця вірогідна з показником дітей групи </w:t>
      </w:r>
      <w:r w:rsidR="002F7F35" w:rsidRPr="004E3FE9">
        <w:rPr>
          <w:rFonts w:ascii="Times New Roman" w:hAnsi="Times New Roman" w:cs="Times New Roman"/>
          <w:sz w:val="28"/>
          <w:szCs w:val="28"/>
          <w:lang w:val="uk-UA"/>
        </w:rPr>
        <w:t>контролю; ** - р&lt;0,01</w:t>
      </w:r>
      <w:r w:rsidRPr="004E3FE9">
        <w:rPr>
          <w:rFonts w:ascii="Times New Roman" w:hAnsi="Times New Roman" w:cs="Times New Roman"/>
          <w:sz w:val="28"/>
          <w:szCs w:val="28"/>
          <w:lang w:val="uk-UA"/>
        </w:rPr>
        <w:t>- різниця вірогідна відносно показників пацієнті</w:t>
      </w:r>
      <w:r w:rsidR="002F7F35" w:rsidRPr="004E3FE9">
        <w:rPr>
          <w:rFonts w:ascii="Times New Roman" w:hAnsi="Times New Roman" w:cs="Times New Roman"/>
          <w:sz w:val="28"/>
          <w:szCs w:val="28"/>
          <w:lang w:val="uk-UA"/>
        </w:rPr>
        <w:t>в від 1 до 6 років; *** - р&lt;0,01</w:t>
      </w:r>
      <w:r w:rsidRPr="004E3FE9">
        <w:rPr>
          <w:rFonts w:ascii="Times New Roman" w:hAnsi="Times New Roman" w:cs="Times New Roman"/>
          <w:sz w:val="28"/>
          <w:szCs w:val="28"/>
          <w:lang w:val="uk-UA"/>
        </w:rPr>
        <w:t>- різниця вірогідна відносно показників пацієнтів від 7 до 12років.</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На нашу думку, доцільним було оцінити залежність цих показників від форми захворювання (табл. 4.2). Встановлено, що у дітей із шкірною формою в гострий період захворювання підвищувався рівень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S-нітрозотіолу та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(46,20 (44,79;49,30) мкмоль/л, 0,59 (0,45;0,73) ммоль/л, 145,03 (133,68;160,99) %, відповідно), при збереженні нормальних рівнів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w:t>
      </w:r>
    </w:p>
    <w:p w:rsidR="00BD0BF2" w:rsidRPr="00B40288" w:rsidRDefault="00BD0BF2" w:rsidP="00BD0BF2">
      <w:pPr>
        <w:spacing w:line="360" w:lineRule="auto"/>
        <w:ind w:right="141"/>
        <w:contextualSpacing/>
        <w:jc w:val="right"/>
        <w:rPr>
          <w:rFonts w:ascii="Times New Roman" w:hAnsi="Times New Roman" w:cs="Times New Roman"/>
          <w:i/>
          <w:sz w:val="28"/>
          <w:szCs w:val="28"/>
          <w:lang w:val="uk-UA"/>
        </w:rPr>
      </w:pPr>
      <w:r w:rsidRPr="00B40288">
        <w:rPr>
          <w:rFonts w:ascii="Times New Roman" w:hAnsi="Times New Roman" w:cs="Times New Roman"/>
          <w:i/>
          <w:sz w:val="28"/>
          <w:szCs w:val="28"/>
          <w:lang w:val="uk-UA"/>
        </w:rPr>
        <w:t>Таблиця 4.2</w:t>
      </w:r>
    </w:p>
    <w:p w:rsidR="00BD0BF2" w:rsidRPr="004E3FE9" w:rsidRDefault="00BD0BF2" w:rsidP="00BD0BF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b/>
          <w:sz w:val="28"/>
          <w:szCs w:val="28"/>
          <w:lang w:val="uk-UA"/>
        </w:rPr>
        <w:t xml:space="preserve">Показники метаболітів оксиду азоту, </w:t>
      </w:r>
      <w:r w:rsidR="004F59FF" w:rsidRPr="004E3FE9">
        <w:rPr>
          <w:rFonts w:ascii="Times New Roman" w:hAnsi="Times New Roman" w:cs="Times New Roman"/>
          <w:b/>
          <w:sz w:val="28"/>
          <w:szCs w:val="28"/>
          <w:lang w:val="uk-UA"/>
        </w:rPr>
        <w:t>фактору Віллебранда</w:t>
      </w:r>
      <w:r w:rsidRPr="004E3FE9">
        <w:rPr>
          <w:rFonts w:ascii="Times New Roman" w:hAnsi="Times New Roman" w:cs="Times New Roman"/>
          <w:b/>
          <w:sz w:val="28"/>
          <w:szCs w:val="28"/>
          <w:lang w:val="uk-UA"/>
        </w:rPr>
        <w:t xml:space="preserve"> у дітей в залежності від форми геморагічного васкуліту в гострий період захворювання</w:t>
      </w:r>
      <w:r w:rsidR="00FE0329">
        <w:rPr>
          <w:rFonts w:ascii="Times New Roman" w:hAnsi="Times New Roman" w:cs="Times New Roman"/>
          <w:b/>
          <w:sz w:val="28"/>
          <w:szCs w:val="28"/>
          <w:lang w:val="uk-UA"/>
        </w:rPr>
        <w:t>,</w:t>
      </w:r>
      <w:r w:rsidR="004F59FF" w:rsidRPr="004E3FE9">
        <w:rPr>
          <w:rFonts w:ascii="Times New Roman" w:hAnsi="Times New Roman" w:cs="Times New Roman"/>
          <w:b/>
          <w:sz w:val="28"/>
          <w:szCs w:val="28"/>
          <w:lang w:val="uk-UA"/>
        </w:rPr>
        <w:t xml:space="preserve"> (Me(Lq;Uq))</w:t>
      </w:r>
    </w:p>
    <w:tbl>
      <w:tblPr>
        <w:tblStyle w:val="a8"/>
        <w:tblW w:w="9356" w:type="dxa"/>
        <w:tblInd w:w="108" w:type="dxa"/>
        <w:tblLayout w:type="fixed"/>
        <w:tblLook w:val="04A0"/>
      </w:tblPr>
      <w:tblGrid>
        <w:gridCol w:w="1843"/>
        <w:gridCol w:w="851"/>
        <w:gridCol w:w="1275"/>
        <w:gridCol w:w="1276"/>
        <w:gridCol w:w="1418"/>
        <w:gridCol w:w="1417"/>
        <w:gridCol w:w="1276"/>
      </w:tblGrid>
      <w:tr w:rsidR="00BD0BF2" w:rsidRPr="004E3FE9" w:rsidTr="002837F4">
        <w:trPr>
          <w:cantSplit/>
          <w:trHeight w:val="454"/>
        </w:trPr>
        <w:tc>
          <w:tcPr>
            <w:tcW w:w="1843" w:type="dxa"/>
            <w:vMerge w:val="restart"/>
            <w:vAlign w:val="center"/>
          </w:tcPr>
          <w:p w:rsidR="00BD0BF2" w:rsidRPr="004E3FE9" w:rsidRDefault="00BD0BF2" w:rsidP="001C5375">
            <w:pPr>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851" w:type="dxa"/>
            <w:vMerge w:val="restart"/>
            <w:textDirection w:val="btLr"/>
            <w:vAlign w:val="center"/>
          </w:tcPr>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386" w:type="dxa"/>
            <w:gridSpan w:val="4"/>
          </w:tcPr>
          <w:p w:rsidR="00BD0BF2" w:rsidRPr="004E3FE9" w:rsidRDefault="00BD0BF2" w:rsidP="001C5375">
            <w:pPr>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Форма геморагічного васкуліту</w:t>
            </w:r>
          </w:p>
        </w:tc>
        <w:tc>
          <w:tcPr>
            <w:tcW w:w="1276" w:type="dxa"/>
            <w:vMerge w:val="restart"/>
            <w:textDirection w:val="btLr"/>
            <w:vAlign w:val="center"/>
          </w:tcPr>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w:t>
            </w:r>
          </w:p>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r>
      <w:tr w:rsidR="00BD0BF2" w:rsidRPr="004E3FE9" w:rsidTr="002837F4">
        <w:trPr>
          <w:cantSplit/>
          <w:trHeight w:val="1757"/>
        </w:trPr>
        <w:tc>
          <w:tcPr>
            <w:tcW w:w="1843" w:type="dxa"/>
            <w:vMerge/>
            <w:vAlign w:val="center"/>
          </w:tcPr>
          <w:p w:rsidR="00BD0BF2" w:rsidRPr="004E3FE9" w:rsidRDefault="00BD0BF2" w:rsidP="00721EA2">
            <w:pPr>
              <w:spacing w:line="360" w:lineRule="auto"/>
              <w:ind w:right="141"/>
              <w:contextualSpacing/>
              <w:rPr>
                <w:rFonts w:ascii="Times New Roman" w:hAnsi="Times New Roman" w:cs="Times New Roman"/>
                <w:sz w:val="28"/>
                <w:szCs w:val="28"/>
                <w:lang w:val="uk-UA"/>
              </w:rPr>
            </w:pPr>
          </w:p>
        </w:tc>
        <w:tc>
          <w:tcPr>
            <w:tcW w:w="851" w:type="dxa"/>
            <w:vMerge/>
            <w:vAlign w:val="center"/>
          </w:tcPr>
          <w:p w:rsidR="00BD0BF2" w:rsidRPr="004E3FE9" w:rsidRDefault="00BD0BF2" w:rsidP="00721EA2">
            <w:pPr>
              <w:spacing w:line="360" w:lineRule="auto"/>
              <w:ind w:right="141"/>
              <w:contextualSpacing/>
              <w:rPr>
                <w:rFonts w:ascii="Times New Roman" w:hAnsi="Times New Roman" w:cs="Times New Roman"/>
                <w:sz w:val="28"/>
                <w:szCs w:val="28"/>
                <w:lang w:val="uk-UA"/>
              </w:rPr>
            </w:pPr>
          </w:p>
        </w:tc>
        <w:tc>
          <w:tcPr>
            <w:tcW w:w="1275" w:type="dxa"/>
            <w:textDirection w:val="btLr"/>
            <w:vAlign w:val="center"/>
          </w:tcPr>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Шкірна </w:t>
            </w:r>
          </w:p>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(n= 8) </w:t>
            </w:r>
          </w:p>
        </w:tc>
        <w:tc>
          <w:tcPr>
            <w:tcW w:w="1276" w:type="dxa"/>
            <w:textDirection w:val="btLr"/>
            <w:vAlign w:val="center"/>
          </w:tcPr>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Шкірн о-</w:t>
            </w:r>
          </w:p>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суглобова</w:t>
            </w:r>
          </w:p>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(n=24)</w:t>
            </w:r>
          </w:p>
        </w:tc>
        <w:tc>
          <w:tcPr>
            <w:tcW w:w="1418" w:type="dxa"/>
            <w:textDirection w:val="btLr"/>
            <w:vAlign w:val="center"/>
          </w:tcPr>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w:t>
            </w:r>
          </w:p>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417" w:type="dxa"/>
            <w:textDirection w:val="btLr"/>
            <w:vAlign w:val="center"/>
          </w:tcPr>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 з</w:t>
            </w:r>
          </w:p>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нирковим синдромом</w:t>
            </w:r>
          </w:p>
          <w:p w:rsidR="00BD0BF2" w:rsidRPr="004E3FE9" w:rsidRDefault="00BD0BF2" w:rsidP="001C5375">
            <w:pPr>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(n=9)</w:t>
            </w:r>
          </w:p>
        </w:tc>
        <w:tc>
          <w:tcPr>
            <w:tcW w:w="1276" w:type="dxa"/>
            <w:vMerge/>
            <w:textDirection w:val="btLr"/>
            <w:vAlign w:val="center"/>
          </w:tcPr>
          <w:p w:rsidR="00BD0BF2" w:rsidRPr="004E3FE9" w:rsidRDefault="00BD0BF2" w:rsidP="00721EA2">
            <w:pPr>
              <w:spacing w:line="360" w:lineRule="auto"/>
              <w:ind w:left="113" w:right="141"/>
              <w:contextualSpacing/>
              <w:rPr>
                <w:rFonts w:ascii="Times New Roman" w:hAnsi="Times New Roman" w:cs="Times New Roman"/>
                <w:sz w:val="28"/>
                <w:szCs w:val="28"/>
                <w:lang w:val="uk-UA"/>
              </w:rPr>
            </w:pPr>
          </w:p>
        </w:tc>
      </w:tr>
      <w:tr w:rsidR="00BD0BF2" w:rsidRPr="004E3FE9" w:rsidTr="002837F4">
        <w:trPr>
          <w:trHeight w:val="1569"/>
        </w:trPr>
        <w:tc>
          <w:tcPr>
            <w:tcW w:w="1843"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851"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5"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14,21</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12,47</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15,33</w:t>
            </w:r>
          </w:p>
        </w:tc>
        <w:tc>
          <w:tcPr>
            <w:tcW w:w="1276"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12,83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11,52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14,45</w:t>
            </w:r>
          </w:p>
        </w:tc>
        <w:tc>
          <w:tcPr>
            <w:tcW w:w="1418"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12,89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6,54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14,64 </w:t>
            </w:r>
          </w:p>
        </w:tc>
        <w:tc>
          <w:tcPr>
            <w:tcW w:w="1417"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6,76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5,64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6,96*</w:t>
            </w:r>
          </w:p>
        </w:tc>
        <w:tc>
          <w:tcPr>
            <w:tcW w:w="1276"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12,79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12,35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14,00 </w:t>
            </w:r>
          </w:p>
        </w:tc>
      </w:tr>
      <w:tr w:rsidR="00BD0BF2" w:rsidRPr="004E3FE9" w:rsidTr="002837F4">
        <w:tc>
          <w:tcPr>
            <w:tcW w:w="1843"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851"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5"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46,20</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44,79</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49,30*</w:t>
            </w:r>
          </w:p>
        </w:tc>
        <w:tc>
          <w:tcPr>
            <w:tcW w:w="1276"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34,74</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30,31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44,93*</w:t>
            </w:r>
          </w:p>
        </w:tc>
        <w:tc>
          <w:tcPr>
            <w:tcW w:w="1418" w:type="dxa"/>
          </w:tcPr>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43,22</w:t>
            </w:r>
          </w:p>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14,68 </w:t>
            </w:r>
          </w:p>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48,97 </w:t>
            </w:r>
            <w:r w:rsidR="00B5561D" w:rsidRPr="004E3FE9">
              <w:rPr>
                <w:rFonts w:ascii="Times New Roman" w:hAnsi="Times New Roman" w:cs="Times New Roman"/>
                <w:sz w:val="28"/>
                <w:szCs w:val="28"/>
                <w:lang w:val="uk-UA"/>
              </w:rPr>
              <w:t>*</w:t>
            </w:r>
          </w:p>
        </w:tc>
        <w:tc>
          <w:tcPr>
            <w:tcW w:w="1417" w:type="dxa"/>
          </w:tcPr>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14,62</w:t>
            </w:r>
          </w:p>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13,86 </w:t>
            </w:r>
          </w:p>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14,79 *</w:t>
            </w:r>
          </w:p>
        </w:tc>
        <w:tc>
          <w:tcPr>
            <w:tcW w:w="1276"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30,93</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28,79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32,05 </w:t>
            </w:r>
          </w:p>
        </w:tc>
      </w:tr>
      <w:tr w:rsidR="00BD0BF2" w:rsidRPr="004E3FE9" w:rsidTr="002837F4">
        <w:tc>
          <w:tcPr>
            <w:tcW w:w="1843"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 ммоль/л</w:t>
            </w:r>
          </w:p>
        </w:tc>
        <w:tc>
          <w:tcPr>
            <w:tcW w:w="851"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5"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0,59</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0,45</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0,73*</w:t>
            </w:r>
          </w:p>
        </w:tc>
        <w:tc>
          <w:tcPr>
            <w:tcW w:w="1276"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0,53</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0,32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0,60 *</w:t>
            </w:r>
          </w:p>
        </w:tc>
        <w:tc>
          <w:tcPr>
            <w:tcW w:w="1418" w:type="dxa"/>
          </w:tcPr>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0,54</w:t>
            </w:r>
          </w:p>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0,18 </w:t>
            </w:r>
          </w:p>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0,68 </w:t>
            </w:r>
            <w:r w:rsidR="00B5561D" w:rsidRPr="004E3FE9">
              <w:rPr>
                <w:rFonts w:ascii="Times New Roman" w:hAnsi="Times New Roman" w:cs="Times New Roman"/>
                <w:sz w:val="28"/>
                <w:szCs w:val="28"/>
                <w:lang w:val="uk-UA"/>
              </w:rPr>
              <w:t>*</w:t>
            </w:r>
          </w:p>
        </w:tc>
        <w:tc>
          <w:tcPr>
            <w:tcW w:w="1417" w:type="dxa"/>
          </w:tcPr>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0,11</w:t>
            </w:r>
          </w:p>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0,09 </w:t>
            </w:r>
          </w:p>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0,15 *</w:t>
            </w:r>
          </w:p>
        </w:tc>
        <w:tc>
          <w:tcPr>
            <w:tcW w:w="1276"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0,33</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0,28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0,36 </w:t>
            </w:r>
          </w:p>
        </w:tc>
      </w:tr>
      <w:tr w:rsidR="00BD0BF2" w:rsidRPr="004E3FE9" w:rsidTr="002837F4">
        <w:tc>
          <w:tcPr>
            <w:tcW w:w="1843"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 %</w:t>
            </w:r>
          </w:p>
        </w:tc>
        <w:tc>
          <w:tcPr>
            <w:tcW w:w="851"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5"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145,03</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133,68</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160,99*</w:t>
            </w:r>
          </w:p>
        </w:tc>
        <w:tc>
          <w:tcPr>
            <w:tcW w:w="1276"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154,92</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137,61</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169,01</w:t>
            </w:r>
            <w:r w:rsidR="002837F4" w:rsidRPr="004E3FE9">
              <w:rPr>
                <w:rFonts w:ascii="Times New Roman" w:hAnsi="Times New Roman" w:cs="Times New Roman"/>
                <w:sz w:val="28"/>
                <w:szCs w:val="28"/>
                <w:lang w:val="uk-UA"/>
              </w:rPr>
              <w:t>*</w:t>
            </w:r>
          </w:p>
        </w:tc>
        <w:tc>
          <w:tcPr>
            <w:tcW w:w="1418"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175,34</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155,61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185,31*</w:t>
            </w:r>
          </w:p>
        </w:tc>
        <w:tc>
          <w:tcPr>
            <w:tcW w:w="1417"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188,96</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188,34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194,56*</w:t>
            </w:r>
          </w:p>
        </w:tc>
        <w:tc>
          <w:tcPr>
            <w:tcW w:w="1276" w:type="dxa"/>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100,0</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95,4 </w:t>
            </w:r>
          </w:p>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102,4 </w:t>
            </w:r>
          </w:p>
        </w:tc>
      </w:tr>
    </w:tbl>
    <w:p w:rsidR="00BD0BF2" w:rsidRPr="004E3FE9" w:rsidRDefault="002F7F35"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Примітка. * - р&lt;0,01</w:t>
      </w:r>
      <w:r w:rsidR="00BD0BF2" w:rsidRPr="004E3FE9">
        <w:rPr>
          <w:rFonts w:ascii="Times New Roman" w:hAnsi="Times New Roman" w:cs="Times New Roman"/>
          <w:sz w:val="28"/>
          <w:szCs w:val="28"/>
          <w:lang w:val="uk-UA"/>
        </w:rPr>
        <w:t>- різниця вірогідна з показником дітей групи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Аналогічна ситуація спостерігалась у дітей із шкірно-суглобовою формою ГВ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(12,83 (11,52;14,45) мкмоль/л,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34,74 (30,31;44,93) мкмоль/л, S-нітрозотіол (0,53 (0,32;0,60) ммоль/л, фактор Віллебранда (154,92 (137,61;169,01) %). У дітей зі змішаною формою захворювання рівні метаболітів азоту залишались на рівні нормальних при порівнянні з показниками групи контролю, а вміст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продовжував зростати (175,34 (155,61;185,31) %). При вивченні вищенаведених показників у дітей зі змішаною формою та нирковим синдромом, зясовано, що рівні метаболітів оксиду азоту знизились майже вдвічі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(6,76 (5,64;6,94) мкмоль/л,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(14,62 (13,86;14,79) мкмоль/л,), а рівень S-нітрозотіолу – втричі (0,11 (0,09;0,15) ммоль/л) в порівнянні з показниками групи контролю. Рівень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підвищувався більш ніж в півтора рази в порівнянні з показниками групи контролю (188,96 (188,34;194,56)%).</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 табл. 4.3 наведені отримані результати біохімічних показників дисфункції ендотелію в залежності від ступеня активності патологічного процесу в гострий період захворювання. </w:t>
      </w:r>
    </w:p>
    <w:p w:rsidR="004F59FF" w:rsidRPr="004E3FE9" w:rsidRDefault="00BD0BF2" w:rsidP="004F59FF">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Аналізуючи показники в залежності від ступеня активності патологічного процесу методом множинного порівняння р</w:t>
      </w:r>
      <w:r w:rsidR="00B40288">
        <w:rPr>
          <w:rFonts w:ascii="Times New Roman" w:hAnsi="Times New Roman" w:cs="Times New Roman"/>
          <w:sz w:val="28"/>
          <w:szCs w:val="28"/>
          <w:lang w:val="uk-UA"/>
        </w:rPr>
        <w:t>івнів показників критерій Краск</w:t>
      </w:r>
      <w:r w:rsidRPr="004E3FE9">
        <w:rPr>
          <w:rFonts w:ascii="Times New Roman" w:hAnsi="Times New Roman" w:cs="Times New Roman"/>
          <w:sz w:val="28"/>
          <w:szCs w:val="28"/>
          <w:lang w:val="uk-UA"/>
        </w:rPr>
        <w:t>ла-Уолліса (Н) за всіма параметрами високо значущий, а саме: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 Н=44,2, р=0,0000,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 Н=59,1, р=0,0000, S-нітрозотіол – Н= 59,5, р=0,0000, фактор Віл</w:t>
      </w:r>
      <w:r w:rsidR="009A67C0" w:rsidRPr="004E3FE9">
        <w:rPr>
          <w:rFonts w:ascii="Times New Roman" w:hAnsi="Times New Roman" w:cs="Times New Roman"/>
          <w:sz w:val="28"/>
          <w:szCs w:val="28"/>
          <w:lang w:val="uk-UA"/>
        </w:rPr>
        <w:t>л</w:t>
      </w:r>
      <w:r w:rsidRPr="004E3FE9">
        <w:rPr>
          <w:rFonts w:ascii="Times New Roman" w:hAnsi="Times New Roman" w:cs="Times New Roman"/>
          <w:sz w:val="28"/>
          <w:szCs w:val="28"/>
          <w:lang w:val="uk-UA"/>
        </w:rPr>
        <w:t>ебранда – Н=66,8, р=0,0000. Наведені дані дають право стверджувати, що статистичні характеристики  відповідних показників різних груп статистично значуще відрізняються між собою, а рівень лабораторних показників, що досліджувалися, залежить від належності пацієнта до тієї чи іншої групи ступеня активності процесу.</w:t>
      </w:r>
      <w:r w:rsidR="004F59FF" w:rsidRPr="004E3FE9">
        <w:rPr>
          <w:rFonts w:ascii="Times New Roman" w:hAnsi="Times New Roman" w:cs="Times New Roman"/>
          <w:sz w:val="28"/>
          <w:szCs w:val="28"/>
          <w:lang w:val="uk-UA"/>
        </w:rPr>
        <w:t xml:space="preserve"> </w:t>
      </w:r>
    </w:p>
    <w:p w:rsidR="00BD0BF2" w:rsidRPr="004E3FE9" w:rsidRDefault="00BD0BF2" w:rsidP="004F59FF">
      <w:pPr>
        <w:spacing w:line="360" w:lineRule="auto"/>
        <w:ind w:right="142" w:firstLine="709"/>
        <w:contextualSpacing/>
        <w:jc w:val="both"/>
        <w:rPr>
          <w:rFonts w:ascii="Times New Roman" w:hAnsi="Times New Roman" w:cs="Times New Roman"/>
          <w:sz w:val="28"/>
          <w:szCs w:val="28"/>
          <w:lang w:val="uk-UA"/>
        </w:rPr>
      </w:pPr>
    </w:p>
    <w:p w:rsidR="004F59FF" w:rsidRPr="004E3FE9" w:rsidRDefault="004F59FF" w:rsidP="004F59FF">
      <w:pPr>
        <w:spacing w:line="360" w:lineRule="auto"/>
        <w:ind w:right="142" w:firstLine="709"/>
        <w:contextualSpacing/>
        <w:jc w:val="both"/>
        <w:rPr>
          <w:rFonts w:ascii="Times New Roman" w:hAnsi="Times New Roman" w:cs="Times New Roman"/>
          <w:sz w:val="28"/>
          <w:szCs w:val="28"/>
          <w:lang w:val="uk-UA"/>
        </w:rPr>
      </w:pPr>
    </w:p>
    <w:p w:rsidR="004F59FF" w:rsidRPr="004E3FE9" w:rsidRDefault="004F59FF" w:rsidP="004F59FF">
      <w:pPr>
        <w:spacing w:line="360" w:lineRule="auto"/>
        <w:ind w:right="142" w:firstLine="709"/>
        <w:contextualSpacing/>
        <w:jc w:val="both"/>
        <w:rPr>
          <w:rFonts w:ascii="Times New Roman" w:hAnsi="Times New Roman" w:cs="Times New Roman"/>
          <w:sz w:val="28"/>
          <w:szCs w:val="28"/>
          <w:lang w:val="uk-UA"/>
        </w:rPr>
      </w:pPr>
    </w:p>
    <w:p w:rsidR="004F59FF" w:rsidRPr="004E3FE9" w:rsidRDefault="004F59FF" w:rsidP="004F59FF">
      <w:pPr>
        <w:spacing w:line="360" w:lineRule="auto"/>
        <w:ind w:right="142" w:firstLine="709"/>
        <w:contextualSpacing/>
        <w:jc w:val="both"/>
        <w:rPr>
          <w:rFonts w:ascii="Times New Roman" w:hAnsi="Times New Roman" w:cs="Times New Roman"/>
          <w:sz w:val="28"/>
          <w:szCs w:val="28"/>
          <w:lang w:val="uk-UA"/>
        </w:rPr>
      </w:pPr>
    </w:p>
    <w:p w:rsidR="004F59FF" w:rsidRPr="004E3FE9" w:rsidRDefault="004F59FF" w:rsidP="004F59FF">
      <w:pPr>
        <w:spacing w:line="360" w:lineRule="auto"/>
        <w:ind w:right="142" w:firstLine="709"/>
        <w:contextualSpacing/>
        <w:jc w:val="both"/>
        <w:rPr>
          <w:rFonts w:ascii="Times New Roman" w:hAnsi="Times New Roman" w:cs="Times New Roman"/>
          <w:sz w:val="28"/>
          <w:szCs w:val="28"/>
          <w:lang w:val="uk-UA"/>
        </w:rPr>
      </w:pPr>
    </w:p>
    <w:p w:rsidR="00BD0BF2" w:rsidRPr="00B40288" w:rsidRDefault="00BD0BF2" w:rsidP="00BD0BF2">
      <w:pPr>
        <w:spacing w:line="360" w:lineRule="auto"/>
        <w:ind w:right="141"/>
        <w:contextualSpacing/>
        <w:jc w:val="right"/>
        <w:rPr>
          <w:rFonts w:ascii="Times New Roman" w:hAnsi="Times New Roman" w:cs="Times New Roman"/>
          <w:i/>
          <w:sz w:val="28"/>
          <w:szCs w:val="28"/>
          <w:lang w:val="uk-UA"/>
        </w:rPr>
      </w:pPr>
      <w:r w:rsidRPr="00B40288">
        <w:rPr>
          <w:rFonts w:ascii="Times New Roman" w:hAnsi="Times New Roman" w:cs="Times New Roman"/>
          <w:i/>
          <w:sz w:val="28"/>
          <w:szCs w:val="28"/>
          <w:lang w:val="uk-UA"/>
        </w:rPr>
        <w:lastRenderedPageBreak/>
        <w:t>Таблиця 4.3</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Показники метаболітів оксиду азоту, </w:t>
      </w:r>
      <w:r w:rsidR="004F59FF" w:rsidRPr="004E3FE9">
        <w:rPr>
          <w:rFonts w:ascii="Times New Roman" w:hAnsi="Times New Roman" w:cs="Times New Roman"/>
          <w:b/>
          <w:sz w:val="28"/>
          <w:szCs w:val="28"/>
          <w:lang w:val="uk-UA"/>
        </w:rPr>
        <w:t>фактору Віллебранда</w:t>
      </w:r>
      <w:r w:rsidRPr="004E3FE9">
        <w:rPr>
          <w:rFonts w:ascii="Times New Roman" w:hAnsi="Times New Roman" w:cs="Times New Roman"/>
          <w:b/>
          <w:sz w:val="28"/>
          <w:szCs w:val="28"/>
          <w:lang w:val="uk-UA"/>
        </w:rPr>
        <w:t xml:space="preserve"> у дітей в залежності від ступеня активності геморагічного васкуліту в гострий період захворювання</w:t>
      </w:r>
      <w:r w:rsidR="00FE0329">
        <w:rPr>
          <w:rFonts w:ascii="Times New Roman" w:hAnsi="Times New Roman" w:cs="Times New Roman"/>
          <w:b/>
          <w:sz w:val="28"/>
          <w:szCs w:val="28"/>
          <w:lang w:val="uk-UA"/>
        </w:rPr>
        <w:t>, (Me(Lq;Uq))</w:t>
      </w:r>
    </w:p>
    <w:tbl>
      <w:tblPr>
        <w:tblStyle w:val="a8"/>
        <w:tblW w:w="9464" w:type="dxa"/>
        <w:tblLayout w:type="fixed"/>
        <w:tblLook w:val="04A0"/>
      </w:tblPr>
      <w:tblGrid>
        <w:gridCol w:w="1951"/>
        <w:gridCol w:w="992"/>
        <w:gridCol w:w="1701"/>
        <w:gridCol w:w="1701"/>
        <w:gridCol w:w="1701"/>
        <w:gridCol w:w="1418"/>
      </w:tblGrid>
      <w:tr w:rsidR="00BD0BF2" w:rsidRPr="004E3FE9" w:rsidTr="00721EA2">
        <w:trPr>
          <w:trHeight w:val="964"/>
        </w:trPr>
        <w:tc>
          <w:tcPr>
            <w:tcW w:w="1951" w:type="dxa"/>
            <w:vMerge w:val="restart"/>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992" w:type="dxa"/>
            <w:vMerge w:val="restart"/>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103" w:type="dxa"/>
            <w:gridSpan w:val="3"/>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1418" w:type="dxa"/>
            <w:vMerge w:val="restart"/>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tc>
      </w:tr>
      <w:tr w:rsidR="00BD0BF2" w:rsidRPr="004E3FE9" w:rsidTr="00721EA2">
        <w:trPr>
          <w:trHeight w:val="1010"/>
        </w:trPr>
        <w:tc>
          <w:tcPr>
            <w:tcW w:w="1951" w:type="dxa"/>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992" w:type="dxa"/>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418" w:type="dxa"/>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r w:rsidR="00BD0BF2" w:rsidRPr="004E3FE9" w:rsidTr="00721EA2">
        <w:trPr>
          <w:trHeight w:val="1569"/>
        </w:trPr>
        <w:tc>
          <w:tcPr>
            <w:tcW w:w="195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99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13,45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12,39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14,78</w:t>
            </w:r>
          </w:p>
        </w:tc>
        <w:tc>
          <w:tcPr>
            <w:tcW w:w="1701" w:type="dxa"/>
            <w:vAlign w:val="center"/>
          </w:tcPr>
          <w:p w:rsidR="00BD0BF2" w:rsidRPr="004E3FE9" w:rsidRDefault="00D6233C"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13,78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14,64</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6,54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5,24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6,96*,**</w:t>
            </w:r>
          </w:p>
        </w:tc>
        <w:tc>
          <w:tcPr>
            <w:tcW w:w="141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12,79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12,35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14,00</w:t>
            </w:r>
          </w:p>
        </w:tc>
      </w:tr>
      <w:tr w:rsidR="00BD0BF2" w:rsidRPr="004E3FE9" w:rsidTr="00721EA2">
        <w:tc>
          <w:tcPr>
            <w:tcW w:w="195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99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44,27</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33,42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46,78*</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44,93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36,14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51,24*</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13,98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13,21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14,73*,**</w:t>
            </w:r>
          </w:p>
        </w:tc>
        <w:tc>
          <w:tcPr>
            <w:tcW w:w="141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30,93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28,79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32,05</w:t>
            </w:r>
          </w:p>
        </w:tc>
      </w:tr>
      <w:tr w:rsidR="00BD0BF2" w:rsidRPr="004E3FE9" w:rsidTr="00721EA2">
        <w:tc>
          <w:tcPr>
            <w:tcW w:w="195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 ммоль/л</w:t>
            </w:r>
          </w:p>
        </w:tc>
        <w:tc>
          <w:tcPr>
            <w:tcW w:w="99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0,69*</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0,64*</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0,11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0,18*,**</w:t>
            </w:r>
          </w:p>
        </w:tc>
        <w:tc>
          <w:tcPr>
            <w:tcW w:w="141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0,36</w:t>
            </w:r>
          </w:p>
        </w:tc>
      </w:tr>
      <w:tr w:rsidR="00BD0BF2" w:rsidRPr="004E3FE9" w:rsidTr="00721EA2">
        <w:tc>
          <w:tcPr>
            <w:tcW w:w="195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 %</w:t>
            </w:r>
          </w:p>
        </w:tc>
        <w:tc>
          <w:tcPr>
            <w:tcW w:w="99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136,58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129,30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140,52*</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168,68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159,03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175,51*</w:t>
            </w:r>
          </w:p>
        </w:tc>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188,96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175,46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195,76*,**</w:t>
            </w:r>
          </w:p>
        </w:tc>
        <w:tc>
          <w:tcPr>
            <w:tcW w:w="141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95,4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102,4</w:t>
            </w:r>
          </w:p>
        </w:tc>
      </w:tr>
    </w:tbl>
    <w:p w:rsidR="00BD0BF2" w:rsidRPr="004E3FE9" w:rsidRDefault="002F7F35" w:rsidP="004F59FF">
      <w:pPr>
        <w:tabs>
          <w:tab w:val="left" w:pos="6660"/>
        </w:tabs>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Примітки: * - р&lt;0,01</w:t>
      </w:r>
      <w:r w:rsidR="00BD0BF2" w:rsidRPr="004E3FE9">
        <w:rPr>
          <w:rFonts w:ascii="Times New Roman" w:hAnsi="Times New Roman" w:cs="Times New Roman"/>
          <w:sz w:val="28"/>
          <w:szCs w:val="28"/>
          <w:lang w:val="uk-UA"/>
        </w:rPr>
        <w:t>- різниця вірогідна відносно показників діте</w:t>
      </w:r>
      <w:r w:rsidRPr="004E3FE9">
        <w:rPr>
          <w:rFonts w:ascii="Times New Roman" w:hAnsi="Times New Roman" w:cs="Times New Roman"/>
          <w:sz w:val="28"/>
          <w:szCs w:val="28"/>
          <w:lang w:val="uk-UA"/>
        </w:rPr>
        <w:t>й контрольної групи; ** - р&lt;0,01</w:t>
      </w:r>
      <w:r w:rsidR="00BD0BF2" w:rsidRPr="004E3FE9">
        <w:rPr>
          <w:rFonts w:ascii="Times New Roman" w:hAnsi="Times New Roman" w:cs="Times New Roman"/>
          <w:sz w:val="28"/>
          <w:szCs w:val="28"/>
          <w:lang w:val="uk-UA"/>
        </w:rPr>
        <w:t>- різниця вірогідна відносно показників пацієнтів з І та ІІ ступенем активності.</w:t>
      </w:r>
    </w:p>
    <w:p w:rsidR="004F59FF" w:rsidRPr="004E3FE9" w:rsidRDefault="004F59FF" w:rsidP="004F59FF">
      <w:pPr>
        <w:tabs>
          <w:tab w:val="left" w:pos="6660"/>
        </w:tabs>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Під час міжгрупового попарного порівняння рівнів цих показників встановлено, що статистична значущість відсутня у дітей з ГВ з І та ІІ ступенями активності за показниками метаболітів оксиду азоту та визначена серед інших показників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(MW U Test: p</w:t>
      </w:r>
      <w:r w:rsidRPr="004E3FE9">
        <w:rPr>
          <w:rFonts w:ascii="Times New Roman" w:hAnsi="Times New Roman" w:cs="Times New Roman"/>
          <w:sz w:val="28"/>
          <w:szCs w:val="28"/>
          <w:vertAlign w:val="subscript"/>
          <w:lang w:val="uk-UA"/>
        </w:rPr>
        <w:t>1-2</w:t>
      </w:r>
      <w:r w:rsidRPr="004E3FE9">
        <w:rPr>
          <w:rFonts w:ascii="Times New Roman" w:hAnsi="Times New Roman" w:cs="Times New Roman"/>
          <w:sz w:val="28"/>
          <w:szCs w:val="28"/>
          <w:lang w:val="uk-UA"/>
        </w:rPr>
        <w:t>=0,063, p</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=0,168, p</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=0,089, p</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=0,000),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(MW U Test: p</w:t>
      </w:r>
      <w:r w:rsidRPr="004E3FE9">
        <w:rPr>
          <w:rFonts w:ascii="Times New Roman" w:hAnsi="Times New Roman" w:cs="Times New Roman"/>
          <w:sz w:val="28"/>
          <w:szCs w:val="28"/>
          <w:vertAlign w:val="subscript"/>
          <w:lang w:val="uk-UA"/>
        </w:rPr>
        <w:t>1-</w:t>
      </w:r>
      <w:r w:rsidRPr="004E3FE9">
        <w:rPr>
          <w:rFonts w:ascii="Times New Roman" w:hAnsi="Times New Roman" w:cs="Times New Roman"/>
          <w:sz w:val="28"/>
          <w:szCs w:val="28"/>
          <w:lang w:val="uk-UA"/>
        </w:rPr>
        <w:t>=0,020, p</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 xml:space="preserve">=0,000, </w:t>
      </w:r>
      <w:r w:rsidR="00FE032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p</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 xml:space="preserve">=0,000), S-нітрозотіол (MW U Test: </w:t>
      </w:r>
      <w:r w:rsidR="00FE032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lastRenderedPageBreak/>
        <w:t>p</w:t>
      </w:r>
      <w:r w:rsidRPr="004E3FE9">
        <w:rPr>
          <w:rFonts w:ascii="Times New Roman" w:hAnsi="Times New Roman" w:cs="Times New Roman"/>
          <w:sz w:val="28"/>
          <w:szCs w:val="28"/>
          <w:vertAlign w:val="subscript"/>
          <w:lang w:val="uk-UA"/>
        </w:rPr>
        <w:t>1-2</w:t>
      </w:r>
      <w:r w:rsidRPr="004E3FE9">
        <w:rPr>
          <w:rFonts w:ascii="Times New Roman" w:hAnsi="Times New Roman" w:cs="Times New Roman"/>
          <w:sz w:val="28"/>
          <w:szCs w:val="28"/>
          <w:lang w:val="uk-UA"/>
        </w:rPr>
        <w:t>=0,229, p</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=0,000), фактор Віллебранда (MW U Test: p</w:t>
      </w:r>
      <w:r w:rsidRPr="004E3FE9">
        <w:rPr>
          <w:rFonts w:ascii="Times New Roman" w:hAnsi="Times New Roman" w:cs="Times New Roman"/>
          <w:sz w:val="28"/>
          <w:szCs w:val="28"/>
          <w:vertAlign w:val="subscript"/>
          <w:lang w:val="uk-UA"/>
        </w:rPr>
        <w:t>1-2</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 xml:space="preserve">=0,000, </w:t>
      </w:r>
      <w:r w:rsidR="00FE032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p</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=0,000, p</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=0,000).</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З’ясовано, що у дітей з І та ІІ ступенем активності рівень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не відрізняється від рівнів показників групи контролю, а у дітей з ІІІ ступенем активності зафіксоване зменшення рівнів його вдвічі відносно дітей групи контролю (рис. 4.1). Дані, отримані при аналізі показників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та S-нітрозотіолу, свідчать, що у дітей з мінімальним та середнім ступенем активності ГВ рівні майже вдвічі вищі за рівні у дітей групи контролю (44,27(33,42;46,78) мкмоль/л, 0,64(0,52;0,69) ммоль/л та 44,93(36,14;51,24) мкмоль/л, 0,55(0,48;0,64) ммоль/л відповідно), та навпаки у дітей з ІІІ ступенем активності значне зменшення рівнів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та S-нітрозотіолу (13,98(13,21;14,73) мкмоль/л, 0,11(0,08;0,18) ммоль/л, відповідно) (рис.4.2, 4.3).</w:t>
      </w:r>
    </w:p>
    <w:p w:rsidR="004F59FF" w:rsidRPr="004E3FE9" w:rsidRDefault="004F59FF" w:rsidP="00BD0BF2">
      <w:pPr>
        <w:spacing w:line="360" w:lineRule="auto"/>
        <w:ind w:right="142"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drawing>
          <wp:inline distT="0" distB="0" distL="0" distR="0">
            <wp:extent cx="5948104" cy="298886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2 ОП степень.jp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986597"/>
                    </a:xfrm>
                    <a:prstGeom prst="rect">
                      <a:avLst/>
                    </a:prstGeom>
                  </pic:spPr>
                </pic:pic>
              </a:graphicData>
            </a:graphic>
          </wp:inline>
        </w:drawing>
      </w:r>
    </w:p>
    <w:p w:rsidR="004F59FF" w:rsidRPr="004E3FE9" w:rsidRDefault="00BD0BF2" w:rsidP="004F59FF">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4.1 Рівень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в сироватці крові у дітей, хворих на геморагічний васкуліт, в гострий період захворювання в залежності від активності процесу. Примітка: тут і на рис 4.2, 4.3, 4.4, 4.5, 4.6, 4.7 – І, ІІ, ІІІ – ступінь активності геморагічного васкуліту.</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Підвищення концентрації метаболітів оксиду азоту в сироватці крові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S-нітрозотіол) у дітей, хворих на геморагічний васкуліт з мінімальним та середнім ступенем активності патологічного процесу в гострий період захворювання, ймовірно, пов’язано в умовах розпалу патологічного процесу з компенсаторною реакцією організму, спрямованої на дилатацію мікроциркуляторного русла, з метою виведення з поверхні ендотелію ЦІК та продуктів гіперкоагуляції за рахунок активації ендотеліальної NOS.</w:t>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drawing>
          <wp:inline distT="0" distB="0" distL="0" distR="0">
            <wp:extent cx="5950424" cy="2947916"/>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3 ОП степень.jp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57079" cy="2951213"/>
                    </a:xfrm>
                    <a:prstGeom prst="rect">
                      <a:avLst/>
                    </a:prstGeom>
                  </pic:spPr>
                </pic:pic>
              </a:graphicData>
            </a:graphic>
          </wp:inline>
        </w:drawing>
      </w:r>
    </w:p>
    <w:p w:rsidR="004F59FF" w:rsidRPr="004E3FE9" w:rsidRDefault="00BD0BF2" w:rsidP="004F59FF">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4.2 Рівень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в сироватці крові у дітей, хворих на геморагічний васкуліт, в гострий період захворювання в залежності від активності процесу.</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Аналізуючи отримані результати, слід відмітити, що простежувалась чітка залежність рівнів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в сироватці крові від важкості перебігу захво</w:t>
      </w:r>
      <w:r w:rsidR="004D1003" w:rsidRPr="004E3FE9">
        <w:rPr>
          <w:rFonts w:ascii="Times New Roman" w:hAnsi="Times New Roman" w:cs="Times New Roman"/>
          <w:sz w:val="28"/>
          <w:szCs w:val="28"/>
          <w:lang w:val="uk-UA"/>
        </w:rPr>
        <w:t xml:space="preserve">рювання. Так, в гострий період </w:t>
      </w:r>
      <w:r w:rsidRPr="004E3FE9">
        <w:rPr>
          <w:rFonts w:ascii="Times New Roman" w:hAnsi="Times New Roman" w:cs="Times New Roman"/>
          <w:sz w:val="28"/>
          <w:szCs w:val="28"/>
          <w:lang w:val="uk-UA"/>
        </w:rPr>
        <w:t>рівень ФВ було підвищено у всіх хворих, від першого до третього ступеня активності патологічного процесу. Разом з тим, слід вказати, що найбільш значиме підвищення його рівня реєстрували у хворих з максимальним ступенем активності (188,96(175,46;195,76)%), що майже вдвічі вище, ніж у дітей групи контролю (рис. 4.4).</w:t>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drawing>
          <wp:inline distT="0" distB="0" distL="0" distR="0">
            <wp:extent cx="5895833" cy="2988860"/>
            <wp:effectExtent l="0" t="0" r="0"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итрозотиол ОП степень.jpg"/>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01705" cy="2991837"/>
                    </a:xfrm>
                    <a:prstGeom prst="rect">
                      <a:avLst/>
                    </a:prstGeom>
                  </pic:spPr>
                </pic:pic>
              </a:graphicData>
            </a:graphic>
          </wp:inline>
        </w:drawing>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4.3 Рівень S-нітрозотіолу в сироватці крові у дітей, хворих на геморагічний васкуліт, в гострий період захворювання в залежності від активності процесу.</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drawing>
          <wp:inline distT="0" distB="0" distL="0" distR="0">
            <wp:extent cx="5868537" cy="2893325"/>
            <wp:effectExtent l="0" t="0" r="0"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В ОП степень.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874384" cy="2896208"/>
                    </a:xfrm>
                    <a:prstGeom prst="rect">
                      <a:avLst/>
                    </a:prstGeom>
                  </pic:spPr>
                </pic:pic>
              </a:graphicData>
            </a:graphic>
          </wp:inline>
        </w:drawing>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object w:dxaOrig="1" w:dyaOrig="1">
          <v:shape id="_x0000_i1027" type="#_x0000_t75" style="width:.75pt;height:.75pt" o:ole="">
            <v:imagedata r:id="rId15" o:title=""/>
          </v:shape>
          <o:OLEObject Type="Embed" ProgID="STATISTICA.Graph" ShapeID="_x0000_i1027" DrawAspect="Content" ObjectID="_1551694210" r:id="rId16">
            <o:FieldCodes>\s</o:FieldCodes>
          </o:OLEObject>
        </w:object>
      </w:r>
      <w:r w:rsidRPr="004E3FE9">
        <w:rPr>
          <w:rFonts w:ascii="Times New Roman" w:hAnsi="Times New Roman" w:cs="Times New Roman"/>
          <w:sz w:val="28"/>
          <w:szCs w:val="28"/>
          <w:lang w:val="uk-UA"/>
        </w:rPr>
        <w:t>Рисунок 4.4 Рівень фактору Віллебранда в сироватці крові у дітей, хворих на геморагічний васкуліт, в гострий період захворювання в залежності від активності процесу.</w:t>
      </w:r>
    </w:p>
    <w:p w:rsidR="004F59FF" w:rsidRPr="004E3FE9" w:rsidRDefault="004F59FF" w:rsidP="00BD0BF2">
      <w:pPr>
        <w:spacing w:line="360" w:lineRule="auto"/>
        <w:ind w:right="142"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Пров</w:t>
      </w:r>
      <w:r w:rsidR="00FE0329">
        <w:rPr>
          <w:rFonts w:ascii="Times New Roman" w:hAnsi="Times New Roman" w:cs="Times New Roman"/>
          <w:sz w:val="28"/>
          <w:szCs w:val="28"/>
          <w:lang w:val="uk-UA"/>
        </w:rPr>
        <w:t>едено дисперсійний аналіз Краск</w:t>
      </w:r>
      <w:r w:rsidRPr="004E3FE9">
        <w:rPr>
          <w:rFonts w:ascii="Times New Roman" w:hAnsi="Times New Roman" w:cs="Times New Roman"/>
          <w:sz w:val="28"/>
          <w:szCs w:val="28"/>
          <w:lang w:val="uk-UA"/>
        </w:rPr>
        <w:t>ла-Уолліса для множинного та Мана-Уітні для попарного порівнянь статистичних характеристик біохімічних показників функції ендотелію судин в сироватці крові у дітей, хворих на ГВ в залежності від форми захворювання, дані яких наведені в табл. 4.</w:t>
      </w:r>
      <w:r w:rsidR="00AA5451">
        <w:rPr>
          <w:rFonts w:ascii="Times New Roman" w:hAnsi="Times New Roman" w:cs="Times New Roman"/>
          <w:sz w:val="28"/>
          <w:szCs w:val="28"/>
          <w:lang w:val="uk-UA"/>
        </w:rPr>
        <w:t>4. Зазначимо, що критерій Краск</w:t>
      </w:r>
      <w:r w:rsidRPr="004E3FE9">
        <w:rPr>
          <w:rFonts w:ascii="Times New Roman" w:hAnsi="Times New Roman" w:cs="Times New Roman"/>
          <w:sz w:val="28"/>
          <w:szCs w:val="28"/>
          <w:lang w:val="uk-UA"/>
        </w:rPr>
        <w:t>ла-Уолліса Н за вказаними параметрами високо значущий. Це дає нам змогу стверджувати, що його статистичні характеристики у хворих при різних формах ГВ та показників групи контролю суттєво (статистично значуще) відрізняються між собою.</w:t>
      </w:r>
    </w:p>
    <w:p w:rsidR="00BD0BF2" w:rsidRPr="00B40288" w:rsidRDefault="00BD0BF2" w:rsidP="00BD0BF2">
      <w:pPr>
        <w:spacing w:line="360" w:lineRule="auto"/>
        <w:ind w:right="141"/>
        <w:contextualSpacing/>
        <w:jc w:val="right"/>
        <w:rPr>
          <w:rFonts w:ascii="Times New Roman" w:hAnsi="Times New Roman" w:cs="Times New Roman"/>
          <w:i/>
          <w:sz w:val="28"/>
          <w:szCs w:val="28"/>
          <w:lang w:val="uk-UA"/>
        </w:rPr>
      </w:pPr>
      <w:r w:rsidRPr="00B40288">
        <w:rPr>
          <w:rFonts w:ascii="Times New Roman" w:hAnsi="Times New Roman" w:cs="Times New Roman"/>
          <w:i/>
          <w:sz w:val="28"/>
          <w:szCs w:val="28"/>
          <w:lang w:val="uk-UA"/>
        </w:rPr>
        <w:t>Таблиця 4.4</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Статистичні характеристики множинного та попарного порівняння рівнів NO</w:t>
      </w:r>
      <w:r w:rsidRPr="004E3FE9">
        <w:rPr>
          <w:rFonts w:ascii="Times New Roman" w:hAnsi="Times New Roman" w:cs="Times New Roman"/>
          <w:b/>
          <w:sz w:val="28"/>
          <w:szCs w:val="28"/>
          <w:vertAlign w:val="subscript"/>
          <w:lang w:val="uk-UA"/>
        </w:rPr>
        <w:t>2</w:t>
      </w:r>
      <w:r w:rsidRPr="004E3FE9">
        <w:rPr>
          <w:rFonts w:ascii="Times New Roman" w:hAnsi="Times New Roman" w:cs="Times New Roman"/>
          <w:b/>
          <w:sz w:val="28"/>
          <w:szCs w:val="28"/>
          <w:lang w:val="uk-UA"/>
        </w:rPr>
        <w:t>, NO</w:t>
      </w:r>
      <w:r w:rsidRPr="004E3FE9">
        <w:rPr>
          <w:rFonts w:ascii="Times New Roman" w:hAnsi="Times New Roman" w:cs="Times New Roman"/>
          <w:b/>
          <w:sz w:val="28"/>
          <w:szCs w:val="28"/>
          <w:vertAlign w:val="subscript"/>
          <w:lang w:val="uk-UA"/>
        </w:rPr>
        <w:t>3</w:t>
      </w:r>
      <w:r w:rsidRPr="004E3FE9">
        <w:rPr>
          <w:rFonts w:ascii="Times New Roman" w:hAnsi="Times New Roman" w:cs="Times New Roman"/>
          <w:b/>
          <w:sz w:val="28"/>
          <w:szCs w:val="28"/>
          <w:lang w:val="uk-UA"/>
        </w:rPr>
        <w:t xml:space="preserve">, S-нітрозотіолу, </w:t>
      </w:r>
      <w:r w:rsidR="009A67C0" w:rsidRPr="004E3FE9">
        <w:rPr>
          <w:rFonts w:ascii="Times New Roman" w:hAnsi="Times New Roman" w:cs="Times New Roman"/>
          <w:b/>
          <w:sz w:val="28"/>
          <w:szCs w:val="28"/>
          <w:lang w:val="uk-UA"/>
        </w:rPr>
        <w:t>ФВ</w:t>
      </w:r>
      <w:r w:rsidRPr="004E3FE9">
        <w:rPr>
          <w:rFonts w:ascii="Times New Roman" w:hAnsi="Times New Roman" w:cs="Times New Roman"/>
          <w:b/>
          <w:sz w:val="28"/>
          <w:szCs w:val="28"/>
          <w:lang w:val="uk-UA"/>
        </w:rPr>
        <w:t xml:space="preserve"> в сироватці крові дітей, хворих на ГВ в залежності від форми захворювання.</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77"/>
        <w:gridCol w:w="824"/>
        <w:gridCol w:w="1913"/>
        <w:gridCol w:w="1914"/>
        <w:gridCol w:w="1914"/>
        <w:gridCol w:w="1914"/>
      </w:tblGrid>
      <w:tr w:rsidR="00BD0BF2" w:rsidRPr="004E3FE9" w:rsidTr="00721EA2">
        <w:trPr>
          <w:trHeight w:val="640"/>
        </w:trPr>
        <w:tc>
          <w:tcPr>
            <w:tcW w:w="1701" w:type="dxa"/>
            <w:gridSpan w:val="2"/>
            <w:shd w:val="clear" w:color="auto" w:fill="auto"/>
            <w:vAlign w:val="center"/>
          </w:tcPr>
          <w:p w:rsidR="00BD0BF2" w:rsidRPr="004E3FE9" w:rsidRDefault="00BD0BF2" w:rsidP="00721EA2">
            <w:pPr>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Статистичні критерії порівняння</w:t>
            </w:r>
          </w:p>
        </w:tc>
        <w:tc>
          <w:tcPr>
            <w:tcW w:w="1913"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w:t>
            </w:r>
          </w:p>
        </w:tc>
      </w:tr>
      <w:tr w:rsidR="00BD0BF2" w:rsidRPr="004E3FE9" w:rsidTr="00721EA2">
        <w:tc>
          <w:tcPr>
            <w:tcW w:w="877" w:type="dxa"/>
            <w:vMerge w:val="restart"/>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KW</w:t>
            </w:r>
          </w:p>
        </w:tc>
        <w:tc>
          <w:tcPr>
            <w:tcW w:w="824"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H</w:t>
            </w:r>
          </w:p>
        </w:tc>
        <w:tc>
          <w:tcPr>
            <w:tcW w:w="1913"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18,7</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27,3</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29,7</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49,8</w:t>
            </w:r>
          </w:p>
        </w:tc>
      </w:tr>
      <w:tr w:rsidR="00BD0BF2" w:rsidRPr="004E3FE9" w:rsidTr="00721EA2">
        <w:tc>
          <w:tcPr>
            <w:tcW w:w="877" w:type="dxa"/>
            <w:vMerge/>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824"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w:t>
            </w:r>
          </w:p>
        </w:tc>
        <w:tc>
          <w:tcPr>
            <w:tcW w:w="1913"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р=0,0009*</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р=0,0000*</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р=0,0000*</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р=0,0000*</w:t>
            </w:r>
          </w:p>
        </w:tc>
      </w:tr>
      <w:tr w:rsidR="00BD0BF2" w:rsidRPr="004E3FE9" w:rsidTr="00721EA2">
        <w:tc>
          <w:tcPr>
            <w:tcW w:w="877"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MW</w:t>
            </w:r>
          </w:p>
        </w:tc>
        <w:tc>
          <w:tcPr>
            <w:tcW w:w="824"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w:t>
            </w:r>
          </w:p>
        </w:tc>
        <w:tc>
          <w:tcPr>
            <w:tcW w:w="1913"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1-2</w:t>
            </w:r>
            <w:r w:rsidRPr="004E3FE9">
              <w:rPr>
                <w:rFonts w:ascii="Times New Roman" w:hAnsi="Times New Roman" w:cs="Times New Roman"/>
                <w:sz w:val="28"/>
                <w:szCs w:val="28"/>
                <w:lang w:val="uk-UA"/>
              </w:rPr>
              <w:t>=0,1121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=0,2536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1-4</w:t>
            </w:r>
            <w:r w:rsidRPr="004E3FE9">
              <w:rPr>
                <w:rFonts w:ascii="Times New Roman" w:hAnsi="Times New Roman" w:cs="Times New Roman"/>
                <w:sz w:val="28"/>
                <w:szCs w:val="28"/>
                <w:lang w:val="uk-UA"/>
              </w:rPr>
              <w:t>=0,0005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=0,9415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2-4</w:t>
            </w:r>
            <w:r w:rsidRPr="004E3FE9">
              <w:rPr>
                <w:rFonts w:ascii="Times New Roman" w:hAnsi="Times New Roman" w:cs="Times New Roman"/>
                <w:sz w:val="28"/>
                <w:szCs w:val="28"/>
                <w:lang w:val="uk-UA"/>
              </w:rPr>
              <w:t>=0,0004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3-4</w:t>
            </w:r>
            <w:r w:rsidRPr="004E3FE9">
              <w:rPr>
                <w:rFonts w:ascii="Times New Roman" w:hAnsi="Times New Roman" w:cs="Times New Roman"/>
                <w:sz w:val="28"/>
                <w:szCs w:val="28"/>
                <w:lang w:val="uk-UA"/>
              </w:rPr>
              <w:t>=0,0078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=0,1298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=0,8530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=0,9873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к-4</w:t>
            </w:r>
            <w:r w:rsidRPr="004E3FE9">
              <w:rPr>
                <w:rFonts w:ascii="Times New Roman" w:hAnsi="Times New Roman" w:cs="Times New Roman"/>
                <w:sz w:val="28"/>
                <w:szCs w:val="28"/>
                <w:lang w:val="uk-UA"/>
              </w:rPr>
              <w:t>=0,0000*</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1-2</w:t>
            </w:r>
            <w:r w:rsidRPr="004E3FE9">
              <w:rPr>
                <w:rFonts w:ascii="Times New Roman" w:hAnsi="Times New Roman" w:cs="Times New Roman"/>
                <w:sz w:val="28"/>
                <w:szCs w:val="28"/>
                <w:lang w:val="uk-UA"/>
              </w:rPr>
              <w:t>=0,0131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=0,2882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1-4</w:t>
            </w:r>
            <w:r w:rsidRPr="004E3FE9">
              <w:rPr>
                <w:rFonts w:ascii="Times New Roman" w:hAnsi="Times New Roman" w:cs="Times New Roman"/>
                <w:sz w:val="28"/>
                <w:szCs w:val="28"/>
                <w:lang w:val="uk-UA"/>
              </w:rPr>
              <w:t>=0,0005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=0,1949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2-4</w:t>
            </w:r>
            <w:r w:rsidRPr="004E3FE9">
              <w:rPr>
                <w:rFonts w:ascii="Times New Roman" w:hAnsi="Times New Roman" w:cs="Times New Roman"/>
                <w:sz w:val="28"/>
                <w:szCs w:val="28"/>
                <w:lang w:val="uk-UA"/>
              </w:rPr>
              <w:t>=0,0009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3-4</w:t>
            </w:r>
            <w:r w:rsidRPr="004E3FE9">
              <w:rPr>
                <w:rFonts w:ascii="Times New Roman" w:hAnsi="Times New Roman" w:cs="Times New Roman"/>
                <w:sz w:val="28"/>
                <w:szCs w:val="28"/>
                <w:lang w:val="uk-UA"/>
              </w:rPr>
              <w:t>=0,0084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=0,0000*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=0,0253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=0,0198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к-4</w:t>
            </w:r>
            <w:r w:rsidRPr="004E3FE9">
              <w:rPr>
                <w:rFonts w:ascii="Times New Roman" w:hAnsi="Times New Roman" w:cs="Times New Roman"/>
                <w:sz w:val="28"/>
                <w:szCs w:val="28"/>
                <w:lang w:val="uk-UA"/>
              </w:rPr>
              <w:t>=0,0000*</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1-2</w:t>
            </w:r>
            <w:r w:rsidRPr="004E3FE9">
              <w:rPr>
                <w:rFonts w:ascii="Times New Roman" w:hAnsi="Times New Roman" w:cs="Times New Roman"/>
                <w:sz w:val="28"/>
                <w:szCs w:val="28"/>
                <w:lang w:val="uk-UA"/>
              </w:rPr>
              <w:t>=0,1223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=0,3391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1-4</w:t>
            </w:r>
            <w:r w:rsidRPr="004E3FE9">
              <w:rPr>
                <w:rFonts w:ascii="Times New Roman" w:hAnsi="Times New Roman" w:cs="Times New Roman"/>
                <w:sz w:val="28"/>
                <w:szCs w:val="28"/>
                <w:lang w:val="uk-UA"/>
              </w:rPr>
              <w:t>=0,0005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=0,5328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2-4</w:t>
            </w:r>
            <w:r w:rsidRPr="004E3FE9">
              <w:rPr>
                <w:rFonts w:ascii="Times New Roman" w:hAnsi="Times New Roman" w:cs="Times New Roman"/>
                <w:sz w:val="28"/>
                <w:szCs w:val="28"/>
                <w:lang w:val="uk-UA"/>
              </w:rPr>
              <w:t>=0,0002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3-4</w:t>
            </w:r>
            <w:r w:rsidRPr="004E3FE9">
              <w:rPr>
                <w:rFonts w:ascii="Times New Roman" w:hAnsi="Times New Roman" w:cs="Times New Roman"/>
                <w:sz w:val="28"/>
                <w:szCs w:val="28"/>
                <w:lang w:val="uk-UA"/>
              </w:rPr>
              <w:t>=0,0037</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=0,0000*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=0,0064*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=0,0276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к-4</w:t>
            </w:r>
            <w:r w:rsidRPr="004E3FE9">
              <w:rPr>
                <w:rFonts w:ascii="Times New Roman" w:hAnsi="Times New Roman" w:cs="Times New Roman"/>
                <w:sz w:val="28"/>
                <w:szCs w:val="28"/>
                <w:lang w:val="uk-UA"/>
              </w:rPr>
              <w:t>=0,0000*</w:t>
            </w:r>
          </w:p>
        </w:tc>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1-2</w:t>
            </w:r>
            <w:r w:rsidRPr="004E3FE9">
              <w:rPr>
                <w:rFonts w:ascii="Times New Roman" w:hAnsi="Times New Roman" w:cs="Times New Roman"/>
                <w:sz w:val="28"/>
                <w:szCs w:val="28"/>
                <w:lang w:val="uk-UA"/>
              </w:rPr>
              <w:t>=0,4083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=0,0168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1-4</w:t>
            </w:r>
            <w:r w:rsidRPr="004E3FE9">
              <w:rPr>
                <w:rFonts w:ascii="Times New Roman" w:hAnsi="Times New Roman" w:cs="Times New Roman"/>
                <w:sz w:val="28"/>
                <w:szCs w:val="28"/>
                <w:lang w:val="uk-UA"/>
              </w:rPr>
              <w:t>=0,0007</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=0,0154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2-4</w:t>
            </w:r>
            <w:r w:rsidRPr="004E3FE9">
              <w:rPr>
                <w:rFonts w:ascii="Times New Roman" w:hAnsi="Times New Roman" w:cs="Times New Roman"/>
                <w:sz w:val="28"/>
                <w:szCs w:val="28"/>
                <w:lang w:val="uk-UA"/>
              </w:rPr>
              <w:t>=0,0005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3-4</w:t>
            </w:r>
            <w:r w:rsidRPr="004E3FE9">
              <w:rPr>
                <w:rFonts w:ascii="Times New Roman" w:hAnsi="Times New Roman" w:cs="Times New Roman"/>
                <w:sz w:val="28"/>
                <w:szCs w:val="28"/>
                <w:lang w:val="uk-UA"/>
              </w:rPr>
              <w:t>=0,0098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=0,0000*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=0,0000*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=0,0000*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к-4</w:t>
            </w:r>
            <w:r w:rsidRPr="004E3FE9">
              <w:rPr>
                <w:rFonts w:ascii="Times New Roman" w:hAnsi="Times New Roman" w:cs="Times New Roman"/>
                <w:sz w:val="28"/>
                <w:szCs w:val="28"/>
                <w:lang w:val="uk-UA"/>
              </w:rPr>
              <w:t>=0,0000*</w:t>
            </w:r>
          </w:p>
        </w:tc>
      </w:tr>
    </w:tbl>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w:t>
      </w:r>
      <w:r w:rsidR="001056B7">
        <w:rPr>
          <w:rFonts w:ascii="Times New Roman" w:hAnsi="Times New Roman" w:cs="Times New Roman"/>
          <w:sz w:val="28"/>
          <w:szCs w:val="28"/>
          <w:lang w:val="uk-UA"/>
        </w:rPr>
        <w:t xml:space="preserve">имітки: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w:t>
      </w:r>
      <w:r w:rsidR="001056B7">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р&lt;0,01- різниця вірогідна з показником дітей групи контролю; 1 – шкірна форма; 2 – шкірно-суглобова форма; 3 – змішана форма; 4 – змішана форма з нирковим синдромом, к – група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 xml:space="preserve">Підтвердження факту участі метаболітів оксиду азоту та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в патогенезі розвитку ендотеліальної дисфункції при геморагічному васкуліті у дітей можливо шляхом співставлення показників системоутворення кореляційних структур в залежності від ступеня активності патологічного процесу.</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Про залежність концентрації метаболітів оксиду азоту та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від активності запалення у дітей з І ступенем активності ГВ свідчили достовірні коефіцієнти кореляції рівнів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 xml:space="preserve">та сегментоядерних нейтрофілів </w:t>
      </w:r>
      <w:r w:rsidR="00AA5451">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+0,58, n=19), рівнів NO</w:t>
      </w:r>
      <w:r w:rsidRPr="004E3FE9">
        <w:rPr>
          <w:rFonts w:ascii="Times New Roman" w:hAnsi="Times New Roman" w:cs="Times New Roman"/>
          <w:sz w:val="28"/>
          <w:szCs w:val="28"/>
          <w:vertAlign w:val="subscript"/>
          <w:lang w:val="uk-UA"/>
        </w:rPr>
        <w:t xml:space="preserve">3 </w:t>
      </w:r>
      <w:r w:rsidRPr="004E3FE9">
        <w:rPr>
          <w:rFonts w:ascii="Times New Roman" w:hAnsi="Times New Roman" w:cs="Times New Roman"/>
          <w:sz w:val="28"/>
          <w:szCs w:val="28"/>
          <w:lang w:val="uk-UA"/>
        </w:rPr>
        <w:t>та ШОЕ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+0,62, n=19). У дітей з ІІ ступенем активності – рівнів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 xml:space="preserve">та сегментоядерних нейтрофілів </w:t>
      </w:r>
      <w:r w:rsidR="00AA5451">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+0,46, n=22), рівнів лейкоцитів в периферичній крові та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S-нітрозотіола,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+0,64,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+0,42,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+0,52, відповідно, n=22). У дітей з ІІІ ступенем активності ГВ залежність метаболітів оксиду азоту та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від активності запального процесу ще більш виражена, але не однозначна. Так зафіксовано достовірні кореляційні зв’язки показників лейкоцитів в периферичній крові та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S-нітрозотіола,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-0,62,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-0,59,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-0,59,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+0,78 відповідно, n=19), рівнів ШОЕ та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w:t>
      </w:r>
      <w:r w:rsidR="00AA5451">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 xml:space="preserve">S-нітрозотіола,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-0,65,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-0,48,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-0,53,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+0,65 відповідно, n=19), рівнів серомукоїду та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 xml:space="preserve">3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-0,61,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-0,57, відповідно, n=19).</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Якщо при ІІІ ступені активності ГВ зберігається позитивна кореляція показників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з показниками вираженості запального процесу (рівнями лейкоцитів в периферичній крові, ШОЕ, серомукоїду), мало того, не тільки зберігається, але й зростає у порівнянні з аналогічними показниками у хворих з І</w:t>
      </w:r>
      <w:r w:rsidR="004D36DA" w:rsidRPr="004E3FE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та ІІ ступенем активності, виражаючи пряму за</w:t>
      </w:r>
      <w:r w:rsidR="00B40288">
        <w:rPr>
          <w:rFonts w:ascii="Times New Roman" w:hAnsi="Times New Roman" w:cs="Times New Roman"/>
          <w:sz w:val="28"/>
          <w:szCs w:val="28"/>
          <w:lang w:val="uk-UA"/>
        </w:rPr>
        <w:t>лежність цього судинного фактору</w:t>
      </w:r>
      <w:r w:rsidRPr="004E3FE9">
        <w:rPr>
          <w:rFonts w:ascii="Times New Roman" w:hAnsi="Times New Roman" w:cs="Times New Roman"/>
          <w:sz w:val="28"/>
          <w:szCs w:val="28"/>
          <w:lang w:val="uk-UA"/>
        </w:rPr>
        <w:t xml:space="preserve"> від тяжкості захворювання, то достовірна зворотна кореляція метаболітів оксиду азоту з показниками гостроти захворювання потребує пояснення. На наш погляд, зворотна кореляційна залежність в даному випадку також підтверджує таку залежність.</w:t>
      </w:r>
    </w:p>
    <w:p w:rsidR="004F59FF" w:rsidRPr="004E3FE9" w:rsidRDefault="004F59FF" w:rsidP="00BD0BF2">
      <w:pPr>
        <w:spacing w:line="360" w:lineRule="auto"/>
        <w:ind w:right="142"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Відомо, що виділяють</w:t>
      </w:r>
      <w:r w:rsidR="004D36DA" w:rsidRPr="004E3FE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 xml:space="preserve">3 типи фізіологічних ефектів оксиду азоту: регуляторний вплив, захисна дія, пошкоджуюча дія, які певним чином, залежать від активності NO-синтаз: ендотеліальної (eNOS), нейрональної (nNOS) та макрофагальної  (mNOS), їх взаємовідношенню, механізму дії та біологічному значенню для організму (конститутивна – сNOS чи індуцибельна – iNOS ізоформи) місця та </w:t>
      </w:r>
      <w:r w:rsidR="00B40288">
        <w:rPr>
          <w:rFonts w:ascii="Times New Roman" w:hAnsi="Times New Roman" w:cs="Times New Roman"/>
          <w:sz w:val="28"/>
          <w:szCs w:val="28"/>
          <w:lang w:val="uk-UA"/>
        </w:rPr>
        <w:t>виразності</w:t>
      </w:r>
      <w:r w:rsidRPr="004E3FE9">
        <w:rPr>
          <w:rFonts w:ascii="Times New Roman" w:hAnsi="Times New Roman" w:cs="Times New Roman"/>
          <w:sz w:val="28"/>
          <w:szCs w:val="28"/>
          <w:lang w:val="uk-UA"/>
        </w:rPr>
        <w:t xml:space="preserve"> запального процесу. </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Підвищення рівнів метаболітів оксиду азоту при І та ІІ ступені активності ГВ носить, вочевидь, компенсаторний характер чим і пояснюється позитивний характер кореляційних взаємовідносин їх з показниками гострої фази запалення. При ІІІ ступені активності проявляється фактор «виснаження» синтезу оксиду азоту, а значить його метаболітів. Невипадково одному з метаболітів оксиду азоту, зокрема S-нітрозотіолу приписують депонуючу функцію. Таким чином, при ІІІ ступені активності захворювання і просліджується наступне: чим нижче рівень метаболітів оксиду азоту, тим вище значення показників гострої фази запалення.</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На нашу думку реалізація запалення у дітей з ГВ проходила за участю імунологічних факторів, які свідчать про взаємозв’язок між активністю маркерів ендотеліальної дисфункції та імунних і фагоцитарних факторів захисту, що підтверджується наявними статистично достовірними кореляційними зв’язками, представленими в табл. 4.5. </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Отримані дані закономірно відображають патологічну направленість запального процесу, оскільки ГВ являється представником імунозапального, зокрема імунокомплексного захворювання, чим і зумовлена, вірогідно пряма кореляційна залежність рівнів ЦІК, Ig A, M, G, CD22 (В-лімфоцитів) і метаболітів оксиду азоту та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при І та ІІ ступенях активності ГВ. Відомо, що В-лімфоцити являються продуцентами імуноглобулінів різних класів, а найбільш пошкоджуючим впливом володіють ЦІК за участю Ig А. При ІІ та ІІІ ступенях активності ГВ реєструються кореляційні зв’язки метаболітів оксиду азоту і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та субпопуляцій Т-лімфоцитів, зокрема CD4 (Т-хелперів) </w:t>
      </w:r>
      <w:r w:rsidRPr="004E3FE9">
        <w:rPr>
          <w:rFonts w:ascii="Times New Roman" w:hAnsi="Times New Roman" w:cs="Times New Roman"/>
          <w:sz w:val="28"/>
          <w:szCs w:val="28"/>
          <w:lang w:val="uk-UA"/>
        </w:rPr>
        <w:lastRenderedPageBreak/>
        <w:t>– позитивні коефіцієнти кореляції і CD8 – негативні, характеризуючи, очевидну, подальшу наростаючу напруженість імунного запалення з розвитком дисфункції CD4/CD8 в напрямку переважання кількісної і відносної кількості CD4 (про що свідчать і коефіцієнти кореляції CD4 і CD8 з названими біохімічними показниками), сприяючи подальшому розвитку запального процесу за участю активованихTh-2.</w:t>
      </w:r>
    </w:p>
    <w:p w:rsidR="004F59FF" w:rsidRPr="004E3FE9" w:rsidRDefault="004F59FF" w:rsidP="00BD0BF2">
      <w:pPr>
        <w:spacing w:line="360" w:lineRule="auto"/>
        <w:ind w:right="142" w:firstLine="709"/>
        <w:contextualSpacing/>
        <w:jc w:val="both"/>
        <w:rPr>
          <w:rFonts w:ascii="Times New Roman" w:hAnsi="Times New Roman" w:cs="Times New Roman"/>
          <w:sz w:val="28"/>
          <w:szCs w:val="28"/>
          <w:lang w:val="uk-UA"/>
        </w:rPr>
      </w:pPr>
    </w:p>
    <w:p w:rsidR="00BD0BF2" w:rsidRPr="00B40288" w:rsidRDefault="00BD0BF2" w:rsidP="00BD0BF2">
      <w:pPr>
        <w:spacing w:line="360" w:lineRule="auto"/>
        <w:ind w:right="141"/>
        <w:contextualSpacing/>
        <w:jc w:val="right"/>
        <w:rPr>
          <w:rFonts w:ascii="Times New Roman" w:hAnsi="Times New Roman" w:cs="Times New Roman"/>
          <w:i/>
          <w:sz w:val="28"/>
          <w:szCs w:val="28"/>
          <w:lang w:val="uk-UA"/>
        </w:rPr>
      </w:pPr>
      <w:r w:rsidRPr="00B40288">
        <w:rPr>
          <w:rFonts w:ascii="Times New Roman" w:hAnsi="Times New Roman" w:cs="Times New Roman"/>
          <w:i/>
          <w:sz w:val="28"/>
          <w:szCs w:val="28"/>
          <w:lang w:val="uk-UA"/>
        </w:rPr>
        <w:t>Таблиця 4.5</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Кореляційні зв’язки окремих маркерів ендотеліальної дисфункції та показниками специфічних та імунологічних і неспецифічних показників захисту у обстежених дітей </w:t>
      </w:r>
      <w:r w:rsidR="00AA5451">
        <w:rPr>
          <w:rFonts w:ascii="Times New Roman" w:hAnsi="Times New Roman" w:cs="Times New Roman"/>
          <w:b/>
          <w:sz w:val="28"/>
          <w:szCs w:val="28"/>
          <w:lang w:val="uk-UA"/>
        </w:rPr>
        <w:t>з ГВ різного ступеня активності</w:t>
      </w:r>
    </w:p>
    <w:tbl>
      <w:tblPr>
        <w:tblStyle w:val="a8"/>
        <w:tblW w:w="0" w:type="auto"/>
        <w:tblInd w:w="108" w:type="dxa"/>
        <w:tblLayout w:type="fixed"/>
        <w:tblLook w:val="04A0"/>
      </w:tblPr>
      <w:tblGrid>
        <w:gridCol w:w="2371"/>
        <w:gridCol w:w="1366"/>
        <w:gridCol w:w="1366"/>
        <w:gridCol w:w="2126"/>
        <w:gridCol w:w="2127"/>
      </w:tblGrid>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Лабораторний показник</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r>
      <w:tr w:rsidR="00BD0BF2" w:rsidRPr="004E3FE9" w:rsidTr="00721EA2">
        <w:tc>
          <w:tcPr>
            <w:tcW w:w="9356"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ступінь активності (n=19)</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 заг.), %</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+0,48*</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ЦІК, у.о.</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+0,69*</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Ig A, г/л</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+0,67*</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+0,59*</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Ig M, г/л</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+0,76*</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+0,53*</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r w:rsidR="00BD0BF2" w:rsidRPr="004E3FE9" w:rsidTr="00721EA2">
        <w:tc>
          <w:tcPr>
            <w:tcW w:w="9356"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 ступінь активності (n=22)</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 заг.),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+0,62*</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+0,45*</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+0,50*</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+0,49*</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+0,43*</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 xml:space="preserve"> (Т хелп.),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+0,50*</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+0,56*</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+0,52*</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+0,45*</w:t>
            </w:r>
          </w:p>
        </w:tc>
      </w:tr>
    </w:tbl>
    <w:p w:rsidR="00BD0BF2" w:rsidRPr="004E3FE9" w:rsidRDefault="00BD0BF2" w:rsidP="00BD0BF2">
      <w:pPr>
        <w:rPr>
          <w:lang w:val="uk-UA"/>
        </w:rPr>
      </w:pPr>
    </w:p>
    <w:p w:rsidR="004F59FF" w:rsidRPr="004E3FE9" w:rsidRDefault="004F59FF" w:rsidP="00BD0BF2">
      <w:pPr>
        <w:rPr>
          <w:lang w:val="uk-UA"/>
        </w:rPr>
      </w:pPr>
    </w:p>
    <w:p w:rsidR="004F59FF" w:rsidRPr="004E3FE9" w:rsidRDefault="004F59FF" w:rsidP="00BD0BF2">
      <w:pPr>
        <w:rPr>
          <w:lang w:val="uk-UA"/>
        </w:rPr>
      </w:pPr>
    </w:p>
    <w:p w:rsidR="00BD0BF2" w:rsidRPr="00B40288" w:rsidRDefault="00BD0BF2" w:rsidP="00B40288">
      <w:pPr>
        <w:spacing w:after="0"/>
        <w:jc w:val="right"/>
        <w:rPr>
          <w:rFonts w:ascii="Times New Roman" w:hAnsi="Times New Roman" w:cs="Times New Roman"/>
          <w:i/>
          <w:sz w:val="28"/>
          <w:szCs w:val="28"/>
          <w:lang w:val="uk-UA"/>
        </w:rPr>
      </w:pPr>
      <w:r w:rsidRPr="00B40288">
        <w:rPr>
          <w:rFonts w:ascii="Times New Roman" w:hAnsi="Times New Roman" w:cs="Times New Roman"/>
          <w:i/>
          <w:sz w:val="28"/>
          <w:szCs w:val="28"/>
          <w:lang w:val="uk-UA"/>
        </w:rPr>
        <w:lastRenderedPageBreak/>
        <w:t>Продовження таблиці 4.5</w:t>
      </w:r>
    </w:p>
    <w:tbl>
      <w:tblPr>
        <w:tblStyle w:val="a8"/>
        <w:tblW w:w="0" w:type="auto"/>
        <w:tblInd w:w="108" w:type="dxa"/>
        <w:tblLayout w:type="fixed"/>
        <w:tblLook w:val="04A0"/>
      </w:tblPr>
      <w:tblGrid>
        <w:gridCol w:w="2371"/>
        <w:gridCol w:w="1366"/>
        <w:gridCol w:w="1366"/>
        <w:gridCol w:w="2126"/>
        <w:gridCol w:w="2127"/>
      </w:tblGrid>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8</w:t>
            </w:r>
            <w:r w:rsidRPr="004E3FE9">
              <w:rPr>
                <w:rFonts w:ascii="Times New Roman" w:hAnsi="Times New Roman" w:cs="Times New Roman"/>
                <w:sz w:val="28"/>
                <w:szCs w:val="28"/>
                <w:lang w:val="uk-UA"/>
              </w:rPr>
              <w:t xml:space="preserve"> (Т кіл.),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-0,67*</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-0,47*</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-0,58*</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-0,56*</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-0,63</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 CD</w:t>
            </w:r>
            <w:r w:rsidRPr="004E3FE9">
              <w:rPr>
                <w:rFonts w:ascii="Times New Roman" w:hAnsi="Times New Roman" w:cs="Times New Roman"/>
                <w:sz w:val="28"/>
                <w:szCs w:val="28"/>
                <w:vertAlign w:val="subscript"/>
                <w:lang w:val="uk-UA"/>
              </w:rPr>
              <w:t>8</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+0,60*</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+0,62</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22</w:t>
            </w:r>
            <w:r w:rsidRPr="004E3FE9">
              <w:rPr>
                <w:rFonts w:ascii="Times New Roman" w:hAnsi="Times New Roman" w:cs="Times New Roman"/>
                <w:sz w:val="28"/>
                <w:szCs w:val="28"/>
                <w:lang w:val="uk-UA"/>
              </w:rPr>
              <w:t xml:space="preserve"> (В лімф.), абс.ч.*10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+0,46*</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Нейтрофіли фагоцитуючі, %</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-0,43*</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ІАН</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+0,53*</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NST-тест, %</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+0,43*</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Ig A, г/л</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+0,48*</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r w:rsidR="00BD0BF2" w:rsidRPr="004E3FE9" w:rsidTr="00721EA2">
        <w:tc>
          <w:tcPr>
            <w:tcW w:w="9356"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 ступінь активності (n=19)</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 заг.), %</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-0,51*</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8</w:t>
            </w:r>
            <w:r w:rsidRPr="004E3FE9">
              <w:rPr>
                <w:rFonts w:ascii="Times New Roman" w:hAnsi="Times New Roman" w:cs="Times New Roman"/>
                <w:sz w:val="28"/>
                <w:szCs w:val="28"/>
                <w:lang w:val="uk-UA"/>
              </w:rPr>
              <w:t xml:space="preserve"> (Т кіл.), %</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+0,51*</w:t>
            </w: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-0,47*</w:t>
            </w:r>
          </w:p>
        </w:tc>
      </w:tr>
      <w:tr w:rsidR="00BD0BF2" w:rsidRPr="004E3FE9" w:rsidTr="00721EA2">
        <w:tc>
          <w:tcPr>
            <w:tcW w:w="237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ЛКБ, СЦК</w:t>
            </w: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36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+0,46*</w:t>
            </w:r>
          </w:p>
        </w:tc>
        <w:tc>
          <w:tcPr>
            <w:tcW w:w="212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1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r>
    </w:tbl>
    <w:p w:rsidR="00BD0BF2" w:rsidRPr="004E3FE9" w:rsidRDefault="00AA5451" w:rsidP="00BD0BF2">
      <w:pPr>
        <w:spacing w:line="360" w:lineRule="auto"/>
        <w:ind w:right="142"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 * - p&lt;0,05</w:t>
      </w:r>
      <w:r w:rsidR="00BD0BF2" w:rsidRPr="004E3FE9">
        <w:rPr>
          <w:rFonts w:ascii="Times New Roman" w:hAnsi="Times New Roman" w:cs="Times New Roman"/>
          <w:sz w:val="28"/>
          <w:szCs w:val="28"/>
          <w:lang w:val="uk-UA"/>
        </w:rPr>
        <w:t xml:space="preserve"> – різниця вірогідна відносно означених біохімічних маркерів ендотеліальної дисфункції.</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Звертає на себе увагу ще одна обставина – при ІІ та ІІІ ступенях активності появляються достовірні коефіцієнти кореляції рівнів метаболітів оксиду азоту і фагоцитарної функції гранулоцитів з активацією кисневозалежної функції (NST-тест) нейтрофілів, так і при активності запалення ІІІ ступеня – кисневонезалежної функції (ЛКБ) фагоцитозу. Вбачаючи в цьому позитивну функцію активації неспецифічних факторів захисту, спрямовану на елімінацію циркулюючих імунних комплексів, слід зауважити, що надмірна активація фагоцитозу може супроводжуватись і активацією iNOS з утворенням токсичних радикалів азоту. Активні радикали азоту активують або інгібують інші міжмолекулярні зв’язки, </w:t>
      </w:r>
      <w:r w:rsidRPr="004E3FE9">
        <w:rPr>
          <w:rFonts w:ascii="Times New Roman" w:hAnsi="Times New Roman" w:cs="Times New Roman"/>
          <w:sz w:val="28"/>
          <w:szCs w:val="28"/>
          <w:lang w:val="uk-UA"/>
        </w:rPr>
        <w:lastRenderedPageBreak/>
        <w:t>порушують баланс внутрішньоклітинних шляхів і активують запалення, переводячи компенсаторну реакцію на рейки патологічного процесу.</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Встановлені статистично достовірні кореляційні зв'язки між маркерів ураження ендотелію та показників гемостазу. У дітей з І ступенем активності зареєстрована зворотна кореляція показників значення часу досягнення половинної згортаючої активності (Т1) та рівнів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S-нітрозотіола в сироватці крові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-0,48,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-0,47 n=19), рівнів тромбоцитів в периферичній крові, ІІТ, фібриногену та фактору Віллебранда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-0,54,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-0,54,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+0,48, відповідно, n=19). У дітей з ІІ ступенем активності ГВ виявлена пряма кореляція показників тромбоцитів та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+0,54, відповідно, n=22). У дітей з ІІІ ступенем активності встановлена зворотна кореляція рівнів фібриногену та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-0,54,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-0,54, відповідно, n=19), рівнів активності зсідання (А, %) та NO</w:t>
      </w:r>
      <w:r w:rsidRPr="004E3FE9">
        <w:rPr>
          <w:rFonts w:ascii="Times New Roman" w:hAnsi="Times New Roman" w:cs="Times New Roman"/>
          <w:sz w:val="28"/>
          <w:szCs w:val="28"/>
          <w:vertAlign w:val="subscript"/>
          <w:lang w:val="uk-UA"/>
        </w:rPr>
        <w:t xml:space="preserve">3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-0,47, n=19). Вищевказані результати свідчать про причетність показників дисфункції ендотелію до змін коагуляційного потенціалу крові, зокрема активації згортаючої системи крові та судинно-тромбоцитарної ланки гемостазу, а значить і формування судинно-тромбоцитарного синдрому при геморагічному васкуліті.</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Вивчення отриманих результатів в період клініко-лабораторної ремісії в залежності від вікових особливостей показав, що рівні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в сироватці крові у дітей кожної вікової групи не відрізнявся від показників групи контролю. Рівні NO</w:t>
      </w:r>
      <w:r w:rsidRPr="004E3FE9">
        <w:rPr>
          <w:rFonts w:ascii="Times New Roman" w:hAnsi="Times New Roman" w:cs="Times New Roman"/>
          <w:sz w:val="28"/>
          <w:szCs w:val="28"/>
          <w:vertAlign w:val="subscript"/>
          <w:lang w:val="uk-UA"/>
        </w:rPr>
        <w:t xml:space="preserve">3 </w:t>
      </w:r>
      <w:r w:rsidRPr="004E3FE9">
        <w:rPr>
          <w:rFonts w:ascii="Times New Roman" w:hAnsi="Times New Roman" w:cs="Times New Roman"/>
          <w:sz w:val="28"/>
          <w:szCs w:val="28"/>
          <w:lang w:val="uk-UA"/>
        </w:rPr>
        <w:t>та S-нітрозотіола статистично не відрізнялись від показників групи контролю. В період одужання спостерігалась тенденція до зменшення рівнів ФВ, але залишались статистично достовірно більшими відносно показників групи контролю (табл. 4.6).</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p>
    <w:p w:rsidR="00BD0BF2" w:rsidRDefault="00BD0BF2" w:rsidP="00BD0BF2">
      <w:pPr>
        <w:spacing w:line="360" w:lineRule="auto"/>
        <w:ind w:right="142" w:firstLine="709"/>
        <w:contextualSpacing/>
        <w:jc w:val="both"/>
        <w:rPr>
          <w:rFonts w:ascii="Times New Roman" w:hAnsi="Times New Roman" w:cs="Times New Roman"/>
          <w:sz w:val="28"/>
          <w:szCs w:val="28"/>
          <w:lang w:val="uk-UA"/>
        </w:rPr>
      </w:pPr>
    </w:p>
    <w:p w:rsidR="00B40288" w:rsidRPr="004E3FE9" w:rsidRDefault="00B40288" w:rsidP="00BD0BF2">
      <w:pPr>
        <w:spacing w:line="360" w:lineRule="auto"/>
        <w:ind w:right="142" w:firstLine="709"/>
        <w:contextualSpacing/>
        <w:jc w:val="both"/>
        <w:rPr>
          <w:rFonts w:ascii="Times New Roman" w:hAnsi="Times New Roman" w:cs="Times New Roman"/>
          <w:sz w:val="28"/>
          <w:szCs w:val="28"/>
          <w:lang w:val="uk-UA"/>
        </w:rPr>
      </w:pP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lastRenderedPageBreak/>
        <w:t>Таблиця 4.6</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Показники метаболітів оксиду азоту та </w:t>
      </w:r>
      <w:r w:rsidR="009A67C0" w:rsidRPr="004E3FE9">
        <w:rPr>
          <w:rFonts w:ascii="Times New Roman" w:hAnsi="Times New Roman" w:cs="Times New Roman"/>
          <w:b/>
          <w:sz w:val="28"/>
          <w:szCs w:val="28"/>
          <w:lang w:val="uk-UA"/>
        </w:rPr>
        <w:t>ФВ</w:t>
      </w:r>
      <w:r w:rsidRPr="004E3FE9">
        <w:rPr>
          <w:rFonts w:ascii="Times New Roman" w:hAnsi="Times New Roman" w:cs="Times New Roman"/>
          <w:b/>
          <w:sz w:val="28"/>
          <w:szCs w:val="28"/>
          <w:lang w:val="uk-UA"/>
        </w:rPr>
        <w:t xml:space="preserve"> у дітей різного віку, хворих на геморагічний васкуліт в пері</w:t>
      </w:r>
      <w:r w:rsidR="00AA5451">
        <w:rPr>
          <w:rFonts w:ascii="Times New Roman" w:hAnsi="Times New Roman" w:cs="Times New Roman"/>
          <w:b/>
          <w:sz w:val="28"/>
          <w:szCs w:val="28"/>
          <w:lang w:val="uk-UA"/>
        </w:rPr>
        <w:t>од клініко-лабораторної ремісії,</w:t>
      </w:r>
      <w:r w:rsidRPr="004E3FE9">
        <w:rPr>
          <w:rFonts w:ascii="Times New Roman" w:hAnsi="Times New Roman" w:cs="Times New Roman"/>
          <w:b/>
          <w:sz w:val="28"/>
          <w:szCs w:val="28"/>
          <w:lang w:val="uk-UA"/>
        </w:rPr>
        <w:t xml:space="preserve"> (Me(Lq;Uq))</w:t>
      </w:r>
    </w:p>
    <w:tbl>
      <w:tblPr>
        <w:tblStyle w:val="a8"/>
        <w:tblW w:w="0" w:type="auto"/>
        <w:tblInd w:w="108" w:type="dxa"/>
        <w:tblLook w:val="04A0"/>
      </w:tblPr>
      <w:tblGrid>
        <w:gridCol w:w="2342"/>
        <w:gridCol w:w="1769"/>
        <w:gridCol w:w="1837"/>
        <w:gridCol w:w="1919"/>
        <w:gridCol w:w="1596"/>
      </w:tblGrid>
      <w:tr w:rsidR="00BD0BF2" w:rsidRPr="004E3FE9" w:rsidTr="00721EA2">
        <w:trPr>
          <w:trHeight w:val="366"/>
        </w:trPr>
        <w:tc>
          <w:tcPr>
            <w:tcW w:w="0" w:type="auto"/>
            <w:vMerge w:val="restart"/>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0" w:type="auto"/>
            <w:vMerge w:val="restart"/>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c>
          <w:tcPr>
            <w:tcW w:w="0" w:type="auto"/>
            <w:gridSpan w:val="3"/>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Вік дітей, хворих на ГВ</w:t>
            </w:r>
          </w:p>
        </w:tc>
      </w:tr>
      <w:tr w:rsidR="00BD0BF2" w:rsidRPr="00810999" w:rsidTr="00721EA2">
        <w:trPr>
          <w:trHeight w:val="1547"/>
        </w:trPr>
        <w:tc>
          <w:tcPr>
            <w:tcW w:w="0" w:type="auto"/>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0" w:type="auto"/>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0" w:type="auto"/>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 рік – 6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n=29</w:t>
            </w:r>
          </w:p>
        </w:tc>
        <w:tc>
          <w:tcPr>
            <w:tcW w:w="0" w:type="auto"/>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 років – 12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n=23</w:t>
            </w:r>
          </w:p>
        </w:tc>
        <w:tc>
          <w:tcPr>
            <w:tcW w:w="0" w:type="auto"/>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13 років - 17 років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n=8</w:t>
            </w:r>
          </w:p>
        </w:tc>
      </w:tr>
      <w:tr w:rsidR="00BD0BF2" w:rsidRPr="004E3FE9" w:rsidTr="00721EA2">
        <w:trPr>
          <w:trHeight w:val="1514"/>
        </w:trPr>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12,79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(12,35;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14,00)</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12,42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(11,29;</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12,79)</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12,62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(11,44;</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13,44)</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13,84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(12,23;</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15,14)**</w:t>
            </w:r>
          </w:p>
        </w:tc>
      </w:tr>
      <w:tr w:rsidR="00BD0BF2" w:rsidRPr="004E3FE9" w:rsidTr="00721EA2">
        <w:trPr>
          <w:trHeight w:val="1514"/>
        </w:trPr>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30,93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(28,79;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32,05)</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30,23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(25,08;</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39,31)</w:t>
            </w:r>
          </w:p>
        </w:tc>
        <w:tc>
          <w:tcPr>
            <w:tcW w:w="0" w:type="auto"/>
            <w:vAlign w:val="center"/>
          </w:tcPr>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25,76</w:t>
            </w:r>
          </w:p>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(23,73;</w:t>
            </w:r>
          </w:p>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34,89)</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33,80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(29,85;</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39,86)</w:t>
            </w:r>
          </w:p>
        </w:tc>
      </w:tr>
      <w:tr w:rsidR="00BD0BF2" w:rsidRPr="004E3FE9" w:rsidTr="00721EA2">
        <w:trPr>
          <w:trHeight w:val="1514"/>
        </w:trPr>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 ммоль/л</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0,36)</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(0,31;</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0,38)</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(0,25;</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0,40)</w:t>
            </w:r>
          </w:p>
        </w:tc>
        <w:tc>
          <w:tcPr>
            <w:tcW w:w="0" w:type="auto"/>
            <w:vAlign w:val="center"/>
          </w:tcPr>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0,36</w:t>
            </w:r>
          </w:p>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(0,29;</w:t>
            </w:r>
          </w:p>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0,41)</w:t>
            </w:r>
          </w:p>
        </w:tc>
      </w:tr>
      <w:tr w:rsidR="00BD0BF2" w:rsidRPr="004E3FE9" w:rsidTr="00721EA2">
        <w:trPr>
          <w:trHeight w:val="1514"/>
        </w:trPr>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(95,4;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102,4)</w:t>
            </w:r>
          </w:p>
        </w:tc>
        <w:tc>
          <w:tcPr>
            <w:tcW w:w="0" w:type="auto"/>
            <w:vAlign w:val="center"/>
          </w:tcPr>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118,09</w:t>
            </w:r>
          </w:p>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(101,34;</w:t>
            </w:r>
          </w:p>
          <w:p w:rsidR="00BD0BF2" w:rsidRPr="004E3FE9" w:rsidRDefault="00BD0BF2" w:rsidP="00721EA2">
            <w:pPr>
              <w:tabs>
                <w:tab w:val="left" w:pos="6660"/>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141,46)*</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120,60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(110,32;</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137,63)*</w:t>
            </w:r>
          </w:p>
        </w:tc>
        <w:tc>
          <w:tcPr>
            <w:tcW w:w="0" w:type="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128,20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(117,06;</w:t>
            </w:r>
          </w:p>
          <w:p w:rsidR="00BD0BF2" w:rsidRPr="004E3FE9" w:rsidRDefault="00BD0BF2" w:rsidP="00721EA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sz w:val="28"/>
                <w:szCs w:val="28"/>
                <w:lang w:val="uk-UA"/>
              </w:rPr>
              <w:t>135,81)*</w:t>
            </w:r>
          </w:p>
        </w:tc>
      </w:tr>
    </w:tbl>
    <w:p w:rsidR="00BD0BF2" w:rsidRPr="004E3FE9" w:rsidRDefault="002F7F35" w:rsidP="00BD0BF2">
      <w:pPr>
        <w:tabs>
          <w:tab w:val="left" w:pos="6660"/>
        </w:tabs>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Примітки:* - р&lt;0,01</w:t>
      </w:r>
      <w:r w:rsidR="00BD0BF2" w:rsidRPr="004E3FE9">
        <w:rPr>
          <w:rFonts w:ascii="Times New Roman" w:hAnsi="Times New Roman" w:cs="Times New Roman"/>
          <w:sz w:val="28"/>
          <w:szCs w:val="28"/>
          <w:lang w:val="uk-UA"/>
        </w:rPr>
        <w:t>- різниця вірогідна з показником діте</w:t>
      </w:r>
      <w:r w:rsidRPr="004E3FE9">
        <w:rPr>
          <w:rFonts w:ascii="Times New Roman" w:hAnsi="Times New Roman" w:cs="Times New Roman"/>
          <w:sz w:val="28"/>
          <w:szCs w:val="28"/>
          <w:lang w:val="uk-UA"/>
        </w:rPr>
        <w:t>й контрольної групи; ** - р&lt;0,01</w:t>
      </w:r>
      <w:r w:rsidR="00BD0BF2" w:rsidRPr="004E3FE9">
        <w:rPr>
          <w:rFonts w:ascii="Times New Roman" w:hAnsi="Times New Roman" w:cs="Times New Roman"/>
          <w:sz w:val="28"/>
          <w:szCs w:val="28"/>
          <w:lang w:val="uk-UA"/>
        </w:rPr>
        <w:t>- різниця вірогідна відносно показників пацієнтів від 1 до 6 років.</w:t>
      </w:r>
    </w:p>
    <w:p w:rsidR="00BD0BF2" w:rsidRPr="004E3FE9" w:rsidRDefault="00BD0BF2" w:rsidP="00BD0BF2">
      <w:pPr>
        <w:spacing w:line="360" w:lineRule="auto"/>
        <w:ind w:firstLine="709"/>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Нами </w:t>
      </w:r>
      <w:r w:rsidR="00AA5451">
        <w:rPr>
          <w:rFonts w:ascii="Times New Roman" w:hAnsi="Times New Roman" w:cs="Times New Roman"/>
          <w:sz w:val="28"/>
          <w:szCs w:val="28"/>
          <w:lang w:val="uk-UA"/>
        </w:rPr>
        <w:t>з’ясовано</w:t>
      </w:r>
      <w:r w:rsidRPr="004E3FE9">
        <w:rPr>
          <w:rFonts w:ascii="Times New Roman" w:hAnsi="Times New Roman" w:cs="Times New Roman"/>
          <w:sz w:val="28"/>
          <w:szCs w:val="28"/>
          <w:lang w:val="uk-UA"/>
        </w:rPr>
        <w:t>, що у досліджуваних пацієнтів, в залежності від форми захворювання в період клініко-лабораторної ремісії були виявлені наступні зміни показників метаболітів оксиду азоту: у дітей зі шкірною формою рівень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був вищий за рівень у дітей групи контролю на 19,3 %, у дітей зі шкірно-</w:t>
      </w:r>
      <w:r w:rsidRPr="004E3FE9">
        <w:rPr>
          <w:rFonts w:ascii="Times New Roman" w:hAnsi="Times New Roman" w:cs="Times New Roman"/>
          <w:sz w:val="28"/>
          <w:szCs w:val="28"/>
          <w:lang w:val="uk-UA"/>
        </w:rPr>
        <w:lastRenderedPageBreak/>
        <w:t>суглобовою та змішаною формами показники не відрізнялись від показників дітей групи контролю. У дітей зі змішаною формою з нирковим синдромом рівень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склав 11,51 (10,39;11,71) мкмоль/л,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 23,51 (22,75;23,68)  мкмоль/л, S-нітрозотіолу– 0,16 (0,14;0,20) ммоль/л,  що достовірно нижче, ніж у дітей групи контролю. У дітей всіх форм рівень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був статистично достовірно вищий, ніж аналогічні показники дітей групи контролю (табл. 4.7).</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4.7</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Показники метаболітів оксиду азоту та </w:t>
      </w:r>
      <w:r w:rsidR="009A67C0" w:rsidRPr="004E3FE9">
        <w:rPr>
          <w:rFonts w:ascii="Times New Roman" w:hAnsi="Times New Roman" w:cs="Times New Roman"/>
          <w:b/>
          <w:sz w:val="28"/>
          <w:szCs w:val="28"/>
          <w:lang w:val="uk-UA"/>
        </w:rPr>
        <w:t>ФВ</w:t>
      </w:r>
      <w:r w:rsidRPr="004E3FE9">
        <w:rPr>
          <w:rFonts w:ascii="Times New Roman" w:hAnsi="Times New Roman" w:cs="Times New Roman"/>
          <w:b/>
          <w:sz w:val="28"/>
          <w:szCs w:val="28"/>
          <w:lang w:val="uk-UA"/>
        </w:rPr>
        <w:t xml:space="preserve"> у дітей в залежності від форми геморагічного васкуліту в пері</w:t>
      </w:r>
      <w:r w:rsidR="00AA5451">
        <w:rPr>
          <w:rFonts w:ascii="Times New Roman" w:hAnsi="Times New Roman" w:cs="Times New Roman"/>
          <w:b/>
          <w:sz w:val="28"/>
          <w:szCs w:val="28"/>
          <w:lang w:val="uk-UA"/>
        </w:rPr>
        <w:t>од клініко-лабораторної ремісії</w:t>
      </w:r>
    </w:p>
    <w:tbl>
      <w:tblPr>
        <w:tblStyle w:val="a8"/>
        <w:tblW w:w="9356" w:type="dxa"/>
        <w:tblInd w:w="108" w:type="dxa"/>
        <w:tblLayout w:type="fixed"/>
        <w:tblLook w:val="04A0"/>
      </w:tblPr>
      <w:tblGrid>
        <w:gridCol w:w="1985"/>
        <w:gridCol w:w="850"/>
        <w:gridCol w:w="1276"/>
        <w:gridCol w:w="1276"/>
        <w:gridCol w:w="1417"/>
        <w:gridCol w:w="1418"/>
        <w:gridCol w:w="1134"/>
      </w:tblGrid>
      <w:tr w:rsidR="00BD0BF2" w:rsidRPr="004E3FE9" w:rsidTr="00721EA2">
        <w:trPr>
          <w:cantSplit/>
          <w:trHeight w:val="454"/>
        </w:trPr>
        <w:tc>
          <w:tcPr>
            <w:tcW w:w="1985" w:type="dxa"/>
            <w:vMerge w:val="restart"/>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850" w:type="dxa"/>
            <w:vMerge w:val="restart"/>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387" w:type="dxa"/>
            <w:gridSpan w:val="4"/>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Форма геморагічного васкуліту</w:t>
            </w:r>
          </w:p>
        </w:tc>
        <w:tc>
          <w:tcPr>
            <w:tcW w:w="1134" w:type="dxa"/>
            <w:vMerge w:val="restart"/>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r>
      <w:tr w:rsidR="00BD0BF2" w:rsidRPr="004E3FE9" w:rsidTr="00721EA2">
        <w:trPr>
          <w:cantSplit/>
          <w:trHeight w:val="1757"/>
        </w:trPr>
        <w:tc>
          <w:tcPr>
            <w:tcW w:w="1985" w:type="dxa"/>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850" w:type="dxa"/>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276" w:type="dxa"/>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Шкірна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 8)</w:t>
            </w:r>
          </w:p>
        </w:tc>
        <w:tc>
          <w:tcPr>
            <w:tcW w:w="1276" w:type="dxa"/>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Шкірн о-</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суглобова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(n=24)</w:t>
            </w:r>
          </w:p>
        </w:tc>
        <w:tc>
          <w:tcPr>
            <w:tcW w:w="1417" w:type="dxa"/>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418" w:type="dxa"/>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 з</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нирковим синдромом</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(n=9)</w:t>
            </w:r>
          </w:p>
        </w:tc>
        <w:tc>
          <w:tcPr>
            <w:tcW w:w="1134" w:type="dxa"/>
            <w:vMerge/>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p>
        </w:tc>
      </w:tr>
      <w:tr w:rsidR="00BD0BF2" w:rsidRPr="004E3FE9" w:rsidTr="00721EA2">
        <w:trPr>
          <w:trHeight w:val="1479"/>
        </w:trPr>
        <w:tc>
          <w:tcPr>
            <w:tcW w:w="1985"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85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13,56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11,85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15,28</w:t>
            </w:r>
          </w:p>
        </w:tc>
        <w:tc>
          <w:tcPr>
            <w:tcW w:w="127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12,90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11,73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13,71</w:t>
            </w:r>
          </w:p>
        </w:tc>
        <w:tc>
          <w:tcPr>
            <w:tcW w:w="141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11,55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13,44</w:t>
            </w:r>
          </w:p>
        </w:tc>
        <w:tc>
          <w:tcPr>
            <w:tcW w:w="141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11,51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10,39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11,71*</w:t>
            </w:r>
          </w:p>
        </w:tc>
        <w:tc>
          <w:tcPr>
            <w:tcW w:w="113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12,79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12,35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14,00</w:t>
            </w:r>
          </w:p>
        </w:tc>
      </w:tr>
      <w:tr w:rsidR="00BD0BF2" w:rsidRPr="004E3FE9" w:rsidTr="00721EA2">
        <w:trPr>
          <w:trHeight w:val="1479"/>
        </w:trPr>
        <w:tc>
          <w:tcPr>
            <w:tcW w:w="1985"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85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36,92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31,27</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40,59*</w:t>
            </w:r>
          </w:p>
        </w:tc>
        <w:tc>
          <w:tcPr>
            <w:tcW w:w="127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29,38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25,47</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33,81</w:t>
            </w:r>
          </w:p>
        </w:tc>
        <w:tc>
          <w:tcPr>
            <w:tcW w:w="141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32,74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25,20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43,61</w:t>
            </w:r>
          </w:p>
        </w:tc>
        <w:tc>
          <w:tcPr>
            <w:tcW w:w="141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23,51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22,75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23,68*</w:t>
            </w:r>
          </w:p>
        </w:tc>
        <w:tc>
          <w:tcPr>
            <w:tcW w:w="113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30,93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28,79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32,05</w:t>
            </w:r>
          </w:p>
        </w:tc>
      </w:tr>
      <w:tr w:rsidR="00BD0BF2" w:rsidRPr="004E3FE9" w:rsidTr="00721EA2">
        <w:trPr>
          <w:trHeight w:val="1479"/>
        </w:trPr>
        <w:tc>
          <w:tcPr>
            <w:tcW w:w="1985"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 ммоль/л</w:t>
            </w:r>
          </w:p>
        </w:tc>
        <w:tc>
          <w:tcPr>
            <w:tcW w:w="85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0,41</w:t>
            </w:r>
          </w:p>
        </w:tc>
        <w:tc>
          <w:tcPr>
            <w:tcW w:w="127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0,38</w:t>
            </w:r>
          </w:p>
        </w:tc>
        <w:tc>
          <w:tcPr>
            <w:tcW w:w="141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0,41</w:t>
            </w:r>
          </w:p>
        </w:tc>
        <w:tc>
          <w:tcPr>
            <w:tcW w:w="141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0,16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0,14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0,20*</w:t>
            </w:r>
          </w:p>
        </w:tc>
        <w:tc>
          <w:tcPr>
            <w:tcW w:w="113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0,36</w:t>
            </w:r>
          </w:p>
        </w:tc>
      </w:tr>
      <w:tr w:rsidR="00BD0BF2" w:rsidRPr="004E3FE9" w:rsidTr="00721EA2">
        <w:trPr>
          <w:trHeight w:val="1479"/>
        </w:trPr>
        <w:tc>
          <w:tcPr>
            <w:tcW w:w="1985"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 %</w:t>
            </w:r>
          </w:p>
        </w:tc>
        <w:tc>
          <w:tcPr>
            <w:tcW w:w="85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107,49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104,18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132,74*</w:t>
            </w:r>
          </w:p>
        </w:tc>
        <w:tc>
          <w:tcPr>
            <w:tcW w:w="127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112,30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101,40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128,45*</w:t>
            </w:r>
          </w:p>
        </w:tc>
        <w:tc>
          <w:tcPr>
            <w:tcW w:w="141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120,60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105,30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148,47*</w:t>
            </w:r>
          </w:p>
        </w:tc>
        <w:tc>
          <w:tcPr>
            <w:tcW w:w="141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137,63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137,01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143,23*</w:t>
            </w:r>
          </w:p>
        </w:tc>
        <w:tc>
          <w:tcPr>
            <w:tcW w:w="113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95,4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102,4</w:t>
            </w:r>
          </w:p>
        </w:tc>
      </w:tr>
    </w:tbl>
    <w:p w:rsidR="00BD0BF2" w:rsidRPr="004E3FE9" w:rsidRDefault="001056B7" w:rsidP="00BD0BF2">
      <w:pPr>
        <w:spacing w:line="360" w:lineRule="auto"/>
        <w:ind w:right="14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Примітка. </w:t>
      </w:r>
      <w:r w:rsidR="002F7F35" w:rsidRPr="004E3FE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F7F35" w:rsidRPr="004E3FE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F7F35" w:rsidRPr="004E3FE9">
        <w:rPr>
          <w:rFonts w:ascii="Times New Roman" w:hAnsi="Times New Roman" w:cs="Times New Roman"/>
          <w:sz w:val="28"/>
          <w:szCs w:val="28"/>
          <w:lang w:val="uk-UA"/>
        </w:rPr>
        <w:t>р&lt;0,01</w:t>
      </w:r>
      <w:r w:rsidR="00BD0BF2" w:rsidRPr="004E3FE9">
        <w:rPr>
          <w:rFonts w:ascii="Times New Roman" w:hAnsi="Times New Roman" w:cs="Times New Roman"/>
          <w:sz w:val="28"/>
          <w:szCs w:val="28"/>
          <w:lang w:val="uk-UA"/>
        </w:rPr>
        <w:t>- різниця вірогідна з показником дітей групи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 xml:space="preserve">Оцінка маркерів дисфункції ендотелію в залежності від активності захворювання в період клініко-лабораторної ремісії показала, що у дітей 1 групи рівні метаболітів оксиду азоту не відрізнялись від показників дітей групи контролю Рівень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реєструвався з незначною тенденцією до збільшення (104,32 (98,78;110,32) %). </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4.8</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Показники метаболітів оксиду азоту та </w:t>
      </w:r>
      <w:r w:rsidR="009A67C0" w:rsidRPr="004E3FE9">
        <w:rPr>
          <w:rFonts w:ascii="Times New Roman" w:hAnsi="Times New Roman" w:cs="Times New Roman"/>
          <w:b/>
          <w:sz w:val="28"/>
          <w:szCs w:val="28"/>
          <w:lang w:val="uk-UA"/>
        </w:rPr>
        <w:t>ФВ</w:t>
      </w:r>
      <w:r w:rsidRPr="004E3FE9">
        <w:rPr>
          <w:rFonts w:ascii="Times New Roman" w:hAnsi="Times New Roman" w:cs="Times New Roman"/>
          <w:b/>
          <w:sz w:val="28"/>
          <w:szCs w:val="28"/>
          <w:lang w:val="uk-UA"/>
        </w:rPr>
        <w:t xml:space="preserve"> у дітей в залежності від ступеня активності геморагічного васкуліту в пері</w:t>
      </w:r>
      <w:r w:rsidR="00AA5451">
        <w:rPr>
          <w:rFonts w:ascii="Times New Roman" w:hAnsi="Times New Roman" w:cs="Times New Roman"/>
          <w:b/>
          <w:sz w:val="28"/>
          <w:szCs w:val="28"/>
          <w:lang w:val="uk-UA"/>
        </w:rPr>
        <w:t>од клініко-лабораторної ремісії</w:t>
      </w:r>
    </w:p>
    <w:tbl>
      <w:tblPr>
        <w:tblStyle w:val="a8"/>
        <w:tblW w:w="9747" w:type="dxa"/>
        <w:tblLayout w:type="fixed"/>
        <w:tblLook w:val="04A0"/>
      </w:tblPr>
      <w:tblGrid>
        <w:gridCol w:w="1951"/>
        <w:gridCol w:w="851"/>
        <w:gridCol w:w="1889"/>
        <w:gridCol w:w="1748"/>
        <w:gridCol w:w="2033"/>
        <w:gridCol w:w="1275"/>
      </w:tblGrid>
      <w:tr w:rsidR="00BD0BF2" w:rsidRPr="004E3FE9" w:rsidTr="00721EA2">
        <w:trPr>
          <w:trHeight w:val="964"/>
        </w:trPr>
        <w:tc>
          <w:tcPr>
            <w:tcW w:w="1951" w:type="dxa"/>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851"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670" w:type="dxa"/>
            <w:gridSpan w:val="3"/>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1275"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tc>
      </w:tr>
      <w:tr w:rsidR="00BD0BF2" w:rsidRPr="004E3FE9" w:rsidTr="00721EA2">
        <w:trPr>
          <w:trHeight w:val="1010"/>
        </w:trPr>
        <w:tc>
          <w:tcPr>
            <w:tcW w:w="1951"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188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74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2033"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r>
      <w:tr w:rsidR="00BD0BF2" w:rsidRPr="004E3FE9" w:rsidTr="00721EA2">
        <w:trPr>
          <w:trHeight w:val="1479"/>
        </w:trPr>
        <w:tc>
          <w:tcPr>
            <w:tcW w:w="195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85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8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13,43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12,43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14,54</w:t>
            </w:r>
          </w:p>
        </w:tc>
        <w:tc>
          <w:tcPr>
            <w:tcW w:w="174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11,36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13,44</w:t>
            </w:r>
          </w:p>
        </w:tc>
        <w:tc>
          <w:tcPr>
            <w:tcW w:w="2033"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11,64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11,29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12,73*,**</w:t>
            </w:r>
          </w:p>
        </w:tc>
        <w:tc>
          <w:tcPr>
            <w:tcW w:w="127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12,79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12,35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14,00</w:t>
            </w:r>
          </w:p>
        </w:tc>
      </w:tr>
      <w:tr w:rsidR="00BD0BF2" w:rsidRPr="004E3FE9" w:rsidTr="00721EA2">
        <w:trPr>
          <w:trHeight w:val="1479"/>
        </w:trPr>
        <w:tc>
          <w:tcPr>
            <w:tcW w:w="195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мкмоль/л</w:t>
            </w:r>
          </w:p>
        </w:tc>
        <w:tc>
          <w:tcPr>
            <w:tcW w:w="85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8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30,89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28,74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34,89</w:t>
            </w:r>
          </w:p>
        </w:tc>
        <w:tc>
          <w:tcPr>
            <w:tcW w:w="174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40,98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30,78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45,88*</w:t>
            </w:r>
          </w:p>
        </w:tc>
        <w:tc>
          <w:tcPr>
            <w:tcW w:w="2033"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23,73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23,14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24,50*,**</w:t>
            </w:r>
          </w:p>
        </w:tc>
        <w:tc>
          <w:tcPr>
            <w:tcW w:w="127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30,93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28,79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32,05</w:t>
            </w:r>
          </w:p>
        </w:tc>
      </w:tr>
      <w:tr w:rsidR="00BD0BF2" w:rsidRPr="004E3FE9" w:rsidTr="00721EA2">
        <w:trPr>
          <w:trHeight w:val="1479"/>
        </w:trPr>
        <w:tc>
          <w:tcPr>
            <w:tcW w:w="195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 ммоль/л</w:t>
            </w:r>
          </w:p>
        </w:tc>
        <w:tc>
          <w:tcPr>
            <w:tcW w:w="85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8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0,40</w:t>
            </w:r>
          </w:p>
        </w:tc>
        <w:tc>
          <w:tcPr>
            <w:tcW w:w="174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0,40</w:t>
            </w:r>
          </w:p>
        </w:tc>
        <w:tc>
          <w:tcPr>
            <w:tcW w:w="2033"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0,16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0,30*,**</w:t>
            </w:r>
          </w:p>
        </w:tc>
        <w:tc>
          <w:tcPr>
            <w:tcW w:w="1275"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0,36</w:t>
            </w:r>
          </w:p>
        </w:tc>
      </w:tr>
      <w:tr w:rsidR="00BD0BF2" w:rsidRPr="004E3FE9" w:rsidTr="00721EA2">
        <w:trPr>
          <w:trHeight w:val="1479"/>
        </w:trPr>
        <w:tc>
          <w:tcPr>
            <w:tcW w:w="195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 %</w:t>
            </w:r>
          </w:p>
        </w:tc>
        <w:tc>
          <w:tcPr>
            <w:tcW w:w="85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8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104,32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98,78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110,32*</w:t>
            </w:r>
          </w:p>
        </w:tc>
        <w:tc>
          <w:tcPr>
            <w:tcW w:w="174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139,73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130,98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147,29*</w:t>
            </w:r>
          </w:p>
        </w:tc>
        <w:tc>
          <w:tcPr>
            <w:tcW w:w="2033"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119,78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110,78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137,63*,**</w:t>
            </w:r>
          </w:p>
        </w:tc>
        <w:tc>
          <w:tcPr>
            <w:tcW w:w="1275"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95,4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102,4</w:t>
            </w:r>
          </w:p>
        </w:tc>
      </w:tr>
    </w:tbl>
    <w:p w:rsidR="00BD0BF2" w:rsidRPr="004E3FE9" w:rsidRDefault="002F7F35"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Примітки: * - р&lt;0,01 </w:t>
      </w:r>
      <w:r w:rsidR="00BD0BF2" w:rsidRPr="004E3FE9">
        <w:rPr>
          <w:rFonts w:ascii="Times New Roman" w:hAnsi="Times New Roman" w:cs="Times New Roman"/>
          <w:sz w:val="28"/>
          <w:szCs w:val="28"/>
          <w:lang w:val="uk-UA"/>
        </w:rPr>
        <w:t>- різниця вірогідна відносно показників діте</w:t>
      </w:r>
      <w:r w:rsidRPr="004E3FE9">
        <w:rPr>
          <w:rFonts w:ascii="Times New Roman" w:hAnsi="Times New Roman" w:cs="Times New Roman"/>
          <w:sz w:val="28"/>
          <w:szCs w:val="28"/>
          <w:lang w:val="uk-UA"/>
        </w:rPr>
        <w:t xml:space="preserve">й контрольної групи; ** - р&lt;0,01 </w:t>
      </w:r>
      <w:r w:rsidR="00BD0BF2" w:rsidRPr="004E3FE9">
        <w:rPr>
          <w:rFonts w:ascii="Times New Roman" w:hAnsi="Times New Roman" w:cs="Times New Roman"/>
          <w:sz w:val="28"/>
          <w:szCs w:val="28"/>
          <w:lang w:val="uk-UA"/>
        </w:rPr>
        <w:t>- різниця вірогідна відносно показників пацієнтів з І та ІІ ступенем активності.</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Аналізуючи аналогічні показники дітей, що мали ІІ ступінь активності захворювання, нами доведено, що показники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та S-нітрозотіолу були на рівнях встановленої норми, рівень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статистично достовірно перевищував рівень групи контролю на 32,4%. Так, достовірно вищим був рівень ФВ, що становив (139,73 (130,98;147,29) %, що 1,4 рази вище рівня ФВ дітей контрольної групи. У дітей з ІІІ ступенем активності патологічного процесу зясовано, що рівні метаболітів оксиду азоту достовірно нижчі, ніж у дітей групи контролю, а рівень ФВ на 19,7 % вищий за аналогічний показник групи контролю (табл 4.8).</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Нами проведена оцінка статистичної значущості показників ендотеліальної дис</w:t>
      </w:r>
      <w:r w:rsidR="00CD117A" w:rsidRPr="004E3FE9">
        <w:rPr>
          <w:rFonts w:ascii="Times New Roman" w:hAnsi="Times New Roman" w:cs="Times New Roman"/>
          <w:sz w:val="28"/>
          <w:szCs w:val="28"/>
          <w:lang w:val="uk-UA"/>
        </w:rPr>
        <w:t>функції в динаміці захворювання</w:t>
      </w:r>
      <w:r w:rsidRPr="004E3FE9">
        <w:rPr>
          <w:rFonts w:ascii="Times New Roman" w:hAnsi="Times New Roman" w:cs="Times New Roman"/>
          <w:sz w:val="28"/>
          <w:szCs w:val="28"/>
          <w:lang w:val="uk-UA"/>
        </w:rPr>
        <w:t xml:space="preserve"> (табл. 4.9)</w:t>
      </w:r>
      <w:r w:rsidR="00CD117A" w:rsidRPr="004E3FE9">
        <w:rPr>
          <w:rFonts w:ascii="Times New Roman" w:hAnsi="Times New Roman" w:cs="Times New Roman"/>
          <w:sz w:val="28"/>
          <w:szCs w:val="28"/>
          <w:lang w:val="uk-UA"/>
        </w:rPr>
        <w:t>.</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4.9</w:t>
      </w:r>
    </w:p>
    <w:p w:rsidR="00BD0BF2" w:rsidRPr="004E3FE9" w:rsidRDefault="00BD0BF2" w:rsidP="00BD0BF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b/>
          <w:sz w:val="28"/>
          <w:szCs w:val="28"/>
          <w:lang w:val="uk-UA"/>
        </w:rPr>
        <w:t>Статистичні характеристики порівняння рівнів NO</w:t>
      </w:r>
      <w:r w:rsidRPr="004E3FE9">
        <w:rPr>
          <w:rFonts w:ascii="Times New Roman" w:hAnsi="Times New Roman" w:cs="Times New Roman"/>
          <w:b/>
          <w:sz w:val="28"/>
          <w:szCs w:val="28"/>
          <w:vertAlign w:val="subscript"/>
          <w:lang w:val="uk-UA"/>
        </w:rPr>
        <w:t>2</w:t>
      </w:r>
      <w:r w:rsidRPr="004E3FE9">
        <w:rPr>
          <w:rFonts w:ascii="Times New Roman" w:hAnsi="Times New Roman" w:cs="Times New Roman"/>
          <w:b/>
          <w:sz w:val="28"/>
          <w:szCs w:val="28"/>
          <w:lang w:val="uk-UA"/>
        </w:rPr>
        <w:t>, NO</w:t>
      </w:r>
      <w:r w:rsidRPr="004E3FE9">
        <w:rPr>
          <w:rFonts w:ascii="Times New Roman" w:hAnsi="Times New Roman" w:cs="Times New Roman"/>
          <w:b/>
          <w:sz w:val="28"/>
          <w:szCs w:val="28"/>
          <w:vertAlign w:val="subscript"/>
          <w:lang w:val="uk-UA"/>
        </w:rPr>
        <w:t>3</w:t>
      </w:r>
      <w:r w:rsidRPr="004E3FE9">
        <w:rPr>
          <w:rFonts w:ascii="Times New Roman" w:hAnsi="Times New Roman" w:cs="Times New Roman"/>
          <w:b/>
          <w:sz w:val="28"/>
          <w:szCs w:val="28"/>
          <w:lang w:val="uk-UA"/>
        </w:rPr>
        <w:t xml:space="preserve">, S-нітрозотіолу, </w:t>
      </w:r>
      <w:r w:rsidR="009A67C0" w:rsidRPr="004E3FE9">
        <w:rPr>
          <w:rFonts w:ascii="Times New Roman" w:hAnsi="Times New Roman" w:cs="Times New Roman"/>
          <w:b/>
          <w:sz w:val="28"/>
          <w:szCs w:val="28"/>
          <w:lang w:val="uk-UA"/>
        </w:rPr>
        <w:t>ФВ</w:t>
      </w:r>
      <w:r w:rsidRPr="004E3FE9">
        <w:rPr>
          <w:rFonts w:ascii="Times New Roman" w:hAnsi="Times New Roman" w:cs="Times New Roman"/>
          <w:b/>
          <w:sz w:val="28"/>
          <w:szCs w:val="28"/>
          <w:lang w:val="uk-UA"/>
        </w:rPr>
        <w:t xml:space="preserve"> в сироватці крові обстежених дітей в гострий період та період клініко-лабораторної ремісії</w:t>
      </w:r>
    </w:p>
    <w:tbl>
      <w:tblPr>
        <w:tblStyle w:val="a8"/>
        <w:tblW w:w="0" w:type="auto"/>
        <w:tblLook w:val="04A0"/>
      </w:tblPr>
      <w:tblGrid>
        <w:gridCol w:w="1914"/>
        <w:gridCol w:w="1887"/>
        <w:gridCol w:w="1888"/>
        <w:gridCol w:w="1887"/>
        <w:gridCol w:w="1888"/>
      </w:tblGrid>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Статистичні критерії порівняння</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w:t>
            </w:r>
          </w:p>
        </w:tc>
      </w:tr>
      <w:tr w:rsidR="00BD0BF2" w:rsidRPr="004E3FE9" w:rsidTr="00721EA2">
        <w:tc>
          <w:tcPr>
            <w:tcW w:w="9464"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ступінь активності (n=19)</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69</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vertAlign w:val="subscript"/>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0,2954</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r>
      <w:tr w:rsidR="00BD0BF2" w:rsidRPr="004E3FE9" w:rsidTr="00721EA2">
        <w:tc>
          <w:tcPr>
            <w:tcW w:w="9464"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 ступінь активності (n=22)</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vertAlign w:val="subscript"/>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0,0000</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0,0000</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0,0000</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0,0000</w:t>
            </w:r>
          </w:p>
        </w:tc>
      </w:tr>
      <w:tr w:rsidR="00BD0BF2" w:rsidRPr="004E3FE9" w:rsidTr="00721EA2">
        <w:tc>
          <w:tcPr>
            <w:tcW w:w="9464"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 ступінь активності (n=19)</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vertAlign w:val="subscript"/>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c>
          <w:tcPr>
            <w:tcW w:w="188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c>
          <w:tcPr>
            <w:tcW w:w="18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r>
    </w:tbl>
    <w:p w:rsidR="00BD0BF2" w:rsidRPr="004E3FE9" w:rsidRDefault="002F7F35"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Примітка. * - р&lt;0,01 </w:t>
      </w:r>
      <w:r w:rsidR="00BD0BF2" w:rsidRPr="004E3FE9">
        <w:rPr>
          <w:rFonts w:ascii="Times New Roman" w:hAnsi="Times New Roman" w:cs="Times New Roman"/>
          <w:sz w:val="28"/>
          <w:szCs w:val="28"/>
          <w:lang w:val="uk-UA"/>
        </w:rPr>
        <w:t>- різниця вірогідна відносно показників гострого періоду (І) та клініко-лабораторної ремісії (ІІ).</w:t>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p>
    <w:p w:rsidR="00BD0BF2" w:rsidRDefault="00BD0BF2" w:rsidP="00A02BFF">
      <w:pPr>
        <w:pStyle w:val="2"/>
        <w:numPr>
          <w:ilvl w:val="1"/>
          <w:numId w:val="4"/>
        </w:numPr>
        <w:spacing w:line="360" w:lineRule="auto"/>
        <w:rPr>
          <w:rFonts w:ascii="Times New Roman" w:hAnsi="Times New Roman" w:cs="Times New Roman"/>
          <w:color w:val="000000" w:themeColor="text1"/>
          <w:sz w:val="28"/>
          <w:szCs w:val="28"/>
          <w:lang w:val="uk-UA"/>
        </w:rPr>
      </w:pPr>
      <w:bookmarkStart w:id="18" w:name="_Toc465797615"/>
      <w:r w:rsidRPr="004E3FE9">
        <w:rPr>
          <w:rFonts w:ascii="Times New Roman" w:hAnsi="Times New Roman" w:cs="Times New Roman"/>
          <w:color w:val="000000" w:themeColor="text1"/>
          <w:sz w:val="28"/>
          <w:szCs w:val="28"/>
          <w:lang w:val="uk-UA"/>
        </w:rPr>
        <w:lastRenderedPageBreak/>
        <w:t>Аналіз структурного та функціонального стану ендотелію у дітей з ГВ за даними ультразвукової доплерографії судин</w:t>
      </w:r>
      <w:bookmarkEnd w:id="18"/>
    </w:p>
    <w:p w:rsidR="00A02BFF" w:rsidRPr="00A02BFF" w:rsidRDefault="00A02BFF" w:rsidP="00A02BFF">
      <w:pPr>
        <w:ind w:left="360"/>
        <w:rPr>
          <w:lang w:val="uk-UA"/>
        </w:rPr>
      </w:pPr>
    </w:p>
    <w:p w:rsidR="00BD0BF2" w:rsidRPr="004E3FE9" w:rsidRDefault="00BD0BF2" w:rsidP="00BD0BF2">
      <w:pPr>
        <w:pStyle w:val="ab"/>
        <w:spacing w:before="132" w:line="360" w:lineRule="auto"/>
        <w:ind w:left="0" w:right="142" w:firstLine="709"/>
        <w:contextualSpacing/>
        <w:rPr>
          <w:lang w:val="uk-UA"/>
        </w:rPr>
      </w:pPr>
      <w:r w:rsidRPr="004E3FE9">
        <w:rPr>
          <w:lang w:val="uk-UA"/>
        </w:rPr>
        <w:t xml:space="preserve">Всім дітям з ГВ, для визначення структурного та функціонального стану ендотелію при ГВ, виконано ультразвукову доплерографію </w:t>
      </w:r>
      <w:r w:rsidR="00AA5451">
        <w:rPr>
          <w:lang w:val="uk-UA"/>
        </w:rPr>
        <w:t>ЗСА</w:t>
      </w:r>
      <w:r w:rsidRPr="004E3FE9">
        <w:rPr>
          <w:lang w:val="uk-UA"/>
        </w:rPr>
        <w:t xml:space="preserve"> з якісною оцінкою її структури за допомогою вимірюванням величини </w:t>
      </w:r>
      <w:r w:rsidR="00AA5451">
        <w:rPr>
          <w:lang w:val="uk-UA"/>
        </w:rPr>
        <w:t>КІМ</w:t>
      </w:r>
      <w:r w:rsidRPr="004E3FE9">
        <w:rPr>
          <w:lang w:val="uk-UA"/>
        </w:rPr>
        <w:t xml:space="preserve"> в середній третині загальних сонних</w:t>
      </w:r>
      <w:r w:rsidRPr="004E3FE9">
        <w:rPr>
          <w:spacing w:val="-5"/>
          <w:lang w:val="uk-UA"/>
        </w:rPr>
        <w:t xml:space="preserve"> </w:t>
      </w:r>
      <w:r w:rsidRPr="004E3FE9">
        <w:rPr>
          <w:lang w:val="uk-UA"/>
        </w:rPr>
        <w:t>артерій. Результати визначення КІМ ЗСА у дітей в гострий період захворювання на ГВ представлені в табл. 4.10.</w:t>
      </w:r>
    </w:p>
    <w:p w:rsidR="00BD0BF2" w:rsidRPr="00A02BFF" w:rsidRDefault="00BD0BF2" w:rsidP="00BD0BF2">
      <w:pPr>
        <w:pStyle w:val="ab"/>
        <w:spacing w:before="132" w:line="360" w:lineRule="auto"/>
        <w:ind w:left="0" w:right="141"/>
        <w:contextualSpacing/>
        <w:jc w:val="right"/>
        <w:rPr>
          <w:i/>
          <w:lang w:val="uk-UA"/>
        </w:rPr>
      </w:pPr>
      <w:r w:rsidRPr="00A02BFF">
        <w:rPr>
          <w:i/>
          <w:lang w:val="uk-UA"/>
        </w:rPr>
        <w:t>Таблиця 4.10</w:t>
      </w:r>
    </w:p>
    <w:p w:rsidR="00BD0BF2" w:rsidRPr="004E3FE9" w:rsidRDefault="00BD0BF2" w:rsidP="00BD0BF2">
      <w:pPr>
        <w:pStyle w:val="ab"/>
        <w:spacing w:before="132" w:line="360" w:lineRule="auto"/>
        <w:ind w:left="0" w:right="141"/>
        <w:contextualSpacing/>
        <w:jc w:val="center"/>
        <w:rPr>
          <w:b/>
          <w:lang w:val="uk-UA"/>
        </w:rPr>
      </w:pPr>
      <w:r w:rsidRPr="004E3FE9">
        <w:rPr>
          <w:b/>
          <w:lang w:val="uk-UA"/>
        </w:rPr>
        <w:t>Показники КІМ ЗСА у дітей різного віку, хворих на ГВ в гострий період захворювання (Me(Lq;Uq)).</w:t>
      </w:r>
    </w:p>
    <w:tbl>
      <w:tblPr>
        <w:tblStyle w:val="a8"/>
        <w:tblW w:w="9356" w:type="dxa"/>
        <w:tblInd w:w="108" w:type="dxa"/>
        <w:tblLayout w:type="fixed"/>
        <w:tblLook w:val="04A0"/>
      </w:tblPr>
      <w:tblGrid>
        <w:gridCol w:w="1985"/>
        <w:gridCol w:w="1701"/>
        <w:gridCol w:w="1927"/>
        <w:gridCol w:w="1758"/>
        <w:gridCol w:w="1985"/>
      </w:tblGrid>
      <w:tr w:rsidR="00BD0BF2" w:rsidRPr="004E3FE9" w:rsidTr="00721EA2">
        <w:trPr>
          <w:trHeight w:val="366"/>
        </w:trPr>
        <w:tc>
          <w:tcPr>
            <w:tcW w:w="1985" w:type="dxa"/>
            <w:vMerge w:val="restart"/>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1701" w:type="dxa"/>
            <w:vMerge w:val="restart"/>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c>
          <w:tcPr>
            <w:tcW w:w="5670" w:type="dxa"/>
            <w:gridSpan w:val="3"/>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Вік дітей, хворих на ГВ</w:t>
            </w:r>
          </w:p>
        </w:tc>
      </w:tr>
      <w:tr w:rsidR="00BD0BF2" w:rsidRPr="00810999" w:rsidTr="00721EA2">
        <w:trPr>
          <w:trHeight w:val="1547"/>
        </w:trPr>
        <w:tc>
          <w:tcPr>
            <w:tcW w:w="1985" w:type="dxa"/>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701" w:type="dxa"/>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927"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 рік – 6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n=29</w:t>
            </w:r>
          </w:p>
        </w:tc>
        <w:tc>
          <w:tcPr>
            <w:tcW w:w="1758"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 років – 12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n=23</w:t>
            </w:r>
          </w:p>
        </w:tc>
        <w:tc>
          <w:tcPr>
            <w:tcW w:w="1985"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13 років - 17 років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n=8</w:t>
            </w:r>
          </w:p>
        </w:tc>
      </w:tr>
      <w:tr w:rsidR="00BD0BF2" w:rsidRPr="004E3FE9" w:rsidTr="00721EA2">
        <w:trPr>
          <w:trHeight w:val="1170"/>
        </w:trPr>
        <w:tc>
          <w:tcPr>
            <w:tcW w:w="1985" w:type="dxa"/>
            <w:vAlign w:val="center"/>
          </w:tcPr>
          <w:p w:rsidR="00BD0BF2" w:rsidRPr="004E3FE9" w:rsidRDefault="00BD0BF2" w:rsidP="00721EA2">
            <w:pPr>
              <w:pStyle w:val="ab"/>
              <w:spacing w:before="132" w:line="360" w:lineRule="auto"/>
              <w:ind w:left="0" w:right="141"/>
              <w:contextualSpacing/>
              <w:jc w:val="center"/>
              <w:rPr>
                <w:lang w:val="uk-UA"/>
              </w:rPr>
            </w:pPr>
            <w:r w:rsidRPr="004E3FE9">
              <w:rPr>
                <w:lang w:val="uk-UA"/>
              </w:rPr>
              <w:t>КІМ ЗСА, мм</w:t>
            </w:r>
          </w:p>
        </w:tc>
        <w:tc>
          <w:tcPr>
            <w:tcW w:w="1701" w:type="dxa"/>
            <w:vAlign w:val="center"/>
          </w:tcPr>
          <w:p w:rsidR="00BD0BF2" w:rsidRPr="004E3FE9" w:rsidRDefault="00BD0BF2" w:rsidP="00721EA2">
            <w:pPr>
              <w:pStyle w:val="ab"/>
              <w:spacing w:before="132" w:line="360" w:lineRule="auto"/>
              <w:ind w:left="0" w:right="141"/>
              <w:contextualSpacing/>
              <w:jc w:val="center"/>
              <w:rPr>
                <w:lang w:val="uk-UA"/>
              </w:rPr>
            </w:pPr>
            <w:r w:rsidRPr="004E3FE9">
              <w:rPr>
                <w:lang w:val="uk-UA"/>
              </w:rPr>
              <w:t>0,62 (0,61;0,64)</w:t>
            </w:r>
          </w:p>
        </w:tc>
        <w:tc>
          <w:tcPr>
            <w:tcW w:w="1927" w:type="dxa"/>
            <w:vAlign w:val="center"/>
          </w:tcPr>
          <w:p w:rsidR="00BD0BF2" w:rsidRPr="004E3FE9" w:rsidRDefault="00BD0BF2" w:rsidP="00721EA2">
            <w:pPr>
              <w:pStyle w:val="ab"/>
              <w:spacing w:before="132" w:line="360" w:lineRule="auto"/>
              <w:ind w:left="0" w:right="141"/>
              <w:contextualSpacing/>
              <w:jc w:val="center"/>
              <w:rPr>
                <w:lang w:val="uk-UA"/>
              </w:rPr>
            </w:pPr>
            <w:r w:rsidRPr="004E3FE9">
              <w:rPr>
                <w:lang w:val="uk-UA"/>
              </w:rPr>
              <w:t>0,60 (0,50;0,90)</w:t>
            </w:r>
          </w:p>
        </w:tc>
        <w:tc>
          <w:tcPr>
            <w:tcW w:w="1758" w:type="dxa"/>
            <w:vAlign w:val="center"/>
          </w:tcPr>
          <w:p w:rsidR="00BD0BF2" w:rsidRPr="004E3FE9" w:rsidRDefault="00BD0BF2" w:rsidP="00721EA2">
            <w:pPr>
              <w:pStyle w:val="ab"/>
              <w:spacing w:before="132" w:line="360" w:lineRule="auto"/>
              <w:ind w:left="0" w:right="141"/>
              <w:contextualSpacing/>
              <w:jc w:val="center"/>
              <w:rPr>
                <w:lang w:val="uk-UA"/>
              </w:rPr>
            </w:pPr>
            <w:r w:rsidRPr="004E3FE9">
              <w:rPr>
                <w:lang w:val="uk-UA"/>
              </w:rPr>
              <w:t>0,80 (0,60;1,00)*</w:t>
            </w:r>
          </w:p>
        </w:tc>
        <w:tc>
          <w:tcPr>
            <w:tcW w:w="1985" w:type="dxa"/>
            <w:vAlign w:val="center"/>
          </w:tcPr>
          <w:p w:rsidR="00BD0BF2" w:rsidRPr="004E3FE9" w:rsidRDefault="00BD0BF2" w:rsidP="00721EA2">
            <w:pPr>
              <w:pStyle w:val="ab"/>
              <w:spacing w:before="132" w:line="360" w:lineRule="auto"/>
              <w:ind w:left="0" w:right="141"/>
              <w:contextualSpacing/>
              <w:jc w:val="center"/>
              <w:rPr>
                <w:lang w:val="uk-UA"/>
              </w:rPr>
            </w:pPr>
            <w:r w:rsidRPr="004E3FE9">
              <w:rPr>
                <w:lang w:val="uk-UA"/>
              </w:rPr>
              <w:t>0,70 (0,65;0,77)</w:t>
            </w:r>
          </w:p>
        </w:tc>
      </w:tr>
    </w:tbl>
    <w:p w:rsidR="00BD0BF2" w:rsidRPr="004E3FE9" w:rsidRDefault="002F7F35"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Примітка.*-р&lt;0,01 </w:t>
      </w:r>
      <w:r w:rsidR="00BD0BF2" w:rsidRPr="004E3FE9">
        <w:rPr>
          <w:rFonts w:ascii="Times New Roman" w:hAnsi="Times New Roman" w:cs="Times New Roman"/>
          <w:sz w:val="28"/>
          <w:szCs w:val="28"/>
          <w:lang w:val="uk-UA"/>
        </w:rPr>
        <w:t>- різниця вірогідна з показником дітей групи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2" w:firstLine="709"/>
        <w:contextualSpacing/>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 xml:space="preserve">Ми порівняли розміри комплексу інтима-медіа загальної сонної артерії у дітей різного віку в гострий період та виявили, що найменша ширина КІМ зареєстрована у дітей в віці 1 – 6 років - (0,60 (0,50;0,90) мм, що не відрізняється від показників дітей групи контролю. А у дітей віком від 7 до 12 років, хворих на ГВ, ширина КІМ мала найбільші показники (0,80 (0,60;1,00) мм), що в 1,3 раз більше порівняно з контрольною групою. </w:t>
      </w:r>
      <w:r w:rsidRPr="004E3FE9">
        <w:rPr>
          <w:rFonts w:ascii="Times New Roman" w:eastAsia="Times New Roman" w:hAnsi="Times New Roman" w:cs="Times New Roman"/>
          <w:sz w:val="28"/>
          <w:szCs w:val="28"/>
          <w:lang w:val="uk-UA"/>
        </w:rPr>
        <w:lastRenderedPageBreak/>
        <w:t>У дітей підліткового віку показники КІМ ЗСА не відрізнялись від показників групи контролю.</w:t>
      </w:r>
    </w:p>
    <w:p w:rsidR="00BD0BF2" w:rsidRPr="004E3FE9" w:rsidRDefault="00BD0BF2" w:rsidP="00BD0BF2">
      <w:pPr>
        <w:spacing w:line="360" w:lineRule="auto"/>
        <w:ind w:right="142" w:firstLine="709"/>
        <w:contextualSpacing/>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Також нами проведений аналіз залежності показників функції ендотелію ЗСА в залежності від форми захворювання. У дітей зі шкірною, шкірно-суглобовою та змішаною формами показники товщини КІМ ЗСА не відрізнялись від показників дітей групи контролю. Достовірне потовщення КІМ ЗСА зареєстровано при змішаній формі з нирковим синдромом (1,00 (0,90;1,00) мм), порівняно з показником дітей групи контролю, що свідчить про виражені прояви ендотеліальної дисфункції у обстежених дітей з даною формою захворювання (табл. 4.11).</w:t>
      </w:r>
    </w:p>
    <w:p w:rsidR="00BD0BF2" w:rsidRPr="00A02BFF" w:rsidRDefault="00BD0BF2" w:rsidP="00BD0BF2">
      <w:pPr>
        <w:pStyle w:val="ab"/>
        <w:spacing w:before="132" w:line="360" w:lineRule="auto"/>
        <w:ind w:left="0" w:right="141"/>
        <w:contextualSpacing/>
        <w:jc w:val="right"/>
        <w:rPr>
          <w:i/>
          <w:lang w:val="uk-UA"/>
        </w:rPr>
      </w:pPr>
      <w:r w:rsidRPr="00A02BFF">
        <w:rPr>
          <w:i/>
          <w:lang w:val="uk-UA"/>
        </w:rPr>
        <w:t>Таблиця 4.11</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КІМ ЗСА у дітей, хворих на геморагічний в залежності від форми Г</w:t>
      </w:r>
      <w:r w:rsidR="00AA5451">
        <w:rPr>
          <w:rFonts w:ascii="Times New Roman" w:hAnsi="Times New Roman" w:cs="Times New Roman"/>
          <w:b/>
          <w:sz w:val="28"/>
          <w:szCs w:val="28"/>
          <w:lang w:val="uk-UA"/>
        </w:rPr>
        <w:t>В в гострий період захворювання</w:t>
      </w:r>
    </w:p>
    <w:tbl>
      <w:tblPr>
        <w:tblStyle w:val="a8"/>
        <w:tblW w:w="9356" w:type="dxa"/>
        <w:tblInd w:w="108" w:type="dxa"/>
        <w:tblLayout w:type="fixed"/>
        <w:tblLook w:val="04A0"/>
      </w:tblPr>
      <w:tblGrid>
        <w:gridCol w:w="1701"/>
        <w:gridCol w:w="993"/>
        <w:gridCol w:w="1275"/>
        <w:gridCol w:w="1276"/>
        <w:gridCol w:w="1418"/>
        <w:gridCol w:w="1417"/>
        <w:gridCol w:w="1276"/>
      </w:tblGrid>
      <w:tr w:rsidR="00BD0BF2" w:rsidRPr="004E3FE9" w:rsidTr="00721EA2">
        <w:trPr>
          <w:cantSplit/>
          <w:trHeight w:val="454"/>
        </w:trPr>
        <w:tc>
          <w:tcPr>
            <w:tcW w:w="1701" w:type="dxa"/>
            <w:vMerge w:val="restart"/>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993" w:type="dxa"/>
            <w:vMerge w:val="restart"/>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386" w:type="dxa"/>
            <w:gridSpan w:val="4"/>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Форма геморагічного васкуліту</w:t>
            </w:r>
          </w:p>
        </w:tc>
        <w:tc>
          <w:tcPr>
            <w:tcW w:w="1276" w:type="dxa"/>
            <w:vMerge w:val="restart"/>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r>
      <w:tr w:rsidR="00BD0BF2" w:rsidRPr="004E3FE9" w:rsidTr="00721EA2">
        <w:trPr>
          <w:cantSplit/>
          <w:trHeight w:val="1757"/>
        </w:trPr>
        <w:tc>
          <w:tcPr>
            <w:tcW w:w="1701" w:type="dxa"/>
            <w:vMerge/>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993" w:type="dxa"/>
            <w:vMerge/>
            <w:vAlign w:val="center"/>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p>
        </w:tc>
        <w:tc>
          <w:tcPr>
            <w:tcW w:w="1275" w:type="dxa"/>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Шкірна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 8)</w:t>
            </w:r>
          </w:p>
        </w:tc>
        <w:tc>
          <w:tcPr>
            <w:tcW w:w="1276" w:type="dxa"/>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Шкірно-</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суглобова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(n=24)</w:t>
            </w:r>
          </w:p>
        </w:tc>
        <w:tc>
          <w:tcPr>
            <w:tcW w:w="1418" w:type="dxa"/>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417" w:type="dxa"/>
            <w:textDirection w:val="btLr"/>
            <w:vAlign w:val="center"/>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 з</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нирковим синдромом</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(n=9)</w:t>
            </w:r>
          </w:p>
        </w:tc>
        <w:tc>
          <w:tcPr>
            <w:tcW w:w="1276" w:type="dxa"/>
            <w:vMerge/>
            <w:textDirection w:val="btLr"/>
            <w:vAlign w:val="center"/>
          </w:tcPr>
          <w:p w:rsidR="00BD0BF2" w:rsidRPr="004E3FE9" w:rsidRDefault="00BD0BF2" w:rsidP="00721EA2">
            <w:pPr>
              <w:spacing w:line="360" w:lineRule="auto"/>
              <w:ind w:left="113" w:right="141"/>
              <w:contextualSpacing/>
              <w:jc w:val="center"/>
              <w:rPr>
                <w:rFonts w:ascii="Times New Roman" w:hAnsi="Times New Roman" w:cs="Times New Roman"/>
                <w:sz w:val="28"/>
                <w:szCs w:val="28"/>
                <w:lang w:val="uk-UA"/>
              </w:rPr>
            </w:pPr>
          </w:p>
        </w:tc>
      </w:tr>
      <w:tr w:rsidR="00BD0BF2" w:rsidRPr="004E3FE9" w:rsidTr="00721EA2">
        <w:trPr>
          <w:trHeight w:val="1569"/>
        </w:trPr>
        <w:tc>
          <w:tcPr>
            <w:tcW w:w="1701"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КІМ ЗСА, мм</w:t>
            </w:r>
          </w:p>
        </w:tc>
        <w:tc>
          <w:tcPr>
            <w:tcW w:w="993"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5"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0,60 0,45</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0,75</w:t>
            </w:r>
          </w:p>
        </w:tc>
        <w:tc>
          <w:tcPr>
            <w:tcW w:w="1276"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0,65 0,50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0,80</w:t>
            </w:r>
          </w:p>
        </w:tc>
        <w:tc>
          <w:tcPr>
            <w:tcW w:w="1418"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0,70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0,50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0,90</w:t>
            </w:r>
          </w:p>
        </w:tc>
        <w:tc>
          <w:tcPr>
            <w:tcW w:w="1417"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1,00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0,90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1,00*</w:t>
            </w:r>
          </w:p>
        </w:tc>
        <w:tc>
          <w:tcPr>
            <w:tcW w:w="127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0,61</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0,64</w:t>
            </w:r>
          </w:p>
        </w:tc>
      </w:tr>
    </w:tbl>
    <w:p w:rsidR="00BD0BF2" w:rsidRPr="004E3FE9" w:rsidRDefault="002F7F35"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Примітка.* - р&lt;0,01</w:t>
      </w:r>
      <w:r w:rsidR="00BD0BF2" w:rsidRPr="004E3FE9">
        <w:rPr>
          <w:rFonts w:ascii="Times New Roman" w:hAnsi="Times New Roman" w:cs="Times New Roman"/>
          <w:sz w:val="28"/>
          <w:szCs w:val="28"/>
          <w:lang w:val="uk-UA"/>
        </w:rPr>
        <w:t xml:space="preserve"> - різниця вірогідна з показником дітей групи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p>
    <w:p w:rsidR="00AA5451" w:rsidRPr="004E3FE9" w:rsidRDefault="00BD0BF2" w:rsidP="00A02BFF">
      <w:pPr>
        <w:spacing w:line="360" w:lineRule="auto"/>
        <w:ind w:right="142" w:firstLine="709"/>
        <w:contextualSpacing/>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Нами відмічено, що у досліджуваних пацієнтів виявлене потовщення КІМ СА лише у дітей з максимальним ступенем активності (0,90 (0,90;1,00) мм), що майже на 50 % вище ніж у дітей з групи контролю (рис. 4.5). У дітей з І та ІІ ступенем активності змін т</w:t>
      </w:r>
      <w:r w:rsidR="00AA5451">
        <w:rPr>
          <w:rFonts w:ascii="Times New Roman" w:eastAsia="Times New Roman" w:hAnsi="Times New Roman" w:cs="Times New Roman"/>
          <w:sz w:val="28"/>
          <w:szCs w:val="28"/>
          <w:lang w:val="uk-UA"/>
        </w:rPr>
        <w:t>овщини КІМ ЗСА виявлено не було</w:t>
      </w:r>
      <w:r w:rsidRPr="004E3FE9">
        <w:rPr>
          <w:rFonts w:ascii="Times New Roman" w:eastAsia="Times New Roman" w:hAnsi="Times New Roman" w:cs="Times New Roman"/>
          <w:sz w:val="28"/>
          <w:szCs w:val="28"/>
          <w:lang w:val="uk-UA"/>
        </w:rPr>
        <w:t xml:space="preserve"> (табл. 4.12)</w:t>
      </w:r>
      <w:r w:rsidR="00AA5451">
        <w:rPr>
          <w:rFonts w:ascii="Times New Roman" w:eastAsia="Times New Roman" w:hAnsi="Times New Roman" w:cs="Times New Roman"/>
          <w:sz w:val="28"/>
          <w:szCs w:val="28"/>
          <w:lang w:val="uk-UA"/>
        </w:rPr>
        <w:t>.</w:t>
      </w:r>
    </w:p>
    <w:p w:rsidR="00BD0BF2" w:rsidRPr="00A02BFF" w:rsidRDefault="00BD0BF2" w:rsidP="00BD0BF2">
      <w:pPr>
        <w:pStyle w:val="ab"/>
        <w:spacing w:before="132" w:line="360" w:lineRule="auto"/>
        <w:ind w:left="0" w:right="141"/>
        <w:contextualSpacing/>
        <w:jc w:val="right"/>
        <w:rPr>
          <w:i/>
          <w:lang w:val="uk-UA"/>
        </w:rPr>
      </w:pPr>
      <w:r w:rsidRPr="00A02BFF">
        <w:rPr>
          <w:i/>
          <w:lang w:val="uk-UA"/>
        </w:rPr>
        <w:lastRenderedPageBreak/>
        <w:t>Таблиця 4.12</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КІМ ЗСА у дітей в залежності від ступеня активності Г</w:t>
      </w:r>
      <w:r w:rsidR="00AA5451">
        <w:rPr>
          <w:rFonts w:ascii="Times New Roman" w:hAnsi="Times New Roman" w:cs="Times New Roman"/>
          <w:b/>
          <w:sz w:val="28"/>
          <w:szCs w:val="28"/>
          <w:lang w:val="uk-UA"/>
        </w:rPr>
        <w:t>В в гострий період захворювання</w:t>
      </w:r>
    </w:p>
    <w:tbl>
      <w:tblPr>
        <w:tblStyle w:val="a8"/>
        <w:tblW w:w="0" w:type="auto"/>
        <w:tblLayout w:type="fixed"/>
        <w:tblLook w:val="04A0"/>
      </w:tblPr>
      <w:tblGrid>
        <w:gridCol w:w="1809"/>
        <w:gridCol w:w="993"/>
        <w:gridCol w:w="1653"/>
        <w:gridCol w:w="1654"/>
        <w:gridCol w:w="1654"/>
        <w:gridCol w:w="1701"/>
      </w:tblGrid>
      <w:tr w:rsidR="00BD0BF2" w:rsidRPr="004E3FE9" w:rsidTr="00721EA2">
        <w:trPr>
          <w:trHeight w:val="964"/>
        </w:trPr>
        <w:tc>
          <w:tcPr>
            <w:tcW w:w="1809" w:type="dxa"/>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993"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360"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4961" w:type="dxa"/>
            <w:gridSpan w:val="3"/>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1701"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tc>
      </w:tr>
      <w:tr w:rsidR="00BD0BF2" w:rsidRPr="004E3FE9" w:rsidTr="00721EA2">
        <w:trPr>
          <w:trHeight w:val="1010"/>
        </w:trPr>
        <w:tc>
          <w:tcPr>
            <w:tcW w:w="1809"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1653"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65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65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r>
      <w:tr w:rsidR="00BD0BF2" w:rsidRPr="004E3FE9" w:rsidTr="00721EA2">
        <w:trPr>
          <w:trHeight w:val="1569"/>
        </w:trPr>
        <w:tc>
          <w:tcPr>
            <w:tcW w:w="180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КІМ ЗСА, мм</w:t>
            </w:r>
          </w:p>
        </w:tc>
        <w:tc>
          <w:tcPr>
            <w:tcW w:w="993"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653"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0,60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0,45</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0,70</w:t>
            </w:r>
          </w:p>
        </w:tc>
        <w:tc>
          <w:tcPr>
            <w:tcW w:w="165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0,60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0,50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0,70</w:t>
            </w:r>
          </w:p>
        </w:tc>
        <w:tc>
          <w:tcPr>
            <w:tcW w:w="165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0,90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0,90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1,00*</w:t>
            </w:r>
          </w:p>
        </w:tc>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0,61</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0,64</w:t>
            </w:r>
          </w:p>
        </w:tc>
      </w:tr>
    </w:tbl>
    <w:p w:rsidR="00BD0BF2" w:rsidRPr="004E3FE9" w:rsidRDefault="002F7F35"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Примітка.* - р&lt;0,01</w:t>
      </w:r>
      <w:r w:rsidR="00BD0BF2" w:rsidRPr="004E3FE9">
        <w:rPr>
          <w:rFonts w:ascii="Times New Roman" w:hAnsi="Times New Roman" w:cs="Times New Roman"/>
          <w:sz w:val="28"/>
          <w:szCs w:val="28"/>
          <w:lang w:val="uk-UA"/>
        </w:rPr>
        <w:t xml:space="preserve"> - різниця вірогідна з показником дітей групи контролю.</w:t>
      </w:r>
    </w:p>
    <w:p w:rsidR="00BD0BF2" w:rsidRPr="004E3FE9" w:rsidRDefault="00BD0BF2" w:rsidP="00BD0BF2">
      <w:pPr>
        <w:spacing w:line="360" w:lineRule="auto"/>
        <w:ind w:right="141"/>
        <w:contextualSpacing/>
        <w:jc w:val="both"/>
        <w:rPr>
          <w:rFonts w:ascii="Times New Roman" w:eastAsia="Times New Roman" w:hAnsi="Times New Roman" w:cs="Times New Roman"/>
          <w:sz w:val="28"/>
          <w:szCs w:val="28"/>
          <w:lang w:val="uk-UA"/>
        </w:rPr>
      </w:pPr>
    </w:p>
    <w:p w:rsidR="00BD0BF2" w:rsidRPr="004E3FE9" w:rsidRDefault="00BD0BF2" w:rsidP="00BD0BF2">
      <w:pPr>
        <w:spacing w:line="360" w:lineRule="auto"/>
        <w:ind w:right="141"/>
        <w:contextualSpacing/>
        <w:jc w:val="both"/>
        <w:rPr>
          <w:rFonts w:ascii="Times New Roman" w:eastAsia="Times New Roman" w:hAnsi="Times New Roman" w:cs="Times New Roman"/>
          <w:sz w:val="28"/>
          <w:szCs w:val="28"/>
          <w:lang w:val="uk-UA"/>
        </w:rPr>
      </w:pPr>
    </w:p>
    <w:p w:rsidR="00BD0BF2" w:rsidRPr="004E3FE9" w:rsidRDefault="00BD0BF2" w:rsidP="00BD0BF2">
      <w:pPr>
        <w:spacing w:line="360" w:lineRule="auto"/>
        <w:ind w:right="141"/>
        <w:contextualSpacing/>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noProof/>
          <w:sz w:val="28"/>
          <w:szCs w:val="28"/>
          <w:lang w:eastAsia="ru-RU"/>
        </w:rPr>
        <w:drawing>
          <wp:inline distT="0" distB="0" distL="0" distR="0">
            <wp:extent cx="5813946" cy="291720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ИМ ОП.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811536" cy="2916000"/>
                    </a:xfrm>
                    <a:prstGeom prst="rect">
                      <a:avLst/>
                    </a:prstGeom>
                  </pic:spPr>
                </pic:pic>
              </a:graphicData>
            </a:graphic>
          </wp:inline>
        </w:drawing>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4.5 Товщина КІМ ЗСА у дітей, хворих на геморагічний васкуліт, в залежності від ступеня активності в гострий період.</w:t>
      </w:r>
    </w:p>
    <w:p w:rsidR="00BD0BF2" w:rsidRPr="004E3FE9" w:rsidRDefault="00BD0BF2" w:rsidP="00BD0BF2">
      <w:pPr>
        <w:spacing w:line="360" w:lineRule="auto"/>
        <w:ind w:right="141"/>
        <w:contextualSpacing/>
        <w:jc w:val="both"/>
        <w:rPr>
          <w:rFonts w:ascii="Times New Roman" w:eastAsia="Times New Roman" w:hAnsi="Times New Roman" w:cs="Times New Roman"/>
          <w:sz w:val="28"/>
          <w:szCs w:val="28"/>
          <w:lang w:val="uk-UA"/>
        </w:rPr>
      </w:pP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Ендотелійзалежна вазодилатація є важливим показником, що відображає функціональний стан судинної стінки. Встановлено, що вимір ступеня ендотелій-залежної дилатації плечової артерії в період реактивної гіперемії є неінвазивним і доступним об'єктивним методом оцінки функції </w:t>
      </w:r>
      <w:r w:rsidRPr="004E3FE9">
        <w:rPr>
          <w:rFonts w:ascii="Times New Roman" w:hAnsi="Times New Roman" w:cs="Times New Roman"/>
          <w:sz w:val="28"/>
          <w:szCs w:val="28"/>
          <w:lang w:val="uk-UA"/>
        </w:rPr>
        <w:lastRenderedPageBreak/>
        <w:t>ендотелію. Результати визначення ендотелійзалежної вазодилатації плечової артерії при ГВ у дітей різного віку в гострий період захворювання надані в табл. 4.13.</w:t>
      </w:r>
    </w:p>
    <w:p w:rsidR="00BD0BF2" w:rsidRPr="00A02BFF" w:rsidRDefault="00BD0BF2" w:rsidP="00BD0BF2">
      <w:pPr>
        <w:spacing w:line="360" w:lineRule="auto"/>
        <w:ind w:right="142" w:firstLine="709"/>
        <w:contextualSpacing/>
        <w:jc w:val="both"/>
        <w:rPr>
          <w:rFonts w:ascii="Times New Roman" w:hAnsi="Times New Roman" w:cs="Times New Roman"/>
          <w:i/>
          <w:sz w:val="28"/>
          <w:szCs w:val="28"/>
          <w:lang w:val="uk-UA"/>
        </w:rPr>
      </w:pPr>
      <w:r w:rsidRPr="004E3FE9">
        <w:rPr>
          <w:rFonts w:ascii="Times New Roman" w:hAnsi="Times New Roman" w:cs="Times New Roman"/>
          <w:sz w:val="28"/>
          <w:szCs w:val="28"/>
          <w:lang w:val="uk-UA"/>
        </w:rPr>
        <w:t xml:space="preserve">Аналіз отриманих результатів показав, що діаметр плечової артерії до оклюзії статистично достовірно не відрізнявся від показників </w:t>
      </w:r>
      <w:r w:rsidRPr="004E3FE9">
        <w:rPr>
          <w:rFonts w:ascii="Times New Roman" w:eastAsia="Times New Roman" w:hAnsi="Times New Roman" w:cs="Times New Roman"/>
          <w:sz w:val="28"/>
          <w:szCs w:val="28"/>
          <w:lang w:val="uk-UA"/>
        </w:rPr>
        <w:t>групи контролю</w:t>
      </w:r>
      <w:r w:rsidRPr="004E3FE9">
        <w:rPr>
          <w:rFonts w:ascii="Times New Roman" w:hAnsi="Times New Roman" w:cs="Times New Roman"/>
          <w:sz w:val="28"/>
          <w:szCs w:val="28"/>
          <w:lang w:val="uk-UA"/>
        </w:rPr>
        <w:t>. У дітей всіх вікових груп при проведенні ендотелійзалежної вазодилатації плечової артерії зафіксована вазоконстрикція на 30 с після оклюзії. Найбільші зміни притаманні дітям віком від 1 до6 років (</w:t>
      </w:r>
      <w:r w:rsidRPr="004E3FE9">
        <w:rPr>
          <w:rFonts w:ascii="Times New Roman" w:eastAsia="Times New Roman" w:hAnsi="Times New Roman" w:cs="Times New Roman"/>
          <w:sz w:val="28"/>
          <w:szCs w:val="28"/>
          <w:lang w:val="uk-UA"/>
        </w:rPr>
        <w:t xml:space="preserve">-6,66 </w:t>
      </w:r>
      <w:r w:rsidR="00AA5451">
        <w:rPr>
          <w:rFonts w:ascii="Times New Roman" w:eastAsia="Times New Roman" w:hAnsi="Times New Roman" w:cs="Times New Roman"/>
          <w:sz w:val="28"/>
          <w:szCs w:val="28"/>
          <w:lang w:val="uk-UA"/>
        </w:rPr>
        <w:t xml:space="preserve">       </w:t>
      </w:r>
      <w:r w:rsidRPr="004E3FE9">
        <w:rPr>
          <w:rFonts w:ascii="Times New Roman" w:eastAsia="Times New Roman" w:hAnsi="Times New Roman" w:cs="Times New Roman"/>
          <w:sz w:val="28"/>
          <w:szCs w:val="28"/>
          <w:lang w:val="uk-UA"/>
        </w:rPr>
        <w:t>(-12,00;-3,44) %</w:t>
      </w:r>
      <w:r w:rsidRPr="004E3FE9">
        <w:rPr>
          <w:rFonts w:ascii="Times New Roman" w:hAnsi="Times New Roman" w:cs="Times New Roman"/>
          <w:sz w:val="28"/>
          <w:szCs w:val="28"/>
          <w:lang w:val="uk-UA"/>
        </w:rPr>
        <w:t>) та дітям від 7 до 12 років (</w:t>
      </w:r>
      <w:r w:rsidRPr="004E3FE9">
        <w:rPr>
          <w:rFonts w:ascii="Times New Roman" w:eastAsia="Times New Roman" w:hAnsi="Times New Roman" w:cs="Times New Roman"/>
          <w:sz w:val="28"/>
          <w:szCs w:val="28"/>
          <w:lang w:val="uk-UA"/>
        </w:rPr>
        <w:t>-6,25 (-10,71;-3,33) %</w:t>
      </w:r>
      <w:r w:rsidRPr="004E3FE9">
        <w:rPr>
          <w:rFonts w:ascii="Times New Roman" w:hAnsi="Times New Roman" w:cs="Times New Roman"/>
          <w:sz w:val="28"/>
          <w:szCs w:val="28"/>
          <w:lang w:val="uk-UA"/>
        </w:rPr>
        <w:t xml:space="preserve">), що достовірно відрізняється від показників </w:t>
      </w:r>
      <w:r w:rsidRPr="004E3FE9">
        <w:rPr>
          <w:rFonts w:ascii="Times New Roman" w:eastAsia="Times New Roman" w:hAnsi="Times New Roman" w:cs="Times New Roman"/>
          <w:sz w:val="28"/>
          <w:szCs w:val="28"/>
          <w:lang w:val="uk-UA"/>
        </w:rPr>
        <w:t>групи контролю</w:t>
      </w:r>
      <w:r w:rsidRPr="004E3FE9">
        <w:rPr>
          <w:rFonts w:ascii="Times New Roman" w:hAnsi="Times New Roman" w:cs="Times New Roman"/>
          <w:sz w:val="28"/>
          <w:szCs w:val="28"/>
          <w:lang w:val="uk-UA"/>
        </w:rPr>
        <w:t xml:space="preserve">. </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4.13</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eastAsia="Times New Roman" w:hAnsi="Times New Roman" w:cs="Times New Roman"/>
          <w:b/>
          <w:sz w:val="28"/>
          <w:szCs w:val="28"/>
          <w:lang w:val="uk-UA"/>
        </w:rPr>
        <w:t>Показники ендотелійзалежної вазодилатації плечової артерії дітей різного віку в гострий період захворювання на ГВ</w:t>
      </w:r>
      <w:r w:rsidR="00AA5451">
        <w:rPr>
          <w:rFonts w:ascii="Times New Roman" w:eastAsia="Times New Roman" w:hAnsi="Times New Roman" w:cs="Times New Roman"/>
          <w:b/>
          <w:sz w:val="28"/>
          <w:szCs w:val="28"/>
          <w:lang w:val="uk-UA"/>
        </w:rPr>
        <w:t xml:space="preserve">, </w:t>
      </w:r>
      <w:r w:rsidR="00AA5451">
        <w:rPr>
          <w:rFonts w:ascii="Times New Roman" w:hAnsi="Times New Roman" w:cs="Times New Roman"/>
          <w:b/>
          <w:sz w:val="28"/>
          <w:szCs w:val="28"/>
          <w:lang w:val="uk-UA"/>
        </w:rPr>
        <w:t>(Me(Lq;Uq))</w:t>
      </w:r>
    </w:p>
    <w:tbl>
      <w:tblPr>
        <w:tblStyle w:val="a8"/>
        <w:tblW w:w="0" w:type="auto"/>
        <w:tblInd w:w="108" w:type="dxa"/>
        <w:tblLook w:val="04A0"/>
      </w:tblPr>
      <w:tblGrid>
        <w:gridCol w:w="1783"/>
        <w:gridCol w:w="1844"/>
        <w:gridCol w:w="1945"/>
        <w:gridCol w:w="1945"/>
        <w:gridCol w:w="1946"/>
      </w:tblGrid>
      <w:tr w:rsidR="00BD0BF2" w:rsidRPr="004E3FE9" w:rsidTr="00721EA2">
        <w:trPr>
          <w:trHeight w:val="366"/>
        </w:trPr>
        <w:tc>
          <w:tcPr>
            <w:tcW w:w="0" w:type="auto"/>
            <w:vMerge w:val="restart"/>
            <w:tcBorders>
              <w:top w:val="single" w:sz="4" w:space="0" w:color="auto"/>
              <w:left w:val="single" w:sz="4" w:space="0" w:color="auto"/>
              <w:bottom w:val="single" w:sz="4" w:space="0" w:color="auto"/>
              <w:right w:val="single" w:sz="4" w:space="0" w:color="auto"/>
            </w:tcBorders>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0" w:type="auto"/>
            <w:vMerge w:val="restart"/>
            <w:tcBorders>
              <w:top w:val="single" w:sz="4" w:space="0" w:color="auto"/>
              <w:left w:val="single" w:sz="4" w:space="0" w:color="auto"/>
              <w:bottom w:val="single" w:sz="4" w:space="0" w:color="auto"/>
              <w:right w:val="single" w:sz="4" w:space="0" w:color="auto"/>
            </w:tcBorders>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p w:rsidR="00BD0BF2" w:rsidRPr="004E3FE9" w:rsidRDefault="00BD0BF2" w:rsidP="00721EA2">
            <w:pPr>
              <w:spacing w:line="360" w:lineRule="auto"/>
              <w:ind w:right="141"/>
              <w:contextualSpacing/>
              <w:rPr>
                <w:rFonts w:ascii="Times New Roman" w:hAnsi="Times New Roman" w:cs="Times New Roman"/>
                <w:sz w:val="28"/>
                <w:szCs w:val="28"/>
                <w:lang w:val="uk-UA"/>
              </w:rPr>
            </w:pP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c>
          <w:tcPr>
            <w:tcW w:w="5836" w:type="dxa"/>
            <w:gridSpan w:val="3"/>
            <w:tcBorders>
              <w:top w:val="single" w:sz="4" w:space="0" w:color="auto"/>
              <w:left w:val="single" w:sz="4" w:space="0" w:color="auto"/>
              <w:bottom w:val="single" w:sz="4" w:space="0" w:color="auto"/>
              <w:right w:val="single" w:sz="4" w:space="0" w:color="auto"/>
            </w:tcBorders>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Вік дітей, хворих на ГВ</w:t>
            </w:r>
          </w:p>
        </w:tc>
      </w:tr>
      <w:tr w:rsidR="00BD0BF2" w:rsidRPr="00810999" w:rsidTr="00721EA2">
        <w:trPr>
          <w:trHeight w:val="154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rPr>
                <w:rFonts w:ascii="Times New Roman" w:hAnsi="Times New Roman" w:cs="Times New Roman"/>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rPr>
                <w:rFonts w:ascii="Times New Roman" w:hAnsi="Times New Roman" w:cs="Times New Roman"/>
                <w:sz w:val="28"/>
                <w:szCs w:val="28"/>
                <w:lang w:val="uk-UA"/>
              </w:rPr>
            </w:pPr>
          </w:p>
        </w:tc>
        <w:tc>
          <w:tcPr>
            <w:tcW w:w="1945" w:type="dxa"/>
            <w:tcBorders>
              <w:top w:val="single" w:sz="4" w:space="0" w:color="auto"/>
              <w:left w:val="single" w:sz="4" w:space="0" w:color="auto"/>
              <w:bottom w:val="single" w:sz="4" w:space="0" w:color="auto"/>
              <w:right w:val="single" w:sz="4" w:space="0" w:color="auto"/>
            </w:tcBorders>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 рік – 6 років 11 міс 29 днів</w:t>
            </w:r>
          </w:p>
          <w:p w:rsidR="00BD0BF2" w:rsidRPr="004E3FE9" w:rsidRDefault="00BD0BF2" w:rsidP="00721EA2">
            <w:pPr>
              <w:spacing w:line="360" w:lineRule="auto"/>
              <w:ind w:right="141"/>
              <w:contextualSpacing/>
              <w:rPr>
                <w:rFonts w:ascii="Times New Roman" w:eastAsia="Times New Roman" w:hAnsi="Times New Roman" w:cs="Times New Roman"/>
                <w:sz w:val="28"/>
                <w:szCs w:val="28"/>
                <w:lang w:val="uk-UA" w:eastAsia="ru-RU"/>
              </w:rPr>
            </w:pP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n=29</w:t>
            </w:r>
          </w:p>
        </w:tc>
        <w:tc>
          <w:tcPr>
            <w:tcW w:w="1945"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 років – 12 років 11 міс 29 днів</w:t>
            </w:r>
          </w:p>
          <w:p w:rsidR="00BD0BF2" w:rsidRPr="004E3FE9" w:rsidRDefault="00BD0BF2" w:rsidP="00721EA2">
            <w:pPr>
              <w:spacing w:line="360" w:lineRule="auto"/>
              <w:ind w:right="141"/>
              <w:contextualSpacing/>
              <w:rPr>
                <w:rFonts w:ascii="Times New Roman" w:eastAsia="Times New Roman" w:hAnsi="Times New Roman" w:cs="Times New Roman"/>
                <w:sz w:val="28"/>
                <w:szCs w:val="28"/>
                <w:lang w:val="uk-UA" w:eastAsia="ru-RU"/>
              </w:rPr>
            </w:pP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n=23</w:t>
            </w:r>
          </w:p>
        </w:tc>
        <w:tc>
          <w:tcPr>
            <w:tcW w:w="194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13 років - 17 років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n=8</w:t>
            </w:r>
          </w:p>
        </w:tc>
      </w:tr>
      <w:tr w:rsidR="00BD0BF2" w:rsidRPr="004E3FE9" w:rsidTr="00721EA2">
        <w:trPr>
          <w:trHeight w:val="1134"/>
        </w:trPr>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d ПА до оклюзії, мм</w:t>
            </w:r>
          </w:p>
        </w:tc>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3,00 (2,50;3,30)</w:t>
            </w:r>
          </w:p>
        </w:tc>
        <w:tc>
          <w:tcPr>
            <w:tcW w:w="194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2,80 (2,50;3,10)</w:t>
            </w:r>
          </w:p>
        </w:tc>
        <w:tc>
          <w:tcPr>
            <w:tcW w:w="194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2,90 (2,80;3,00)</w:t>
            </w:r>
          </w:p>
        </w:tc>
        <w:tc>
          <w:tcPr>
            <w:tcW w:w="194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3,10 (2,75;3,50)</w:t>
            </w:r>
          </w:p>
        </w:tc>
      </w:tr>
      <w:tr w:rsidR="00BD0BF2" w:rsidRPr="004E3FE9" w:rsidTr="00721EA2">
        <w:trPr>
          <w:trHeight w:val="1134"/>
        </w:trPr>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w:t>
            </w:r>
          </w:p>
        </w:tc>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(18,75;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24,00)</w:t>
            </w:r>
          </w:p>
        </w:tc>
        <w:tc>
          <w:tcPr>
            <w:tcW w:w="194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-6,66</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(-12,00;-3,44)*</w:t>
            </w:r>
          </w:p>
        </w:tc>
        <w:tc>
          <w:tcPr>
            <w:tcW w:w="194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-6,25</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(-10,71;</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-3,33)*</w:t>
            </w:r>
          </w:p>
        </w:tc>
        <w:tc>
          <w:tcPr>
            <w:tcW w:w="194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-4,00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(-7,73;</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0,13)*</w:t>
            </w:r>
          </w:p>
        </w:tc>
      </w:tr>
      <w:tr w:rsidR="00BD0BF2" w:rsidRPr="004E3FE9" w:rsidTr="00721EA2">
        <w:trPr>
          <w:trHeight w:val="1134"/>
        </w:trPr>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w:t>
            </w:r>
          </w:p>
        </w:tc>
        <w:tc>
          <w:tcPr>
            <w:tcW w:w="0" w:type="auto"/>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23,33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(17,64;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25,80)</w:t>
            </w:r>
          </w:p>
        </w:tc>
        <w:tc>
          <w:tcPr>
            <w:tcW w:w="194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-8,00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(-15,38;</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-3,33)*</w:t>
            </w:r>
          </w:p>
        </w:tc>
        <w:tc>
          <w:tcPr>
            <w:tcW w:w="194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-9,30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(-11,53;</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-5,00)*</w:t>
            </w:r>
          </w:p>
        </w:tc>
        <w:tc>
          <w:tcPr>
            <w:tcW w:w="194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-3,51</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(-9,45;</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0,00)*</w:t>
            </w:r>
          </w:p>
        </w:tc>
      </w:tr>
    </w:tbl>
    <w:p w:rsidR="00BD0BF2" w:rsidRPr="004E3FE9" w:rsidRDefault="002F7F35"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Примітка.* - р&lt;0,01</w:t>
      </w:r>
      <w:r w:rsidR="00BD0BF2" w:rsidRPr="004E3FE9">
        <w:rPr>
          <w:rFonts w:ascii="Times New Roman" w:hAnsi="Times New Roman" w:cs="Times New Roman"/>
          <w:sz w:val="28"/>
          <w:szCs w:val="28"/>
          <w:lang w:val="uk-UA"/>
        </w:rPr>
        <w:t xml:space="preserve"> - різниця вірогідна з показником дітей групи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У дітей підліткового віку також спостерігалась патологічна реакція при проведенні ЕЗВД у вигляді вазоконстрикції (</w:t>
      </w:r>
      <w:r w:rsidRPr="004E3FE9">
        <w:rPr>
          <w:rFonts w:ascii="Times New Roman" w:eastAsia="Times New Roman" w:hAnsi="Times New Roman" w:cs="Times New Roman"/>
          <w:sz w:val="28"/>
          <w:szCs w:val="28"/>
          <w:lang w:val="uk-UA"/>
        </w:rPr>
        <w:t>-4,00 (-7,73;0,13) %</w:t>
      </w:r>
      <w:r w:rsidRPr="004E3FE9">
        <w:rPr>
          <w:rFonts w:ascii="Times New Roman" w:hAnsi="Times New Roman" w:cs="Times New Roman"/>
          <w:sz w:val="28"/>
          <w:szCs w:val="28"/>
          <w:lang w:val="uk-UA"/>
        </w:rPr>
        <w:t>), Крім цього, отримані матеріали дозволили констатувати, що показники приросту d ПА на 60 с після оклюзії у дітей в віці від 1 до6 років та у дітей від 7 до 12 років погіршились (-8,00 (-15,38;-3,33) %, -9,30 (-11,53;-5,00) % відповідно), а у дітей старшого віку вони залишились статистично незмінними (</w:t>
      </w:r>
      <w:r w:rsidRPr="004E3FE9">
        <w:rPr>
          <w:rFonts w:ascii="Times New Roman" w:eastAsia="Times New Roman" w:hAnsi="Times New Roman" w:cs="Times New Roman"/>
          <w:sz w:val="28"/>
          <w:szCs w:val="28"/>
          <w:lang w:val="uk-UA"/>
        </w:rPr>
        <w:t>-3,51 (-9,45;0,00) %</w:t>
      </w:r>
      <w:r w:rsidRPr="004E3FE9">
        <w:rPr>
          <w:rFonts w:ascii="Times New Roman" w:hAnsi="Times New Roman" w:cs="Times New Roman"/>
          <w:sz w:val="28"/>
          <w:szCs w:val="28"/>
          <w:lang w:val="uk-UA"/>
        </w:rPr>
        <w:t>) (табл</w:t>
      </w:r>
      <w:r w:rsidR="00A02BFF">
        <w:rPr>
          <w:rFonts w:ascii="Times New Roman" w:hAnsi="Times New Roman" w:cs="Times New Roman"/>
          <w:sz w:val="28"/>
          <w:szCs w:val="28"/>
          <w:lang w:val="uk-UA"/>
        </w:rPr>
        <w:t>.</w:t>
      </w:r>
      <w:r w:rsidRPr="004E3FE9">
        <w:rPr>
          <w:rFonts w:ascii="Times New Roman" w:hAnsi="Times New Roman" w:cs="Times New Roman"/>
          <w:sz w:val="28"/>
          <w:szCs w:val="28"/>
          <w:lang w:val="uk-UA"/>
        </w:rPr>
        <w:t xml:space="preserve"> 4.13).</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4.14</w:t>
      </w:r>
    </w:p>
    <w:p w:rsidR="00BD0BF2" w:rsidRPr="004E3FE9" w:rsidRDefault="00BD0BF2" w:rsidP="00BD0BF2">
      <w:pPr>
        <w:spacing w:line="360" w:lineRule="auto"/>
        <w:ind w:right="141"/>
        <w:contextualSpacing/>
        <w:jc w:val="center"/>
        <w:rPr>
          <w:rFonts w:ascii="Times New Roman" w:eastAsia="Times New Roman" w:hAnsi="Times New Roman" w:cs="Times New Roman"/>
          <w:b/>
          <w:sz w:val="28"/>
          <w:szCs w:val="28"/>
          <w:lang w:val="uk-UA"/>
        </w:rPr>
      </w:pPr>
      <w:r w:rsidRPr="004E3FE9">
        <w:rPr>
          <w:rFonts w:ascii="Times New Roman" w:eastAsia="Times New Roman" w:hAnsi="Times New Roman" w:cs="Times New Roman"/>
          <w:b/>
          <w:sz w:val="28"/>
          <w:szCs w:val="28"/>
          <w:lang w:val="uk-UA"/>
        </w:rPr>
        <w:t>Показники ендотелійзалежної вазодилатації плечової артерії дітей, хворих на ГВ, в залежності від форми в гострий період захворювання.</w:t>
      </w:r>
    </w:p>
    <w:tbl>
      <w:tblPr>
        <w:tblStyle w:val="a8"/>
        <w:tblW w:w="9356" w:type="dxa"/>
        <w:tblInd w:w="108" w:type="dxa"/>
        <w:tblLayout w:type="fixed"/>
        <w:tblLook w:val="04A0"/>
      </w:tblPr>
      <w:tblGrid>
        <w:gridCol w:w="1701"/>
        <w:gridCol w:w="994"/>
        <w:gridCol w:w="1276"/>
        <w:gridCol w:w="1277"/>
        <w:gridCol w:w="1419"/>
        <w:gridCol w:w="1418"/>
        <w:gridCol w:w="1271"/>
      </w:tblGrid>
      <w:tr w:rsidR="00BD0BF2" w:rsidRPr="004E3FE9" w:rsidTr="00721EA2">
        <w:trPr>
          <w:cantSplit/>
          <w:trHeight w:val="454"/>
        </w:trPr>
        <w:tc>
          <w:tcPr>
            <w:tcW w:w="1701" w:type="dxa"/>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994"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390" w:type="dxa"/>
            <w:gridSpan w:val="4"/>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Форма геморагічного васкуліту</w:t>
            </w:r>
          </w:p>
        </w:tc>
        <w:tc>
          <w:tcPr>
            <w:tcW w:w="1271"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r>
      <w:tr w:rsidR="00BD0BF2" w:rsidRPr="004E3FE9" w:rsidTr="00721EA2">
        <w:trPr>
          <w:cantSplit/>
          <w:trHeight w:val="1757"/>
        </w:trPr>
        <w:tc>
          <w:tcPr>
            <w:tcW w:w="1701"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994"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1276" w:type="dxa"/>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Шкірна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 8)</w:t>
            </w:r>
          </w:p>
        </w:tc>
        <w:tc>
          <w:tcPr>
            <w:tcW w:w="1277" w:type="dxa"/>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Шкірно-</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суглобова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(n=24)</w:t>
            </w:r>
          </w:p>
        </w:tc>
        <w:tc>
          <w:tcPr>
            <w:tcW w:w="1419" w:type="dxa"/>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418" w:type="dxa"/>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 з</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нирковим синдромом</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(n=9)</w:t>
            </w:r>
          </w:p>
        </w:tc>
        <w:tc>
          <w:tcPr>
            <w:tcW w:w="1271"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r>
      <w:tr w:rsidR="00BD0BF2" w:rsidRPr="004E3FE9" w:rsidTr="00721EA2">
        <w:trPr>
          <w:trHeight w:val="1569"/>
        </w:trPr>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d ПА до оклюзії, мм</w:t>
            </w:r>
          </w:p>
        </w:tc>
        <w:tc>
          <w:tcPr>
            <w:tcW w:w="99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tabs>
                <w:tab w:val="left" w:pos="1103"/>
              </w:tabs>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2,85</w:t>
            </w:r>
          </w:p>
          <w:p w:rsidR="00BD0BF2" w:rsidRPr="004E3FE9" w:rsidRDefault="00BD0BF2" w:rsidP="00721EA2">
            <w:pPr>
              <w:tabs>
                <w:tab w:val="left" w:pos="1103"/>
              </w:tabs>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2,40</w:t>
            </w:r>
          </w:p>
          <w:p w:rsidR="00BD0BF2" w:rsidRPr="004E3FE9" w:rsidRDefault="00BD0BF2" w:rsidP="00721EA2">
            <w:pPr>
              <w:tabs>
                <w:tab w:val="left" w:pos="1103"/>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3,25</w:t>
            </w:r>
          </w:p>
        </w:tc>
        <w:tc>
          <w:tcPr>
            <w:tcW w:w="1277"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3,00</w:t>
            </w:r>
          </w:p>
        </w:tc>
        <w:tc>
          <w:tcPr>
            <w:tcW w:w="141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3,10</w:t>
            </w:r>
          </w:p>
        </w:tc>
        <w:tc>
          <w:tcPr>
            <w:tcW w:w="141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3,40</w:t>
            </w:r>
          </w:p>
        </w:tc>
        <w:tc>
          <w:tcPr>
            <w:tcW w:w="127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3,30</w:t>
            </w:r>
          </w:p>
        </w:tc>
      </w:tr>
      <w:tr w:rsidR="00BD0BF2" w:rsidRPr="004E3FE9" w:rsidTr="00721EA2">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w:t>
            </w:r>
          </w:p>
        </w:tc>
        <w:tc>
          <w:tcPr>
            <w:tcW w:w="99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tabs>
                <w:tab w:val="left" w:pos="1103"/>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-3,58</w:t>
            </w:r>
          </w:p>
          <w:p w:rsidR="00BD0BF2" w:rsidRPr="004E3FE9" w:rsidRDefault="00BD0BF2" w:rsidP="00721EA2">
            <w:pPr>
              <w:tabs>
                <w:tab w:val="left" w:pos="1103"/>
              </w:tabs>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5,94</w:t>
            </w:r>
          </w:p>
          <w:p w:rsidR="00BD0BF2" w:rsidRPr="004E3FE9" w:rsidRDefault="00BD0BF2" w:rsidP="00721EA2">
            <w:pPr>
              <w:tabs>
                <w:tab w:val="left" w:pos="1103"/>
              </w:tabs>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-1,42*</w:t>
            </w:r>
          </w:p>
        </w:tc>
        <w:tc>
          <w:tcPr>
            <w:tcW w:w="1277"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-3,92</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-6,78</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0,00</w:t>
            </w:r>
            <w:r w:rsidRPr="004E3FE9">
              <w:rPr>
                <w:rFonts w:ascii="Times New Roman" w:eastAsia="Times New Roman" w:hAnsi="Times New Roman" w:cs="Times New Roman"/>
                <w:sz w:val="28"/>
                <w:szCs w:val="28"/>
                <w:lang w:val="uk-UA"/>
              </w:rPr>
              <w:t>*</w:t>
            </w:r>
          </w:p>
        </w:tc>
        <w:tc>
          <w:tcPr>
            <w:tcW w:w="141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-10,71</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-13,79</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-3,44</w:t>
            </w:r>
            <w:r w:rsidRPr="004E3FE9">
              <w:rPr>
                <w:rFonts w:ascii="Times New Roman" w:eastAsia="Times New Roman" w:hAnsi="Times New Roman" w:cs="Times New Roman"/>
                <w:sz w:val="28"/>
                <w:szCs w:val="28"/>
                <w:lang w:val="uk-UA"/>
              </w:rPr>
              <w:t>*</w:t>
            </w:r>
          </w:p>
        </w:tc>
        <w:tc>
          <w:tcPr>
            <w:tcW w:w="141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-14,28</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-9,67</w:t>
            </w:r>
            <w:r w:rsidRPr="004E3FE9">
              <w:rPr>
                <w:rFonts w:ascii="Times New Roman" w:eastAsia="Times New Roman" w:hAnsi="Times New Roman" w:cs="Times New Roman"/>
                <w:sz w:val="28"/>
                <w:szCs w:val="28"/>
                <w:lang w:val="uk-UA"/>
              </w:rPr>
              <w:t>*</w:t>
            </w:r>
          </w:p>
        </w:tc>
        <w:tc>
          <w:tcPr>
            <w:tcW w:w="127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18,75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24,00</w:t>
            </w:r>
          </w:p>
        </w:tc>
      </w:tr>
      <w:tr w:rsidR="00BD0BF2" w:rsidRPr="004E3FE9" w:rsidTr="00721EA2">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w:t>
            </w:r>
          </w:p>
        </w:tc>
        <w:tc>
          <w:tcPr>
            <w:tcW w:w="99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tabs>
                <w:tab w:val="left" w:pos="1103"/>
              </w:tabs>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2,85</w:t>
            </w:r>
          </w:p>
          <w:p w:rsidR="00BD0BF2" w:rsidRPr="004E3FE9" w:rsidRDefault="00BD0BF2" w:rsidP="00721EA2">
            <w:pPr>
              <w:tabs>
                <w:tab w:val="left" w:pos="1103"/>
              </w:tabs>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2,40</w:t>
            </w:r>
          </w:p>
          <w:p w:rsidR="00BD0BF2" w:rsidRPr="004E3FE9" w:rsidRDefault="00BD0BF2" w:rsidP="00721EA2">
            <w:pPr>
              <w:tabs>
                <w:tab w:val="left" w:pos="1103"/>
              </w:tabs>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3,25</w:t>
            </w:r>
            <w:r w:rsidRPr="004E3FE9">
              <w:rPr>
                <w:rFonts w:ascii="Times New Roman" w:eastAsia="Times New Roman" w:hAnsi="Times New Roman" w:cs="Times New Roman"/>
                <w:sz w:val="28"/>
                <w:szCs w:val="28"/>
                <w:lang w:val="uk-UA"/>
              </w:rPr>
              <w:t>*</w:t>
            </w:r>
          </w:p>
        </w:tc>
        <w:tc>
          <w:tcPr>
            <w:tcW w:w="1277"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-3,92</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-8,68</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-1,66</w:t>
            </w:r>
            <w:r w:rsidRPr="004E3FE9">
              <w:rPr>
                <w:rFonts w:ascii="Times New Roman" w:eastAsia="Times New Roman" w:hAnsi="Times New Roman" w:cs="Times New Roman"/>
                <w:sz w:val="28"/>
                <w:szCs w:val="28"/>
                <w:lang w:val="uk-UA"/>
              </w:rPr>
              <w:t>*</w:t>
            </w:r>
          </w:p>
        </w:tc>
        <w:tc>
          <w:tcPr>
            <w:tcW w:w="141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-10,71</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-16,12</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-3,44</w:t>
            </w:r>
            <w:r w:rsidRPr="004E3FE9">
              <w:rPr>
                <w:rFonts w:ascii="Times New Roman" w:eastAsia="Times New Roman" w:hAnsi="Times New Roman" w:cs="Times New Roman"/>
                <w:sz w:val="28"/>
                <w:szCs w:val="28"/>
                <w:lang w:val="uk-UA"/>
              </w:rPr>
              <w:t>*</w:t>
            </w:r>
          </w:p>
        </w:tc>
        <w:tc>
          <w:tcPr>
            <w:tcW w:w="141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-14,70</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-16,66</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-10,00</w:t>
            </w:r>
            <w:r w:rsidRPr="004E3FE9">
              <w:rPr>
                <w:rFonts w:ascii="Times New Roman" w:eastAsia="Times New Roman" w:hAnsi="Times New Roman" w:cs="Times New Roman"/>
                <w:sz w:val="28"/>
                <w:szCs w:val="28"/>
                <w:lang w:val="uk-UA"/>
              </w:rPr>
              <w:t>*</w:t>
            </w:r>
          </w:p>
        </w:tc>
        <w:tc>
          <w:tcPr>
            <w:tcW w:w="127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23,33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17,64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25,80</w:t>
            </w:r>
          </w:p>
        </w:tc>
      </w:tr>
    </w:tbl>
    <w:p w:rsidR="00BD0BF2" w:rsidRPr="004E3FE9" w:rsidRDefault="002F7F35"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Примітка.*-р&lt;0,01 </w:t>
      </w:r>
      <w:r w:rsidR="00BD0BF2" w:rsidRPr="004E3FE9">
        <w:rPr>
          <w:rFonts w:ascii="Times New Roman" w:hAnsi="Times New Roman" w:cs="Times New Roman"/>
          <w:sz w:val="28"/>
          <w:szCs w:val="28"/>
          <w:lang w:val="uk-UA"/>
        </w:rPr>
        <w:t>- різниця вірогідна з показником дітей групи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Також нами проведений аналіз показників ЕЗВД плечової артерії в залежності від форми захворювання (табл. 4.14). Результати d ПА до оклюзії дозволили констатувати відсутність залежності цього показника від форми</w:t>
      </w:r>
      <w:r w:rsidR="00A02BFF">
        <w:rPr>
          <w:rFonts w:ascii="Times New Roman" w:hAnsi="Times New Roman" w:cs="Times New Roman"/>
          <w:sz w:val="28"/>
          <w:szCs w:val="28"/>
          <w:lang w:val="uk-UA"/>
        </w:rPr>
        <w:t xml:space="preserve"> захворювання. Процент приросту</w:t>
      </w:r>
      <w:r w:rsidRPr="004E3FE9">
        <w:rPr>
          <w:rFonts w:ascii="Times New Roman" w:hAnsi="Times New Roman" w:cs="Times New Roman"/>
          <w:sz w:val="28"/>
          <w:szCs w:val="28"/>
          <w:lang w:val="uk-UA"/>
        </w:rPr>
        <w:t xml:space="preserve"> діаметра ПА на 30 с після оклюзії у дітей </w:t>
      </w:r>
      <w:r w:rsidRPr="004E3FE9">
        <w:rPr>
          <w:rFonts w:ascii="Times New Roman" w:hAnsi="Times New Roman" w:cs="Times New Roman"/>
          <w:sz w:val="28"/>
          <w:szCs w:val="28"/>
          <w:lang w:val="uk-UA"/>
        </w:rPr>
        <w:lastRenderedPageBreak/>
        <w:t xml:space="preserve">зі всіма формами ГВ мав негативні значення, що статистично достовірно відрізнялось від показників дітей </w:t>
      </w:r>
      <w:r w:rsidRPr="004E3FE9">
        <w:rPr>
          <w:rFonts w:ascii="Times New Roman" w:eastAsia="Times New Roman" w:hAnsi="Times New Roman" w:cs="Times New Roman"/>
          <w:sz w:val="28"/>
          <w:szCs w:val="28"/>
          <w:lang w:val="uk-UA"/>
        </w:rPr>
        <w:t>групи контролю</w:t>
      </w:r>
      <w:r w:rsidRPr="004E3FE9">
        <w:rPr>
          <w:rFonts w:ascii="Times New Roman" w:hAnsi="Times New Roman" w:cs="Times New Roman"/>
          <w:sz w:val="28"/>
          <w:szCs w:val="28"/>
          <w:lang w:val="uk-UA"/>
        </w:rPr>
        <w:t>. Найбільші зміни зафіксовано у дітей зі змішаною формою та змішаною з нирковим синдромом (-10,71 (-13,79;-3,44) % та -12,00 (-14,28;-9,67) % відповідно). Відносно показників коефіцієнта дилатації на 60 с, то статистично значимих відмінностей з показниками 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xml:space="preserve"> нами не </w:t>
      </w:r>
      <w:r w:rsidR="00A02BFF">
        <w:rPr>
          <w:rFonts w:ascii="Times New Roman" w:hAnsi="Times New Roman" w:cs="Times New Roman"/>
          <w:sz w:val="28"/>
          <w:szCs w:val="28"/>
          <w:lang w:val="uk-UA"/>
        </w:rPr>
        <w:t>встановлено</w:t>
      </w:r>
      <w:r w:rsidRPr="004E3FE9">
        <w:rPr>
          <w:rFonts w:ascii="Times New Roman" w:hAnsi="Times New Roman" w:cs="Times New Roman"/>
          <w:sz w:val="28"/>
          <w:szCs w:val="28"/>
          <w:lang w:val="uk-UA"/>
        </w:rPr>
        <w:t>.</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Аналізуючи функції ендотелію у дітей, хворих на ГВ, в залежності від активності захворювання, статистично значущих відмінностей розміру вихідного діаметра ПА в порівнянні з дітьми групи контролю не виявлено. Показники ЕЗВД як на 30 с, так і на 60 с мали негативну реакцію, а саме прояви вазоконстрикції та мали достовірну різницю в порівнянні з показниками </w:t>
      </w:r>
      <w:r w:rsidRPr="004E3FE9">
        <w:rPr>
          <w:rFonts w:ascii="Times New Roman" w:eastAsia="Times New Roman" w:hAnsi="Times New Roman" w:cs="Times New Roman"/>
          <w:sz w:val="28"/>
          <w:szCs w:val="28"/>
          <w:lang w:val="uk-UA"/>
        </w:rPr>
        <w:t>групи контролю</w:t>
      </w:r>
      <w:r w:rsidRPr="004E3FE9">
        <w:rPr>
          <w:rFonts w:ascii="Times New Roman" w:hAnsi="Times New Roman" w:cs="Times New Roman"/>
          <w:sz w:val="28"/>
          <w:szCs w:val="28"/>
          <w:lang w:val="uk-UA"/>
        </w:rPr>
        <w:t xml:space="preserve"> (табл. 4.15, рис. 4.6, 4.7).</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4.15</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eastAsia="Times New Roman" w:hAnsi="Times New Roman" w:cs="Times New Roman"/>
          <w:b/>
          <w:sz w:val="28"/>
          <w:szCs w:val="28"/>
          <w:lang w:val="uk-UA"/>
        </w:rPr>
        <w:t>Показники ендотелійзалежної дилатації плечової артерії дітей, хворих на ГВ в залежності від активності в гострий період захворювання.</w:t>
      </w:r>
    </w:p>
    <w:tbl>
      <w:tblPr>
        <w:tblStyle w:val="a8"/>
        <w:tblW w:w="0" w:type="auto"/>
        <w:tblLayout w:type="fixed"/>
        <w:tblLook w:val="04A0"/>
      </w:tblPr>
      <w:tblGrid>
        <w:gridCol w:w="1809"/>
        <w:gridCol w:w="993"/>
        <w:gridCol w:w="1795"/>
        <w:gridCol w:w="1795"/>
        <w:gridCol w:w="1796"/>
        <w:gridCol w:w="1276"/>
      </w:tblGrid>
      <w:tr w:rsidR="00BD0BF2" w:rsidRPr="004E3FE9" w:rsidTr="00721EA2">
        <w:trPr>
          <w:trHeight w:val="964"/>
        </w:trPr>
        <w:tc>
          <w:tcPr>
            <w:tcW w:w="1809" w:type="dxa"/>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993"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360"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386" w:type="dxa"/>
            <w:gridSpan w:val="3"/>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127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tc>
      </w:tr>
      <w:tr w:rsidR="00BD0BF2" w:rsidRPr="004E3FE9" w:rsidTr="00721EA2">
        <w:trPr>
          <w:trHeight w:val="1010"/>
        </w:trPr>
        <w:tc>
          <w:tcPr>
            <w:tcW w:w="1809"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179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79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79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r>
      <w:tr w:rsidR="00BD0BF2" w:rsidRPr="004E3FE9" w:rsidTr="00721EA2">
        <w:trPr>
          <w:trHeight w:val="1417"/>
        </w:trPr>
        <w:tc>
          <w:tcPr>
            <w:tcW w:w="180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d ПА до оклюзії, мм</w:t>
            </w:r>
          </w:p>
        </w:tc>
        <w:tc>
          <w:tcPr>
            <w:tcW w:w="993"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79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3,00</w:t>
            </w:r>
          </w:p>
        </w:tc>
        <w:tc>
          <w:tcPr>
            <w:tcW w:w="179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3,10</w:t>
            </w:r>
          </w:p>
        </w:tc>
        <w:tc>
          <w:tcPr>
            <w:tcW w:w="179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3,20</w:t>
            </w:r>
          </w:p>
        </w:tc>
        <w:tc>
          <w:tcPr>
            <w:tcW w:w="127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3,30</w:t>
            </w:r>
          </w:p>
        </w:tc>
      </w:tr>
      <w:tr w:rsidR="00BD0BF2" w:rsidRPr="004E3FE9" w:rsidTr="00721EA2">
        <w:trPr>
          <w:trHeight w:val="1417"/>
        </w:trPr>
        <w:tc>
          <w:tcPr>
            <w:tcW w:w="180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w:t>
            </w:r>
          </w:p>
        </w:tc>
        <w:tc>
          <w:tcPr>
            <w:tcW w:w="993"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79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-3,84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w:t>
            </w:r>
            <w:r w:rsidRPr="004E3FE9">
              <w:rPr>
                <w:rFonts w:ascii="Times New Roman" w:eastAsia="Times New Roman" w:hAnsi="Times New Roman" w:cs="Times New Roman"/>
                <w:sz w:val="28"/>
                <w:szCs w:val="28"/>
                <w:lang w:val="uk-UA"/>
              </w:rPr>
              <w:t>*</w:t>
            </w:r>
          </w:p>
        </w:tc>
        <w:tc>
          <w:tcPr>
            <w:tcW w:w="179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-5,20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-10,71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-2,85</w:t>
            </w:r>
            <w:r w:rsidRPr="004E3FE9">
              <w:rPr>
                <w:rFonts w:ascii="Times New Roman" w:eastAsia="Times New Roman" w:hAnsi="Times New Roman" w:cs="Times New Roman"/>
                <w:sz w:val="28"/>
                <w:szCs w:val="28"/>
                <w:lang w:val="uk-UA"/>
              </w:rPr>
              <w:t>*</w:t>
            </w:r>
          </w:p>
        </w:tc>
        <w:tc>
          <w:tcPr>
            <w:tcW w:w="179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-14,28</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-8,00*</w:t>
            </w:r>
          </w:p>
        </w:tc>
        <w:tc>
          <w:tcPr>
            <w:tcW w:w="127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18,75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24,00</w:t>
            </w:r>
          </w:p>
        </w:tc>
      </w:tr>
      <w:tr w:rsidR="00BD0BF2" w:rsidRPr="004E3FE9" w:rsidTr="00721EA2">
        <w:trPr>
          <w:trHeight w:val="1417"/>
        </w:trPr>
        <w:tc>
          <w:tcPr>
            <w:tcW w:w="180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w:t>
            </w:r>
          </w:p>
        </w:tc>
        <w:tc>
          <w:tcPr>
            <w:tcW w:w="993"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79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-6,66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w:t>
            </w:r>
            <w:r w:rsidRPr="004E3FE9">
              <w:rPr>
                <w:rFonts w:ascii="Times New Roman" w:eastAsia="Times New Roman" w:hAnsi="Times New Roman" w:cs="Times New Roman"/>
                <w:sz w:val="28"/>
                <w:szCs w:val="28"/>
                <w:lang w:val="uk-UA"/>
              </w:rPr>
              <w:t>*</w:t>
            </w:r>
          </w:p>
        </w:tc>
        <w:tc>
          <w:tcPr>
            <w:tcW w:w="1795"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-8,45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-10,71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-3,84</w:t>
            </w:r>
            <w:r w:rsidRPr="004E3FE9">
              <w:rPr>
                <w:rFonts w:ascii="Times New Roman" w:eastAsia="Times New Roman" w:hAnsi="Times New Roman" w:cs="Times New Roman"/>
                <w:sz w:val="28"/>
                <w:szCs w:val="28"/>
                <w:lang w:val="uk-UA"/>
              </w:rPr>
              <w:t>*</w:t>
            </w:r>
          </w:p>
        </w:tc>
        <w:tc>
          <w:tcPr>
            <w:tcW w:w="179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-13,79</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-17,14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-9,67*</w:t>
            </w:r>
          </w:p>
        </w:tc>
        <w:tc>
          <w:tcPr>
            <w:tcW w:w="127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23,33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17,64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25,80</w:t>
            </w:r>
          </w:p>
        </w:tc>
      </w:tr>
    </w:tbl>
    <w:p w:rsidR="00BD0BF2" w:rsidRPr="004E3FE9" w:rsidRDefault="001056B7" w:rsidP="00BD0BF2">
      <w:pPr>
        <w:spacing w:line="360" w:lineRule="auto"/>
        <w:ind w:right="142"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Примітка. </w:t>
      </w:r>
      <w:r w:rsidR="00BD0BF2" w:rsidRPr="004E3FE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D0BF2" w:rsidRPr="004E3FE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F7F35" w:rsidRPr="004E3FE9">
        <w:rPr>
          <w:rFonts w:ascii="Times New Roman" w:hAnsi="Times New Roman" w:cs="Times New Roman"/>
          <w:sz w:val="28"/>
          <w:szCs w:val="28"/>
          <w:lang w:val="uk-UA"/>
        </w:rPr>
        <w:t xml:space="preserve">р&lt;0,01 </w:t>
      </w:r>
      <w:r w:rsidR="00BD0BF2" w:rsidRPr="004E3FE9">
        <w:rPr>
          <w:rFonts w:ascii="Times New Roman" w:hAnsi="Times New Roman" w:cs="Times New Roman"/>
          <w:sz w:val="28"/>
          <w:szCs w:val="28"/>
          <w:lang w:val="uk-UA"/>
        </w:rPr>
        <w:t>-</w:t>
      </w:r>
      <w:r w:rsidR="002F7F35" w:rsidRPr="004E3FE9">
        <w:rPr>
          <w:rFonts w:ascii="Times New Roman" w:hAnsi="Times New Roman" w:cs="Times New Roman"/>
          <w:sz w:val="28"/>
          <w:szCs w:val="28"/>
          <w:lang w:val="uk-UA"/>
        </w:rPr>
        <w:t xml:space="preserve"> </w:t>
      </w:r>
      <w:r w:rsidR="00BD0BF2" w:rsidRPr="004E3FE9">
        <w:rPr>
          <w:rFonts w:ascii="Times New Roman" w:hAnsi="Times New Roman" w:cs="Times New Roman"/>
          <w:sz w:val="28"/>
          <w:szCs w:val="28"/>
          <w:lang w:val="uk-UA"/>
        </w:rPr>
        <w:t>різниця вірогідна з показником дітей групи контролю.</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noProof/>
          <w:sz w:val="28"/>
          <w:szCs w:val="28"/>
          <w:lang w:eastAsia="ru-RU"/>
        </w:rPr>
        <w:lastRenderedPageBreak/>
        <w:drawing>
          <wp:inline distT="0" distB="0" distL="0" distR="0">
            <wp:extent cx="5868538" cy="2888730"/>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30 ОП.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883730" cy="2896208"/>
                    </a:xfrm>
                    <a:prstGeom prst="rect">
                      <a:avLst/>
                    </a:prstGeom>
                  </pic:spPr>
                </pic:pic>
              </a:graphicData>
            </a:graphic>
          </wp:inline>
        </w:drawing>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4.6 Відсоток приросту діаметра ПА на 30 с у дітей, хворих на ГВ в залежності від ступеня активності в гострий період.</w:t>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1"/>
        <w:contextualSpacing/>
        <w:jc w:val="both"/>
        <w:rPr>
          <w:rFonts w:ascii="Times New Roman" w:hAnsi="Times New Roman" w:cs="Times New Roman"/>
          <w:b/>
          <w:sz w:val="28"/>
          <w:szCs w:val="28"/>
          <w:lang w:val="uk-UA"/>
        </w:rPr>
      </w:pPr>
      <w:r w:rsidRPr="004E3FE9">
        <w:rPr>
          <w:rFonts w:ascii="Times New Roman" w:hAnsi="Times New Roman" w:cs="Times New Roman"/>
          <w:b/>
          <w:noProof/>
          <w:sz w:val="28"/>
          <w:szCs w:val="28"/>
          <w:lang w:eastAsia="ru-RU"/>
        </w:rPr>
        <w:drawing>
          <wp:inline distT="0" distB="0" distL="0" distR="0">
            <wp:extent cx="5841242" cy="2920621"/>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60 ОП.jp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847060" cy="2923530"/>
                    </a:xfrm>
                    <a:prstGeom prst="rect">
                      <a:avLst/>
                    </a:prstGeom>
                  </pic:spPr>
                </pic:pic>
              </a:graphicData>
            </a:graphic>
          </wp:inline>
        </w:drawing>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4.7 Відсоток приросту діаметра ПА на 60 с у дітей, хворих на ГВ, в залежності від ступеня активності в гострий період.</w:t>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p>
    <w:p w:rsidR="00BD0BF2" w:rsidRPr="00A02BFF" w:rsidRDefault="00BD0BF2" w:rsidP="00BD0BF2">
      <w:pPr>
        <w:spacing w:line="360" w:lineRule="auto"/>
        <w:ind w:right="142" w:firstLine="709"/>
        <w:contextualSpacing/>
        <w:jc w:val="both"/>
        <w:rPr>
          <w:rFonts w:ascii="Times New Roman" w:hAnsi="Times New Roman" w:cs="Times New Roman"/>
          <w:i/>
          <w:sz w:val="28"/>
          <w:szCs w:val="28"/>
          <w:lang w:val="uk-UA"/>
        </w:rPr>
      </w:pPr>
      <w:r w:rsidRPr="004E3FE9">
        <w:rPr>
          <w:rFonts w:ascii="Times New Roman" w:hAnsi="Times New Roman" w:cs="Times New Roman"/>
          <w:sz w:val="28"/>
          <w:szCs w:val="28"/>
          <w:lang w:val="uk-UA"/>
        </w:rPr>
        <w:t xml:space="preserve">Всім дітям проводилась ультразвукова доплерографія ПА та  оцінювались параметри периферичного судинного опору. Як видно з табл. 4.16, вірогідної різниці в показниках RI до оклюзії у обстежених дітей різних вікових груп не </w:t>
      </w:r>
      <w:r w:rsidR="00AA5451">
        <w:rPr>
          <w:rFonts w:ascii="Times New Roman" w:hAnsi="Times New Roman" w:cs="Times New Roman"/>
          <w:sz w:val="28"/>
          <w:szCs w:val="28"/>
          <w:lang w:val="uk-UA"/>
        </w:rPr>
        <w:t>з’ясовано</w:t>
      </w:r>
      <w:r w:rsidRPr="004E3FE9">
        <w:rPr>
          <w:rFonts w:ascii="Times New Roman" w:hAnsi="Times New Roman" w:cs="Times New Roman"/>
          <w:sz w:val="28"/>
          <w:szCs w:val="28"/>
          <w:lang w:val="uk-UA"/>
        </w:rPr>
        <w:t xml:space="preserve">. Встановлено, що у дітей всіх вікових груп </w:t>
      </w:r>
      <w:r w:rsidRPr="004E3FE9">
        <w:rPr>
          <w:rFonts w:ascii="Times New Roman" w:hAnsi="Times New Roman" w:cs="Times New Roman"/>
          <w:sz w:val="28"/>
          <w:szCs w:val="28"/>
          <w:lang w:val="uk-UA"/>
        </w:rPr>
        <w:lastRenderedPageBreak/>
        <w:t xml:space="preserve">були статистично достовірно підвищені рівні індексу резистивності після оклюзії в порівнянні з показниками дітей контрольної групи. Слід відмітити, що показники РІ, S/D до та після оклюзії були достовірно нижчими порівнюючи з показниками </w:t>
      </w:r>
      <w:r w:rsidR="00AA5451">
        <w:rPr>
          <w:rFonts w:ascii="Times New Roman" w:hAnsi="Times New Roman" w:cs="Times New Roman"/>
          <w:sz w:val="28"/>
          <w:szCs w:val="28"/>
          <w:lang w:val="uk-UA"/>
        </w:rPr>
        <w:t>практично здорових дітей (р&lt;0,01</w:t>
      </w:r>
      <w:r w:rsidRPr="004E3FE9">
        <w:rPr>
          <w:rFonts w:ascii="Times New Roman" w:hAnsi="Times New Roman" w:cs="Times New Roman"/>
          <w:sz w:val="28"/>
          <w:szCs w:val="28"/>
          <w:lang w:val="uk-UA"/>
        </w:rPr>
        <w:t>) в усіх вікових групах.</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4.16</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Показники ультразвукової доплерографії плечових артерій дітей, </w:t>
      </w:r>
      <w:r w:rsidRPr="004E3FE9">
        <w:rPr>
          <w:rFonts w:ascii="Times New Roman" w:eastAsia="Times New Roman" w:hAnsi="Times New Roman" w:cs="Times New Roman"/>
          <w:b/>
          <w:sz w:val="28"/>
          <w:szCs w:val="28"/>
          <w:lang w:val="uk-UA"/>
        </w:rPr>
        <w:t>хворих на ГВ, різних вікових груп в гострий період захворювання</w:t>
      </w:r>
      <w:r w:rsidR="00AA5451">
        <w:rPr>
          <w:rFonts w:ascii="Times New Roman" w:eastAsia="Times New Roman" w:hAnsi="Times New Roman" w:cs="Times New Roman"/>
          <w:b/>
          <w:sz w:val="28"/>
          <w:szCs w:val="28"/>
          <w:lang w:val="uk-UA"/>
        </w:rPr>
        <w:t>,</w:t>
      </w:r>
      <w:r w:rsidRPr="004E3FE9">
        <w:rPr>
          <w:rFonts w:ascii="Times New Roman" w:eastAsia="Times New Roman" w:hAnsi="Times New Roman" w:cs="Times New Roman"/>
          <w:b/>
          <w:sz w:val="28"/>
          <w:szCs w:val="28"/>
          <w:lang w:val="uk-UA"/>
        </w:rPr>
        <w:t xml:space="preserve"> </w:t>
      </w:r>
      <w:r w:rsidR="00AA5451">
        <w:rPr>
          <w:rFonts w:ascii="Times New Roman" w:hAnsi="Times New Roman" w:cs="Times New Roman"/>
          <w:b/>
          <w:sz w:val="28"/>
          <w:szCs w:val="28"/>
          <w:lang w:val="uk-UA"/>
        </w:rPr>
        <w:t>(Me(Lq;Uq))</w:t>
      </w:r>
    </w:p>
    <w:tbl>
      <w:tblPr>
        <w:tblStyle w:val="a8"/>
        <w:tblW w:w="9356" w:type="dxa"/>
        <w:tblInd w:w="108" w:type="dxa"/>
        <w:tblLayout w:type="fixed"/>
        <w:tblLook w:val="04A0"/>
      </w:tblPr>
      <w:tblGrid>
        <w:gridCol w:w="1560"/>
        <w:gridCol w:w="1701"/>
        <w:gridCol w:w="2031"/>
        <w:gridCol w:w="2032"/>
        <w:gridCol w:w="2032"/>
      </w:tblGrid>
      <w:tr w:rsidR="00BD0BF2" w:rsidRPr="004E3FE9" w:rsidTr="00721EA2">
        <w:trPr>
          <w:trHeight w:val="366"/>
        </w:trPr>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c>
          <w:tcPr>
            <w:tcW w:w="6095" w:type="dxa"/>
            <w:gridSpan w:val="3"/>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Вік дітей, хворих на ГВ</w:t>
            </w:r>
          </w:p>
        </w:tc>
      </w:tr>
      <w:tr w:rsidR="00BD0BF2" w:rsidRPr="00810999" w:rsidTr="00721EA2">
        <w:trPr>
          <w:trHeight w:val="2014"/>
        </w:trPr>
        <w:tc>
          <w:tcPr>
            <w:tcW w:w="1560"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203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 рік – 6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n=29</w:t>
            </w:r>
          </w:p>
        </w:tc>
        <w:tc>
          <w:tcPr>
            <w:tcW w:w="2032"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 років – 12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n=23</w:t>
            </w:r>
          </w:p>
        </w:tc>
        <w:tc>
          <w:tcPr>
            <w:tcW w:w="2032"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13 років - 17 років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n=8</w:t>
            </w:r>
          </w:p>
        </w:tc>
      </w:tr>
      <w:tr w:rsidR="00BD0BF2" w:rsidRPr="004E3FE9" w:rsidTr="00721EA2">
        <w:trPr>
          <w:trHeight w:val="20"/>
        </w:trPr>
        <w:tc>
          <w:tcPr>
            <w:tcW w:w="156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RI</w:t>
            </w:r>
          </w:p>
        </w:tc>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 (0,80;0,90)</w:t>
            </w:r>
          </w:p>
        </w:tc>
        <w:tc>
          <w:tcPr>
            <w:tcW w:w="203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0,85 (0,84;0,90)</w:t>
            </w:r>
          </w:p>
        </w:tc>
        <w:tc>
          <w:tcPr>
            <w:tcW w:w="203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0,85 (0,83;0,87)</w:t>
            </w:r>
          </w:p>
        </w:tc>
        <w:tc>
          <w:tcPr>
            <w:tcW w:w="203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0,87 (0,83;0,90)</w:t>
            </w:r>
          </w:p>
        </w:tc>
      </w:tr>
      <w:tr w:rsidR="00BD0BF2" w:rsidRPr="004E3FE9" w:rsidTr="00721EA2">
        <w:trPr>
          <w:trHeight w:val="20"/>
        </w:trPr>
        <w:tc>
          <w:tcPr>
            <w:tcW w:w="156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RI після оклюзії</w:t>
            </w:r>
          </w:p>
        </w:tc>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0,80 (0,76;0,85)</w:t>
            </w:r>
          </w:p>
        </w:tc>
        <w:tc>
          <w:tcPr>
            <w:tcW w:w="203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 (0,84;0,88)*</w:t>
            </w:r>
          </w:p>
        </w:tc>
        <w:tc>
          <w:tcPr>
            <w:tcW w:w="203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 (0,84;0,90)*</w:t>
            </w:r>
          </w:p>
        </w:tc>
        <w:tc>
          <w:tcPr>
            <w:tcW w:w="203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0,87 (0,85;0,88)*</w:t>
            </w:r>
          </w:p>
        </w:tc>
      </w:tr>
      <w:tr w:rsidR="00BD0BF2" w:rsidRPr="004E3FE9" w:rsidTr="00721EA2">
        <w:trPr>
          <w:trHeight w:val="20"/>
        </w:trPr>
        <w:tc>
          <w:tcPr>
            <w:tcW w:w="156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PI</w:t>
            </w:r>
          </w:p>
        </w:tc>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(1,3;1,5)</w:t>
            </w:r>
          </w:p>
        </w:tc>
        <w:tc>
          <w:tcPr>
            <w:tcW w:w="203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 (1,10;1,40)*</w:t>
            </w:r>
          </w:p>
        </w:tc>
        <w:tc>
          <w:tcPr>
            <w:tcW w:w="203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 (1,10;1,35)*</w:t>
            </w:r>
          </w:p>
        </w:tc>
        <w:tc>
          <w:tcPr>
            <w:tcW w:w="203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 (1,15;1,35)</w:t>
            </w:r>
          </w:p>
        </w:tc>
      </w:tr>
      <w:tr w:rsidR="00BD0BF2" w:rsidRPr="004E3FE9" w:rsidTr="00721EA2">
        <w:trPr>
          <w:trHeight w:val="20"/>
        </w:trPr>
        <w:tc>
          <w:tcPr>
            <w:tcW w:w="156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PI після оклюзії</w:t>
            </w:r>
          </w:p>
        </w:tc>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(1,2;1,5)</w:t>
            </w:r>
          </w:p>
        </w:tc>
        <w:tc>
          <w:tcPr>
            <w:tcW w:w="203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 (1,00;1,30)*</w:t>
            </w:r>
          </w:p>
        </w:tc>
        <w:tc>
          <w:tcPr>
            <w:tcW w:w="203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 (1,00;1,20)*</w:t>
            </w:r>
          </w:p>
        </w:tc>
        <w:tc>
          <w:tcPr>
            <w:tcW w:w="203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 (1,15;1,32)</w:t>
            </w:r>
          </w:p>
        </w:tc>
      </w:tr>
      <w:tr w:rsidR="00BD0BF2" w:rsidRPr="004E3FE9" w:rsidTr="00721EA2">
        <w:trPr>
          <w:trHeight w:val="20"/>
        </w:trPr>
        <w:tc>
          <w:tcPr>
            <w:tcW w:w="156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S/D</w:t>
            </w:r>
          </w:p>
        </w:tc>
        <w:tc>
          <w:tcPr>
            <w:tcW w:w="170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6,86 (5,60;7,90)</w:t>
            </w:r>
          </w:p>
        </w:tc>
        <w:tc>
          <w:tcPr>
            <w:tcW w:w="203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4,90 (3,50;5,40)*</w:t>
            </w:r>
          </w:p>
        </w:tc>
        <w:tc>
          <w:tcPr>
            <w:tcW w:w="2032"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4,80 (3,30;5,20)*</w:t>
            </w:r>
          </w:p>
        </w:tc>
        <w:tc>
          <w:tcPr>
            <w:tcW w:w="2032"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4,95 (4,75;5,35)*</w:t>
            </w:r>
          </w:p>
        </w:tc>
      </w:tr>
      <w:tr w:rsidR="00BD0BF2" w:rsidRPr="004E3FE9" w:rsidTr="00721EA2">
        <w:trPr>
          <w:trHeight w:val="20"/>
        </w:trPr>
        <w:tc>
          <w:tcPr>
            <w:tcW w:w="156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S/D після оклюзії</w:t>
            </w:r>
          </w:p>
        </w:tc>
        <w:tc>
          <w:tcPr>
            <w:tcW w:w="170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5,40 (4,80;6,30)</w:t>
            </w:r>
          </w:p>
        </w:tc>
        <w:tc>
          <w:tcPr>
            <w:tcW w:w="203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4,80 (3,20;5,20)*</w:t>
            </w:r>
          </w:p>
        </w:tc>
        <w:tc>
          <w:tcPr>
            <w:tcW w:w="2032"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4,70 (3,00;5,00)*</w:t>
            </w:r>
          </w:p>
        </w:tc>
        <w:tc>
          <w:tcPr>
            <w:tcW w:w="2032"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4,85 (4,67;5,15)*</w:t>
            </w:r>
          </w:p>
        </w:tc>
      </w:tr>
    </w:tbl>
    <w:p w:rsidR="001056B7" w:rsidRPr="004E3FE9" w:rsidRDefault="002F7F35" w:rsidP="001056B7">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Примітка. * - р&lt;0,01 </w:t>
      </w:r>
      <w:r w:rsidR="00BD0BF2" w:rsidRPr="004E3FE9">
        <w:rPr>
          <w:rFonts w:ascii="Times New Roman" w:hAnsi="Times New Roman" w:cs="Times New Roman"/>
          <w:sz w:val="28"/>
          <w:szCs w:val="28"/>
          <w:lang w:val="uk-UA"/>
        </w:rPr>
        <w:t xml:space="preserve">- різниця вірогідна з показником дітей </w:t>
      </w:r>
      <w:r w:rsidR="001056B7" w:rsidRPr="004E3FE9">
        <w:rPr>
          <w:rFonts w:ascii="Times New Roman" w:hAnsi="Times New Roman" w:cs="Times New Roman"/>
          <w:sz w:val="28"/>
          <w:szCs w:val="28"/>
          <w:lang w:val="uk-UA"/>
        </w:rPr>
        <w:t>групи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Для оцінки функціонального стану судинної стінки, також ми провели аналіз показників ультразвукової доплерографії ПА в залежності від форми захворювання (табл. 4.17). Рівні індексу резистивності до оклюзії залишались в межах нормальних в порівнянні з показниками практично здорових дітей, але після проведення компресії ПА ми зафіксували статистично достовірне його підвищення у дітей з різними формами ГВ.</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Пульсаційний індекс та систоло-діастоличне співвідношення до та після оклюзії, були знижені у дітей, хворих на ГВ, порівняно з показниками практично здорових дітей, що свідчить про підвищення загального периферичного опору судини, але суттєво не відрізнялись в залежності від форми захворювання (шкірної, шкірно – суглобової та змішаної). Проте, нами відмічено, що найбільш виражені зміни спостерігались при змішаній формі з нирковим синдромом: PI - (1,10 (1,05;1,15)  і 0,90 (0,90;0,95)), до та після оклюзії  відповідно, що на 21-30% нижче показників дітей групи контролю, S/D - (3,10 (3,00;3,20) і 2,80 (2,70;2,90)), до та після оклюзії  відповідно, що на 54 % та 48 % менше, відносно результатів групи контролю. </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Аналізуючи функції ендотелію у дітей, хворих на ГВ, в залежності від активності захворювання, нами не зареєстровано суттєвих змін рівнів індексу резистивності до оклюзії між результатами досліджуваних та практично здорових дітей, та не виявлено зв'язку з активністю захворювання, але після оклюзії рівень RI достовірно збільшився у всіх дітей з ГВ не залежно від ступеня активності патологічного процесу в порівнянні з показниками </w:t>
      </w:r>
      <w:r w:rsidRPr="004E3FE9">
        <w:rPr>
          <w:rFonts w:ascii="Times New Roman" w:eastAsia="Times New Roman" w:hAnsi="Times New Roman" w:cs="Times New Roman"/>
          <w:sz w:val="28"/>
          <w:szCs w:val="28"/>
          <w:lang w:val="uk-UA"/>
        </w:rPr>
        <w:t>групи контролю</w:t>
      </w:r>
      <w:r w:rsidRPr="004E3FE9">
        <w:rPr>
          <w:rFonts w:ascii="Times New Roman" w:hAnsi="Times New Roman" w:cs="Times New Roman"/>
          <w:sz w:val="28"/>
          <w:szCs w:val="28"/>
          <w:lang w:val="uk-UA"/>
        </w:rPr>
        <w:t>. Рівні пульсаційного індексу до та після компресії ПА достовірно знижувались у дітей з середнім (1,20 (1,10;1,20), 1,20 (1,10;1,30), відповідно) та важким (1,15 (1,10;1,20), 1,00 (0,90;1,05)) перебігом ГВ. Встановлено достовірне зниження значень S/D у обстежених дітей порівняно з показником практично здорових дітей до оклюзії ПА від мінімальної активності до  максимальної на 19 %, 28 % та</w:t>
      </w:r>
      <w:r w:rsidR="00AA5451">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 xml:space="preserve"> 53 %, відповідно.</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lastRenderedPageBreak/>
        <w:t>Таблиця 4.17</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Показники ультразвукової доплерографії плечових артерій дітей, </w:t>
      </w:r>
      <w:r w:rsidRPr="004E3FE9">
        <w:rPr>
          <w:rFonts w:ascii="Times New Roman" w:eastAsia="Times New Roman" w:hAnsi="Times New Roman" w:cs="Times New Roman"/>
          <w:b/>
          <w:sz w:val="28"/>
          <w:szCs w:val="28"/>
          <w:lang w:val="uk-UA"/>
        </w:rPr>
        <w:t>хворих на ГВ в залежності від форми в гострий період захворювання</w:t>
      </w:r>
    </w:p>
    <w:tbl>
      <w:tblPr>
        <w:tblStyle w:val="a8"/>
        <w:tblW w:w="9214" w:type="dxa"/>
        <w:tblInd w:w="108" w:type="dxa"/>
        <w:tblLayout w:type="fixed"/>
        <w:tblLook w:val="04A0"/>
      </w:tblPr>
      <w:tblGrid>
        <w:gridCol w:w="1701"/>
        <w:gridCol w:w="994"/>
        <w:gridCol w:w="1276"/>
        <w:gridCol w:w="1277"/>
        <w:gridCol w:w="1419"/>
        <w:gridCol w:w="1418"/>
        <w:gridCol w:w="1129"/>
      </w:tblGrid>
      <w:tr w:rsidR="00BD0BF2" w:rsidRPr="004E3FE9" w:rsidTr="008A5F29">
        <w:trPr>
          <w:cantSplit/>
          <w:trHeight w:val="407"/>
        </w:trPr>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994"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390" w:type="dxa"/>
            <w:gridSpan w:val="4"/>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Форма геморагічного васкуліту</w:t>
            </w:r>
          </w:p>
        </w:tc>
        <w:tc>
          <w:tcPr>
            <w:tcW w:w="1129"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r>
      <w:tr w:rsidR="00BD0BF2" w:rsidRPr="004E3FE9" w:rsidTr="00721EA2">
        <w:trPr>
          <w:cantSplit/>
          <w:trHeight w:val="1757"/>
        </w:trPr>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994"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276" w:lineRule="auto"/>
              <w:jc w:val="center"/>
              <w:rPr>
                <w:rFonts w:ascii="Times New Roman" w:hAnsi="Times New Roman" w:cs="Times New Roman"/>
                <w:sz w:val="28"/>
                <w:szCs w:val="28"/>
                <w:lang w:val="uk-UA"/>
              </w:rPr>
            </w:pPr>
          </w:p>
        </w:tc>
        <w:tc>
          <w:tcPr>
            <w:tcW w:w="1276" w:type="dxa"/>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Шкірна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 8)</w:t>
            </w:r>
          </w:p>
        </w:tc>
        <w:tc>
          <w:tcPr>
            <w:tcW w:w="1277" w:type="dxa"/>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Шкірно-</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суглобова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(n=24)</w:t>
            </w:r>
          </w:p>
        </w:tc>
        <w:tc>
          <w:tcPr>
            <w:tcW w:w="1419" w:type="dxa"/>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418" w:type="dxa"/>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 з</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нирковим синдромом</w:t>
            </w:r>
          </w:p>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(n=9)</w:t>
            </w:r>
          </w:p>
        </w:tc>
        <w:tc>
          <w:tcPr>
            <w:tcW w:w="1129"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r>
      <w:tr w:rsidR="00BD0BF2" w:rsidRPr="004E3FE9" w:rsidTr="00721EA2">
        <w:trPr>
          <w:trHeight w:val="1569"/>
        </w:trPr>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RI</w:t>
            </w:r>
          </w:p>
        </w:tc>
        <w:tc>
          <w:tcPr>
            <w:tcW w:w="99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0,87</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0,88</w:t>
            </w:r>
          </w:p>
        </w:tc>
        <w:tc>
          <w:tcPr>
            <w:tcW w:w="1277"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0,89</w:t>
            </w:r>
          </w:p>
        </w:tc>
        <w:tc>
          <w:tcPr>
            <w:tcW w:w="141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0,88</w:t>
            </w:r>
          </w:p>
        </w:tc>
        <w:tc>
          <w:tcPr>
            <w:tcW w:w="141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0,87</w:t>
            </w:r>
          </w:p>
        </w:tc>
        <w:tc>
          <w:tcPr>
            <w:tcW w:w="112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tc>
      </w:tr>
      <w:tr w:rsidR="00BD0BF2" w:rsidRPr="004E3FE9" w:rsidTr="00721EA2">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RI після оклюзії</w:t>
            </w:r>
          </w:p>
        </w:tc>
        <w:tc>
          <w:tcPr>
            <w:tcW w:w="99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0,87</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tc>
        <w:tc>
          <w:tcPr>
            <w:tcW w:w="1277"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0,87</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tc>
        <w:tc>
          <w:tcPr>
            <w:tcW w:w="141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0,88*</w:t>
            </w:r>
          </w:p>
        </w:tc>
        <w:tc>
          <w:tcPr>
            <w:tcW w:w="141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w:t>
            </w:r>
          </w:p>
        </w:tc>
        <w:tc>
          <w:tcPr>
            <w:tcW w:w="112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0,85</w:t>
            </w:r>
          </w:p>
        </w:tc>
      </w:tr>
      <w:tr w:rsidR="00BD0BF2" w:rsidRPr="004E3FE9" w:rsidTr="00721EA2">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PI</w:t>
            </w:r>
          </w:p>
        </w:tc>
        <w:tc>
          <w:tcPr>
            <w:tcW w:w="99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1,37</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1,45</w:t>
            </w:r>
          </w:p>
        </w:tc>
        <w:tc>
          <w:tcPr>
            <w:tcW w:w="1277"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w:t>
            </w:r>
          </w:p>
        </w:tc>
        <w:tc>
          <w:tcPr>
            <w:tcW w:w="141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1,30*</w:t>
            </w:r>
          </w:p>
        </w:tc>
        <w:tc>
          <w:tcPr>
            <w:tcW w:w="141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1,15*</w:t>
            </w:r>
          </w:p>
        </w:tc>
        <w:tc>
          <w:tcPr>
            <w:tcW w:w="112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1,50</w:t>
            </w:r>
          </w:p>
        </w:tc>
      </w:tr>
      <w:tr w:rsidR="00BD0BF2" w:rsidRPr="004E3FE9" w:rsidTr="00721EA2">
        <w:tc>
          <w:tcPr>
            <w:tcW w:w="1701"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PI після оклюзії</w:t>
            </w:r>
          </w:p>
        </w:tc>
        <w:tc>
          <w:tcPr>
            <w:tcW w:w="99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1,35</w:t>
            </w:r>
          </w:p>
        </w:tc>
        <w:tc>
          <w:tcPr>
            <w:tcW w:w="1277"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1,17</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1,30</w:t>
            </w:r>
          </w:p>
        </w:tc>
        <w:tc>
          <w:tcPr>
            <w:tcW w:w="141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1,25*</w:t>
            </w:r>
          </w:p>
        </w:tc>
        <w:tc>
          <w:tcPr>
            <w:tcW w:w="141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0,95*</w:t>
            </w:r>
          </w:p>
        </w:tc>
        <w:tc>
          <w:tcPr>
            <w:tcW w:w="1129"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1,50</w:t>
            </w:r>
          </w:p>
        </w:tc>
      </w:tr>
      <w:tr w:rsidR="00BD0BF2" w:rsidRPr="004E3FE9" w:rsidTr="00721EA2">
        <w:tc>
          <w:tcPr>
            <w:tcW w:w="170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S/D</w:t>
            </w:r>
          </w:p>
        </w:tc>
        <w:tc>
          <w:tcPr>
            <w:tcW w:w="99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5,35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5,55*</w:t>
            </w:r>
          </w:p>
        </w:tc>
        <w:tc>
          <w:tcPr>
            <w:tcW w:w="1277"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4,40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5,45*</w:t>
            </w:r>
          </w:p>
        </w:tc>
        <w:tc>
          <w:tcPr>
            <w:tcW w:w="1419"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4,80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5,10*</w:t>
            </w:r>
          </w:p>
        </w:tc>
        <w:tc>
          <w:tcPr>
            <w:tcW w:w="141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3,20*</w:t>
            </w:r>
          </w:p>
        </w:tc>
        <w:tc>
          <w:tcPr>
            <w:tcW w:w="1129"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6,86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5,60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7,90</w:t>
            </w:r>
          </w:p>
        </w:tc>
      </w:tr>
      <w:tr w:rsidR="00BD0BF2" w:rsidRPr="004E3FE9" w:rsidTr="00721EA2">
        <w:tc>
          <w:tcPr>
            <w:tcW w:w="1701"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S/D після оклюзії</w:t>
            </w:r>
          </w:p>
        </w:tc>
        <w:tc>
          <w:tcPr>
            <w:tcW w:w="99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6"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4,85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5,25</w:t>
            </w:r>
          </w:p>
        </w:tc>
        <w:tc>
          <w:tcPr>
            <w:tcW w:w="1277"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4,90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4,35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5,25*</w:t>
            </w:r>
          </w:p>
        </w:tc>
        <w:tc>
          <w:tcPr>
            <w:tcW w:w="1419"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4,70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4,90*</w:t>
            </w:r>
          </w:p>
        </w:tc>
        <w:tc>
          <w:tcPr>
            <w:tcW w:w="141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2,70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2,90*</w:t>
            </w:r>
          </w:p>
        </w:tc>
        <w:tc>
          <w:tcPr>
            <w:tcW w:w="1129"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5,40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4,80</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6,30</w:t>
            </w:r>
          </w:p>
        </w:tc>
      </w:tr>
    </w:tbl>
    <w:p w:rsidR="00BD0BF2" w:rsidRPr="004E3FE9" w:rsidRDefault="001056B7" w:rsidP="00BD0BF2">
      <w:pPr>
        <w:spacing w:line="360" w:lineRule="auto"/>
        <w:ind w:right="142"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w:t>
      </w:r>
      <w:r w:rsidR="002F7F35" w:rsidRPr="004E3FE9">
        <w:rPr>
          <w:rFonts w:ascii="Times New Roman" w:hAnsi="Times New Roman" w:cs="Times New Roman"/>
          <w:sz w:val="28"/>
          <w:szCs w:val="28"/>
          <w:lang w:val="uk-UA"/>
        </w:rPr>
        <w:t xml:space="preserve">* - р&lt;0,01 </w:t>
      </w:r>
      <w:r w:rsidR="00BD0BF2" w:rsidRPr="004E3FE9">
        <w:rPr>
          <w:rFonts w:ascii="Times New Roman" w:hAnsi="Times New Roman" w:cs="Times New Roman"/>
          <w:sz w:val="28"/>
          <w:szCs w:val="28"/>
          <w:lang w:val="uk-UA"/>
        </w:rPr>
        <w:t>- різниця вірогідна з показником дітей групи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Відносно показників S/D після оклюзії ПА, то зменшення їх від мінімальної активності до  максимальної становило на 2 %, 11 % та 46 %, </w:t>
      </w:r>
      <w:r w:rsidRPr="004E3FE9">
        <w:rPr>
          <w:rFonts w:ascii="Times New Roman" w:hAnsi="Times New Roman" w:cs="Times New Roman"/>
          <w:sz w:val="28"/>
          <w:szCs w:val="28"/>
          <w:lang w:val="uk-UA"/>
        </w:rPr>
        <w:lastRenderedPageBreak/>
        <w:t xml:space="preserve">відповідно (табл. 4.18). Слід зауважити, що виявлені нами зміни показників ультразвукової доплерографії плечових артерій дітей, </w:t>
      </w:r>
      <w:r w:rsidRPr="004E3FE9">
        <w:rPr>
          <w:rFonts w:ascii="Times New Roman" w:eastAsia="Times New Roman" w:hAnsi="Times New Roman" w:cs="Times New Roman"/>
          <w:sz w:val="28"/>
          <w:szCs w:val="28"/>
          <w:lang w:val="uk-UA"/>
        </w:rPr>
        <w:t>хворих на ГВ</w:t>
      </w:r>
      <w:r w:rsidRPr="004E3FE9">
        <w:rPr>
          <w:rFonts w:ascii="Times New Roman" w:hAnsi="Times New Roman" w:cs="Times New Roman"/>
          <w:sz w:val="28"/>
          <w:szCs w:val="28"/>
          <w:lang w:val="uk-UA"/>
        </w:rPr>
        <w:t>, можуть свідчити про підвищення загального периферичного опору судин, що більш виражене у дітей з максимальною активністю захворювання. (рис. 4.8, 4.9)</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4.18</w:t>
      </w:r>
    </w:p>
    <w:p w:rsidR="00BD0BF2" w:rsidRPr="004E3FE9" w:rsidRDefault="00BD0BF2" w:rsidP="00BD0BF2">
      <w:pPr>
        <w:spacing w:line="360" w:lineRule="auto"/>
        <w:ind w:right="141"/>
        <w:contextualSpacing/>
        <w:jc w:val="center"/>
        <w:rPr>
          <w:rFonts w:ascii="Times New Roman" w:eastAsia="Times New Roman" w:hAnsi="Times New Roman" w:cs="Times New Roman"/>
          <w:b/>
          <w:sz w:val="28"/>
          <w:szCs w:val="28"/>
          <w:lang w:val="uk-UA"/>
        </w:rPr>
      </w:pPr>
      <w:r w:rsidRPr="004E3FE9">
        <w:rPr>
          <w:rFonts w:ascii="Times New Roman" w:hAnsi="Times New Roman" w:cs="Times New Roman"/>
          <w:b/>
          <w:sz w:val="28"/>
          <w:szCs w:val="28"/>
          <w:lang w:val="uk-UA"/>
        </w:rPr>
        <w:t xml:space="preserve">Показники ультразвукової доплерографії плечових артерій дітей, </w:t>
      </w:r>
      <w:r w:rsidRPr="004E3FE9">
        <w:rPr>
          <w:rFonts w:ascii="Times New Roman" w:eastAsia="Times New Roman" w:hAnsi="Times New Roman" w:cs="Times New Roman"/>
          <w:b/>
          <w:sz w:val="28"/>
          <w:szCs w:val="28"/>
          <w:lang w:val="uk-UA"/>
        </w:rPr>
        <w:t>хворих на ГВ в залежності від активност</w:t>
      </w:r>
      <w:r w:rsidR="008A5F29">
        <w:rPr>
          <w:rFonts w:ascii="Times New Roman" w:eastAsia="Times New Roman" w:hAnsi="Times New Roman" w:cs="Times New Roman"/>
          <w:b/>
          <w:sz w:val="28"/>
          <w:szCs w:val="28"/>
          <w:lang w:val="uk-UA"/>
        </w:rPr>
        <w:t>і в гострий період захворювання</w:t>
      </w:r>
    </w:p>
    <w:tbl>
      <w:tblPr>
        <w:tblStyle w:val="a8"/>
        <w:tblW w:w="9464" w:type="dxa"/>
        <w:tblLayout w:type="fixed"/>
        <w:tblLook w:val="04A0"/>
      </w:tblPr>
      <w:tblGrid>
        <w:gridCol w:w="1668"/>
        <w:gridCol w:w="992"/>
        <w:gridCol w:w="1890"/>
        <w:gridCol w:w="1890"/>
        <w:gridCol w:w="1890"/>
        <w:gridCol w:w="1134"/>
      </w:tblGrid>
      <w:tr w:rsidR="00BD0BF2" w:rsidRPr="004E3FE9" w:rsidTr="00721EA2">
        <w:trPr>
          <w:trHeight w:val="964"/>
        </w:trPr>
        <w:tc>
          <w:tcPr>
            <w:tcW w:w="1668" w:type="dxa"/>
            <w:vMerge w:val="restart"/>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992"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360"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670" w:type="dxa"/>
            <w:gridSpan w:val="3"/>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1134"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BD0BF2" w:rsidRPr="004E3FE9" w:rsidRDefault="00BD0BF2" w:rsidP="00721EA2">
            <w:pPr>
              <w:spacing w:line="276" w:lineRule="auto"/>
              <w:ind w:left="113"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tc>
      </w:tr>
      <w:tr w:rsidR="00BD0BF2" w:rsidRPr="004E3FE9" w:rsidTr="00721EA2">
        <w:trPr>
          <w:trHeight w:val="1010"/>
        </w:trPr>
        <w:tc>
          <w:tcPr>
            <w:tcW w:w="1668"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60" w:lineRule="auto"/>
              <w:jc w:val="center"/>
              <w:rPr>
                <w:rFonts w:ascii="Times New Roman" w:hAnsi="Times New Roman" w:cs="Times New Roman"/>
                <w:sz w:val="28"/>
                <w:szCs w:val="28"/>
                <w:lang w:val="uk-UA"/>
              </w:rPr>
            </w:pPr>
          </w:p>
        </w:tc>
      </w:tr>
      <w:tr w:rsidR="00BD0BF2" w:rsidRPr="004E3FE9" w:rsidTr="00721EA2">
        <w:trPr>
          <w:trHeight w:val="20"/>
        </w:trPr>
        <w:tc>
          <w:tcPr>
            <w:tcW w:w="166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RI</w:t>
            </w:r>
          </w:p>
        </w:tc>
        <w:tc>
          <w:tcPr>
            <w:tcW w:w="99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0,83</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0,85</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0,84</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0,87</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0,85</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0,83</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0,89</w:t>
            </w:r>
          </w:p>
        </w:tc>
        <w:tc>
          <w:tcPr>
            <w:tcW w:w="113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tc>
      </w:tr>
      <w:tr w:rsidR="00BD0BF2" w:rsidRPr="004E3FE9" w:rsidTr="00721EA2">
        <w:trPr>
          <w:trHeight w:val="20"/>
        </w:trPr>
        <w:tc>
          <w:tcPr>
            <w:tcW w:w="166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RI після оклюзії</w:t>
            </w:r>
          </w:p>
        </w:tc>
        <w:tc>
          <w:tcPr>
            <w:tcW w:w="99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0,84</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0,88*</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0,87</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0,85</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0,86</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0,83</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0,76</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0,85</w:t>
            </w:r>
          </w:p>
        </w:tc>
      </w:tr>
      <w:tr w:rsidR="00BD0BF2" w:rsidRPr="004E3FE9" w:rsidTr="00721EA2">
        <w:trPr>
          <w:trHeight w:val="20"/>
        </w:trPr>
        <w:tc>
          <w:tcPr>
            <w:tcW w:w="166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PI</w:t>
            </w:r>
          </w:p>
        </w:tc>
        <w:tc>
          <w:tcPr>
            <w:tcW w:w="99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1,45</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1,50</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1,15</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1,50</w:t>
            </w:r>
          </w:p>
        </w:tc>
      </w:tr>
      <w:tr w:rsidR="00BD0BF2" w:rsidRPr="004E3FE9" w:rsidTr="00721EA2">
        <w:trPr>
          <w:trHeight w:val="20"/>
        </w:trPr>
        <w:tc>
          <w:tcPr>
            <w:tcW w:w="1668"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PI після оклюзії</w:t>
            </w:r>
          </w:p>
        </w:tc>
        <w:tc>
          <w:tcPr>
            <w:tcW w:w="992"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1,35</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1,30*</w:t>
            </w:r>
          </w:p>
        </w:tc>
        <w:tc>
          <w:tcPr>
            <w:tcW w:w="1890"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1,05*</w:t>
            </w:r>
          </w:p>
        </w:tc>
        <w:tc>
          <w:tcPr>
            <w:tcW w:w="1134" w:type="dxa"/>
            <w:tcBorders>
              <w:top w:val="single" w:sz="4" w:space="0" w:color="auto"/>
              <w:left w:val="single" w:sz="4" w:space="0" w:color="auto"/>
              <w:bottom w:val="single" w:sz="4" w:space="0" w:color="auto"/>
              <w:right w:val="single" w:sz="4" w:space="0" w:color="auto"/>
            </w:tcBorders>
            <w:vAlign w:val="center"/>
            <w:hideMark/>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1,50</w:t>
            </w:r>
          </w:p>
        </w:tc>
      </w:tr>
      <w:tr w:rsidR="00BD0BF2" w:rsidRPr="004E3FE9" w:rsidTr="00721EA2">
        <w:trPr>
          <w:trHeight w:val="20"/>
        </w:trPr>
        <w:tc>
          <w:tcPr>
            <w:tcW w:w="166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S/D</w:t>
            </w:r>
          </w:p>
        </w:tc>
        <w:tc>
          <w:tcPr>
            <w:tcW w:w="992"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5,50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5,40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5,70*</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4,90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4,80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5,00*</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3,20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3,40*</w:t>
            </w:r>
          </w:p>
        </w:tc>
        <w:tc>
          <w:tcPr>
            <w:tcW w:w="113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6,86</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5,60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7,90</w:t>
            </w:r>
          </w:p>
        </w:tc>
      </w:tr>
      <w:tr w:rsidR="00BD0BF2" w:rsidRPr="004E3FE9" w:rsidTr="00721EA2">
        <w:trPr>
          <w:trHeight w:val="20"/>
        </w:trPr>
        <w:tc>
          <w:tcPr>
            <w:tcW w:w="1668"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S/D після оклюзії</w:t>
            </w:r>
          </w:p>
        </w:tc>
        <w:tc>
          <w:tcPr>
            <w:tcW w:w="992"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5,30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5,10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5,40</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4,80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4,70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4,90*</w:t>
            </w:r>
          </w:p>
        </w:tc>
        <w:tc>
          <w:tcPr>
            <w:tcW w:w="1890"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2,90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2,80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3,10*</w:t>
            </w:r>
          </w:p>
        </w:tc>
        <w:tc>
          <w:tcPr>
            <w:tcW w:w="1134" w:type="dxa"/>
            <w:tcBorders>
              <w:top w:val="single" w:sz="4" w:space="0" w:color="auto"/>
              <w:left w:val="single" w:sz="4" w:space="0" w:color="auto"/>
              <w:bottom w:val="single" w:sz="4" w:space="0" w:color="auto"/>
              <w:right w:val="single" w:sz="4" w:space="0" w:color="auto"/>
            </w:tcBorders>
            <w:vAlign w:val="center"/>
          </w:tcPr>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5,40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4,80</w:t>
            </w:r>
          </w:p>
          <w:p w:rsidR="00BD0BF2" w:rsidRPr="004E3FE9" w:rsidRDefault="00BD0BF2" w:rsidP="00721EA2">
            <w:pPr>
              <w:spacing w:line="30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6,30</w:t>
            </w:r>
          </w:p>
        </w:tc>
      </w:tr>
    </w:tbl>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w:t>
      </w:r>
      <w:r w:rsidR="002F7F35" w:rsidRPr="004E3FE9">
        <w:rPr>
          <w:rFonts w:ascii="Times New Roman" w:hAnsi="Times New Roman" w:cs="Times New Roman"/>
          <w:sz w:val="28"/>
          <w:szCs w:val="28"/>
          <w:lang w:val="uk-UA"/>
        </w:rPr>
        <w:t xml:space="preserve">тка. * - р&lt;0,01 </w:t>
      </w:r>
      <w:r w:rsidRPr="004E3FE9">
        <w:rPr>
          <w:rFonts w:ascii="Times New Roman" w:hAnsi="Times New Roman" w:cs="Times New Roman"/>
          <w:sz w:val="28"/>
          <w:szCs w:val="28"/>
          <w:lang w:val="uk-UA"/>
        </w:rPr>
        <w:t>- різниця вірогідна з показником дітей контрольної групи.</w:t>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lastRenderedPageBreak/>
        <w:drawing>
          <wp:inline distT="0" distB="0" distL="0" distR="0">
            <wp:extent cx="5895975" cy="3098165"/>
            <wp:effectExtent l="0" t="0" r="9525" b="2603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4.8 Рівні РІ до та після оклюзії ПА у дітей, хворих на ГВ, в залежності від ступеня активності в гострий період.</w:t>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drawing>
          <wp:inline distT="0" distB="0" distL="0" distR="0">
            <wp:extent cx="5895975" cy="3220720"/>
            <wp:effectExtent l="0" t="0" r="9525" b="1778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4.9 Рівні S/D до та після оклюзії ПА у дітей, хворих на ГВ, в залежності від ступеня активності в гострий період.</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Аналіз результа</w:t>
      </w:r>
      <w:r w:rsidR="008A5F29">
        <w:rPr>
          <w:rFonts w:ascii="Times New Roman" w:hAnsi="Times New Roman" w:cs="Times New Roman"/>
          <w:sz w:val="28"/>
          <w:szCs w:val="28"/>
          <w:lang w:val="uk-UA"/>
        </w:rPr>
        <w:t>тів дисперсійного аналізу Краск</w:t>
      </w:r>
      <w:r w:rsidRPr="004E3FE9">
        <w:rPr>
          <w:rFonts w:ascii="Times New Roman" w:hAnsi="Times New Roman" w:cs="Times New Roman"/>
          <w:sz w:val="28"/>
          <w:szCs w:val="28"/>
          <w:lang w:val="uk-UA"/>
        </w:rPr>
        <w:t>ла-Уолліса для множинного порівняння статистичних характеристик показників КІМ ЗСА, d ПА до оклюзії, 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та 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xml:space="preserve"> обстежуваних груп дітей за ступенем </w:t>
      </w:r>
      <w:r w:rsidRPr="004E3FE9">
        <w:rPr>
          <w:rFonts w:ascii="Times New Roman" w:hAnsi="Times New Roman" w:cs="Times New Roman"/>
          <w:sz w:val="28"/>
          <w:szCs w:val="28"/>
          <w:lang w:val="uk-UA"/>
        </w:rPr>
        <w:lastRenderedPageBreak/>
        <w:t>активності наведені в табл. 4.1</w:t>
      </w:r>
      <w:r w:rsidR="008A5F29">
        <w:rPr>
          <w:rFonts w:ascii="Times New Roman" w:hAnsi="Times New Roman" w:cs="Times New Roman"/>
          <w:sz w:val="28"/>
          <w:szCs w:val="28"/>
          <w:lang w:val="uk-UA"/>
        </w:rPr>
        <w:t>9. Зазначимо, що критерій Краск</w:t>
      </w:r>
      <w:r w:rsidRPr="004E3FE9">
        <w:rPr>
          <w:rFonts w:ascii="Times New Roman" w:hAnsi="Times New Roman" w:cs="Times New Roman"/>
          <w:sz w:val="28"/>
          <w:szCs w:val="28"/>
          <w:lang w:val="uk-UA"/>
        </w:rPr>
        <w:t>ла-Уолліса Н високо значущий за параметрами коефіцієнта дилатації на 30 с та 60 с. Для виявлення різниці показників серед обстежуваних груп при попарному порівнянні зафіксовані достовірні відмінності показників 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xml:space="preserve"> та показників групи контролю. Значущої відмінності серед дітей різних ступенів активності не виявлено, окрім показників КД</w:t>
      </w:r>
      <w:r w:rsidRPr="004E3FE9">
        <w:rPr>
          <w:rFonts w:ascii="Times New Roman" w:hAnsi="Times New Roman" w:cs="Times New Roman"/>
          <w:sz w:val="28"/>
          <w:szCs w:val="28"/>
          <w:vertAlign w:val="subscript"/>
          <w:lang w:val="uk-UA"/>
        </w:rPr>
        <w:t xml:space="preserve">60 </w:t>
      </w:r>
      <w:r w:rsidRPr="004E3FE9">
        <w:rPr>
          <w:rFonts w:ascii="Times New Roman" w:hAnsi="Times New Roman" w:cs="Times New Roman"/>
          <w:sz w:val="28"/>
          <w:szCs w:val="28"/>
          <w:lang w:val="uk-UA"/>
        </w:rPr>
        <w:t>у дітей з І та ІІІ ступенями активності.</w:t>
      </w:r>
    </w:p>
    <w:p w:rsidR="00BD0BF2" w:rsidRPr="00A02BFF" w:rsidRDefault="00BD0BF2" w:rsidP="00BD0BF2">
      <w:pPr>
        <w:spacing w:line="360" w:lineRule="auto"/>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4.19</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Статистичні характеристики множинного та попарного порівняння КІМ ЗСА, d ПА до оклюзії, КД</w:t>
      </w:r>
      <w:r w:rsidRPr="004E3FE9">
        <w:rPr>
          <w:rFonts w:ascii="Times New Roman" w:hAnsi="Times New Roman" w:cs="Times New Roman"/>
          <w:b/>
          <w:sz w:val="28"/>
          <w:szCs w:val="28"/>
          <w:vertAlign w:val="subscript"/>
          <w:lang w:val="uk-UA"/>
        </w:rPr>
        <w:t>30</w:t>
      </w:r>
      <w:r w:rsidRPr="004E3FE9">
        <w:rPr>
          <w:rFonts w:ascii="Times New Roman" w:hAnsi="Times New Roman" w:cs="Times New Roman"/>
          <w:b/>
          <w:sz w:val="28"/>
          <w:szCs w:val="28"/>
          <w:lang w:val="uk-UA"/>
        </w:rPr>
        <w:t xml:space="preserve"> та КД</w:t>
      </w:r>
      <w:r w:rsidRPr="004E3FE9">
        <w:rPr>
          <w:rFonts w:ascii="Times New Roman" w:hAnsi="Times New Roman" w:cs="Times New Roman"/>
          <w:b/>
          <w:sz w:val="28"/>
          <w:szCs w:val="28"/>
          <w:vertAlign w:val="subscript"/>
          <w:lang w:val="uk-UA"/>
        </w:rPr>
        <w:t>60</w:t>
      </w:r>
      <w:r w:rsidRPr="004E3FE9">
        <w:rPr>
          <w:rFonts w:ascii="Times New Roman" w:hAnsi="Times New Roman" w:cs="Times New Roman"/>
          <w:b/>
          <w:sz w:val="28"/>
          <w:szCs w:val="28"/>
          <w:lang w:val="uk-UA"/>
        </w:rPr>
        <w:t xml:space="preserve"> обстежених дітей, хворих на ГВ, в залежності від ступеня активності в пері</w:t>
      </w:r>
      <w:r w:rsidR="008A5F29">
        <w:rPr>
          <w:rFonts w:ascii="Times New Roman" w:hAnsi="Times New Roman" w:cs="Times New Roman"/>
          <w:b/>
          <w:sz w:val="28"/>
          <w:szCs w:val="28"/>
          <w:lang w:val="uk-UA"/>
        </w:rPr>
        <w:t>од клініко-лабораторної ремісії</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34"/>
        <w:gridCol w:w="709"/>
        <w:gridCol w:w="1878"/>
        <w:gridCol w:w="1878"/>
        <w:gridCol w:w="1878"/>
        <w:gridCol w:w="1879"/>
      </w:tblGrid>
      <w:tr w:rsidR="00BD0BF2" w:rsidRPr="004E3FE9" w:rsidTr="00721EA2">
        <w:trPr>
          <w:trHeight w:val="510"/>
        </w:trPr>
        <w:tc>
          <w:tcPr>
            <w:tcW w:w="1843" w:type="dxa"/>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Статистичні критерії порівняння</w:t>
            </w:r>
          </w:p>
        </w:tc>
        <w:tc>
          <w:tcPr>
            <w:tcW w:w="187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КІМ ЗСА, мм</w:t>
            </w:r>
          </w:p>
        </w:tc>
        <w:tc>
          <w:tcPr>
            <w:tcW w:w="1878"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d ПА до оклюзії, мм</w:t>
            </w:r>
          </w:p>
        </w:tc>
        <w:tc>
          <w:tcPr>
            <w:tcW w:w="1878"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w:t>
            </w:r>
          </w:p>
        </w:tc>
        <w:tc>
          <w:tcPr>
            <w:tcW w:w="187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w:t>
            </w:r>
          </w:p>
        </w:tc>
      </w:tr>
      <w:tr w:rsidR="00BD0BF2" w:rsidRPr="004E3FE9" w:rsidTr="00721EA2">
        <w:trPr>
          <w:trHeight w:val="510"/>
        </w:trPr>
        <w:tc>
          <w:tcPr>
            <w:tcW w:w="1134" w:type="dxa"/>
            <w:vMerge w:val="restart"/>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KW</w:t>
            </w:r>
          </w:p>
        </w:tc>
        <w:tc>
          <w:tcPr>
            <w:tcW w:w="709"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H</w:t>
            </w:r>
          </w:p>
        </w:tc>
        <w:tc>
          <w:tcPr>
            <w:tcW w:w="187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7,07</w:t>
            </w:r>
          </w:p>
        </w:tc>
        <w:tc>
          <w:tcPr>
            <w:tcW w:w="187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3,89</w:t>
            </w:r>
          </w:p>
        </w:tc>
        <w:tc>
          <w:tcPr>
            <w:tcW w:w="187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41,78</w:t>
            </w:r>
          </w:p>
        </w:tc>
        <w:tc>
          <w:tcPr>
            <w:tcW w:w="18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43,69</w:t>
            </w:r>
          </w:p>
        </w:tc>
      </w:tr>
      <w:tr w:rsidR="00BD0BF2" w:rsidRPr="004E3FE9" w:rsidTr="00721EA2">
        <w:trPr>
          <w:trHeight w:val="510"/>
        </w:trPr>
        <w:tc>
          <w:tcPr>
            <w:tcW w:w="1134" w:type="dxa"/>
            <w:vMerge/>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709"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w:t>
            </w:r>
          </w:p>
        </w:tc>
        <w:tc>
          <w:tcPr>
            <w:tcW w:w="187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0,0697</w:t>
            </w:r>
          </w:p>
        </w:tc>
        <w:tc>
          <w:tcPr>
            <w:tcW w:w="187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0,2733</w:t>
            </w:r>
          </w:p>
        </w:tc>
        <w:tc>
          <w:tcPr>
            <w:tcW w:w="187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0,0000*</w:t>
            </w:r>
          </w:p>
        </w:tc>
        <w:tc>
          <w:tcPr>
            <w:tcW w:w="18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0,0000*</w:t>
            </w:r>
          </w:p>
        </w:tc>
      </w:tr>
      <w:tr w:rsidR="00BD0BF2" w:rsidRPr="00810999" w:rsidTr="00721EA2">
        <w:trPr>
          <w:trHeight w:val="510"/>
        </w:trPr>
        <w:tc>
          <w:tcPr>
            <w:tcW w:w="1134"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MW</w:t>
            </w:r>
          </w:p>
        </w:tc>
        <w:tc>
          <w:tcPr>
            <w:tcW w:w="709"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w:t>
            </w:r>
          </w:p>
        </w:tc>
        <w:tc>
          <w:tcPr>
            <w:tcW w:w="187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=0,0280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=0,0318</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=0,4721</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=0,0572</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=0,7446</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=0,6010</w:t>
            </w:r>
          </w:p>
        </w:tc>
        <w:tc>
          <w:tcPr>
            <w:tcW w:w="187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=0,0672</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=0,0876</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=0,9478</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=0,2347</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=0,9887</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=0,8368</w:t>
            </w:r>
          </w:p>
        </w:tc>
        <w:tc>
          <w:tcPr>
            <w:tcW w:w="187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=0,4252</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=0,0504</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=0,4176</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=0,0000*</w:t>
            </w:r>
          </w:p>
        </w:tc>
        <w:tc>
          <w:tcPr>
            <w:tcW w:w="187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=0,1167</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=0,0008**</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=0,9791</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=0,0000*</w:t>
            </w:r>
          </w:p>
        </w:tc>
      </w:tr>
    </w:tbl>
    <w:p w:rsidR="00BD0BF2" w:rsidRPr="004E3FE9" w:rsidRDefault="001056B7" w:rsidP="001056B7">
      <w:pPr>
        <w:spacing w:line="360" w:lineRule="auto"/>
        <w:ind w:right="142"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Примітки:</w:t>
      </w:r>
      <w:r w:rsidR="00BD0BF2" w:rsidRPr="004E3FE9">
        <w:rPr>
          <w:rFonts w:ascii="Times New Roman" w:hAnsi="Times New Roman" w:cs="Times New Roman"/>
          <w:sz w:val="28"/>
          <w:szCs w:val="28"/>
          <w:lang w:val="uk-UA"/>
        </w:rPr>
        <w:t xml:space="preserve"> * - р&lt;0,01 - різниця вірогідна з показником дітей групи контролю; ** - р&lt;0,01 - різниця вірогідна між показниками дітей різних ступенів. І, ІІ, ІІІ – ступінь активності геморагічного ва</w:t>
      </w:r>
      <w:r>
        <w:rPr>
          <w:rFonts w:ascii="Times New Roman" w:hAnsi="Times New Roman" w:cs="Times New Roman"/>
          <w:sz w:val="28"/>
          <w:szCs w:val="28"/>
          <w:lang w:val="uk-UA"/>
        </w:rPr>
        <w:t>скуліту, к – група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Результати проведен</w:t>
      </w:r>
      <w:r w:rsidR="008A5F29">
        <w:rPr>
          <w:rFonts w:ascii="Times New Roman" w:hAnsi="Times New Roman" w:cs="Times New Roman"/>
          <w:sz w:val="28"/>
          <w:szCs w:val="28"/>
          <w:lang w:val="uk-UA"/>
        </w:rPr>
        <w:t>ого дисперсійного аналізу Краск</w:t>
      </w:r>
      <w:r w:rsidRPr="004E3FE9">
        <w:rPr>
          <w:rFonts w:ascii="Times New Roman" w:hAnsi="Times New Roman" w:cs="Times New Roman"/>
          <w:sz w:val="28"/>
          <w:szCs w:val="28"/>
          <w:lang w:val="uk-UA"/>
        </w:rPr>
        <w:t xml:space="preserve">ла-Уолліса для множинного порівняння статистичних характеристик показників RI, PI та S/D до оклюзії серед обстежуваних груп представлено в табл. 4.20. </w:t>
      </w:r>
      <w:r w:rsidRPr="004E3FE9">
        <w:rPr>
          <w:rFonts w:ascii="Times New Roman" w:hAnsi="Times New Roman" w:cs="Times New Roman"/>
          <w:sz w:val="28"/>
          <w:szCs w:val="28"/>
          <w:lang w:val="uk-UA"/>
        </w:rPr>
        <w:lastRenderedPageBreak/>
        <w:t>Необхідно відмітити</w:t>
      </w:r>
      <w:r w:rsidR="008A5F29">
        <w:rPr>
          <w:rFonts w:ascii="Times New Roman" w:hAnsi="Times New Roman" w:cs="Times New Roman"/>
          <w:sz w:val="28"/>
          <w:szCs w:val="28"/>
          <w:lang w:val="uk-UA"/>
        </w:rPr>
        <w:t xml:space="preserve"> високо значущий критерій Краск</w:t>
      </w:r>
      <w:r w:rsidRPr="004E3FE9">
        <w:rPr>
          <w:rFonts w:ascii="Times New Roman" w:hAnsi="Times New Roman" w:cs="Times New Roman"/>
          <w:sz w:val="28"/>
          <w:szCs w:val="28"/>
          <w:lang w:val="uk-UA"/>
        </w:rPr>
        <w:t>ла-Уолліса (Н) за параметрами PI та S/D до оклюзії, що дає право стверджувати на наявні відмінності серед обстежуваних груп. При подальшому попарному порівнянні цих показників з показниками групи контролю достовірні відмінності зафіксовані лише відносно показників S/D до оклюзії у дітей ІІ та ІІІ ступеня активності. При порівнянні показників PI та S/D до оклюзії серед дітей різних ступенів активності виявлені достовірні відмінності обох показників у дітей з І та ІІ ступенями активності та у дітей з І та ІІІ ступенями активності.</w:t>
      </w:r>
    </w:p>
    <w:p w:rsidR="00BD0BF2" w:rsidRPr="00A02BFF" w:rsidRDefault="00BD0BF2" w:rsidP="00BD0BF2">
      <w:pPr>
        <w:spacing w:line="360" w:lineRule="auto"/>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4.20</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Статистичні характеристики множинного та попарного порівняння RI, PI та S/D до оклюзії обстежених дітей, хворих на ГВ в залежності від ступеня активності в пері</w:t>
      </w:r>
      <w:r w:rsidR="008A5F29">
        <w:rPr>
          <w:rFonts w:ascii="Times New Roman" w:hAnsi="Times New Roman" w:cs="Times New Roman"/>
          <w:b/>
          <w:sz w:val="28"/>
          <w:szCs w:val="28"/>
          <w:lang w:val="uk-UA"/>
        </w:rPr>
        <w:t>од клініко-лабораторної ремісії</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46"/>
        <w:gridCol w:w="1022"/>
        <w:gridCol w:w="2410"/>
        <w:gridCol w:w="2410"/>
        <w:gridCol w:w="2268"/>
      </w:tblGrid>
      <w:tr w:rsidR="00BD0BF2" w:rsidRPr="004E3FE9" w:rsidTr="00721EA2">
        <w:trPr>
          <w:trHeight w:val="510"/>
        </w:trPr>
        <w:tc>
          <w:tcPr>
            <w:tcW w:w="2268" w:type="dxa"/>
            <w:gridSpan w:val="2"/>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Статистичні критерії порівняння</w:t>
            </w:r>
          </w:p>
        </w:tc>
        <w:tc>
          <w:tcPr>
            <w:tcW w:w="2410"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RI</w:t>
            </w:r>
          </w:p>
        </w:tc>
        <w:tc>
          <w:tcPr>
            <w:tcW w:w="2410"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PI</w:t>
            </w:r>
          </w:p>
        </w:tc>
        <w:tc>
          <w:tcPr>
            <w:tcW w:w="2268"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S/D</w:t>
            </w:r>
          </w:p>
        </w:tc>
      </w:tr>
      <w:tr w:rsidR="00BD0BF2" w:rsidRPr="004E3FE9" w:rsidTr="00721EA2">
        <w:trPr>
          <w:trHeight w:val="510"/>
        </w:trPr>
        <w:tc>
          <w:tcPr>
            <w:tcW w:w="1246" w:type="dxa"/>
            <w:vMerge w:val="restart"/>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KW</w:t>
            </w:r>
          </w:p>
        </w:tc>
        <w:tc>
          <w:tcPr>
            <w:tcW w:w="1022"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H</w:t>
            </w:r>
          </w:p>
        </w:tc>
        <w:tc>
          <w:tcPr>
            <w:tcW w:w="2410"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1,96</w:t>
            </w:r>
          </w:p>
        </w:tc>
        <w:tc>
          <w:tcPr>
            <w:tcW w:w="2410"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26,96</w:t>
            </w:r>
          </w:p>
        </w:tc>
        <w:tc>
          <w:tcPr>
            <w:tcW w:w="226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46,18</w:t>
            </w:r>
          </w:p>
        </w:tc>
      </w:tr>
      <w:tr w:rsidR="00BD0BF2" w:rsidRPr="004E3FE9" w:rsidTr="00721EA2">
        <w:trPr>
          <w:trHeight w:val="510"/>
        </w:trPr>
        <w:tc>
          <w:tcPr>
            <w:tcW w:w="1246" w:type="dxa"/>
            <w:vMerge/>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1022"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w:t>
            </w:r>
          </w:p>
        </w:tc>
        <w:tc>
          <w:tcPr>
            <w:tcW w:w="2410"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0,5787</w:t>
            </w:r>
          </w:p>
        </w:tc>
        <w:tc>
          <w:tcPr>
            <w:tcW w:w="2410"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0,0000*</w:t>
            </w:r>
          </w:p>
        </w:tc>
        <w:tc>
          <w:tcPr>
            <w:tcW w:w="226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0,0000*</w:t>
            </w:r>
          </w:p>
        </w:tc>
      </w:tr>
      <w:tr w:rsidR="00BD0BF2" w:rsidRPr="00810999" w:rsidTr="00721EA2">
        <w:trPr>
          <w:trHeight w:val="510"/>
        </w:trPr>
        <w:tc>
          <w:tcPr>
            <w:tcW w:w="1246"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MW</w:t>
            </w:r>
          </w:p>
        </w:tc>
        <w:tc>
          <w:tcPr>
            <w:tcW w:w="1022"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w:t>
            </w:r>
          </w:p>
        </w:tc>
        <w:tc>
          <w:tcPr>
            <w:tcW w:w="2410"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=0,8959</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=0,2610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=0,1781</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=0,5684</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=0,4966</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=0,9747</w:t>
            </w:r>
          </w:p>
        </w:tc>
        <w:tc>
          <w:tcPr>
            <w:tcW w:w="2410"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=0,3740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=0,0216</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=0,1652</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=0,3664</w:t>
            </w:r>
          </w:p>
        </w:tc>
        <w:tc>
          <w:tcPr>
            <w:tcW w:w="226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=0,0006**</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=0,0961</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=0,0006*</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=0,0000*</w:t>
            </w:r>
          </w:p>
        </w:tc>
      </w:tr>
    </w:tbl>
    <w:p w:rsidR="00BD0BF2" w:rsidRPr="004E3FE9" w:rsidRDefault="001056B7" w:rsidP="00BD0BF2">
      <w:pPr>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Примітки:</w:t>
      </w:r>
      <w:r w:rsidR="00BD0BF2" w:rsidRPr="004E3FE9">
        <w:rPr>
          <w:rFonts w:ascii="Times New Roman" w:hAnsi="Times New Roman" w:cs="Times New Roman"/>
          <w:sz w:val="28"/>
          <w:szCs w:val="28"/>
          <w:lang w:val="uk-UA"/>
        </w:rPr>
        <w:t xml:space="preserve"> * - р&lt;0,01- різниця вірогідна з показником дітей групи контролю; ** - р&lt;0,01 - різниця вірогідна між показниками дітей різних ступенів. І, ІІ, ІІІ – ступінь активності геморагічного васкуліту, к – група контролю</w:t>
      </w:r>
    </w:p>
    <w:p w:rsidR="00BD0BF2" w:rsidRPr="004E3FE9" w:rsidRDefault="00BD0BF2" w:rsidP="00BD0BF2">
      <w:pPr>
        <w:spacing w:line="360" w:lineRule="auto"/>
        <w:ind w:firstLine="709"/>
        <w:contextualSpacing/>
        <w:jc w:val="both"/>
        <w:rPr>
          <w:rFonts w:ascii="Times New Roman" w:hAnsi="Times New Roman" w:cs="Times New Roman"/>
          <w:b/>
          <w:sz w:val="28"/>
          <w:szCs w:val="28"/>
          <w:lang w:val="uk-UA"/>
        </w:rPr>
      </w:pPr>
    </w:p>
    <w:p w:rsidR="00BD0BF2" w:rsidRPr="004E3FE9" w:rsidRDefault="008A5F29" w:rsidP="00BD0BF2">
      <w:pPr>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Критерій Краск</w:t>
      </w:r>
      <w:r w:rsidR="00BD0BF2" w:rsidRPr="004E3FE9">
        <w:rPr>
          <w:rFonts w:ascii="Times New Roman" w:hAnsi="Times New Roman" w:cs="Times New Roman"/>
          <w:sz w:val="28"/>
          <w:szCs w:val="28"/>
          <w:lang w:val="uk-UA"/>
        </w:rPr>
        <w:t>ла-Уолліса (Н) для показників RI, PI та S/D після оклюзії у дітей з ГВ в період клініко-лабораторної ремісії має високе значення. Це  дає нам змогу стверджувати, що існують відмінності серед порівнюваних груп. При попарному порівнянні за допомогою критерію Манна-Уітні виявлені достовірні відмінності показників S/D після оклюзії серед дітей групи контролю та дітей з ІІІ ступенем активності ГВ. Також достовірно відрізнялись рівні PI та S/D після оклюзії дітей з І та ІІ ступенями активності та І та ІІІ ступенями активності патологічного процесу(табл. 4.21).</w:t>
      </w:r>
    </w:p>
    <w:p w:rsidR="00BD0BF2" w:rsidRPr="00A02BFF" w:rsidRDefault="00BD0BF2" w:rsidP="00BD0BF2">
      <w:pPr>
        <w:spacing w:line="360" w:lineRule="auto"/>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4.21</w:t>
      </w:r>
    </w:p>
    <w:p w:rsidR="00BD0BF2" w:rsidRPr="004E3FE9" w:rsidRDefault="00BD0BF2" w:rsidP="00BD0BF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Статистичні характеристики множинного порівняння показників RI, PI та S/D після оклюзії обстежених дітей, хворих на ГВ, в залежності від ступеня активності в період клініко-лабораторної ремісії.</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46"/>
        <w:gridCol w:w="1022"/>
        <w:gridCol w:w="2410"/>
        <w:gridCol w:w="2410"/>
        <w:gridCol w:w="2268"/>
      </w:tblGrid>
      <w:tr w:rsidR="00BD0BF2" w:rsidRPr="004E3FE9" w:rsidTr="00721EA2">
        <w:tc>
          <w:tcPr>
            <w:tcW w:w="2268" w:type="dxa"/>
            <w:gridSpan w:val="2"/>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Статистичні критерії порівняння </w:t>
            </w:r>
          </w:p>
        </w:tc>
        <w:tc>
          <w:tcPr>
            <w:tcW w:w="2410"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RI </w:t>
            </w:r>
          </w:p>
        </w:tc>
        <w:tc>
          <w:tcPr>
            <w:tcW w:w="2410"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PI</w:t>
            </w:r>
          </w:p>
        </w:tc>
        <w:tc>
          <w:tcPr>
            <w:tcW w:w="2268" w:type="dxa"/>
            <w:shd w:val="clear" w:color="auto" w:fill="auto"/>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S/D</w:t>
            </w:r>
          </w:p>
        </w:tc>
      </w:tr>
      <w:tr w:rsidR="00BD0BF2" w:rsidRPr="004E3FE9" w:rsidTr="00721EA2">
        <w:tc>
          <w:tcPr>
            <w:tcW w:w="1246" w:type="dxa"/>
            <w:vMerge w:val="restart"/>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KW</w:t>
            </w:r>
          </w:p>
        </w:tc>
        <w:tc>
          <w:tcPr>
            <w:tcW w:w="1022" w:type="dxa"/>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H</w:t>
            </w:r>
          </w:p>
        </w:tc>
        <w:tc>
          <w:tcPr>
            <w:tcW w:w="2410" w:type="dxa"/>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18,69</w:t>
            </w:r>
          </w:p>
        </w:tc>
        <w:tc>
          <w:tcPr>
            <w:tcW w:w="2410" w:type="dxa"/>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31,88</w:t>
            </w:r>
          </w:p>
        </w:tc>
        <w:tc>
          <w:tcPr>
            <w:tcW w:w="2268" w:type="dxa"/>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44,96</w:t>
            </w:r>
          </w:p>
        </w:tc>
      </w:tr>
      <w:tr w:rsidR="00BD0BF2" w:rsidRPr="004E3FE9" w:rsidTr="00721EA2">
        <w:tc>
          <w:tcPr>
            <w:tcW w:w="1246" w:type="dxa"/>
            <w:vMerge/>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1022" w:type="dxa"/>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w:t>
            </w:r>
          </w:p>
        </w:tc>
        <w:tc>
          <w:tcPr>
            <w:tcW w:w="2410" w:type="dxa"/>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0,0003*</w:t>
            </w:r>
          </w:p>
        </w:tc>
        <w:tc>
          <w:tcPr>
            <w:tcW w:w="2410" w:type="dxa"/>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0,0000*</w:t>
            </w:r>
          </w:p>
        </w:tc>
        <w:tc>
          <w:tcPr>
            <w:tcW w:w="2268" w:type="dxa"/>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0,0000*</w:t>
            </w:r>
          </w:p>
        </w:tc>
      </w:tr>
      <w:tr w:rsidR="00BD0BF2" w:rsidRPr="00810999" w:rsidTr="00721EA2">
        <w:trPr>
          <w:trHeight w:val="510"/>
        </w:trPr>
        <w:tc>
          <w:tcPr>
            <w:tcW w:w="1246" w:type="dxa"/>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MW</w:t>
            </w:r>
          </w:p>
        </w:tc>
        <w:tc>
          <w:tcPr>
            <w:tcW w:w="1022" w:type="dxa"/>
            <w:shd w:val="clear" w:color="auto" w:fill="auto"/>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p</w:t>
            </w:r>
          </w:p>
        </w:tc>
        <w:tc>
          <w:tcPr>
            <w:tcW w:w="2410"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=0,0451</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=0,7481</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=0,0798</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=0,0035</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=0,0002</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=0,0026</w:t>
            </w:r>
          </w:p>
        </w:tc>
        <w:tc>
          <w:tcPr>
            <w:tcW w:w="2410"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=0,1229</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=0,0198</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=0,5710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=0,7998</w:t>
            </w:r>
          </w:p>
        </w:tc>
        <w:tc>
          <w:tcPr>
            <w:tcW w:w="2268" w:type="dxa"/>
            <w:shd w:val="clear" w:color="auto" w:fill="auto"/>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=0,0002**</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=0,3259</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=0,0103</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=0,0001*</w:t>
            </w:r>
          </w:p>
        </w:tc>
      </w:tr>
    </w:tbl>
    <w:p w:rsidR="00BD0BF2" w:rsidRPr="004E3FE9" w:rsidRDefault="001056B7" w:rsidP="001056B7">
      <w:pPr>
        <w:spacing w:line="360" w:lineRule="auto"/>
        <w:ind w:right="142"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Примітки:</w:t>
      </w:r>
      <w:r w:rsidR="00BD0BF2" w:rsidRPr="004E3FE9">
        <w:rPr>
          <w:rFonts w:ascii="Times New Roman" w:hAnsi="Times New Roman" w:cs="Times New Roman"/>
          <w:sz w:val="28"/>
          <w:szCs w:val="28"/>
          <w:lang w:val="uk-UA"/>
        </w:rPr>
        <w:t xml:space="preserve"> * - р&lt;0,01- різниця вірогідна з показником дітей групи контролю; ** - р&lt;0,01 - різниця вірогідна між показниками дітей різних ступенів. І, ІІ, ІІІ – ступінь активності геморагічног</w:t>
      </w:r>
      <w:r>
        <w:rPr>
          <w:rFonts w:ascii="Times New Roman" w:hAnsi="Times New Roman" w:cs="Times New Roman"/>
          <w:sz w:val="28"/>
          <w:szCs w:val="28"/>
          <w:lang w:val="uk-UA"/>
        </w:rPr>
        <w:t>о васкуліту, к – група контролю</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При проведенні кореляційного аналізу між ступенем активності ГВ та окремими інструментальними показниками ендотеліальної дисфункції (КІМ </w:t>
      </w:r>
      <w:r w:rsidRPr="004E3FE9">
        <w:rPr>
          <w:rFonts w:ascii="Times New Roman" w:hAnsi="Times New Roman" w:cs="Times New Roman"/>
          <w:sz w:val="28"/>
          <w:szCs w:val="28"/>
          <w:lang w:val="uk-UA"/>
        </w:rPr>
        <w:lastRenderedPageBreak/>
        <w:t>ЗСА, d ПА до оклюзії, 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отримані наступні результати: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+0,29,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-0,63 відповідно при р&lt;0,05.</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Виявлені нами кореляційні зв’язки між загальноприйнятими лабораторними ознаками активності запального процесу та окремими інструментальними показниками ендотеліальної функції серед обстежених дітей, хворих на ГВ з різним ступенем активності, представленими в табл. 4.22, свідчать про розвиток та маніфестацію запального процесу на ендотелії та безпосередній вплив на розвиток його дисфункції при ГВ у дітей, особливо при максимальній активності патологічного процесу.</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4.22</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Кореляційні зв’язки між загальноприйнятими лабораторними ознаками активності запального процесу та окремими інструментальними показниками ендотеліальної дисфункції у обстежених дітей з різним ступенем</w:t>
      </w:r>
      <w:r w:rsidR="008A5F29">
        <w:rPr>
          <w:rFonts w:ascii="Times New Roman" w:hAnsi="Times New Roman" w:cs="Times New Roman"/>
          <w:b/>
          <w:sz w:val="28"/>
          <w:szCs w:val="28"/>
          <w:lang w:val="uk-UA"/>
        </w:rPr>
        <w:t xml:space="preserve"> активності ГВ в гострий період</w:t>
      </w:r>
    </w:p>
    <w:tbl>
      <w:tblPr>
        <w:tblStyle w:val="a8"/>
        <w:tblW w:w="0" w:type="auto"/>
        <w:tblInd w:w="108" w:type="dxa"/>
        <w:tblLook w:val="04A0"/>
      </w:tblPr>
      <w:tblGrid>
        <w:gridCol w:w="3402"/>
        <w:gridCol w:w="1488"/>
        <w:gridCol w:w="1489"/>
        <w:gridCol w:w="1488"/>
        <w:gridCol w:w="1489"/>
      </w:tblGrid>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Показники</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КІМ ЗСА, мм</w:t>
            </w:r>
          </w:p>
        </w:tc>
        <w:tc>
          <w:tcPr>
            <w:tcW w:w="148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d ПА до оклюзії, мм</w:t>
            </w:r>
          </w:p>
        </w:tc>
        <w:tc>
          <w:tcPr>
            <w:tcW w:w="14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w:t>
            </w:r>
          </w:p>
        </w:tc>
        <w:tc>
          <w:tcPr>
            <w:tcW w:w="148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w:t>
            </w:r>
          </w:p>
        </w:tc>
        <w:tc>
          <w:tcPr>
            <w:tcW w:w="148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w:t>
            </w:r>
          </w:p>
        </w:tc>
        <w:tc>
          <w:tcPr>
            <w:tcW w:w="148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w:t>
            </w:r>
          </w:p>
        </w:tc>
        <w:tc>
          <w:tcPr>
            <w:tcW w:w="148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w:t>
            </w:r>
          </w:p>
        </w:tc>
      </w:tr>
      <w:tr w:rsidR="00BD0BF2" w:rsidRPr="004E3FE9" w:rsidTr="00721EA2">
        <w:tc>
          <w:tcPr>
            <w:tcW w:w="9356"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ступінь n=19</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Лейкоцити,10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-0,22</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+0,02</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-0,23</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-0,09</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ШОЕ, мм/г</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-0,16</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+0,43</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-0,33</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-0,49*</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Серомукоїд, од.опт.щ.</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-0,24</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+0,52*</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-0,15</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-0,38</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Глікопротеїди, од.опт.щ.</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-0,27</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+0,08</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-0,29</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-0,36</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γ-глобуліни, %</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-0,48*</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-0,06</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+0,44</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+0,21</w:t>
            </w:r>
          </w:p>
        </w:tc>
      </w:tr>
      <w:tr w:rsidR="00BD0BF2" w:rsidRPr="004E3FE9" w:rsidTr="00721EA2">
        <w:tc>
          <w:tcPr>
            <w:tcW w:w="9356" w:type="dxa"/>
            <w:gridSpan w:val="5"/>
            <w:vAlign w:val="center"/>
          </w:tcPr>
          <w:p w:rsidR="00BD0BF2" w:rsidRPr="004E3FE9" w:rsidRDefault="00BD0BF2" w:rsidP="00721EA2">
            <w:pPr>
              <w:spacing w:line="360" w:lineRule="auto"/>
              <w:contextualSpacing/>
              <w:jc w:val="center"/>
              <w:rPr>
                <w:rFonts w:ascii="Times New Roman" w:hAnsi="Times New Roman" w:cs="Times New Roman"/>
                <w:color w:val="000000"/>
                <w:sz w:val="28"/>
                <w:szCs w:val="28"/>
                <w:lang w:val="uk-UA"/>
              </w:rPr>
            </w:pPr>
            <w:r w:rsidRPr="004E3FE9">
              <w:rPr>
                <w:rFonts w:ascii="Times New Roman" w:hAnsi="Times New Roman" w:cs="Times New Roman"/>
                <w:sz w:val="28"/>
                <w:szCs w:val="28"/>
                <w:lang w:val="uk-UA"/>
              </w:rPr>
              <w:t>ІІ ступінь n=22</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Лейкоцити,10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+0,14</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+0,25</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-0,52*</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-0,55*</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ШОЕ, мм/г</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-0,35</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-0,39</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+0,14</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+0,20</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Серомукоїд, од.опт.щ.</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-0,13</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-0,21</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-0,04</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+0,01</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Глікопротеїди, од.опт.щ.</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-0,29</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-0,16</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+0,19</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+0,11</w:t>
            </w:r>
          </w:p>
        </w:tc>
      </w:tr>
    </w:tbl>
    <w:p w:rsidR="00BD0BF2" w:rsidRPr="004E3FE9" w:rsidRDefault="00BD0BF2" w:rsidP="00BD0BF2">
      <w:pPr>
        <w:rPr>
          <w:lang w:val="uk-UA"/>
        </w:rPr>
      </w:pPr>
    </w:p>
    <w:p w:rsidR="00BD0BF2" w:rsidRPr="00A02BFF" w:rsidRDefault="00BD0BF2" w:rsidP="00A02BFF">
      <w:pPr>
        <w:spacing w:after="0"/>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lastRenderedPageBreak/>
        <w:t>Продовження таблиці 4.22</w:t>
      </w:r>
    </w:p>
    <w:tbl>
      <w:tblPr>
        <w:tblStyle w:val="a8"/>
        <w:tblW w:w="0" w:type="auto"/>
        <w:tblInd w:w="108" w:type="dxa"/>
        <w:tblLook w:val="04A0"/>
      </w:tblPr>
      <w:tblGrid>
        <w:gridCol w:w="3402"/>
        <w:gridCol w:w="1488"/>
        <w:gridCol w:w="1489"/>
        <w:gridCol w:w="1488"/>
        <w:gridCol w:w="1489"/>
      </w:tblGrid>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color w:val="000000"/>
                <w:sz w:val="28"/>
                <w:szCs w:val="28"/>
                <w:lang w:val="uk-UA"/>
              </w:rPr>
            </w:pPr>
            <w:r w:rsidRPr="004E3FE9">
              <w:rPr>
                <w:rFonts w:ascii="Times New Roman" w:hAnsi="Times New Roman" w:cs="Times New Roman"/>
                <w:color w:val="000000"/>
                <w:sz w:val="28"/>
                <w:szCs w:val="28"/>
                <w:lang w:val="uk-UA"/>
              </w:rPr>
              <w:t>2</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color w:val="000000"/>
                <w:sz w:val="28"/>
                <w:szCs w:val="28"/>
                <w:lang w:val="uk-UA"/>
              </w:rPr>
            </w:pPr>
            <w:r w:rsidRPr="004E3FE9">
              <w:rPr>
                <w:rFonts w:ascii="Times New Roman" w:hAnsi="Times New Roman" w:cs="Times New Roman"/>
                <w:color w:val="000000"/>
                <w:sz w:val="28"/>
                <w:szCs w:val="28"/>
                <w:lang w:val="uk-UA"/>
              </w:rPr>
              <w:t>3</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color w:val="000000"/>
                <w:sz w:val="28"/>
                <w:szCs w:val="28"/>
                <w:lang w:val="uk-UA"/>
              </w:rPr>
            </w:pPr>
            <w:r w:rsidRPr="004E3FE9">
              <w:rPr>
                <w:rFonts w:ascii="Times New Roman" w:hAnsi="Times New Roman" w:cs="Times New Roman"/>
                <w:color w:val="000000"/>
                <w:sz w:val="28"/>
                <w:szCs w:val="28"/>
                <w:lang w:val="uk-UA"/>
              </w:rPr>
              <w:t>4</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color w:val="000000"/>
                <w:sz w:val="28"/>
                <w:szCs w:val="28"/>
                <w:lang w:val="uk-UA"/>
              </w:rPr>
            </w:pPr>
            <w:r w:rsidRPr="004E3FE9">
              <w:rPr>
                <w:rFonts w:ascii="Times New Roman" w:hAnsi="Times New Roman" w:cs="Times New Roman"/>
                <w:color w:val="000000"/>
                <w:sz w:val="28"/>
                <w:szCs w:val="28"/>
                <w:lang w:val="uk-UA"/>
              </w:rPr>
              <w:t>5</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γ-глобуліни, %</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-0,19</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-0,14</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-0,38</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-0,37</w:t>
            </w:r>
          </w:p>
        </w:tc>
      </w:tr>
      <w:tr w:rsidR="00BD0BF2" w:rsidRPr="004E3FE9" w:rsidTr="00721EA2">
        <w:tc>
          <w:tcPr>
            <w:tcW w:w="9356" w:type="dxa"/>
            <w:gridSpan w:val="5"/>
            <w:vAlign w:val="center"/>
          </w:tcPr>
          <w:p w:rsidR="00BD0BF2" w:rsidRPr="004E3FE9" w:rsidRDefault="00BD0BF2" w:rsidP="00721EA2">
            <w:pPr>
              <w:spacing w:line="360" w:lineRule="auto"/>
              <w:contextualSpacing/>
              <w:jc w:val="center"/>
              <w:rPr>
                <w:rFonts w:ascii="Times New Roman" w:hAnsi="Times New Roman" w:cs="Times New Roman"/>
                <w:color w:val="000000"/>
                <w:sz w:val="28"/>
                <w:szCs w:val="28"/>
                <w:lang w:val="uk-UA"/>
              </w:rPr>
            </w:pPr>
            <w:r w:rsidRPr="004E3FE9">
              <w:rPr>
                <w:rFonts w:ascii="Times New Roman" w:hAnsi="Times New Roman" w:cs="Times New Roman"/>
                <w:sz w:val="28"/>
                <w:szCs w:val="28"/>
                <w:lang w:val="uk-UA"/>
              </w:rPr>
              <w:t>ІІІ ступінь n=19</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Лейкоцити,10</w:t>
            </w:r>
            <w:r w:rsidRPr="004E3FE9">
              <w:rPr>
                <w:rFonts w:ascii="Times New Roman" w:hAnsi="Times New Roman" w:cs="Times New Roman"/>
                <w:sz w:val="28"/>
                <w:szCs w:val="28"/>
                <w:vertAlign w:val="superscript"/>
                <w:lang w:val="uk-UA"/>
              </w:rPr>
              <w:t>9</w:t>
            </w:r>
            <w:r w:rsidRPr="004E3FE9">
              <w:rPr>
                <w:rFonts w:ascii="Times New Roman" w:hAnsi="Times New Roman" w:cs="Times New Roman"/>
                <w:sz w:val="28"/>
                <w:szCs w:val="28"/>
                <w:lang w:val="uk-UA"/>
              </w:rPr>
              <w:t>/л</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+0,33</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+0,17</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-0,45*</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-0,36</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ШОЕ, мм/г</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+0,53*</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+0,34</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-0,71*</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-0,75*</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Серомукоїд, од.опт.щ.</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+0,64*</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+0,11</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-0,23</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-0,29</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Глікопротеїди, од.опт.щ.</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+0,57*</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+0,01</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-0,00</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-0,09</w:t>
            </w:r>
          </w:p>
        </w:tc>
      </w:tr>
      <w:tr w:rsidR="00BD0BF2" w:rsidRPr="004E3FE9" w:rsidTr="00721EA2">
        <w:tc>
          <w:tcPr>
            <w:tcW w:w="340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γ-глобуліни, %</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+0,66*</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+0,07</w:t>
            </w:r>
          </w:p>
        </w:tc>
        <w:tc>
          <w:tcPr>
            <w:tcW w:w="148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-0,32</w:t>
            </w:r>
          </w:p>
        </w:tc>
        <w:tc>
          <w:tcPr>
            <w:tcW w:w="14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-0,35</w:t>
            </w:r>
          </w:p>
        </w:tc>
      </w:tr>
    </w:tbl>
    <w:p w:rsidR="00BD0BF2" w:rsidRPr="004E3FE9" w:rsidRDefault="008A5F29" w:rsidP="00BD0BF2">
      <w:pPr>
        <w:spacing w:line="360" w:lineRule="auto"/>
        <w:ind w:right="142" w:firstLine="709"/>
        <w:contextualSpacing/>
        <w:jc w:val="both"/>
        <w:rPr>
          <w:rFonts w:ascii="Times New Roman" w:hAnsi="Times New Roman" w:cs="Times New Roman"/>
          <w:noProof/>
          <w:sz w:val="28"/>
          <w:szCs w:val="28"/>
          <w:lang w:val="uk-UA" w:eastAsia="ru-RU"/>
        </w:rPr>
      </w:pPr>
      <w:r>
        <w:rPr>
          <w:rFonts w:ascii="Times New Roman" w:hAnsi="Times New Roman" w:cs="Times New Roman"/>
          <w:sz w:val="28"/>
          <w:szCs w:val="28"/>
          <w:lang w:val="uk-UA"/>
        </w:rPr>
        <w:t>Примітка. * - p&lt;0,05</w:t>
      </w:r>
      <w:r w:rsidR="00BD0BF2" w:rsidRPr="004E3FE9">
        <w:rPr>
          <w:rFonts w:ascii="Times New Roman" w:hAnsi="Times New Roman" w:cs="Times New Roman"/>
          <w:sz w:val="28"/>
          <w:szCs w:val="28"/>
          <w:lang w:val="uk-UA"/>
        </w:rPr>
        <w:t xml:space="preserve"> – різниця вірогідна відносно означених показників активності запального процесу</w:t>
      </w:r>
      <w:r w:rsidR="001056B7">
        <w:rPr>
          <w:rFonts w:ascii="Times New Roman" w:hAnsi="Times New Roman" w:cs="Times New Roman"/>
          <w:sz w:val="28"/>
          <w:szCs w:val="28"/>
          <w:lang w:val="uk-UA"/>
        </w:rPr>
        <w:t>.</w:t>
      </w:r>
      <w:r w:rsidR="00BD0BF2" w:rsidRPr="004E3FE9">
        <w:rPr>
          <w:rFonts w:ascii="Times New Roman" w:hAnsi="Times New Roman" w:cs="Times New Roman"/>
          <w:noProof/>
          <w:sz w:val="28"/>
          <w:szCs w:val="28"/>
          <w:lang w:val="uk-UA" w:eastAsia="ru-RU"/>
        </w:rPr>
        <w:t xml:space="preserve"> </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Треба відмітити, що процес запалення та порушення функції ендотелію розгортались при участі специфічних та неспецифічних факторів захисту, що підтверджують виявлені достовірні кореляційні зв’язки між окремими показниками імунологічної і фагоцитарної активності та окремими інструментальними показниками ендотеліальної дисфункції у обстежених дітей з ГВ з різним ступенем активності. Так, у дітей з мінімальною активністю виявлені зворотні кореляційні зв’язки значень КІМ ЗСА та NST-тесту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-0,47, n=19) та показників d ПА до оклюзії і фагоцитуючих нейтрофілів, NST-тесту, Ig A, Ig M, Ig G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-0,52, </w:t>
      </w:r>
      <w:r w:rsidR="008A5F2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-0,56,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-0,47, n=19, відповідно), показників 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xml:space="preserve"> та абсолютної кількості CD22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n=19). У дітей з ІІ ступенем активності виявили наявність прямих кореляційних зв'язків показників КІМ ЗСА та ІАН, Ig A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+0,46, n=22, відповідно), що свідчить про причетність цих імунологічних показників до структурних та функціональних порушень ендотелію судин. Також показово, що підчас проведення кореляційного аналізу між субпопуляціями Т-лімфоцитів та показниками ЕЗВД плечової артерії виявлені багаточисленні достовірні прямі (CD8, CD22, CD16) кореляційні зв’язки. Серед дітей з максимальним ступенем активності зафіксовані наступні коефіцієнти кореляції: рівнів КІМ </w:t>
      </w:r>
      <w:r w:rsidRPr="004E3FE9">
        <w:rPr>
          <w:rFonts w:ascii="Times New Roman" w:hAnsi="Times New Roman" w:cs="Times New Roman"/>
          <w:sz w:val="28"/>
          <w:szCs w:val="28"/>
          <w:lang w:val="uk-UA"/>
        </w:rPr>
        <w:lastRenderedPageBreak/>
        <w:t xml:space="preserve">ЗСА та абсолютної кількості CD22, фагоцитуючих нейтрофілів, Ig М </w:t>
      </w:r>
      <w:r w:rsidR="008A5F29">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+0,49,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+0,49, n=19, відповідно).</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4.23</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 xml:space="preserve">Кореляційні зв’язки показників метаболітів оксиду азоту та </w:t>
      </w:r>
      <w:r w:rsidR="009A67C0" w:rsidRPr="004E3FE9">
        <w:rPr>
          <w:rFonts w:ascii="Times New Roman" w:hAnsi="Times New Roman" w:cs="Times New Roman"/>
          <w:b/>
          <w:sz w:val="28"/>
          <w:szCs w:val="28"/>
          <w:lang w:val="uk-UA"/>
        </w:rPr>
        <w:t>ФВ</w:t>
      </w:r>
      <w:r w:rsidRPr="004E3FE9">
        <w:rPr>
          <w:rFonts w:ascii="Times New Roman" w:hAnsi="Times New Roman" w:cs="Times New Roman"/>
          <w:b/>
          <w:sz w:val="28"/>
          <w:szCs w:val="28"/>
          <w:lang w:val="uk-UA"/>
        </w:rPr>
        <w:t xml:space="preserve"> та окремих інструментальних показників ендотеліальної дисфункції у обстежених дітей з </w:t>
      </w:r>
      <w:r w:rsidR="008A5F29">
        <w:rPr>
          <w:rFonts w:ascii="Times New Roman" w:hAnsi="Times New Roman" w:cs="Times New Roman"/>
          <w:b/>
          <w:sz w:val="28"/>
          <w:szCs w:val="28"/>
          <w:lang w:val="uk-UA"/>
        </w:rPr>
        <w:t>ГВ з різним ступенем активності</w:t>
      </w:r>
    </w:p>
    <w:tbl>
      <w:tblPr>
        <w:tblStyle w:val="a8"/>
        <w:tblW w:w="0" w:type="auto"/>
        <w:jc w:val="center"/>
        <w:tblLook w:val="04A0"/>
      </w:tblPr>
      <w:tblGrid>
        <w:gridCol w:w="3227"/>
        <w:gridCol w:w="1586"/>
        <w:gridCol w:w="1586"/>
        <w:gridCol w:w="1586"/>
        <w:gridCol w:w="1586"/>
      </w:tblGrid>
      <w:tr w:rsidR="00BD0BF2" w:rsidRPr="004E3FE9" w:rsidTr="00721EA2">
        <w:trPr>
          <w:jc w:val="center"/>
        </w:trPr>
        <w:tc>
          <w:tcPr>
            <w:tcW w:w="3227" w:type="dxa"/>
            <w:vAlign w:val="center"/>
          </w:tcPr>
          <w:p w:rsidR="00BD0BF2" w:rsidRPr="004E3FE9" w:rsidRDefault="00BD0BF2" w:rsidP="00721EA2">
            <w:pPr>
              <w:spacing w:line="360" w:lineRule="auto"/>
              <w:ind w:right="142"/>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Показники</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КІМ ЗСА, мм</w:t>
            </w:r>
          </w:p>
        </w:tc>
        <w:tc>
          <w:tcPr>
            <w:tcW w:w="158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d ПА до оклюзії, мм</w:t>
            </w:r>
          </w:p>
        </w:tc>
        <w:tc>
          <w:tcPr>
            <w:tcW w:w="158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w:t>
            </w:r>
          </w:p>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158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w:t>
            </w:r>
          </w:p>
          <w:p w:rsidR="00BD0BF2" w:rsidRPr="004E3FE9" w:rsidRDefault="00BD0BF2" w:rsidP="00721EA2">
            <w:pPr>
              <w:spacing w:line="360" w:lineRule="auto"/>
              <w:contextualSpacing/>
              <w:jc w:val="center"/>
              <w:rPr>
                <w:rFonts w:ascii="Times New Roman" w:hAnsi="Times New Roman" w:cs="Times New Roman"/>
                <w:sz w:val="28"/>
                <w:szCs w:val="28"/>
                <w:lang w:val="uk-UA"/>
              </w:rPr>
            </w:pPr>
          </w:p>
        </w:tc>
      </w:tr>
      <w:tr w:rsidR="00BD0BF2" w:rsidRPr="004E3FE9" w:rsidTr="00721EA2">
        <w:trPr>
          <w:jc w:val="center"/>
        </w:trPr>
        <w:tc>
          <w:tcPr>
            <w:tcW w:w="9571"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ступінь n=19</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мкмоль/л</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+0,17</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color w:val="000000"/>
                <w:sz w:val="28"/>
                <w:szCs w:val="28"/>
                <w:lang w:val="uk-UA"/>
              </w:rPr>
              <w:t>+</w:t>
            </w:r>
            <w:r w:rsidRPr="004E3FE9">
              <w:rPr>
                <w:rFonts w:ascii="Times New Roman" w:hAnsi="Times New Roman" w:cs="Times New Roman"/>
                <w:b/>
                <w:color w:val="000000"/>
                <w:sz w:val="28"/>
                <w:szCs w:val="28"/>
                <w:lang w:val="uk-UA"/>
              </w:rPr>
              <w:t>0,46*</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-0,20</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color w:val="000000"/>
                <w:sz w:val="28"/>
                <w:szCs w:val="28"/>
                <w:lang w:val="uk-UA"/>
              </w:rPr>
              <w:t>-0,48*</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мкмоль/л</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+0,15</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+0,31</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-0,20</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-0,37</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 ммоль/л</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-0,08</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+0,25</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-0,23</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-0,24</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 %</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+0,25</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+0,34</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color w:val="000000"/>
                <w:sz w:val="28"/>
                <w:szCs w:val="28"/>
                <w:lang w:val="uk-UA"/>
              </w:rPr>
              <w:t>-0,59*</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color w:val="000000"/>
                <w:sz w:val="28"/>
                <w:szCs w:val="28"/>
                <w:lang w:val="uk-UA"/>
              </w:rPr>
              <w:t>-0,56*</w:t>
            </w:r>
          </w:p>
        </w:tc>
      </w:tr>
      <w:tr w:rsidR="00BD0BF2" w:rsidRPr="004E3FE9" w:rsidTr="00721EA2">
        <w:trPr>
          <w:jc w:val="center"/>
        </w:trPr>
        <w:tc>
          <w:tcPr>
            <w:tcW w:w="9571" w:type="dxa"/>
            <w:gridSpan w:val="5"/>
            <w:vAlign w:val="center"/>
          </w:tcPr>
          <w:p w:rsidR="00BD0BF2" w:rsidRPr="004E3FE9" w:rsidRDefault="00BD0BF2" w:rsidP="00721EA2">
            <w:pPr>
              <w:spacing w:line="360" w:lineRule="auto"/>
              <w:contextualSpacing/>
              <w:jc w:val="center"/>
              <w:rPr>
                <w:rFonts w:ascii="Times New Roman" w:hAnsi="Times New Roman" w:cs="Times New Roman"/>
                <w:color w:val="000000"/>
                <w:sz w:val="28"/>
                <w:szCs w:val="28"/>
                <w:lang w:val="uk-UA"/>
              </w:rPr>
            </w:pPr>
            <w:r w:rsidRPr="004E3FE9">
              <w:rPr>
                <w:rFonts w:ascii="Times New Roman" w:hAnsi="Times New Roman" w:cs="Times New Roman"/>
                <w:sz w:val="28"/>
                <w:szCs w:val="28"/>
                <w:lang w:val="uk-UA"/>
              </w:rPr>
              <w:t>ІІ ступінь n=22</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мкмоль/л</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-0,19</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+0,28</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+0,09</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+0,04</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мкмоль/л</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+0,21</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+0,29</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color w:val="000000"/>
                <w:sz w:val="28"/>
                <w:szCs w:val="28"/>
                <w:lang w:val="uk-UA"/>
              </w:rPr>
              <w:t>-0,55*</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color w:val="000000"/>
                <w:sz w:val="28"/>
                <w:szCs w:val="28"/>
                <w:lang w:val="uk-UA"/>
              </w:rPr>
              <w:t>-0,50*</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 ммоль/л</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+0,06</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-0,05</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-0,36</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-0,31</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 %</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-0,01</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+0,10</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color w:val="000000"/>
                <w:sz w:val="28"/>
                <w:szCs w:val="28"/>
                <w:lang w:val="uk-UA"/>
              </w:rPr>
              <w:t>-0,48*</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color w:val="000000"/>
                <w:sz w:val="28"/>
                <w:szCs w:val="28"/>
                <w:lang w:val="uk-UA"/>
              </w:rPr>
              <w:t>-0,51*</w:t>
            </w:r>
          </w:p>
        </w:tc>
      </w:tr>
      <w:tr w:rsidR="00BD0BF2" w:rsidRPr="004E3FE9" w:rsidTr="00721EA2">
        <w:trPr>
          <w:jc w:val="center"/>
        </w:trPr>
        <w:tc>
          <w:tcPr>
            <w:tcW w:w="9571" w:type="dxa"/>
            <w:gridSpan w:val="5"/>
            <w:vAlign w:val="center"/>
          </w:tcPr>
          <w:p w:rsidR="00BD0BF2" w:rsidRPr="004E3FE9" w:rsidRDefault="00BD0BF2" w:rsidP="00721EA2">
            <w:pPr>
              <w:spacing w:line="360" w:lineRule="auto"/>
              <w:contextualSpacing/>
              <w:jc w:val="center"/>
              <w:rPr>
                <w:rFonts w:ascii="Times New Roman" w:hAnsi="Times New Roman" w:cs="Times New Roman"/>
                <w:color w:val="000000"/>
                <w:sz w:val="28"/>
                <w:szCs w:val="28"/>
                <w:lang w:val="uk-UA"/>
              </w:rPr>
            </w:pPr>
            <w:r w:rsidRPr="004E3FE9">
              <w:rPr>
                <w:rFonts w:ascii="Times New Roman" w:hAnsi="Times New Roman" w:cs="Times New Roman"/>
                <w:sz w:val="28"/>
                <w:szCs w:val="28"/>
                <w:lang w:val="uk-UA"/>
              </w:rPr>
              <w:t>ІІІ ступінь n=19</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мкмоль/л</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-0,42</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-0,04</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color w:val="000000"/>
                <w:sz w:val="28"/>
                <w:szCs w:val="28"/>
                <w:lang w:val="uk-UA"/>
              </w:rPr>
              <w:t>+</w:t>
            </w:r>
            <w:r w:rsidRPr="004E3FE9">
              <w:rPr>
                <w:rFonts w:ascii="Times New Roman" w:hAnsi="Times New Roman" w:cs="Times New Roman"/>
                <w:b/>
                <w:color w:val="000000"/>
                <w:sz w:val="28"/>
                <w:szCs w:val="28"/>
                <w:lang w:val="uk-UA"/>
              </w:rPr>
              <w:t>0,66*</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color w:val="000000"/>
                <w:sz w:val="28"/>
                <w:szCs w:val="28"/>
                <w:lang w:val="uk-UA"/>
              </w:rPr>
              <w:t>+</w:t>
            </w:r>
            <w:r w:rsidRPr="004E3FE9">
              <w:rPr>
                <w:rFonts w:ascii="Times New Roman" w:hAnsi="Times New Roman" w:cs="Times New Roman"/>
                <w:b/>
                <w:color w:val="000000"/>
                <w:sz w:val="28"/>
                <w:szCs w:val="28"/>
                <w:lang w:val="uk-UA"/>
              </w:rPr>
              <w:t>0,62*</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мкмоль/л</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color w:val="000000"/>
                <w:sz w:val="28"/>
                <w:szCs w:val="28"/>
                <w:lang w:val="uk-UA"/>
              </w:rPr>
              <w:t>-0,49*</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-0,19</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color w:val="000000"/>
                <w:sz w:val="28"/>
                <w:szCs w:val="28"/>
                <w:lang w:val="uk-UA"/>
              </w:rPr>
              <w:t>+</w:t>
            </w:r>
            <w:r w:rsidRPr="004E3FE9">
              <w:rPr>
                <w:rFonts w:ascii="Times New Roman" w:hAnsi="Times New Roman" w:cs="Times New Roman"/>
                <w:b/>
                <w:color w:val="000000"/>
                <w:sz w:val="28"/>
                <w:szCs w:val="28"/>
                <w:lang w:val="uk-UA"/>
              </w:rPr>
              <w:t>0,52*</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+0,44</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 ммоль/л</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color w:val="000000"/>
                <w:sz w:val="28"/>
                <w:szCs w:val="28"/>
                <w:lang w:val="uk-UA"/>
              </w:rPr>
              <w:t>-0,57*</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-0,28</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color w:val="000000"/>
                <w:sz w:val="28"/>
                <w:szCs w:val="28"/>
                <w:lang w:val="uk-UA"/>
              </w:rPr>
              <w:t>+</w:t>
            </w:r>
            <w:r w:rsidRPr="004E3FE9">
              <w:rPr>
                <w:rFonts w:ascii="Times New Roman" w:hAnsi="Times New Roman" w:cs="Times New Roman"/>
                <w:b/>
                <w:color w:val="000000"/>
                <w:sz w:val="28"/>
                <w:szCs w:val="28"/>
                <w:lang w:val="uk-UA"/>
              </w:rPr>
              <w:t>0,69*</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color w:val="000000"/>
                <w:sz w:val="28"/>
                <w:szCs w:val="28"/>
                <w:lang w:val="uk-UA"/>
              </w:rPr>
              <w:t>+</w:t>
            </w:r>
            <w:r w:rsidRPr="004E3FE9">
              <w:rPr>
                <w:rFonts w:ascii="Times New Roman" w:hAnsi="Times New Roman" w:cs="Times New Roman"/>
                <w:b/>
                <w:color w:val="000000"/>
                <w:sz w:val="28"/>
                <w:szCs w:val="28"/>
                <w:lang w:val="uk-UA"/>
              </w:rPr>
              <w:t>0,57*</w:t>
            </w:r>
          </w:p>
        </w:tc>
      </w:tr>
      <w:tr w:rsidR="00BD0BF2" w:rsidRPr="004E3FE9" w:rsidTr="00721EA2">
        <w:trPr>
          <w:jc w:val="center"/>
        </w:trPr>
        <w:tc>
          <w:tcPr>
            <w:tcW w:w="3227"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 %</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color w:val="000000"/>
                <w:sz w:val="28"/>
                <w:szCs w:val="28"/>
                <w:lang w:val="uk-UA"/>
              </w:rPr>
              <w:t>+</w:t>
            </w:r>
            <w:r w:rsidRPr="004E3FE9">
              <w:rPr>
                <w:rFonts w:ascii="Times New Roman" w:hAnsi="Times New Roman" w:cs="Times New Roman"/>
                <w:b/>
                <w:color w:val="000000"/>
                <w:sz w:val="28"/>
                <w:szCs w:val="28"/>
                <w:lang w:val="uk-UA"/>
              </w:rPr>
              <w:t>0,47*</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+0,41</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color w:val="000000"/>
                <w:sz w:val="28"/>
                <w:szCs w:val="28"/>
                <w:lang w:val="uk-UA"/>
              </w:rPr>
              <w:t>-0,55*</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color w:val="000000"/>
                <w:sz w:val="28"/>
                <w:szCs w:val="28"/>
                <w:lang w:val="uk-UA"/>
              </w:rPr>
              <w:t>-0,51*</w:t>
            </w:r>
          </w:p>
        </w:tc>
      </w:tr>
    </w:tbl>
    <w:p w:rsidR="00BD0BF2" w:rsidRPr="004E3FE9" w:rsidRDefault="001056B7" w:rsidP="00BD0BF2">
      <w:pPr>
        <w:spacing w:line="360" w:lineRule="auto"/>
        <w:ind w:right="142"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w:t>
      </w:r>
      <w:r w:rsidR="008A5F29">
        <w:rPr>
          <w:rFonts w:ascii="Times New Roman" w:hAnsi="Times New Roman" w:cs="Times New Roman"/>
          <w:sz w:val="28"/>
          <w:szCs w:val="28"/>
          <w:lang w:val="uk-UA"/>
        </w:rPr>
        <w:t xml:space="preserve"> * - p&lt;0,05</w:t>
      </w:r>
      <w:r w:rsidR="00BD0BF2" w:rsidRPr="004E3FE9">
        <w:rPr>
          <w:rFonts w:ascii="Times New Roman" w:hAnsi="Times New Roman" w:cs="Times New Roman"/>
          <w:sz w:val="28"/>
          <w:szCs w:val="28"/>
          <w:lang w:val="uk-UA"/>
        </w:rPr>
        <w:t xml:space="preserve"> – різниця вірогідна відносно означених показників ендотеліальної</w:t>
      </w:r>
      <w:r w:rsidR="00BD0BF2" w:rsidRPr="004E3FE9">
        <w:rPr>
          <w:rFonts w:ascii="Times New Roman" w:hAnsi="Times New Roman" w:cs="Times New Roman"/>
          <w:noProof/>
          <w:sz w:val="28"/>
          <w:szCs w:val="28"/>
          <w:lang w:val="uk-UA" w:eastAsia="ru-RU"/>
        </w:rPr>
        <w:t xml:space="preserve"> дисфункції</w:t>
      </w:r>
      <w:r>
        <w:rPr>
          <w:rFonts w:ascii="Times New Roman" w:hAnsi="Times New Roman" w:cs="Times New Roman"/>
          <w:sz w:val="28"/>
          <w:szCs w:val="28"/>
          <w:lang w:val="uk-UA"/>
        </w:rPr>
        <w:t>.</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Наявні кореляційні зв’язки, наведені в табл. 4.23, між окремими інструментальними показниками ендотеліальної функції у обстежених дітей з ГВ з різним ступенем активності та біохімічними маркерами </w:t>
      </w:r>
      <w:r w:rsidRPr="004E3FE9">
        <w:rPr>
          <w:rFonts w:ascii="Times New Roman" w:hAnsi="Times New Roman" w:cs="Times New Roman"/>
          <w:sz w:val="28"/>
          <w:szCs w:val="28"/>
          <w:lang w:val="uk-UA"/>
        </w:rPr>
        <w:lastRenderedPageBreak/>
        <w:t xml:space="preserve">ендотеліальної дисфункції, які найбільш яскраво проявляються у дітей з максимальним ступенем активності, свідчать про </w:t>
      </w:r>
      <w:r w:rsidR="00E9561A" w:rsidRPr="004E3FE9">
        <w:rPr>
          <w:rFonts w:ascii="Times New Roman" w:hAnsi="Times New Roman" w:cs="Times New Roman"/>
          <w:sz w:val="28"/>
          <w:szCs w:val="28"/>
          <w:lang w:val="uk-UA"/>
        </w:rPr>
        <w:t>безпосередню</w:t>
      </w:r>
      <w:r w:rsidRPr="004E3FE9">
        <w:rPr>
          <w:rFonts w:ascii="Times New Roman" w:hAnsi="Times New Roman" w:cs="Times New Roman"/>
          <w:sz w:val="28"/>
          <w:szCs w:val="28"/>
          <w:lang w:val="uk-UA"/>
        </w:rPr>
        <w:t xml:space="preserve"> участь метаболітів оксиду азоту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 xml:space="preserve">NO3, S-нітрозотіола) та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в потенціюванні запального процесу судинної стінки і, як слідство, ремоделювання судинного русла.</w:t>
      </w:r>
    </w:p>
    <w:p w:rsidR="00BD0BF2" w:rsidRPr="004E3FE9" w:rsidRDefault="00BD0BF2" w:rsidP="00A02BFF">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Аналіз показників КІМ ЗСА та ЕЗВД плечової артерії в період клініко-лабораторної ремісії на фоні проведеної терапії виконували методом оцінки статистичної значущості між двома залежними групами, результати я</w:t>
      </w:r>
      <w:r w:rsidR="00A02BFF">
        <w:rPr>
          <w:rFonts w:ascii="Times New Roman" w:hAnsi="Times New Roman" w:cs="Times New Roman"/>
          <w:sz w:val="28"/>
          <w:szCs w:val="28"/>
          <w:lang w:val="uk-UA"/>
        </w:rPr>
        <w:t>кого представлені в табл. 4.24.</w:t>
      </w:r>
    </w:p>
    <w:p w:rsidR="00BD0BF2" w:rsidRPr="00A02BFF" w:rsidRDefault="00BD0BF2" w:rsidP="00BD0BF2">
      <w:pPr>
        <w:spacing w:line="360" w:lineRule="auto"/>
        <w:ind w:right="141"/>
        <w:contextualSpacing/>
        <w:jc w:val="right"/>
        <w:rPr>
          <w:rFonts w:ascii="Times New Roman" w:hAnsi="Times New Roman" w:cs="Times New Roman"/>
          <w:i/>
          <w:sz w:val="28"/>
          <w:szCs w:val="28"/>
          <w:lang w:val="uk-UA"/>
        </w:rPr>
      </w:pPr>
      <w:r w:rsidRPr="00A02BFF">
        <w:rPr>
          <w:rFonts w:ascii="Times New Roman" w:hAnsi="Times New Roman" w:cs="Times New Roman"/>
          <w:i/>
          <w:sz w:val="28"/>
          <w:szCs w:val="28"/>
          <w:lang w:val="uk-UA"/>
        </w:rPr>
        <w:t>Таблиця 4.24</w:t>
      </w:r>
    </w:p>
    <w:p w:rsidR="00BD0BF2" w:rsidRPr="004E3FE9" w:rsidRDefault="00BD0BF2" w:rsidP="00BD0BF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b/>
          <w:sz w:val="28"/>
          <w:szCs w:val="28"/>
          <w:lang w:val="uk-UA"/>
        </w:rPr>
        <w:t>Статистичні характеристики порівняння рівнів КІМ ЗСА, d ПА до оклюзії, КД</w:t>
      </w:r>
      <w:r w:rsidRPr="004E3FE9">
        <w:rPr>
          <w:rFonts w:ascii="Times New Roman" w:hAnsi="Times New Roman" w:cs="Times New Roman"/>
          <w:b/>
          <w:sz w:val="28"/>
          <w:szCs w:val="28"/>
          <w:vertAlign w:val="subscript"/>
          <w:lang w:val="uk-UA"/>
        </w:rPr>
        <w:t>30</w:t>
      </w:r>
      <w:r w:rsidRPr="004E3FE9">
        <w:rPr>
          <w:rFonts w:ascii="Times New Roman" w:hAnsi="Times New Roman" w:cs="Times New Roman"/>
          <w:b/>
          <w:sz w:val="28"/>
          <w:szCs w:val="28"/>
          <w:lang w:val="uk-UA"/>
        </w:rPr>
        <w:t>, КД</w:t>
      </w:r>
      <w:r w:rsidRPr="004E3FE9">
        <w:rPr>
          <w:rFonts w:ascii="Times New Roman" w:hAnsi="Times New Roman" w:cs="Times New Roman"/>
          <w:b/>
          <w:sz w:val="28"/>
          <w:szCs w:val="28"/>
          <w:vertAlign w:val="subscript"/>
          <w:lang w:val="uk-UA"/>
        </w:rPr>
        <w:t>60</w:t>
      </w:r>
      <w:r w:rsidRPr="004E3FE9">
        <w:rPr>
          <w:rFonts w:ascii="Times New Roman" w:hAnsi="Times New Roman" w:cs="Times New Roman"/>
          <w:b/>
          <w:sz w:val="28"/>
          <w:szCs w:val="28"/>
          <w:lang w:val="uk-UA"/>
        </w:rPr>
        <w:t xml:space="preserve"> обстежених дітей в гострий період та період клініко-лабораторної ремісії</w:t>
      </w:r>
    </w:p>
    <w:tbl>
      <w:tblPr>
        <w:tblStyle w:val="a8"/>
        <w:tblW w:w="0" w:type="auto"/>
        <w:tblLook w:val="04A0"/>
      </w:tblPr>
      <w:tblGrid>
        <w:gridCol w:w="1914"/>
        <w:gridCol w:w="1852"/>
        <w:gridCol w:w="1852"/>
        <w:gridCol w:w="1852"/>
        <w:gridCol w:w="1852"/>
      </w:tblGrid>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Статистичні критерії порівняння</w:t>
            </w:r>
          </w:p>
        </w:tc>
        <w:tc>
          <w:tcPr>
            <w:tcW w:w="185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КІМ ЗСА, мм</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d ПА до оклюзії, мм</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w:t>
            </w:r>
          </w:p>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w:t>
            </w:r>
          </w:p>
          <w:p w:rsidR="00BD0BF2" w:rsidRPr="004E3FE9" w:rsidRDefault="00BD0BF2" w:rsidP="00721EA2">
            <w:pPr>
              <w:spacing w:line="360" w:lineRule="auto"/>
              <w:contextualSpacing/>
              <w:jc w:val="center"/>
              <w:rPr>
                <w:rFonts w:ascii="Times New Roman" w:hAnsi="Times New Roman" w:cs="Times New Roman"/>
                <w:sz w:val="28"/>
                <w:szCs w:val="28"/>
                <w:lang w:val="uk-UA"/>
              </w:rPr>
            </w:pPr>
          </w:p>
        </w:tc>
      </w:tr>
      <w:tr w:rsidR="00BD0BF2" w:rsidRPr="004E3FE9" w:rsidTr="00721EA2">
        <w:tc>
          <w:tcPr>
            <w:tcW w:w="9322"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ступінь активності (n=19)</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74</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vertAlign w:val="subscript"/>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0,9057</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0,1088</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0,0006*</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r>
      <w:tr w:rsidR="00BD0BF2" w:rsidRPr="004E3FE9" w:rsidTr="00721EA2">
        <w:tc>
          <w:tcPr>
            <w:tcW w:w="9322"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 ступінь активності (n=22)</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62</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18</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vertAlign w:val="subscript"/>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0,7563</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0,0593</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0,0004*</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0,0000*</w:t>
            </w:r>
          </w:p>
        </w:tc>
      </w:tr>
      <w:tr w:rsidR="00BD0BF2" w:rsidRPr="004E3FE9" w:rsidTr="00721EA2">
        <w:tc>
          <w:tcPr>
            <w:tcW w:w="9322"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 ступінь активності (n=19)</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r>
      <w:tr w:rsidR="00BD0BF2" w:rsidRPr="004E3FE9" w:rsidTr="00721EA2">
        <w:tc>
          <w:tcPr>
            <w:tcW w:w="191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vertAlign w:val="subscript"/>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0,0022*</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c>
          <w:tcPr>
            <w:tcW w:w="185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r>
    </w:tbl>
    <w:p w:rsidR="00BD0BF2" w:rsidRPr="004E3FE9" w:rsidRDefault="002F7F35"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Примітка. * - р&lt;0,01 </w:t>
      </w:r>
      <w:r w:rsidR="00BD0BF2" w:rsidRPr="004E3FE9">
        <w:rPr>
          <w:rFonts w:ascii="Times New Roman" w:hAnsi="Times New Roman" w:cs="Times New Roman"/>
          <w:sz w:val="28"/>
          <w:szCs w:val="28"/>
          <w:lang w:val="uk-UA"/>
        </w:rPr>
        <w:t>- різниця вірогідна відносно показників гострого періоду (І) та клініко-лабораторної ремісії (ІІ).</w:t>
      </w:r>
    </w:p>
    <w:p w:rsidR="00BD0BF2" w:rsidRDefault="00BD0BF2" w:rsidP="00BD0BF2">
      <w:pPr>
        <w:spacing w:line="360" w:lineRule="auto"/>
        <w:ind w:right="141"/>
        <w:contextualSpacing/>
        <w:jc w:val="both"/>
        <w:rPr>
          <w:rFonts w:ascii="Times New Roman" w:hAnsi="Times New Roman" w:cs="Times New Roman"/>
          <w:sz w:val="28"/>
          <w:szCs w:val="28"/>
          <w:lang w:val="uk-UA"/>
        </w:rPr>
      </w:pPr>
    </w:p>
    <w:p w:rsidR="00A02BFF" w:rsidRDefault="00A02BFF" w:rsidP="00BD0BF2">
      <w:pPr>
        <w:spacing w:line="360" w:lineRule="auto"/>
        <w:ind w:right="141"/>
        <w:contextualSpacing/>
        <w:jc w:val="both"/>
        <w:rPr>
          <w:rFonts w:ascii="Times New Roman" w:hAnsi="Times New Roman" w:cs="Times New Roman"/>
          <w:sz w:val="28"/>
          <w:szCs w:val="28"/>
          <w:lang w:val="uk-UA"/>
        </w:rPr>
      </w:pPr>
    </w:p>
    <w:p w:rsidR="00A02BFF" w:rsidRPr="004E3FE9" w:rsidRDefault="00A02BFF" w:rsidP="00BD0BF2">
      <w:pPr>
        <w:spacing w:line="360" w:lineRule="auto"/>
        <w:ind w:right="141"/>
        <w:contextualSpacing/>
        <w:jc w:val="both"/>
        <w:rPr>
          <w:rFonts w:ascii="Times New Roman" w:hAnsi="Times New Roman" w:cs="Times New Roman"/>
          <w:sz w:val="28"/>
          <w:szCs w:val="28"/>
          <w:lang w:val="uk-UA"/>
        </w:rPr>
      </w:pPr>
    </w:p>
    <w:p w:rsidR="00BD0BF2" w:rsidRPr="008A5F29" w:rsidRDefault="008A5F29" w:rsidP="00BD0BF2">
      <w:pPr>
        <w:spacing w:line="360" w:lineRule="auto"/>
        <w:ind w:right="142"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до розділу 4</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Таким чином, за даними наших досліджень </w:t>
      </w:r>
      <w:r w:rsidR="008A5F29">
        <w:rPr>
          <w:rFonts w:ascii="Times New Roman" w:hAnsi="Times New Roman" w:cs="Times New Roman"/>
          <w:sz w:val="28"/>
          <w:szCs w:val="28"/>
          <w:lang w:val="uk-UA"/>
        </w:rPr>
        <w:t>з’ясовано</w:t>
      </w:r>
      <w:r w:rsidRPr="004E3FE9">
        <w:rPr>
          <w:rFonts w:ascii="Times New Roman" w:hAnsi="Times New Roman" w:cs="Times New Roman"/>
          <w:sz w:val="28"/>
          <w:szCs w:val="28"/>
          <w:lang w:val="uk-UA"/>
        </w:rPr>
        <w:t xml:space="preserve"> зростання рівнів метаболітів оксиду азоту у дітей з Іта ІІ ступенем активності патологічного процесу та у дітей зі шкірною, шкірно-суглобовою та змішаною формами ГВ, що, ймовірно, пов’язано в умовах розпалу патологічного процесу з з компенсаторною реакцією організму, спрямованої на дилатацію мікроциркуляторного русла, з метою виведення з поверхні ендотелію ЦІК та продуктів гіперкоагуляції за рахун</w:t>
      </w:r>
      <w:r w:rsidR="004806EB" w:rsidRPr="004E3FE9">
        <w:rPr>
          <w:rFonts w:ascii="Times New Roman" w:hAnsi="Times New Roman" w:cs="Times New Roman"/>
          <w:sz w:val="28"/>
          <w:szCs w:val="28"/>
          <w:lang w:val="uk-UA"/>
        </w:rPr>
        <w:t>ок активації ендотеліальної NOS</w:t>
      </w:r>
      <w:r w:rsidRPr="004E3FE9">
        <w:rPr>
          <w:rFonts w:ascii="Times New Roman" w:hAnsi="Times New Roman" w:cs="Times New Roman"/>
          <w:color w:val="FF0000"/>
          <w:sz w:val="28"/>
          <w:szCs w:val="28"/>
          <w:lang w:val="uk-UA"/>
        </w:rPr>
        <w:t>. Н</w:t>
      </w:r>
      <w:r w:rsidRPr="004E3FE9">
        <w:rPr>
          <w:rFonts w:ascii="Times New Roman" w:hAnsi="Times New Roman" w:cs="Times New Roman"/>
          <w:sz w:val="28"/>
          <w:szCs w:val="28"/>
          <w:lang w:val="uk-UA"/>
        </w:rPr>
        <w:t>авпаки, зменшення рівнів метаболітів NO в сироватці крові у дітей з максимальним ступенем активності ГВ та змішаною формою з нирковим синдромом більш, ніж в 2 рази в порівнянні з показниками групи контролю можливо вказують на виснаження компенсаторних реакцій організму в цілому. Такі результати можуть свідчити на користь більшої схильності дітей з даним ступенем активності та форми ГВ до розвитку ендотеліальної дисфункції, виникнення більш виражених клініко-лабораторних проявів захворювання та ускладнень.</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Оскільки важливим маркером, що відображає стан ендотеліальних клітин, є фактор Віллебранда, його рівні у дітей, хворих на ГВ, достовірно вказують на наявність ендотеліальної дисфункції та її ступінь в залежності від активності патологічного процесу ГВ.</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За нашими даними, серед інструментальних маркерів ендотеліальної дисфункції найбільш вагомими слід вважати товщину КІМ ЗСА, ЕЗВД плечовоїартерії, PІ та S/D за допомогою ультразвукової доплерографії сонних та плечових артерій у дітей, хворих на ГВ. Показники товщини КІМ ЗСА підвищувалась у дітей з важким перебігом ГВ та у дітей зі змішаною формою з нирковим синдромом, тому цей показник також може виступати як маркер тяжкості патологічного процесу при ГВ. Зафіксована патологічна реакція ендотелій-залежної вазодилатації ПА, яку ми реєстрували у всіх дітей, хворих на ГВ, що свідчить про безпосереднє залучення в патологічний процес ендотелію. Треба відмітити, що зниження рівнів PІ та </w:t>
      </w:r>
      <w:r w:rsidRPr="004E3FE9">
        <w:rPr>
          <w:rFonts w:ascii="Times New Roman" w:hAnsi="Times New Roman" w:cs="Times New Roman"/>
          <w:sz w:val="28"/>
          <w:szCs w:val="28"/>
          <w:lang w:val="uk-UA"/>
        </w:rPr>
        <w:lastRenderedPageBreak/>
        <w:t xml:space="preserve">S/D дітей, </w:t>
      </w:r>
      <w:r w:rsidRPr="004E3FE9">
        <w:rPr>
          <w:rFonts w:ascii="Times New Roman" w:eastAsia="Times New Roman" w:hAnsi="Times New Roman" w:cs="Times New Roman"/>
          <w:sz w:val="28"/>
          <w:szCs w:val="28"/>
          <w:lang w:val="uk-UA"/>
        </w:rPr>
        <w:t>хворих на ГВ в гострий період</w:t>
      </w:r>
      <w:r w:rsidRPr="004E3FE9">
        <w:rPr>
          <w:rFonts w:ascii="Times New Roman" w:hAnsi="Times New Roman" w:cs="Times New Roman"/>
          <w:sz w:val="28"/>
          <w:szCs w:val="28"/>
          <w:lang w:val="uk-UA"/>
        </w:rPr>
        <w:t>, може свідчити про підвищення загального периферичного опору судин, що більш виражене у дітей з максимальною активністю захворювання.</w:t>
      </w: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Аналіз показників рівнів метаболітів NO на фоні терапії показав нормалізацію або тенденцію до неї у дітей з І та ІІ ступенем активності, але у дітей з важким перебігом ГВ ці показники статистично відрізнялись від показників дітей групи контролю. Рівні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також знизились, але перевищували нормальні.</w:t>
      </w:r>
    </w:p>
    <w:p w:rsidR="00BD0BF2"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Також під час порівняння показників КІМ ЗСА нами виявлена позитивна динаміка на фоні терапії. Проте, стан ендотеліа</w:t>
      </w:r>
      <w:r w:rsidR="008A5F29">
        <w:rPr>
          <w:rFonts w:ascii="Times New Roman" w:hAnsi="Times New Roman" w:cs="Times New Roman"/>
          <w:sz w:val="28"/>
          <w:szCs w:val="28"/>
          <w:lang w:val="uk-UA"/>
        </w:rPr>
        <w:t>л</w:t>
      </w:r>
      <w:r w:rsidRPr="004E3FE9">
        <w:rPr>
          <w:rFonts w:ascii="Times New Roman" w:hAnsi="Times New Roman" w:cs="Times New Roman"/>
          <w:sz w:val="28"/>
          <w:szCs w:val="28"/>
          <w:lang w:val="uk-UA"/>
        </w:rPr>
        <w:t>ьної функції залишався негативним, за даними ЕЗВД та за даними показників судинного опору, відображаючи, напевно, відставання біологічної репарації запального процесу від показників клінічної ремісії.</w:t>
      </w:r>
    </w:p>
    <w:p w:rsidR="008A5F29" w:rsidRPr="004E3FE9" w:rsidRDefault="008A5F29" w:rsidP="00BD0BF2">
      <w:pPr>
        <w:spacing w:line="360" w:lineRule="auto"/>
        <w:ind w:right="142" w:firstLine="709"/>
        <w:contextualSpacing/>
        <w:jc w:val="both"/>
        <w:rPr>
          <w:rFonts w:ascii="Times New Roman" w:hAnsi="Times New Roman" w:cs="Times New Roman"/>
          <w:sz w:val="28"/>
          <w:szCs w:val="28"/>
          <w:lang w:val="uk-UA"/>
        </w:rPr>
      </w:pPr>
      <w:r w:rsidRPr="008A5F29">
        <w:rPr>
          <w:rFonts w:ascii="Times New Roman" w:hAnsi="Times New Roman" w:cs="Times New Roman"/>
          <w:sz w:val="28"/>
          <w:szCs w:val="28"/>
          <w:lang w:val="uk-UA"/>
        </w:rPr>
        <w:t>Основні результати дослідження та його положення, які викладені в даному розділі, апробовані на місцевому, регіональному та міжнародному рівнях, що знайшло відображення в таких публікаціях:</w:t>
      </w:r>
    </w:p>
    <w:p w:rsidR="00BD0BF2" w:rsidRDefault="008A5F29" w:rsidP="008A5F29">
      <w:pPr>
        <w:pStyle w:val="a7"/>
        <w:numPr>
          <w:ilvl w:val="0"/>
          <w:numId w:val="15"/>
        </w:num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В. Ендотеліальна дисфункція – як діагностично-прогностичний критерій перебігу геморагічного васкуліту у дітей // Ю.В.</w:t>
      </w:r>
      <w:r>
        <w:rPr>
          <w:rFonts w:ascii="Times New Roman" w:hAnsi="Times New Roman" w:cs="Times New Roman"/>
          <w:sz w:val="28"/>
          <w:szCs w:val="28"/>
          <w:lang w:val="uk-UA"/>
        </w:rPr>
        <w:t xml:space="preserve"> </w:t>
      </w:r>
      <w:r w:rsidRPr="009A01C1">
        <w:rPr>
          <w:rFonts w:ascii="Times New Roman" w:hAnsi="Times New Roman" w:cs="Times New Roman"/>
          <w:sz w:val="28"/>
          <w:szCs w:val="28"/>
          <w:lang w:val="uk-UA"/>
        </w:rPr>
        <w:t>Одинець, М.В. Яворович // Актуальні питання педіатрії, акушерства та гінекології. – 2015. – № 1. – С. 61–64.</w:t>
      </w:r>
    </w:p>
    <w:p w:rsidR="008A5F29" w:rsidRDefault="008A5F29" w:rsidP="008A5F29">
      <w:pPr>
        <w:pStyle w:val="a7"/>
        <w:numPr>
          <w:ilvl w:val="0"/>
          <w:numId w:val="15"/>
        </w:num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 xml:space="preserve">В. Ультразвуковые и биохимические показатели дисфункции эндотелия при геморрагическом васкулите у детей / Ю.В.Одинец, </w:t>
      </w:r>
      <w:r>
        <w:rPr>
          <w:rFonts w:ascii="Times New Roman" w:hAnsi="Times New Roman" w:cs="Times New Roman"/>
          <w:sz w:val="28"/>
          <w:szCs w:val="28"/>
          <w:lang w:val="uk-UA"/>
        </w:rPr>
        <w:t xml:space="preserve">  </w:t>
      </w:r>
      <w:r w:rsidRPr="009A01C1">
        <w:rPr>
          <w:rFonts w:ascii="Times New Roman" w:hAnsi="Times New Roman" w:cs="Times New Roman"/>
          <w:sz w:val="28"/>
          <w:szCs w:val="28"/>
          <w:lang w:val="uk-UA"/>
        </w:rPr>
        <w:t>М.В. Яворович // Здоровье ребенка. – 2016. – №. 2 (70). – С. 16-20.</w:t>
      </w:r>
    </w:p>
    <w:p w:rsidR="008A5F29" w:rsidRDefault="008A5F29" w:rsidP="008A5F29">
      <w:pPr>
        <w:pStyle w:val="a7"/>
        <w:numPr>
          <w:ilvl w:val="0"/>
          <w:numId w:val="15"/>
        </w:num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 xml:space="preserve">В. Характеристика показателей функционального состояния эндотелия в динамике заболевания у детей с геморрагическим васкулитом / Ю.В. </w:t>
      </w:r>
      <w:r>
        <w:rPr>
          <w:rFonts w:ascii="Times New Roman" w:hAnsi="Times New Roman" w:cs="Times New Roman"/>
          <w:sz w:val="28"/>
          <w:szCs w:val="28"/>
          <w:lang w:val="uk-UA"/>
        </w:rPr>
        <w:t>Одинец, М.</w:t>
      </w:r>
      <w:r w:rsidRPr="009A01C1">
        <w:rPr>
          <w:rFonts w:ascii="Times New Roman" w:hAnsi="Times New Roman" w:cs="Times New Roman"/>
          <w:sz w:val="28"/>
          <w:szCs w:val="28"/>
          <w:lang w:val="uk-UA"/>
        </w:rPr>
        <w:t>В. Яворович //</w:t>
      </w:r>
      <w:r>
        <w:rPr>
          <w:rFonts w:ascii="Times New Roman" w:hAnsi="Times New Roman" w:cs="Times New Roman"/>
          <w:sz w:val="28"/>
          <w:szCs w:val="28"/>
          <w:lang w:val="uk-UA"/>
        </w:rPr>
        <w:t xml:space="preserve"> </w:t>
      </w:r>
      <w:r w:rsidRPr="009A01C1">
        <w:rPr>
          <w:rFonts w:ascii="Times New Roman" w:hAnsi="Times New Roman" w:cs="Times New Roman"/>
          <w:sz w:val="28"/>
          <w:szCs w:val="28"/>
          <w:lang w:val="uk-UA"/>
        </w:rPr>
        <w:t>Здоровье ребенка. – 2016. – №. 6 (74). – С. 93-97.</w:t>
      </w:r>
    </w:p>
    <w:p w:rsidR="008A5F29" w:rsidRDefault="008A5F29" w:rsidP="008A5F29">
      <w:pPr>
        <w:pStyle w:val="a7"/>
        <w:numPr>
          <w:ilvl w:val="0"/>
          <w:numId w:val="15"/>
        </w:num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Яворович М.</w:t>
      </w:r>
      <w:r w:rsidRPr="009A01C1">
        <w:rPr>
          <w:rFonts w:ascii="Times New Roman" w:hAnsi="Times New Roman" w:cs="Times New Roman"/>
          <w:sz w:val="28"/>
          <w:szCs w:val="28"/>
          <w:lang w:val="uk-UA"/>
        </w:rPr>
        <w:t>В. Эндотелиальная дисфункция у детей с геморрагическ</w:t>
      </w:r>
      <w:r>
        <w:rPr>
          <w:rFonts w:ascii="Times New Roman" w:hAnsi="Times New Roman" w:cs="Times New Roman"/>
          <w:sz w:val="28"/>
          <w:szCs w:val="28"/>
          <w:lang w:val="uk-UA"/>
        </w:rPr>
        <w:t>им васкулитом / Ю.В. Одинец, М.</w:t>
      </w:r>
      <w:r w:rsidRPr="009A01C1">
        <w:rPr>
          <w:rFonts w:ascii="Times New Roman" w:hAnsi="Times New Roman" w:cs="Times New Roman"/>
          <w:sz w:val="28"/>
          <w:szCs w:val="28"/>
          <w:lang w:val="uk-UA"/>
        </w:rPr>
        <w:t>В. Яворович, Л.Б. Бутенко</w:t>
      </w:r>
      <w:r>
        <w:rPr>
          <w:rFonts w:ascii="Times New Roman" w:hAnsi="Times New Roman" w:cs="Times New Roman"/>
          <w:sz w:val="28"/>
          <w:szCs w:val="28"/>
          <w:lang w:val="uk-UA"/>
        </w:rPr>
        <w:t xml:space="preserve"> </w:t>
      </w:r>
      <w:r w:rsidRPr="009A01C1">
        <w:rPr>
          <w:rFonts w:ascii="Times New Roman" w:hAnsi="Times New Roman" w:cs="Times New Roman"/>
          <w:sz w:val="28"/>
          <w:szCs w:val="28"/>
          <w:lang w:val="uk-UA"/>
        </w:rPr>
        <w:t>// Актуальные вопросы физиологии, патологи и организации медицинского обеспечения детей школьного возраста и подростков: матеріали  науково-практичної конференції з міжнародною участю, 22-23 жовтня 2014 р. – Харків, 2014. – С.60.</w:t>
      </w:r>
    </w:p>
    <w:p w:rsidR="008A5F29" w:rsidRDefault="008A5F29" w:rsidP="008A5F29">
      <w:pPr>
        <w:pStyle w:val="a7"/>
        <w:numPr>
          <w:ilvl w:val="0"/>
          <w:numId w:val="15"/>
        </w:num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В. Оценка функционального состояния эндотелия сосудов при геморрагическом васкулите у детей / Ю.В. Одинец, М.В.</w:t>
      </w:r>
      <w:r>
        <w:rPr>
          <w:rFonts w:ascii="Times New Roman" w:hAnsi="Times New Roman" w:cs="Times New Roman"/>
          <w:sz w:val="28"/>
          <w:szCs w:val="28"/>
          <w:lang w:val="uk-UA"/>
        </w:rPr>
        <w:t xml:space="preserve"> </w:t>
      </w:r>
      <w:r w:rsidRPr="009A01C1">
        <w:rPr>
          <w:rFonts w:ascii="Times New Roman" w:hAnsi="Times New Roman" w:cs="Times New Roman"/>
          <w:sz w:val="28"/>
          <w:szCs w:val="28"/>
          <w:lang w:val="uk-UA"/>
        </w:rPr>
        <w:t>Яворович // Науково-практична конференція молодих вчених з міжнародною участю, 27 листопада</w:t>
      </w:r>
      <w:r>
        <w:rPr>
          <w:rFonts w:ascii="Times New Roman" w:hAnsi="Times New Roman" w:cs="Times New Roman"/>
          <w:sz w:val="28"/>
          <w:szCs w:val="28"/>
          <w:lang w:val="uk-UA"/>
        </w:rPr>
        <w:t xml:space="preserve"> </w:t>
      </w:r>
      <w:r w:rsidRPr="009A01C1">
        <w:rPr>
          <w:rFonts w:ascii="Times New Roman" w:hAnsi="Times New Roman" w:cs="Times New Roman"/>
          <w:sz w:val="28"/>
          <w:szCs w:val="28"/>
          <w:lang w:val="uk-UA"/>
        </w:rPr>
        <w:t>2014 р. – Харків, 2014. – С. 82.</w:t>
      </w:r>
    </w:p>
    <w:p w:rsidR="008A5F29" w:rsidRDefault="008A5F29" w:rsidP="008A5F29">
      <w:pPr>
        <w:pStyle w:val="a7"/>
        <w:numPr>
          <w:ilvl w:val="0"/>
          <w:numId w:val="15"/>
        </w:num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В. Функциональное состояние эндотелия сосудов при геморрагическом васкулите у детей / Ю.В. Одинец, М.В. Яворович // Медицина третього тисячоліття: збірник тез міжвузівської конференції молодих вчених та студентів, 20 січня 2015 р. – Харків, 2015. – С.229-230.</w:t>
      </w:r>
    </w:p>
    <w:p w:rsidR="008A5F29" w:rsidRDefault="008A5F29" w:rsidP="008A5F29">
      <w:pPr>
        <w:pStyle w:val="a7"/>
        <w:numPr>
          <w:ilvl w:val="0"/>
          <w:numId w:val="15"/>
        </w:num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В. Диагностическая и прогностическая значимость состояния эндотелиальной функции у детей с геморрагическим васкулитом / Ю.В. Одинец, М.В. Яворович // Забезпечення здоров’я нації та здоров’я особистості як пріоритетна функція держави: збірник тез наукових робіт міжнародної науково-практичної конференції,  23-24 січня 2015 р. – Одеса, 2015. - C.85-87.</w:t>
      </w:r>
    </w:p>
    <w:p w:rsidR="008A5F29" w:rsidRDefault="008A5F29" w:rsidP="008A5F29">
      <w:pPr>
        <w:pStyle w:val="a7"/>
        <w:numPr>
          <w:ilvl w:val="0"/>
          <w:numId w:val="15"/>
        </w:num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В. Особенности дисфункции эндотелия сосудов при геморрагическом васкулите у детей / М.В. Яворович // Новини і перспективи медичної науки: матеріали  XV конференції студентів та молодих вчених, 15-17 квітня 2015 р. –Дніпропетровськ, 2015. – С.75.</w:t>
      </w:r>
    </w:p>
    <w:p w:rsidR="008A5F29" w:rsidRDefault="008A5F29" w:rsidP="008A5F29">
      <w:pPr>
        <w:pStyle w:val="a7"/>
        <w:numPr>
          <w:ilvl w:val="0"/>
          <w:numId w:val="15"/>
        </w:numPr>
        <w:spacing w:line="360" w:lineRule="auto"/>
        <w:ind w:right="142"/>
        <w:jc w:val="both"/>
        <w:rPr>
          <w:rFonts w:ascii="Times New Roman" w:hAnsi="Times New Roman" w:cs="Times New Roman"/>
          <w:sz w:val="28"/>
          <w:szCs w:val="28"/>
          <w:lang w:val="uk-UA"/>
        </w:rPr>
      </w:pPr>
      <w:r w:rsidRPr="009A01C1">
        <w:rPr>
          <w:rFonts w:ascii="Times New Roman" w:hAnsi="Times New Roman" w:cs="Times New Roman"/>
          <w:sz w:val="28"/>
          <w:szCs w:val="28"/>
          <w:lang w:val="uk-UA"/>
        </w:rPr>
        <w:t>Yavorovych M.V. Endothelial dysfunction in children with Henoch-Schonlein purpura / Yu.V.</w:t>
      </w:r>
      <w:r>
        <w:rPr>
          <w:rFonts w:ascii="Times New Roman" w:hAnsi="Times New Roman" w:cs="Times New Roman"/>
          <w:sz w:val="28"/>
          <w:szCs w:val="28"/>
          <w:lang w:val="uk-UA"/>
        </w:rPr>
        <w:t xml:space="preserve"> </w:t>
      </w:r>
      <w:r w:rsidRPr="009A01C1">
        <w:rPr>
          <w:rFonts w:ascii="Times New Roman" w:hAnsi="Times New Roman" w:cs="Times New Roman"/>
          <w:sz w:val="28"/>
          <w:szCs w:val="28"/>
          <w:lang w:val="uk-UA"/>
        </w:rPr>
        <w:t>Odynets, M.V. Yavorovych //</w:t>
      </w:r>
      <w:r>
        <w:rPr>
          <w:rFonts w:ascii="Times New Roman" w:hAnsi="Times New Roman" w:cs="Times New Roman"/>
          <w:sz w:val="28"/>
          <w:szCs w:val="28"/>
          <w:lang w:val="uk-UA"/>
        </w:rPr>
        <w:t xml:space="preserve"> </w:t>
      </w:r>
      <w:r w:rsidRPr="009A01C1">
        <w:rPr>
          <w:rFonts w:ascii="Times New Roman" w:hAnsi="Times New Roman" w:cs="Times New Roman"/>
          <w:sz w:val="28"/>
          <w:szCs w:val="28"/>
          <w:lang w:val="uk-UA"/>
        </w:rPr>
        <w:t>Folia Medica Cassoviensia, Tomus 70,N1, Suppl. 1, 2015.- Р.165-166.</w:t>
      </w:r>
    </w:p>
    <w:p w:rsidR="008A5F29" w:rsidRDefault="008A5F29" w:rsidP="008A5F29">
      <w:pPr>
        <w:pStyle w:val="a7"/>
        <w:numPr>
          <w:ilvl w:val="0"/>
          <w:numId w:val="15"/>
        </w:num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 xml:space="preserve">В. Маркери дисфункції ендотелію у дітей, хворих на геморагічний васкуліт / М.В. Яворович // Проблеми сьогодення в </w:t>
      </w:r>
      <w:r w:rsidRPr="009A01C1">
        <w:rPr>
          <w:rFonts w:ascii="Times New Roman" w:hAnsi="Times New Roman" w:cs="Times New Roman"/>
          <w:sz w:val="28"/>
          <w:szCs w:val="28"/>
          <w:lang w:val="uk-UA"/>
        </w:rPr>
        <w:lastRenderedPageBreak/>
        <w:t>педіатрії: матеріали І науково-практичної конференції молодих вчених з міжнародно</w:t>
      </w:r>
      <w:r>
        <w:rPr>
          <w:rFonts w:ascii="Times New Roman" w:hAnsi="Times New Roman" w:cs="Times New Roman"/>
          <w:sz w:val="28"/>
          <w:szCs w:val="28"/>
          <w:lang w:val="uk-UA"/>
        </w:rPr>
        <w:t xml:space="preserve">ю участю, 16 березня 2016 р. – </w:t>
      </w:r>
      <w:r w:rsidRPr="009A01C1">
        <w:rPr>
          <w:rFonts w:ascii="Times New Roman" w:hAnsi="Times New Roman" w:cs="Times New Roman"/>
          <w:sz w:val="28"/>
          <w:szCs w:val="28"/>
          <w:lang w:val="uk-UA"/>
        </w:rPr>
        <w:t>Харків, 2016. – С.68.</w:t>
      </w:r>
    </w:p>
    <w:p w:rsidR="008A5F29" w:rsidRDefault="003471C2" w:rsidP="008A5F29">
      <w:pPr>
        <w:pStyle w:val="a7"/>
        <w:numPr>
          <w:ilvl w:val="0"/>
          <w:numId w:val="15"/>
        </w:num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В. Исследование эндотелиальной функции сосудов у детей с геморрагическим васкулитом / Ю.В. Одинец, М.В.</w:t>
      </w:r>
      <w:r>
        <w:rPr>
          <w:rFonts w:ascii="Times New Roman" w:hAnsi="Times New Roman" w:cs="Times New Roman"/>
          <w:sz w:val="28"/>
          <w:szCs w:val="28"/>
          <w:lang w:val="uk-UA"/>
        </w:rPr>
        <w:t xml:space="preserve"> </w:t>
      </w:r>
      <w:r w:rsidRPr="009A01C1">
        <w:rPr>
          <w:rFonts w:ascii="Times New Roman" w:hAnsi="Times New Roman" w:cs="Times New Roman"/>
          <w:sz w:val="28"/>
          <w:szCs w:val="28"/>
          <w:lang w:val="uk-UA"/>
        </w:rPr>
        <w:t>Яворович // Вопросы современной медицинской науки: материалы научной конференции студентов-медиков с международным участием, 3-4 апреля 2015 г. – Самарканд, 2015. –С. 129-128.</w:t>
      </w:r>
    </w:p>
    <w:p w:rsidR="003471C2" w:rsidRDefault="003471C2" w:rsidP="008A5F29">
      <w:pPr>
        <w:pStyle w:val="a7"/>
        <w:numPr>
          <w:ilvl w:val="0"/>
          <w:numId w:val="15"/>
        </w:numPr>
        <w:spacing w:line="360" w:lineRule="auto"/>
        <w:ind w:right="142"/>
        <w:jc w:val="both"/>
        <w:rPr>
          <w:rFonts w:ascii="Times New Roman" w:hAnsi="Times New Roman" w:cs="Times New Roman"/>
          <w:sz w:val="28"/>
          <w:szCs w:val="28"/>
          <w:lang w:val="uk-UA"/>
        </w:rPr>
      </w:pPr>
      <w:r w:rsidRPr="009A01C1">
        <w:rPr>
          <w:rFonts w:ascii="Times New Roman" w:hAnsi="Times New Roman" w:cs="Times New Roman"/>
          <w:sz w:val="28"/>
          <w:szCs w:val="28"/>
          <w:lang w:val="uk-UA"/>
        </w:rPr>
        <w:t xml:space="preserve">Яворович М.В. Нарушение функции эндотелия у детей с </w:t>
      </w:r>
      <w:r>
        <w:rPr>
          <w:rFonts w:ascii="Times New Roman" w:hAnsi="Times New Roman" w:cs="Times New Roman"/>
          <w:sz w:val="28"/>
          <w:szCs w:val="28"/>
          <w:lang w:val="uk-UA"/>
        </w:rPr>
        <w:t>геморрагическим васкулитом / М.</w:t>
      </w:r>
      <w:r w:rsidRPr="009A01C1">
        <w:rPr>
          <w:rFonts w:ascii="Times New Roman" w:hAnsi="Times New Roman" w:cs="Times New Roman"/>
          <w:sz w:val="28"/>
          <w:szCs w:val="28"/>
          <w:lang w:val="uk-UA"/>
        </w:rPr>
        <w:t>В. Яворович // Актуальные проблемы современной медицины и фармации: 69-я научно-практическая конференция студентов и молодых ученых с международным участием, 15-17 апреля 2015 г. – Минск, 2015 – С. 40.</w:t>
      </w:r>
    </w:p>
    <w:p w:rsidR="003471C2" w:rsidRPr="008A5F29" w:rsidRDefault="003471C2" w:rsidP="008A5F29">
      <w:pPr>
        <w:pStyle w:val="a7"/>
        <w:numPr>
          <w:ilvl w:val="0"/>
          <w:numId w:val="15"/>
        </w:num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В. Особливості функції ендотелія у дітей з гемора</w:t>
      </w:r>
      <w:r>
        <w:rPr>
          <w:rFonts w:ascii="Times New Roman" w:hAnsi="Times New Roman" w:cs="Times New Roman"/>
          <w:sz w:val="28"/>
          <w:szCs w:val="28"/>
          <w:lang w:val="uk-UA"/>
        </w:rPr>
        <w:t>гічним васкулітом / М.</w:t>
      </w:r>
      <w:r w:rsidRPr="009A01C1">
        <w:rPr>
          <w:rFonts w:ascii="Times New Roman" w:hAnsi="Times New Roman" w:cs="Times New Roman"/>
          <w:sz w:val="28"/>
          <w:szCs w:val="28"/>
          <w:lang w:val="uk-UA"/>
        </w:rPr>
        <w:t>В. Яворович // Український науково-медичний молодіжний журнал. – 2015. – №3(90). – С. 53.</w:t>
      </w: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Default="00BD0BF2" w:rsidP="00CC1596">
      <w:pPr>
        <w:pStyle w:val="1"/>
        <w:spacing w:line="360" w:lineRule="auto"/>
        <w:jc w:val="center"/>
        <w:rPr>
          <w:rFonts w:ascii="Times New Roman" w:hAnsi="Times New Roman" w:cs="Times New Roman"/>
          <w:color w:val="000000" w:themeColor="text1"/>
          <w:lang w:val="uk-UA"/>
        </w:rPr>
      </w:pPr>
      <w:bookmarkStart w:id="19" w:name="_Toc465797616"/>
      <w:r w:rsidRPr="004E3FE9">
        <w:rPr>
          <w:rFonts w:ascii="Times New Roman" w:hAnsi="Times New Roman" w:cs="Times New Roman"/>
          <w:color w:val="000000" w:themeColor="text1"/>
          <w:lang w:val="uk-UA"/>
        </w:rPr>
        <w:lastRenderedPageBreak/>
        <w:t>РОЗДІЛ 5</w:t>
      </w:r>
      <w:r w:rsidR="00CC1596" w:rsidRPr="004E3FE9">
        <w:rPr>
          <w:rFonts w:ascii="Times New Roman" w:hAnsi="Times New Roman" w:cs="Times New Roman"/>
          <w:color w:val="000000" w:themeColor="text1"/>
          <w:lang w:val="uk-UA"/>
        </w:rPr>
        <w:br/>
      </w:r>
      <w:r w:rsidRPr="004E3FE9">
        <w:rPr>
          <w:rFonts w:ascii="Times New Roman" w:hAnsi="Times New Roman" w:cs="Times New Roman"/>
          <w:color w:val="000000" w:themeColor="text1"/>
          <w:lang w:val="uk-UA"/>
        </w:rPr>
        <w:t>ОЦІНКА ВМІСТУ В СИРОВАТЦІ КРОВІ МОНОЦИТАРНОГО ХЕМО</w:t>
      </w:r>
      <w:r w:rsidR="00E64508">
        <w:rPr>
          <w:rFonts w:ascii="Times New Roman" w:hAnsi="Times New Roman" w:cs="Times New Roman"/>
          <w:color w:val="000000" w:themeColor="text1"/>
          <w:lang w:val="uk-UA"/>
        </w:rPr>
        <w:t>А</w:t>
      </w:r>
      <w:r w:rsidRPr="004E3FE9">
        <w:rPr>
          <w:rFonts w:ascii="Times New Roman" w:hAnsi="Times New Roman" w:cs="Times New Roman"/>
          <w:color w:val="000000" w:themeColor="text1"/>
          <w:lang w:val="uk-UA"/>
        </w:rPr>
        <w:t>ТРАКТАНТНОГО ПРОТЕЇНУ 1 У ДІТЕЙ, ХВОРИХ НА ГЕМОРАГІЧНИЙ ВАСКУЛІТ</w:t>
      </w:r>
      <w:bookmarkEnd w:id="19"/>
    </w:p>
    <w:p w:rsidR="00283E39" w:rsidRDefault="00283E39" w:rsidP="00283E39">
      <w:pPr>
        <w:rPr>
          <w:lang w:val="uk-UA"/>
        </w:rPr>
      </w:pPr>
    </w:p>
    <w:p w:rsidR="00283E39" w:rsidRPr="00283E39" w:rsidRDefault="00283E39" w:rsidP="00283E39">
      <w:pPr>
        <w:rPr>
          <w:lang w:val="uk-UA"/>
        </w:rPr>
      </w:pPr>
    </w:p>
    <w:p w:rsidR="00BD0BF2" w:rsidRPr="004E3FE9" w:rsidRDefault="00BD0BF2" w:rsidP="00BD0BF2">
      <w:pPr>
        <w:spacing w:line="360" w:lineRule="auto"/>
        <w:contextualSpacing/>
        <w:jc w:val="center"/>
        <w:rPr>
          <w:rFonts w:ascii="Times New Roman" w:hAnsi="Times New Roman" w:cs="Times New Roman"/>
          <w:b/>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Типовою гістопатологічною особливістю ГВ є периваскулярне накопичення нейтрофілів, лімфоцитів та моноцитів в місцях розвинення гострого запального процесу. В нашій роботі ми звернули увагу на визначення МСР-1, як потужного хемо</w:t>
      </w:r>
      <w:r w:rsidR="00E64508">
        <w:rPr>
          <w:rFonts w:ascii="Times New Roman" w:hAnsi="Times New Roman" w:cs="Times New Roman"/>
          <w:sz w:val="28"/>
          <w:szCs w:val="28"/>
          <w:lang w:val="uk-UA"/>
        </w:rPr>
        <w:t>а</w:t>
      </w:r>
      <w:r w:rsidRPr="004E3FE9">
        <w:rPr>
          <w:rFonts w:ascii="Times New Roman" w:hAnsi="Times New Roman" w:cs="Times New Roman"/>
          <w:sz w:val="28"/>
          <w:szCs w:val="28"/>
          <w:lang w:val="uk-UA"/>
        </w:rPr>
        <w:t>трактанта для макрофагів та моноцитів.</w:t>
      </w:r>
    </w:p>
    <w:p w:rsidR="00BD0BF2" w:rsidRPr="001056B7" w:rsidRDefault="00BD0BF2" w:rsidP="00BD0BF2">
      <w:pPr>
        <w:spacing w:line="360" w:lineRule="auto"/>
        <w:ind w:right="141"/>
        <w:contextualSpacing/>
        <w:jc w:val="right"/>
        <w:rPr>
          <w:rFonts w:ascii="Times New Roman" w:hAnsi="Times New Roman" w:cs="Times New Roman"/>
          <w:i/>
          <w:sz w:val="28"/>
          <w:szCs w:val="28"/>
          <w:lang w:val="uk-UA"/>
        </w:rPr>
      </w:pPr>
      <w:r w:rsidRPr="001056B7">
        <w:rPr>
          <w:rFonts w:ascii="Times New Roman" w:hAnsi="Times New Roman" w:cs="Times New Roman"/>
          <w:i/>
          <w:sz w:val="28"/>
          <w:szCs w:val="28"/>
          <w:lang w:val="uk-UA"/>
        </w:rPr>
        <w:t>Таблиця 5.1</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МСР-1 в сироватці крові у дітей різного віку, хворих на ГВ в гострий період захворювання</w:t>
      </w:r>
      <w:r w:rsidR="003471C2">
        <w:rPr>
          <w:rFonts w:ascii="Times New Roman" w:hAnsi="Times New Roman" w:cs="Times New Roman"/>
          <w:b/>
          <w:sz w:val="28"/>
          <w:szCs w:val="28"/>
          <w:lang w:val="uk-UA"/>
        </w:rPr>
        <w:t>, (Me(Lq;Uq))</w:t>
      </w:r>
    </w:p>
    <w:tbl>
      <w:tblPr>
        <w:tblStyle w:val="a8"/>
        <w:tblW w:w="9356" w:type="dxa"/>
        <w:tblInd w:w="108" w:type="dxa"/>
        <w:tblLayout w:type="fixed"/>
        <w:tblLook w:val="04A0"/>
      </w:tblPr>
      <w:tblGrid>
        <w:gridCol w:w="1560"/>
        <w:gridCol w:w="1559"/>
        <w:gridCol w:w="2079"/>
        <w:gridCol w:w="2079"/>
        <w:gridCol w:w="2079"/>
      </w:tblGrid>
      <w:tr w:rsidR="00BD0BF2" w:rsidRPr="004E3FE9" w:rsidTr="00721EA2">
        <w:trPr>
          <w:trHeight w:val="366"/>
        </w:trPr>
        <w:tc>
          <w:tcPr>
            <w:tcW w:w="1560" w:type="dxa"/>
            <w:vMerge w:val="restart"/>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1559" w:type="dxa"/>
            <w:vMerge w:val="restart"/>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w:t>
            </w:r>
          </w:p>
          <w:p w:rsidR="00BD0BF2" w:rsidRPr="004E3FE9" w:rsidRDefault="00BD0BF2" w:rsidP="00721EA2">
            <w:pPr>
              <w:spacing w:line="360" w:lineRule="auto"/>
              <w:ind w:right="141"/>
              <w:contextualSpacing/>
              <w:rPr>
                <w:rFonts w:ascii="Times New Roman" w:hAnsi="Times New Roman" w:cs="Times New Roman"/>
                <w:sz w:val="28"/>
                <w:szCs w:val="28"/>
                <w:lang w:val="uk-UA"/>
              </w:rPr>
            </w:pP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c>
          <w:tcPr>
            <w:tcW w:w="6237" w:type="dxa"/>
            <w:gridSpan w:val="3"/>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Вік дітей, хворих на ГВ</w:t>
            </w:r>
          </w:p>
        </w:tc>
      </w:tr>
      <w:tr w:rsidR="00BD0BF2" w:rsidRPr="00810999" w:rsidTr="00721EA2">
        <w:trPr>
          <w:trHeight w:val="1547"/>
        </w:trPr>
        <w:tc>
          <w:tcPr>
            <w:tcW w:w="1560" w:type="dxa"/>
            <w:vMerge/>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559" w:type="dxa"/>
            <w:vMerge/>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2079" w:type="dxa"/>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 рік – 6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n=29</w:t>
            </w:r>
          </w:p>
        </w:tc>
        <w:tc>
          <w:tcPr>
            <w:tcW w:w="2079"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 років – 12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n=23</w:t>
            </w:r>
          </w:p>
        </w:tc>
        <w:tc>
          <w:tcPr>
            <w:tcW w:w="2079"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13 років - 17 років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n=8</w:t>
            </w:r>
          </w:p>
        </w:tc>
      </w:tr>
      <w:tr w:rsidR="00BD0BF2" w:rsidRPr="004E3FE9" w:rsidTr="00721EA2">
        <w:trPr>
          <w:trHeight w:val="1330"/>
        </w:trPr>
        <w:tc>
          <w:tcPr>
            <w:tcW w:w="1560"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МСР-1, </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пг/мл</w:t>
            </w:r>
          </w:p>
        </w:tc>
        <w:tc>
          <w:tcPr>
            <w:tcW w:w="1559"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370,6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(350,3;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400,0)</w:t>
            </w:r>
          </w:p>
        </w:tc>
        <w:tc>
          <w:tcPr>
            <w:tcW w:w="2079"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1220,1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(955,3;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1900,3)*</w:t>
            </w:r>
          </w:p>
        </w:tc>
        <w:tc>
          <w:tcPr>
            <w:tcW w:w="2079"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1350,2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(960,4;</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2350,6)*</w:t>
            </w:r>
          </w:p>
        </w:tc>
        <w:tc>
          <w:tcPr>
            <w:tcW w:w="2079"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1269,7</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(1010,3;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1385,3)*</w:t>
            </w:r>
          </w:p>
        </w:tc>
      </w:tr>
      <w:tr w:rsidR="00BD0BF2" w:rsidRPr="004E3FE9" w:rsidTr="00721EA2">
        <w:trPr>
          <w:trHeight w:val="855"/>
        </w:trPr>
        <w:tc>
          <w:tcPr>
            <w:tcW w:w="9356" w:type="dxa"/>
            <w:gridSpan w:val="5"/>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KW H=39,53, р=0,0000, MW р</w:t>
            </w:r>
            <w:r w:rsidRPr="004E3FE9">
              <w:rPr>
                <w:rFonts w:ascii="Times New Roman" w:hAnsi="Times New Roman" w:cs="Times New Roman"/>
                <w:sz w:val="28"/>
                <w:szCs w:val="28"/>
                <w:vertAlign w:val="subscript"/>
                <w:lang w:val="uk-UA"/>
              </w:rPr>
              <w:t>1-2</w:t>
            </w:r>
            <w:r w:rsidRPr="004E3FE9">
              <w:rPr>
                <w:rFonts w:ascii="Times New Roman" w:hAnsi="Times New Roman" w:cs="Times New Roman"/>
                <w:sz w:val="28"/>
                <w:szCs w:val="28"/>
                <w:lang w:val="uk-UA"/>
              </w:rPr>
              <w:t>=0,4954, р</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=0,8826, р</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=0,6845,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=0,0000*</w:t>
            </w:r>
          </w:p>
        </w:tc>
      </w:tr>
    </w:tbl>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Примітки: :* - р&lt;0,01- різниця вірогідна з показниками дітей групи контролю; 1 – пацієнти  від 1 до 6 років; 2 – пацієнти від 7 до 12 років; 3 – пацієнти від 13 до 17 років.</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Аналіз рівнів МСР-1 в залежності від віку вказує на підвищення показників в кожній віковій групі. Зокрема у дітей дошкільного та старшого віку медіана склала 1220,1 (955,3; 1900,3) пг/мл та 1269,7 (1010,3;1385,3) пг/мл, що майже в 6 разів перевищує показники групи контролю. У дітей віком від 7 до 12 років рівні МСР-1склали 1350,2 (960,4;2350,6) пг/мл (табл. 5.1).</w:t>
      </w:r>
    </w:p>
    <w:p w:rsidR="00BD0BF2" w:rsidRPr="004E3FE9" w:rsidRDefault="003471C2" w:rsidP="00BD0BF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критерій Краск</w:t>
      </w:r>
      <w:r w:rsidR="00BD0BF2" w:rsidRPr="004E3FE9">
        <w:rPr>
          <w:rFonts w:ascii="Times New Roman" w:hAnsi="Times New Roman" w:cs="Times New Roman"/>
          <w:sz w:val="28"/>
          <w:szCs w:val="28"/>
          <w:lang w:val="uk-UA"/>
        </w:rPr>
        <w:t>ла-Уолліса Н за вказаним параметром високо значущий. Проведений попарний аналіз за критерієм Манна-Уітні дає право стверджувати, що статистичні характеристики МСР-1 в сироватці крові серед дітей різних вікових груп статистично не відрізняються між собою і мають однонаправлені зміни, а тільки в порівнянні з групою контролю були отримані суттєві відмінності. Міжгрупові співвідношення рівнів МСР-1 в сироватці крові у дітей різних вікових груп, хворих на ГВ в гострий період захворювання представлені на рис. 5.1.</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drawing>
          <wp:inline distT="0" distB="0" distL="0" distR="0">
            <wp:extent cx="6041822" cy="34290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СР по возрасту усы.jp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075388" cy="3448050"/>
                    </a:xfrm>
                    <a:prstGeom prst="rect">
                      <a:avLst/>
                    </a:prstGeom>
                  </pic:spPr>
                </pic:pic>
              </a:graphicData>
            </a:graphic>
          </wp:inline>
        </w:drawing>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5.1 Рівень МСР-1 в сироватці крові у дітей різного віку, хворих на геморагічний васкуліт, в гострий період захворювання.</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Згідно даних, представлених на рис. 5.2, показники МСР-1 в сироватці крові у обстежених нами дітей, хворих на ГВ, була в майже в 4 рази більшою порівняно з показником групи контролю та не мала вірогідної різниці в залежності від статі.</w:t>
      </w:r>
    </w:p>
    <w:p w:rsidR="00BD0BF2" w:rsidRPr="004E3FE9" w:rsidRDefault="00BD0BF2" w:rsidP="00BD0BF2">
      <w:pPr>
        <w:spacing w:line="360" w:lineRule="auto"/>
        <w:contextualSpacing/>
        <w:jc w:val="both"/>
        <w:rPr>
          <w:rFonts w:ascii="Times New Roman" w:hAnsi="Times New Roman" w:cs="Times New Roman"/>
          <w:sz w:val="28"/>
          <w:szCs w:val="28"/>
          <w:lang w:val="uk-UA"/>
        </w:rPr>
      </w:pPr>
    </w:p>
    <w:p w:rsidR="00BD0BF2" w:rsidRPr="004E3FE9" w:rsidRDefault="00BD0BF2" w:rsidP="00BD0BF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drawing>
          <wp:inline distT="0" distB="0" distL="0" distR="0">
            <wp:extent cx="5959928" cy="342900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л МСР.jp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59928" cy="3429000"/>
                    </a:xfrm>
                    <a:prstGeom prst="rect">
                      <a:avLst/>
                    </a:prstGeom>
                  </pic:spPr>
                </pic:pic>
              </a:graphicData>
            </a:graphic>
          </wp:inline>
        </w:drawing>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5.2 Рівень МСР-1 в сироватці крові у дітей різної статі, хворих на геморагічний васкуліт, в гострий період захворювання.</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Проведений аналіз рівнів МСР-1 в залежності від форми захворювання: шкірної, шкірно – суглобової, змішаної та змішаної з нирковим синдромом. Відзначено, що достовірне збільшення показників МСР-1 зареєстровано при всіх формах захворювання в обстежених нами дітей з ГВ, порівняно з показни</w:t>
      </w:r>
      <w:r w:rsidR="003471C2">
        <w:rPr>
          <w:rFonts w:ascii="Times New Roman" w:hAnsi="Times New Roman" w:cs="Times New Roman"/>
          <w:sz w:val="28"/>
          <w:szCs w:val="28"/>
          <w:lang w:val="uk-UA"/>
        </w:rPr>
        <w:t>ком дітей групи контролю (р&lt;0,01</w:t>
      </w:r>
      <w:r w:rsidRPr="004E3FE9">
        <w:rPr>
          <w:rFonts w:ascii="Times New Roman" w:hAnsi="Times New Roman" w:cs="Times New Roman"/>
          <w:sz w:val="28"/>
          <w:szCs w:val="28"/>
          <w:lang w:val="uk-UA"/>
        </w:rPr>
        <w:t xml:space="preserve">), але найвищий результат був при змішаній формі з нирковим синдромом – 2350,6 (2225,3;2864,3) пг/мл, що в 6,3 рази вище відносно результату групи контролю. У пацієнтів зі шкірно-суглобовою та змішаною формами рівні МСР-1 достовірно не різнились та склали 1239,4 (900,4;1627,4) пг/мл та 1290,6 (980,6;2039,4) пг/мл відповідно. </w:t>
      </w:r>
      <w:r w:rsidRPr="004E3FE9">
        <w:rPr>
          <w:rFonts w:ascii="Times New Roman" w:hAnsi="Times New Roman" w:cs="Times New Roman"/>
          <w:sz w:val="28"/>
          <w:szCs w:val="28"/>
          <w:lang w:val="uk-UA"/>
        </w:rPr>
        <w:lastRenderedPageBreak/>
        <w:t xml:space="preserve">Найнижчий результат зафіксовано у хворих зі шкірною формою ГВ (958,6 (880,3;1065,4) пг/мл) (табл. 5.2). </w:t>
      </w:r>
    </w:p>
    <w:p w:rsidR="00BD0BF2" w:rsidRPr="004E3FE9" w:rsidRDefault="00BD0BF2" w:rsidP="001056B7">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Порівняння рівнів моноцитарного хемо</w:t>
      </w:r>
      <w:r w:rsidR="00E64508">
        <w:rPr>
          <w:rFonts w:ascii="Times New Roman" w:hAnsi="Times New Roman" w:cs="Times New Roman"/>
          <w:sz w:val="28"/>
          <w:szCs w:val="28"/>
          <w:lang w:val="uk-UA"/>
        </w:rPr>
        <w:t>а</w:t>
      </w:r>
      <w:r w:rsidRPr="004E3FE9">
        <w:rPr>
          <w:rFonts w:ascii="Times New Roman" w:hAnsi="Times New Roman" w:cs="Times New Roman"/>
          <w:sz w:val="28"/>
          <w:szCs w:val="28"/>
          <w:lang w:val="uk-UA"/>
        </w:rPr>
        <w:t>трактантного протеїну 1 в залежності від форми ГВ в гострий період захворю</w:t>
      </w:r>
      <w:r w:rsidR="001056B7">
        <w:rPr>
          <w:rFonts w:ascii="Times New Roman" w:hAnsi="Times New Roman" w:cs="Times New Roman"/>
          <w:sz w:val="28"/>
          <w:szCs w:val="28"/>
          <w:lang w:val="uk-UA"/>
        </w:rPr>
        <w:t>вання представлено на рис. 5.3.</w:t>
      </w:r>
    </w:p>
    <w:p w:rsidR="00BD0BF2" w:rsidRPr="001056B7" w:rsidRDefault="00BD0BF2" w:rsidP="00BD0BF2">
      <w:pPr>
        <w:spacing w:line="360" w:lineRule="auto"/>
        <w:ind w:firstLine="709"/>
        <w:contextualSpacing/>
        <w:jc w:val="right"/>
        <w:rPr>
          <w:rFonts w:ascii="Times New Roman" w:hAnsi="Times New Roman" w:cs="Times New Roman"/>
          <w:i/>
          <w:sz w:val="28"/>
          <w:szCs w:val="28"/>
          <w:lang w:val="uk-UA"/>
        </w:rPr>
      </w:pPr>
      <w:r w:rsidRPr="001056B7">
        <w:rPr>
          <w:rFonts w:ascii="Times New Roman" w:hAnsi="Times New Roman" w:cs="Times New Roman"/>
          <w:i/>
          <w:sz w:val="28"/>
          <w:szCs w:val="28"/>
          <w:lang w:val="uk-UA"/>
        </w:rPr>
        <w:t>Таблиця 5.2</w:t>
      </w:r>
    </w:p>
    <w:p w:rsidR="00BD0BF2" w:rsidRPr="004E3FE9" w:rsidRDefault="00BD0BF2" w:rsidP="00BD0BF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b/>
          <w:sz w:val="28"/>
          <w:szCs w:val="28"/>
          <w:lang w:val="uk-UA"/>
        </w:rPr>
        <w:t>Показники МСР-1 в сироватці крові  у дітей в залежності від форми Г</w:t>
      </w:r>
      <w:r w:rsidR="003471C2">
        <w:rPr>
          <w:rFonts w:ascii="Times New Roman" w:hAnsi="Times New Roman" w:cs="Times New Roman"/>
          <w:b/>
          <w:sz w:val="28"/>
          <w:szCs w:val="28"/>
          <w:lang w:val="uk-UA"/>
        </w:rPr>
        <w:t>В в гострий період захворювання</w:t>
      </w:r>
    </w:p>
    <w:tbl>
      <w:tblPr>
        <w:tblStyle w:val="a8"/>
        <w:tblW w:w="9498" w:type="dxa"/>
        <w:tblInd w:w="108" w:type="dxa"/>
        <w:tblLayout w:type="fixed"/>
        <w:tblLook w:val="04A0"/>
      </w:tblPr>
      <w:tblGrid>
        <w:gridCol w:w="1560"/>
        <w:gridCol w:w="992"/>
        <w:gridCol w:w="1382"/>
        <w:gridCol w:w="1382"/>
        <w:gridCol w:w="1382"/>
        <w:gridCol w:w="1382"/>
        <w:gridCol w:w="1418"/>
      </w:tblGrid>
      <w:tr w:rsidR="00BD0BF2" w:rsidRPr="004E3FE9" w:rsidTr="00721EA2">
        <w:trPr>
          <w:cantSplit/>
          <w:trHeight w:val="454"/>
        </w:trPr>
        <w:tc>
          <w:tcPr>
            <w:tcW w:w="1560" w:type="dxa"/>
            <w:vMerge w:val="restart"/>
            <w:vAlign w:val="center"/>
          </w:tcPr>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992" w:type="dxa"/>
            <w:vMerge w:val="restart"/>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528" w:type="dxa"/>
            <w:gridSpan w:val="4"/>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Форма геморагічного васкуліту</w:t>
            </w:r>
          </w:p>
        </w:tc>
        <w:tc>
          <w:tcPr>
            <w:tcW w:w="1418" w:type="dxa"/>
            <w:vMerge w:val="restart"/>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r>
      <w:tr w:rsidR="00BD0BF2" w:rsidRPr="004E3FE9" w:rsidTr="00721EA2">
        <w:trPr>
          <w:cantSplit/>
          <w:trHeight w:val="1757"/>
        </w:trPr>
        <w:tc>
          <w:tcPr>
            <w:tcW w:w="1560" w:type="dxa"/>
            <w:vMerge/>
            <w:vAlign w:val="center"/>
          </w:tcPr>
          <w:p w:rsidR="00BD0BF2" w:rsidRPr="004E3FE9" w:rsidRDefault="00BD0BF2" w:rsidP="00721EA2">
            <w:pPr>
              <w:spacing w:line="360" w:lineRule="auto"/>
              <w:ind w:right="141"/>
              <w:contextualSpacing/>
              <w:rPr>
                <w:rFonts w:ascii="Times New Roman" w:hAnsi="Times New Roman" w:cs="Times New Roman"/>
                <w:sz w:val="28"/>
                <w:szCs w:val="28"/>
                <w:lang w:val="uk-UA"/>
              </w:rPr>
            </w:pPr>
          </w:p>
        </w:tc>
        <w:tc>
          <w:tcPr>
            <w:tcW w:w="992" w:type="dxa"/>
            <w:vMerge/>
            <w:vAlign w:val="center"/>
          </w:tcPr>
          <w:p w:rsidR="00BD0BF2" w:rsidRPr="004E3FE9" w:rsidRDefault="00BD0BF2" w:rsidP="00721EA2">
            <w:pPr>
              <w:spacing w:line="360" w:lineRule="auto"/>
              <w:ind w:right="141"/>
              <w:contextualSpacing/>
              <w:rPr>
                <w:rFonts w:ascii="Times New Roman" w:hAnsi="Times New Roman" w:cs="Times New Roman"/>
                <w:sz w:val="28"/>
                <w:szCs w:val="28"/>
                <w:lang w:val="uk-UA"/>
              </w:rPr>
            </w:pPr>
          </w:p>
        </w:tc>
        <w:tc>
          <w:tcPr>
            <w:tcW w:w="1382" w:type="dxa"/>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Шкірна </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(n= 8) </w:t>
            </w:r>
          </w:p>
        </w:tc>
        <w:tc>
          <w:tcPr>
            <w:tcW w:w="1382" w:type="dxa"/>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Шкірно-</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суглобова</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(n=24)</w:t>
            </w:r>
          </w:p>
        </w:tc>
        <w:tc>
          <w:tcPr>
            <w:tcW w:w="1382" w:type="dxa"/>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382" w:type="dxa"/>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 з</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нирковим синдромом</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(n=9)</w:t>
            </w:r>
          </w:p>
        </w:tc>
        <w:tc>
          <w:tcPr>
            <w:tcW w:w="1418" w:type="dxa"/>
            <w:vMerge/>
            <w:textDirection w:val="btLr"/>
            <w:vAlign w:val="center"/>
          </w:tcPr>
          <w:p w:rsidR="00BD0BF2" w:rsidRPr="004E3FE9" w:rsidRDefault="00BD0BF2" w:rsidP="00721EA2">
            <w:pPr>
              <w:spacing w:line="360" w:lineRule="auto"/>
              <w:ind w:left="113" w:right="141"/>
              <w:contextualSpacing/>
              <w:rPr>
                <w:rFonts w:ascii="Times New Roman" w:hAnsi="Times New Roman" w:cs="Times New Roman"/>
                <w:sz w:val="28"/>
                <w:szCs w:val="28"/>
                <w:lang w:val="uk-UA"/>
              </w:rPr>
            </w:pPr>
          </w:p>
        </w:tc>
      </w:tr>
      <w:tr w:rsidR="00BD0BF2" w:rsidRPr="004E3FE9" w:rsidTr="00721EA2">
        <w:trPr>
          <w:trHeight w:val="1569"/>
        </w:trPr>
        <w:tc>
          <w:tcPr>
            <w:tcW w:w="156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МСР-1,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пг/мл</w:t>
            </w:r>
          </w:p>
        </w:tc>
        <w:tc>
          <w:tcPr>
            <w:tcW w:w="992"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38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958,6</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880,3</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1065,4*</w:t>
            </w:r>
          </w:p>
        </w:tc>
        <w:tc>
          <w:tcPr>
            <w:tcW w:w="1382" w:type="dxa"/>
            <w:vAlign w:val="center"/>
          </w:tcPr>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1239,4</w:t>
            </w:r>
          </w:p>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900,4</w:t>
            </w:r>
          </w:p>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1627,4*</w:t>
            </w:r>
          </w:p>
        </w:tc>
        <w:tc>
          <w:tcPr>
            <w:tcW w:w="138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1290,6</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980,6 2039,4*</w:t>
            </w:r>
          </w:p>
        </w:tc>
        <w:tc>
          <w:tcPr>
            <w:tcW w:w="138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2350,6</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2225,3 2864,3*</w:t>
            </w:r>
          </w:p>
        </w:tc>
        <w:tc>
          <w:tcPr>
            <w:tcW w:w="141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370,6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350,3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400,0</w:t>
            </w:r>
          </w:p>
        </w:tc>
      </w:tr>
      <w:tr w:rsidR="00BD0BF2" w:rsidRPr="004E3FE9" w:rsidTr="00721EA2">
        <w:trPr>
          <w:trHeight w:val="1569"/>
        </w:trPr>
        <w:tc>
          <w:tcPr>
            <w:tcW w:w="9498" w:type="dxa"/>
            <w:gridSpan w:val="7"/>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KW H=52,92, р=0,0000; MW р</w:t>
            </w:r>
            <w:r w:rsidRPr="004E3FE9">
              <w:rPr>
                <w:rFonts w:ascii="Times New Roman" w:hAnsi="Times New Roman" w:cs="Times New Roman"/>
                <w:sz w:val="28"/>
                <w:szCs w:val="28"/>
                <w:vertAlign w:val="subscript"/>
                <w:lang w:val="uk-UA"/>
              </w:rPr>
              <w:t>1-2</w:t>
            </w:r>
            <w:r w:rsidRPr="004E3FE9">
              <w:rPr>
                <w:rFonts w:ascii="Times New Roman" w:hAnsi="Times New Roman" w:cs="Times New Roman"/>
                <w:sz w:val="28"/>
                <w:szCs w:val="28"/>
                <w:lang w:val="uk-UA"/>
              </w:rPr>
              <w:t>=0,6015, р</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=0,0710, р</w:t>
            </w:r>
            <w:r w:rsidRPr="004E3FE9">
              <w:rPr>
                <w:rFonts w:ascii="Times New Roman" w:hAnsi="Times New Roman" w:cs="Times New Roman"/>
                <w:sz w:val="28"/>
                <w:szCs w:val="28"/>
                <w:vertAlign w:val="subscript"/>
                <w:lang w:val="uk-UA"/>
              </w:rPr>
              <w:t>1-4</w:t>
            </w:r>
            <w:r w:rsidRPr="004E3FE9">
              <w:rPr>
                <w:rFonts w:ascii="Times New Roman" w:hAnsi="Times New Roman" w:cs="Times New Roman"/>
                <w:sz w:val="28"/>
                <w:szCs w:val="28"/>
                <w:lang w:val="uk-UA"/>
              </w:rPr>
              <w:t>=0,0005**, р</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=0,1389, р</w:t>
            </w:r>
            <w:r w:rsidRPr="004E3FE9">
              <w:rPr>
                <w:rFonts w:ascii="Times New Roman" w:hAnsi="Times New Roman" w:cs="Times New Roman"/>
                <w:sz w:val="28"/>
                <w:szCs w:val="28"/>
                <w:vertAlign w:val="subscript"/>
                <w:lang w:val="uk-UA"/>
              </w:rPr>
              <w:t>2-4</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3-4</w:t>
            </w:r>
            <w:r w:rsidRPr="004E3FE9">
              <w:rPr>
                <w:rFonts w:ascii="Times New Roman" w:hAnsi="Times New Roman" w:cs="Times New Roman"/>
                <w:sz w:val="28"/>
                <w:szCs w:val="28"/>
                <w:lang w:val="uk-UA"/>
              </w:rPr>
              <w:t>=0,0002**, р</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 xml:space="preserve">=0,0000*, </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к-4</w:t>
            </w:r>
            <w:r w:rsidRPr="004E3FE9">
              <w:rPr>
                <w:rFonts w:ascii="Times New Roman" w:hAnsi="Times New Roman" w:cs="Times New Roman"/>
                <w:sz w:val="28"/>
                <w:szCs w:val="28"/>
                <w:lang w:val="uk-UA"/>
              </w:rPr>
              <w:t>=0,0000*</w:t>
            </w:r>
          </w:p>
        </w:tc>
      </w:tr>
    </w:tbl>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Примітки:* - р&lt;0,01- різниця вірогідна з показниками дітей групи контролю; ** - рівень статистичної значущості, згідно поправки Бонфероні, при порівнянні показників різних груп – р&lt;0,01; 1 – шкірна форма; 2 – шкірно-суглобова форма; 3 – змішана форма; 4 – змішана форма з нирковим синдромом, к – група контролю.</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3471C2" w:rsidP="00BD0BF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Критерій Краск</w:t>
      </w:r>
      <w:r w:rsidR="00BD0BF2" w:rsidRPr="004E3FE9">
        <w:rPr>
          <w:rFonts w:ascii="Times New Roman" w:hAnsi="Times New Roman" w:cs="Times New Roman"/>
          <w:sz w:val="28"/>
          <w:szCs w:val="28"/>
          <w:lang w:val="uk-UA"/>
        </w:rPr>
        <w:t xml:space="preserve">ла-Уолліса для показників МСР-1 виявився високо значущий та склав 52,92, при р=0,0000, що вказує на наявність відмінностей серед порівнювальних груп. Враховуючи це, проведено аналіз попарного порівняння за критерієм Манна-Уітні та встановлені статистично значущі відмінності рівнів МСР-1 у дітей означених форм ГВ відносно показників </w:t>
      </w:r>
      <w:r w:rsidR="00BD0BF2" w:rsidRPr="004E3FE9">
        <w:rPr>
          <w:rFonts w:ascii="Times New Roman" w:hAnsi="Times New Roman" w:cs="Times New Roman"/>
          <w:sz w:val="28"/>
          <w:szCs w:val="28"/>
          <w:lang w:val="uk-UA"/>
        </w:rPr>
        <w:lastRenderedPageBreak/>
        <w:t xml:space="preserve">групи контролю. Треба зазначити, що показники МСР-1 у дітей зі змішаною формою з нирковим синдромом достовірно відрізнялась не тільки від показників групи контролю, а й відносно всіх інших форм геморагічного васкуліту. </w:t>
      </w:r>
    </w:p>
    <w:p w:rsidR="00BD0BF2" w:rsidRPr="004E3FE9" w:rsidRDefault="00BD0BF2" w:rsidP="00BD0BF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drawing>
          <wp:inline distT="0" distB="0" distL="0" distR="0">
            <wp:extent cx="5992585" cy="3249385"/>
            <wp:effectExtent l="0" t="0" r="8255" b="825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орм МСР.jp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92586" cy="3249386"/>
                    </a:xfrm>
                    <a:prstGeom prst="rect">
                      <a:avLst/>
                    </a:prstGeom>
                  </pic:spPr>
                </pic:pic>
              </a:graphicData>
            </a:graphic>
          </wp:inline>
        </w:drawing>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5.3 Рівень МСР-1 в сироватці крові у дітей з різними формами геморагічного васкуліту, в гострий період захворювання. Примітка: 1 – шкірна форма, 2 – шкірно-суглобова форма, 3 – змішана форма, 4 – змішана форма з нирковим синдромом.</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Ураження мікроциркуляторного русла нирок при ГВ, як правило визначає прогноз захворювання, будучи потенційно небезпечним проявом. </w:t>
      </w:r>
      <w:r w:rsidR="00721EA2" w:rsidRPr="004E3FE9">
        <w:rPr>
          <w:rFonts w:ascii="Times New Roman" w:hAnsi="Times New Roman" w:cs="Times New Roman"/>
          <w:color w:val="FF0000"/>
          <w:sz w:val="28"/>
          <w:szCs w:val="28"/>
          <w:lang w:val="uk-UA"/>
        </w:rPr>
        <w:t xml:space="preserve">Показник відносного ризику розвитку ниркового синдрому у дітей з ГВ при рівні МСР-1 у сироватці крові вище ніж 2040 пг/мл склав RR=11,5 95% ДІ: 2,6-49,1. </w:t>
      </w:r>
      <w:r w:rsidRPr="004E3FE9">
        <w:rPr>
          <w:rFonts w:ascii="Times New Roman" w:hAnsi="Times New Roman" w:cs="Times New Roman"/>
          <w:color w:val="FF0000"/>
          <w:sz w:val="28"/>
          <w:szCs w:val="28"/>
          <w:lang w:val="uk-UA"/>
        </w:rPr>
        <w:t>Встановлено, що у дітей, хворих на геморагічний васкуліт</w:t>
      </w:r>
      <w:r w:rsidR="0035740A" w:rsidRPr="004E3FE9">
        <w:rPr>
          <w:rFonts w:ascii="Times New Roman" w:hAnsi="Times New Roman" w:cs="Times New Roman"/>
          <w:color w:val="FF0000"/>
          <w:sz w:val="28"/>
          <w:szCs w:val="28"/>
          <w:lang w:val="uk-UA"/>
        </w:rPr>
        <w:t xml:space="preserve">, </w:t>
      </w:r>
      <w:r w:rsidRPr="004E3FE9">
        <w:rPr>
          <w:rFonts w:ascii="Times New Roman" w:hAnsi="Times New Roman" w:cs="Times New Roman"/>
          <w:color w:val="FF0000"/>
          <w:sz w:val="28"/>
          <w:szCs w:val="28"/>
          <w:lang w:val="uk-UA"/>
        </w:rPr>
        <w:t>можна прогнозувати виникнення ниркового синдрому.</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Оцінка показників МСР-1 в залежності від активності патологічного процесу у дітей, хворих на геморагічний васкуліт вказує, на значне збільшення його значень, зокрема треба відмітити залежність рівнів МСР-1 в сироватці крові від ступеня активності ГВ. Так, у дітей з І ступенем </w:t>
      </w:r>
      <w:r w:rsidRPr="004E3FE9">
        <w:rPr>
          <w:rFonts w:ascii="Times New Roman" w:hAnsi="Times New Roman" w:cs="Times New Roman"/>
          <w:sz w:val="28"/>
          <w:szCs w:val="28"/>
          <w:lang w:val="uk-UA"/>
        </w:rPr>
        <w:lastRenderedPageBreak/>
        <w:t xml:space="preserve">активності реєстрували найменші значення (870,4 (786,5;955,3) пг/мл), у дітей із ІІ ступенем показники склали 1280,6 (1127,4;1430,2) пг/мл. Найвищі показники зафіксовано у дітей з ІІІ ступенем активності ГВ (2350,6 (2050,2;2780,6) пг/мл), що майже в 6,3 рази більше за показники дітей групи контролю (табл. 5.3). </w:t>
      </w:r>
    </w:p>
    <w:p w:rsidR="00BD0BF2" w:rsidRPr="004E3FE9" w:rsidRDefault="003471C2" w:rsidP="001056B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критерій Краск</w:t>
      </w:r>
      <w:r w:rsidR="00BD0BF2" w:rsidRPr="004E3FE9">
        <w:rPr>
          <w:rFonts w:ascii="Times New Roman" w:hAnsi="Times New Roman" w:cs="Times New Roman"/>
          <w:sz w:val="28"/>
          <w:szCs w:val="28"/>
          <w:lang w:val="uk-UA"/>
        </w:rPr>
        <w:t>ла-Уолліса рівнів МСР-1 серед представлених груп склав 70,53 при р=0,0000, що вказує на наявність відмінностей серед представлених груп. Дані отримані при попарному порівнянні вказують на достовірну різницю дітей з різним ступенем активності ГВ як відносно показників групи контр</w:t>
      </w:r>
      <w:r w:rsidR="001056B7">
        <w:rPr>
          <w:rFonts w:ascii="Times New Roman" w:hAnsi="Times New Roman" w:cs="Times New Roman"/>
          <w:sz w:val="28"/>
          <w:szCs w:val="28"/>
          <w:lang w:val="uk-UA"/>
        </w:rPr>
        <w:t>олю, так і між собою (рис. 5.4)</w:t>
      </w:r>
    </w:p>
    <w:p w:rsidR="00BD0BF2" w:rsidRPr="001056B7" w:rsidRDefault="00BD0BF2" w:rsidP="00BD0BF2">
      <w:pPr>
        <w:spacing w:line="360" w:lineRule="auto"/>
        <w:ind w:right="141"/>
        <w:contextualSpacing/>
        <w:jc w:val="right"/>
        <w:rPr>
          <w:rFonts w:ascii="Times New Roman" w:hAnsi="Times New Roman" w:cs="Times New Roman"/>
          <w:i/>
          <w:sz w:val="28"/>
          <w:szCs w:val="28"/>
          <w:lang w:val="uk-UA"/>
        </w:rPr>
      </w:pPr>
      <w:r w:rsidRPr="001056B7">
        <w:rPr>
          <w:rFonts w:ascii="Times New Roman" w:hAnsi="Times New Roman" w:cs="Times New Roman"/>
          <w:i/>
          <w:sz w:val="28"/>
          <w:szCs w:val="28"/>
          <w:lang w:val="uk-UA"/>
        </w:rPr>
        <w:t>Таблиця 5.3</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МСР-1 в сироватці крові у дітей в залежності від ступеня активності геморагічного васкуліту в гострий період захворювання.</w:t>
      </w:r>
    </w:p>
    <w:tbl>
      <w:tblPr>
        <w:tblStyle w:val="a8"/>
        <w:tblW w:w="9498" w:type="dxa"/>
        <w:tblInd w:w="108" w:type="dxa"/>
        <w:tblLayout w:type="fixed"/>
        <w:tblLook w:val="04A0"/>
      </w:tblPr>
      <w:tblGrid>
        <w:gridCol w:w="1701"/>
        <w:gridCol w:w="993"/>
        <w:gridCol w:w="1842"/>
        <w:gridCol w:w="1843"/>
        <w:gridCol w:w="1843"/>
        <w:gridCol w:w="1276"/>
      </w:tblGrid>
      <w:tr w:rsidR="00BD0BF2" w:rsidRPr="004E3FE9" w:rsidTr="00721EA2">
        <w:trPr>
          <w:trHeight w:val="964"/>
        </w:trPr>
        <w:tc>
          <w:tcPr>
            <w:tcW w:w="1701" w:type="dxa"/>
            <w:vMerge w:val="restart"/>
          </w:tcPr>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993" w:type="dxa"/>
            <w:vMerge w:val="restart"/>
            <w:textDirection w:val="btLr"/>
          </w:tcPr>
          <w:p w:rsidR="00BD0BF2" w:rsidRPr="004E3FE9" w:rsidRDefault="00BD0BF2" w:rsidP="00721EA2">
            <w:pPr>
              <w:spacing w:line="360" w:lineRule="auto"/>
              <w:ind w:left="113"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528" w:type="dxa"/>
            <w:gridSpan w:val="3"/>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1276" w:type="dxa"/>
            <w:vMerge w:val="restart"/>
            <w:textDirection w:val="btL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p>
        </w:tc>
      </w:tr>
      <w:tr w:rsidR="00BD0BF2" w:rsidRPr="004E3FE9" w:rsidTr="00721EA2">
        <w:trPr>
          <w:trHeight w:val="1010"/>
        </w:trPr>
        <w:tc>
          <w:tcPr>
            <w:tcW w:w="1701" w:type="dxa"/>
            <w:vMerge/>
          </w:tcPr>
          <w:p w:rsidR="00BD0BF2" w:rsidRPr="004E3FE9" w:rsidRDefault="00BD0BF2" w:rsidP="00721EA2">
            <w:pPr>
              <w:spacing w:line="360" w:lineRule="auto"/>
              <w:ind w:right="141"/>
              <w:contextualSpacing/>
              <w:rPr>
                <w:rFonts w:ascii="Times New Roman" w:hAnsi="Times New Roman" w:cs="Times New Roman"/>
                <w:sz w:val="28"/>
                <w:szCs w:val="28"/>
                <w:lang w:val="uk-UA"/>
              </w:rPr>
            </w:pPr>
          </w:p>
        </w:tc>
        <w:tc>
          <w:tcPr>
            <w:tcW w:w="993" w:type="dxa"/>
            <w:vMerge/>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p>
        </w:tc>
        <w:tc>
          <w:tcPr>
            <w:tcW w:w="1842"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843"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1843"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276" w:type="dxa"/>
            <w:vMerge/>
          </w:tcPr>
          <w:p w:rsidR="00BD0BF2" w:rsidRPr="004E3FE9" w:rsidRDefault="00BD0BF2" w:rsidP="00721EA2">
            <w:pPr>
              <w:spacing w:line="360" w:lineRule="auto"/>
              <w:ind w:right="141"/>
              <w:contextualSpacing/>
              <w:rPr>
                <w:rFonts w:ascii="Times New Roman" w:hAnsi="Times New Roman" w:cs="Times New Roman"/>
                <w:sz w:val="28"/>
                <w:szCs w:val="28"/>
                <w:lang w:val="uk-UA"/>
              </w:rPr>
            </w:pPr>
          </w:p>
        </w:tc>
      </w:tr>
      <w:tr w:rsidR="00BD0BF2" w:rsidRPr="004E3FE9" w:rsidTr="00721EA2">
        <w:trPr>
          <w:trHeight w:val="1569"/>
        </w:trPr>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МСР-1,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пг/мл</w:t>
            </w:r>
          </w:p>
        </w:tc>
        <w:tc>
          <w:tcPr>
            <w:tcW w:w="993"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42"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870,4</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786,5</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955,3*</w:t>
            </w:r>
          </w:p>
        </w:tc>
        <w:tc>
          <w:tcPr>
            <w:tcW w:w="1843" w:type="dxa"/>
            <w:vAlign w:val="center"/>
          </w:tcPr>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1280,6</w:t>
            </w:r>
          </w:p>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1127,4</w:t>
            </w:r>
          </w:p>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1430,2*</w:t>
            </w:r>
          </w:p>
        </w:tc>
        <w:tc>
          <w:tcPr>
            <w:tcW w:w="184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2350,6</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2050,2</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2780,6*</w:t>
            </w:r>
          </w:p>
        </w:tc>
        <w:tc>
          <w:tcPr>
            <w:tcW w:w="127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370,6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350,3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400,0</w:t>
            </w:r>
          </w:p>
        </w:tc>
      </w:tr>
      <w:tr w:rsidR="00BD0BF2" w:rsidRPr="00810999" w:rsidTr="00721EA2">
        <w:trPr>
          <w:trHeight w:val="1132"/>
        </w:trPr>
        <w:tc>
          <w:tcPr>
            <w:tcW w:w="9498" w:type="dxa"/>
            <w:gridSpan w:val="6"/>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KW H=70,53, р=0,0000,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=0,0000*,р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=0,0000*</w:t>
            </w:r>
          </w:p>
        </w:tc>
      </w:tr>
    </w:tbl>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Примітки:* - р&lt;0,01- різниця вірогідна з показниками дітей групи контролю; ** - рівень статистичної значущості, згідно поправки Бонфероні, при порівнянні показників різних груп – р&lt;0,01; І, ІІ, ІІІ – ступінь активності геморагічного васкуліту.</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Default="00BD0BF2" w:rsidP="00BD0BF2">
      <w:pPr>
        <w:spacing w:line="360" w:lineRule="auto"/>
        <w:ind w:firstLine="709"/>
        <w:contextualSpacing/>
        <w:jc w:val="both"/>
        <w:rPr>
          <w:rFonts w:ascii="Times New Roman" w:hAnsi="Times New Roman" w:cs="Times New Roman"/>
          <w:sz w:val="28"/>
          <w:szCs w:val="28"/>
          <w:lang w:val="uk-UA"/>
        </w:rPr>
      </w:pPr>
    </w:p>
    <w:p w:rsidR="00283E39" w:rsidRPr="004E3FE9" w:rsidRDefault="00283E39"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drawing>
          <wp:inline distT="0" distB="0" distL="0" distR="0">
            <wp:extent cx="6025241" cy="29718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тепень МСР.jp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025243" cy="2971801"/>
                    </a:xfrm>
                    <a:prstGeom prst="rect">
                      <a:avLst/>
                    </a:prstGeom>
                  </pic:spPr>
                </pic:pic>
              </a:graphicData>
            </a:graphic>
          </wp:inline>
        </w:drawing>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5.4 Рівень МСР-1 в сироватці крові у дітей з різними ступенями активності геморагічного васкуліту, в гострий період захворювання. Примітка: І, ІІ, ІІІ – ступень активності ГВ.</w:t>
      </w:r>
    </w:p>
    <w:p w:rsidR="00BD0BF2" w:rsidRPr="004E3FE9" w:rsidRDefault="00BD0BF2" w:rsidP="00283E39">
      <w:pPr>
        <w:spacing w:line="360" w:lineRule="auto"/>
        <w:contextualSpacing/>
        <w:jc w:val="both"/>
        <w:rPr>
          <w:rFonts w:ascii="Times New Roman" w:hAnsi="Times New Roman" w:cs="Times New Roman"/>
          <w:sz w:val="28"/>
          <w:szCs w:val="28"/>
          <w:lang w:val="uk-UA"/>
        </w:rPr>
      </w:pPr>
    </w:p>
    <w:p w:rsidR="00BD0BF2"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Нами проведено дослідження рівнів МСР-1 в сироватці крові у дітей різних вікових груп, хворих на ГВ в період клініко-лабораторної ремісії. Зазначимо, що при проведенні множинного порівняння рівнів МСР-1 за критерієм Краскела-Уоліса існує статистично значуща відмінність серед означених груп. У дітей дошкільного віку рівні МСР-1 в сироватці крові склали 1086,4 (760,5;1494,1) пг/мл, у дітей від 7 до 12 років – 1293,3 (758,3;2003,8) пг/мл та у дітей старшого віку цей показник склав 1065,6 (876,2;1106,5) пг/мл. проте відмінностей серед вікових груп не виявлено. Під час попарного порівняння показників МСР-1 різних вікових груп статистично значущих відмінностей не виявлено. Проте існує достовірна відмінність показників всіх вікових груп в порівнянні з показниками дітей групи контролю (табл. 5.4).</w:t>
      </w:r>
    </w:p>
    <w:p w:rsidR="00283E39" w:rsidRDefault="00283E39" w:rsidP="00BD0BF2">
      <w:pPr>
        <w:spacing w:line="360" w:lineRule="auto"/>
        <w:ind w:right="142" w:firstLine="709"/>
        <w:contextualSpacing/>
        <w:jc w:val="both"/>
        <w:rPr>
          <w:rFonts w:ascii="Times New Roman" w:hAnsi="Times New Roman" w:cs="Times New Roman"/>
          <w:sz w:val="28"/>
          <w:szCs w:val="28"/>
          <w:lang w:val="uk-UA"/>
        </w:rPr>
      </w:pPr>
    </w:p>
    <w:p w:rsidR="00283E39" w:rsidRDefault="00283E39" w:rsidP="00BD0BF2">
      <w:pPr>
        <w:spacing w:line="360" w:lineRule="auto"/>
        <w:ind w:right="142"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1"/>
        <w:contextualSpacing/>
        <w:jc w:val="right"/>
        <w:rPr>
          <w:rFonts w:ascii="Times New Roman" w:hAnsi="Times New Roman" w:cs="Times New Roman"/>
          <w:sz w:val="28"/>
          <w:szCs w:val="28"/>
          <w:lang w:val="uk-UA"/>
        </w:rPr>
      </w:pPr>
    </w:p>
    <w:p w:rsidR="00BD0BF2" w:rsidRPr="00283E39" w:rsidRDefault="00BD0BF2" w:rsidP="00BD0BF2">
      <w:pPr>
        <w:spacing w:line="360" w:lineRule="auto"/>
        <w:ind w:right="141"/>
        <w:contextualSpacing/>
        <w:jc w:val="right"/>
        <w:rPr>
          <w:rFonts w:ascii="Times New Roman" w:hAnsi="Times New Roman" w:cs="Times New Roman"/>
          <w:i/>
          <w:sz w:val="28"/>
          <w:szCs w:val="28"/>
          <w:lang w:val="uk-UA"/>
        </w:rPr>
      </w:pPr>
      <w:r w:rsidRPr="00283E39">
        <w:rPr>
          <w:rFonts w:ascii="Times New Roman" w:hAnsi="Times New Roman" w:cs="Times New Roman"/>
          <w:i/>
          <w:sz w:val="28"/>
          <w:szCs w:val="28"/>
          <w:lang w:val="uk-UA"/>
        </w:rPr>
        <w:lastRenderedPageBreak/>
        <w:t>Таблиця 5.4</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МСР-1 у дітей різного віку, хворих на геморагічний васкуліт в період клініко-лабораторної р</w:t>
      </w:r>
      <w:r w:rsidR="003471C2">
        <w:rPr>
          <w:rFonts w:ascii="Times New Roman" w:hAnsi="Times New Roman" w:cs="Times New Roman"/>
          <w:b/>
          <w:sz w:val="28"/>
          <w:szCs w:val="28"/>
          <w:lang w:val="uk-UA"/>
        </w:rPr>
        <w:t>емісії захворювання, (Me(Lq;Uq))</w:t>
      </w:r>
    </w:p>
    <w:tbl>
      <w:tblPr>
        <w:tblStyle w:val="a8"/>
        <w:tblW w:w="9468" w:type="dxa"/>
        <w:tblInd w:w="108" w:type="dxa"/>
        <w:tblLayout w:type="fixed"/>
        <w:tblLook w:val="04A0"/>
      </w:tblPr>
      <w:tblGrid>
        <w:gridCol w:w="1985"/>
        <w:gridCol w:w="1701"/>
        <w:gridCol w:w="1927"/>
        <w:gridCol w:w="1758"/>
        <w:gridCol w:w="2097"/>
      </w:tblGrid>
      <w:tr w:rsidR="00BD0BF2" w:rsidRPr="004E3FE9" w:rsidTr="00721EA2">
        <w:trPr>
          <w:trHeight w:val="366"/>
        </w:trPr>
        <w:tc>
          <w:tcPr>
            <w:tcW w:w="1985" w:type="dxa"/>
            <w:vMerge w:val="restart"/>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1701" w:type="dxa"/>
            <w:vMerge w:val="restart"/>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(к)</w:t>
            </w:r>
          </w:p>
          <w:p w:rsidR="00BD0BF2" w:rsidRPr="004E3FE9" w:rsidRDefault="00BD0BF2" w:rsidP="00721EA2">
            <w:pPr>
              <w:spacing w:line="360" w:lineRule="auto"/>
              <w:ind w:right="141"/>
              <w:contextualSpacing/>
              <w:rPr>
                <w:rFonts w:ascii="Times New Roman" w:hAnsi="Times New Roman" w:cs="Times New Roman"/>
                <w:sz w:val="28"/>
                <w:szCs w:val="28"/>
                <w:lang w:val="uk-UA"/>
              </w:rPr>
            </w:pP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c>
          <w:tcPr>
            <w:tcW w:w="5782" w:type="dxa"/>
            <w:gridSpan w:val="3"/>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Вік дітей, хворих на ГВ</w:t>
            </w:r>
          </w:p>
        </w:tc>
      </w:tr>
      <w:tr w:rsidR="00BD0BF2" w:rsidRPr="00810999" w:rsidTr="00721EA2">
        <w:trPr>
          <w:trHeight w:val="1547"/>
        </w:trPr>
        <w:tc>
          <w:tcPr>
            <w:tcW w:w="1985" w:type="dxa"/>
            <w:vMerge/>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701" w:type="dxa"/>
            <w:vMerge/>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p>
        </w:tc>
        <w:tc>
          <w:tcPr>
            <w:tcW w:w="1927" w:type="dxa"/>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 рік – 6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n=29</w:t>
            </w:r>
          </w:p>
        </w:tc>
        <w:tc>
          <w:tcPr>
            <w:tcW w:w="1758"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7 років – 12 років 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n=23</w:t>
            </w:r>
          </w:p>
        </w:tc>
        <w:tc>
          <w:tcPr>
            <w:tcW w:w="2097" w:type="dxa"/>
            <w:vAlign w:val="center"/>
          </w:tcPr>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13 років - 17 років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eastAsia="Times New Roman" w:hAnsi="Times New Roman" w:cs="Times New Roman"/>
                <w:sz w:val="28"/>
                <w:szCs w:val="28"/>
                <w:lang w:val="uk-UA" w:eastAsia="ru-RU"/>
              </w:rPr>
              <w:t>11 міс 29 днів</w:t>
            </w:r>
          </w:p>
          <w:p w:rsidR="00BD0BF2" w:rsidRPr="004E3FE9" w:rsidRDefault="00BD0BF2" w:rsidP="00721EA2">
            <w:pPr>
              <w:spacing w:line="360" w:lineRule="auto"/>
              <w:ind w:right="141"/>
              <w:contextualSpacing/>
              <w:jc w:val="center"/>
              <w:rPr>
                <w:rFonts w:ascii="Times New Roman" w:eastAsia="Times New Roman" w:hAnsi="Times New Roman" w:cs="Times New Roman"/>
                <w:sz w:val="28"/>
                <w:szCs w:val="28"/>
                <w:lang w:val="uk-UA" w:eastAsia="ru-RU"/>
              </w:rPr>
            </w:pPr>
            <w:r w:rsidRPr="004E3FE9">
              <w:rPr>
                <w:rFonts w:ascii="Times New Roman" w:hAnsi="Times New Roman" w:cs="Times New Roman"/>
                <w:sz w:val="28"/>
                <w:szCs w:val="28"/>
                <w:lang w:val="uk-UA"/>
              </w:rPr>
              <w:t>n=8</w:t>
            </w:r>
          </w:p>
        </w:tc>
      </w:tr>
      <w:tr w:rsidR="00BD0BF2" w:rsidRPr="004E3FE9" w:rsidTr="00721EA2">
        <w:trPr>
          <w:trHeight w:val="1330"/>
        </w:trPr>
        <w:tc>
          <w:tcPr>
            <w:tcW w:w="1985"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МСР-1, </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пг/мл</w:t>
            </w:r>
          </w:p>
        </w:tc>
        <w:tc>
          <w:tcPr>
            <w:tcW w:w="1701"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370,6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(350,3;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400,0)</w:t>
            </w:r>
          </w:p>
        </w:tc>
        <w:tc>
          <w:tcPr>
            <w:tcW w:w="1927"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1086,4 (760,5;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1494,1)*</w:t>
            </w:r>
          </w:p>
        </w:tc>
        <w:tc>
          <w:tcPr>
            <w:tcW w:w="1758"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1293,3 (758,3;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2003,8)*</w:t>
            </w:r>
          </w:p>
        </w:tc>
        <w:tc>
          <w:tcPr>
            <w:tcW w:w="2097"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1065,6 </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(876,2;</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1106,5)*</w:t>
            </w:r>
          </w:p>
        </w:tc>
      </w:tr>
      <w:tr w:rsidR="00BD0BF2" w:rsidRPr="004E3FE9" w:rsidTr="00721EA2">
        <w:trPr>
          <w:trHeight w:val="855"/>
        </w:trPr>
        <w:tc>
          <w:tcPr>
            <w:tcW w:w="9468" w:type="dxa"/>
            <w:gridSpan w:val="5"/>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KW H=39,68, р=0,0000, MW р</w:t>
            </w:r>
            <w:r w:rsidRPr="004E3FE9">
              <w:rPr>
                <w:rFonts w:ascii="Times New Roman" w:hAnsi="Times New Roman" w:cs="Times New Roman"/>
                <w:sz w:val="28"/>
                <w:szCs w:val="28"/>
                <w:vertAlign w:val="subscript"/>
                <w:lang w:val="uk-UA"/>
              </w:rPr>
              <w:t>1-2</w:t>
            </w:r>
            <w:r w:rsidRPr="004E3FE9">
              <w:rPr>
                <w:rFonts w:ascii="Times New Roman" w:hAnsi="Times New Roman" w:cs="Times New Roman"/>
                <w:sz w:val="28"/>
                <w:szCs w:val="28"/>
                <w:lang w:val="uk-UA"/>
              </w:rPr>
              <w:t>=0,4018, р</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=0,8826, р</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=0,4965,</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=0,0000*</w:t>
            </w:r>
          </w:p>
        </w:tc>
      </w:tr>
    </w:tbl>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Примітки: :* - р&lt;0,01- різниця вірогідна з показниками дітей групи контролю; 1 – пацієнти  від 1 до 6 років; 2 – пацієнти від 7 до 12 років; 3 – пацієнти від 13 до 17 років.</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Аналіз результатів МСР-1 в сироватці крові в період клініко-лабораторної ремісії в залежності від форми ГВ вказує на збереження високих значень їх рівнів відносно показників групи контролю, що підтверджується достовірними значеннями отриманими при попарному порівнянні за критерієм Мана-Уітні. Також на фоні проведеної терапії залишились високі значення МСР-1 у дітей зі змішаною формою та нирковим синдромом (2254,0 (2003,8;2517,4) пг/мл) в порівнянні з показниками інших форм захворювання. Найнижчі показники зареєстровані у дітей зі шкірною формою (763,9 (715,4;1083,5) пг/мл.  (табл. 5.5).</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4F59FF" w:rsidRPr="004E3FE9" w:rsidRDefault="004F59FF" w:rsidP="00BD0BF2">
      <w:pPr>
        <w:spacing w:line="360" w:lineRule="auto"/>
        <w:ind w:firstLine="709"/>
        <w:contextualSpacing/>
        <w:jc w:val="both"/>
        <w:rPr>
          <w:rFonts w:ascii="Times New Roman" w:hAnsi="Times New Roman" w:cs="Times New Roman"/>
          <w:sz w:val="28"/>
          <w:szCs w:val="28"/>
          <w:lang w:val="uk-UA"/>
        </w:rPr>
      </w:pPr>
    </w:p>
    <w:p w:rsidR="00BD0BF2" w:rsidRPr="00283E39" w:rsidRDefault="00BD0BF2" w:rsidP="00BD0BF2">
      <w:pPr>
        <w:spacing w:line="360" w:lineRule="auto"/>
        <w:ind w:firstLine="709"/>
        <w:contextualSpacing/>
        <w:jc w:val="right"/>
        <w:rPr>
          <w:rFonts w:ascii="Times New Roman" w:hAnsi="Times New Roman" w:cs="Times New Roman"/>
          <w:i/>
          <w:sz w:val="28"/>
          <w:szCs w:val="28"/>
          <w:lang w:val="uk-UA"/>
        </w:rPr>
      </w:pPr>
      <w:r w:rsidRPr="00283E39">
        <w:rPr>
          <w:rFonts w:ascii="Times New Roman" w:hAnsi="Times New Roman" w:cs="Times New Roman"/>
          <w:i/>
          <w:sz w:val="28"/>
          <w:szCs w:val="28"/>
          <w:lang w:val="uk-UA"/>
        </w:rPr>
        <w:lastRenderedPageBreak/>
        <w:t>Таблиця 5.5</w:t>
      </w:r>
    </w:p>
    <w:p w:rsidR="00BD0BF2" w:rsidRPr="004E3FE9" w:rsidRDefault="00BD0BF2" w:rsidP="00BD0BF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b/>
          <w:sz w:val="28"/>
          <w:szCs w:val="28"/>
          <w:lang w:val="uk-UA"/>
        </w:rPr>
        <w:t>Показники МСР-1 в сироватці крові у дітей в залежності від форми ГВ в період клініко-ла</w:t>
      </w:r>
      <w:r w:rsidR="003471C2">
        <w:rPr>
          <w:rFonts w:ascii="Times New Roman" w:hAnsi="Times New Roman" w:cs="Times New Roman"/>
          <w:b/>
          <w:sz w:val="28"/>
          <w:szCs w:val="28"/>
          <w:lang w:val="uk-UA"/>
        </w:rPr>
        <w:t>бораторної ремісії захворювання</w:t>
      </w:r>
    </w:p>
    <w:tbl>
      <w:tblPr>
        <w:tblStyle w:val="a8"/>
        <w:tblW w:w="9498" w:type="dxa"/>
        <w:tblInd w:w="108" w:type="dxa"/>
        <w:tblLayout w:type="fixed"/>
        <w:tblLook w:val="04A0"/>
      </w:tblPr>
      <w:tblGrid>
        <w:gridCol w:w="1701"/>
        <w:gridCol w:w="993"/>
        <w:gridCol w:w="1275"/>
        <w:gridCol w:w="1276"/>
        <w:gridCol w:w="1418"/>
        <w:gridCol w:w="1417"/>
        <w:gridCol w:w="1418"/>
      </w:tblGrid>
      <w:tr w:rsidR="00BD0BF2" w:rsidRPr="004E3FE9" w:rsidTr="00721EA2">
        <w:trPr>
          <w:cantSplit/>
          <w:trHeight w:val="454"/>
        </w:trPr>
        <w:tc>
          <w:tcPr>
            <w:tcW w:w="1701" w:type="dxa"/>
            <w:vMerge w:val="restart"/>
            <w:vAlign w:val="center"/>
          </w:tcPr>
          <w:p w:rsidR="00BD0BF2" w:rsidRPr="004E3FE9" w:rsidRDefault="00BD0BF2" w:rsidP="00721EA2">
            <w:pPr>
              <w:spacing w:line="276"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993" w:type="dxa"/>
            <w:vMerge w:val="restart"/>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386" w:type="dxa"/>
            <w:gridSpan w:val="4"/>
          </w:tcPr>
          <w:p w:rsidR="00BD0BF2" w:rsidRPr="004E3FE9" w:rsidRDefault="00BD0BF2" w:rsidP="00721EA2">
            <w:pPr>
              <w:spacing w:line="276"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Форма геморагічного васкуліту</w:t>
            </w:r>
          </w:p>
        </w:tc>
        <w:tc>
          <w:tcPr>
            <w:tcW w:w="1418" w:type="dxa"/>
            <w:vMerge w:val="restart"/>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(n=17)</w:t>
            </w:r>
          </w:p>
        </w:tc>
      </w:tr>
      <w:tr w:rsidR="00BD0BF2" w:rsidRPr="004E3FE9" w:rsidTr="00721EA2">
        <w:trPr>
          <w:cantSplit/>
          <w:trHeight w:val="1757"/>
        </w:trPr>
        <w:tc>
          <w:tcPr>
            <w:tcW w:w="1701" w:type="dxa"/>
            <w:vMerge/>
            <w:vAlign w:val="center"/>
          </w:tcPr>
          <w:p w:rsidR="00BD0BF2" w:rsidRPr="004E3FE9" w:rsidRDefault="00BD0BF2" w:rsidP="00721EA2">
            <w:pPr>
              <w:spacing w:line="360" w:lineRule="auto"/>
              <w:ind w:right="141"/>
              <w:contextualSpacing/>
              <w:rPr>
                <w:rFonts w:ascii="Times New Roman" w:hAnsi="Times New Roman" w:cs="Times New Roman"/>
                <w:sz w:val="28"/>
                <w:szCs w:val="28"/>
                <w:lang w:val="uk-UA"/>
              </w:rPr>
            </w:pPr>
          </w:p>
        </w:tc>
        <w:tc>
          <w:tcPr>
            <w:tcW w:w="993" w:type="dxa"/>
            <w:vMerge/>
            <w:vAlign w:val="center"/>
          </w:tcPr>
          <w:p w:rsidR="00BD0BF2" w:rsidRPr="004E3FE9" w:rsidRDefault="00BD0BF2" w:rsidP="00721EA2">
            <w:pPr>
              <w:spacing w:line="360" w:lineRule="auto"/>
              <w:ind w:right="141"/>
              <w:contextualSpacing/>
              <w:rPr>
                <w:rFonts w:ascii="Times New Roman" w:hAnsi="Times New Roman" w:cs="Times New Roman"/>
                <w:sz w:val="28"/>
                <w:szCs w:val="28"/>
                <w:lang w:val="uk-UA"/>
              </w:rPr>
            </w:pPr>
          </w:p>
        </w:tc>
        <w:tc>
          <w:tcPr>
            <w:tcW w:w="1275" w:type="dxa"/>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Шкірна </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(n= 8) </w:t>
            </w:r>
          </w:p>
        </w:tc>
        <w:tc>
          <w:tcPr>
            <w:tcW w:w="1276" w:type="dxa"/>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Шкірно-</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суглобова</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(n=24)</w:t>
            </w:r>
          </w:p>
        </w:tc>
        <w:tc>
          <w:tcPr>
            <w:tcW w:w="1418" w:type="dxa"/>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417" w:type="dxa"/>
            <w:textDirection w:val="btLr"/>
            <w:vAlign w:val="cente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Змішана з</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нирковим синдромом</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(n=9)</w:t>
            </w:r>
          </w:p>
        </w:tc>
        <w:tc>
          <w:tcPr>
            <w:tcW w:w="1418" w:type="dxa"/>
            <w:vMerge/>
            <w:textDirection w:val="btLr"/>
            <w:vAlign w:val="center"/>
          </w:tcPr>
          <w:p w:rsidR="00BD0BF2" w:rsidRPr="004E3FE9" w:rsidRDefault="00BD0BF2" w:rsidP="00721EA2">
            <w:pPr>
              <w:spacing w:line="360" w:lineRule="auto"/>
              <w:ind w:left="113" w:right="141"/>
              <w:contextualSpacing/>
              <w:rPr>
                <w:rFonts w:ascii="Times New Roman" w:hAnsi="Times New Roman" w:cs="Times New Roman"/>
                <w:sz w:val="28"/>
                <w:szCs w:val="28"/>
                <w:lang w:val="uk-UA"/>
              </w:rPr>
            </w:pPr>
          </w:p>
        </w:tc>
      </w:tr>
      <w:tr w:rsidR="00BD0BF2" w:rsidRPr="004E3FE9" w:rsidTr="00721EA2">
        <w:trPr>
          <w:trHeight w:val="1569"/>
        </w:trPr>
        <w:tc>
          <w:tcPr>
            <w:tcW w:w="1701"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МСР-1,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пг/мл</w:t>
            </w:r>
          </w:p>
        </w:tc>
        <w:tc>
          <w:tcPr>
            <w:tcW w:w="993"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275"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763,9</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715,4</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1083,5*</w:t>
            </w:r>
          </w:p>
        </w:tc>
        <w:tc>
          <w:tcPr>
            <w:tcW w:w="1276" w:type="dxa"/>
            <w:vAlign w:val="center"/>
          </w:tcPr>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984,0</w:t>
            </w:r>
          </w:p>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665,6</w:t>
            </w:r>
          </w:p>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1275,8*</w:t>
            </w:r>
          </w:p>
        </w:tc>
        <w:tc>
          <w:tcPr>
            <w:tcW w:w="1418"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1086,4</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960,3</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1499,0*</w:t>
            </w:r>
          </w:p>
        </w:tc>
        <w:tc>
          <w:tcPr>
            <w:tcW w:w="1417"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2254,0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2003,8</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2517,4*</w:t>
            </w:r>
          </w:p>
        </w:tc>
        <w:tc>
          <w:tcPr>
            <w:tcW w:w="1418"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370,6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350,3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400,0</w:t>
            </w:r>
          </w:p>
        </w:tc>
      </w:tr>
      <w:tr w:rsidR="00BD0BF2" w:rsidRPr="004E3FE9" w:rsidTr="00721EA2">
        <w:trPr>
          <w:trHeight w:val="1569"/>
        </w:trPr>
        <w:tc>
          <w:tcPr>
            <w:tcW w:w="9498" w:type="dxa"/>
            <w:gridSpan w:val="7"/>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KW H=53,49, р=0,0000; MW р</w:t>
            </w:r>
            <w:r w:rsidRPr="004E3FE9">
              <w:rPr>
                <w:rFonts w:ascii="Times New Roman" w:hAnsi="Times New Roman" w:cs="Times New Roman"/>
                <w:sz w:val="28"/>
                <w:szCs w:val="28"/>
                <w:vertAlign w:val="subscript"/>
                <w:lang w:val="uk-UA"/>
              </w:rPr>
              <w:t>1-2</w:t>
            </w:r>
            <w:r w:rsidRPr="004E3FE9">
              <w:rPr>
                <w:rFonts w:ascii="Times New Roman" w:hAnsi="Times New Roman" w:cs="Times New Roman"/>
                <w:sz w:val="28"/>
                <w:szCs w:val="28"/>
                <w:lang w:val="uk-UA"/>
              </w:rPr>
              <w:t>=0,6952, р</w:t>
            </w:r>
            <w:r w:rsidRPr="004E3FE9">
              <w:rPr>
                <w:rFonts w:ascii="Times New Roman" w:hAnsi="Times New Roman" w:cs="Times New Roman"/>
                <w:sz w:val="28"/>
                <w:szCs w:val="28"/>
                <w:vertAlign w:val="subscript"/>
                <w:lang w:val="uk-UA"/>
              </w:rPr>
              <w:t>1-3</w:t>
            </w:r>
            <w:r w:rsidRPr="004E3FE9">
              <w:rPr>
                <w:rFonts w:ascii="Times New Roman" w:hAnsi="Times New Roman" w:cs="Times New Roman"/>
                <w:sz w:val="28"/>
                <w:szCs w:val="28"/>
                <w:lang w:val="uk-UA"/>
              </w:rPr>
              <w:t>=0,0997, р</w:t>
            </w:r>
            <w:r w:rsidRPr="004E3FE9">
              <w:rPr>
                <w:rFonts w:ascii="Times New Roman" w:hAnsi="Times New Roman" w:cs="Times New Roman"/>
                <w:sz w:val="28"/>
                <w:szCs w:val="28"/>
                <w:vertAlign w:val="subscript"/>
                <w:lang w:val="uk-UA"/>
              </w:rPr>
              <w:t>1-4</w:t>
            </w:r>
            <w:r w:rsidRPr="004E3FE9">
              <w:rPr>
                <w:rFonts w:ascii="Times New Roman" w:hAnsi="Times New Roman" w:cs="Times New Roman"/>
                <w:sz w:val="28"/>
                <w:szCs w:val="28"/>
                <w:lang w:val="uk-UA"/>
              </w:rPr>
              <w:t>=0,0005**, р</w:t>
            </w:r>
            <w:r w:rsidRPr="004E3FE9">
              <w:rPr>
                <w:rFonts w:ascii="Times New Roman" w:hAnsi="Times New Roman" w:cs="Times New Roman"/>
                <w:sz w:val="28"/>
                <w:szCs w:val="28"/>
                <w:vertAlign w:val="subscript"/>
                <w:lang w:val="uk-UA"/>
              </w:rPr>
              <w:t>2-3</w:t>
            </w:r>
            <w:r w:rsidRPr="004E3FE9">
              <w:rPr>
                <w:rFonts w:ascii="Times New Roman" w:hAnsi="Times New Roman" w:cs="Times New Roman"/>
                <w:sz w:val="28"/>
                <w:szCs w:val="28"/>
                <w:lang w:val="uk-UA"/>
              </w:rPr>
              <w:t>=0,2123, р</w:t>
            </w:r>
            <w:r w:rsidRPr="004E3FE9">
              <w:rPr>
                <w:rFonts w:ascii="Times New Roman" w:hAnsi="Times New Roman" w:cs="Times New Roman"/>
                <w:sz w:val="28"/>
                <w:szCs w:val="28"/>
                <w:vertAlign w:val="subscript"/>
                <w:lang w:val="uk-UA"/>
              </w:rPr>
              <w:t>2-4</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3-4</w:t>
            </w:r>
            <w:r w:rsidRPr="004E3FE9">
              <w:rPr>
                <w:rFonts w:ascii="Times New Roman" w:hAnsi="Times New Roman" w:cs="Times New Roman"/>
                <w:sz w:val="28"/>
                <w:szCs w:val="28"/>
                <w:lang w:val="uk-UA"/>
              </w:rPr>
              <w:t>=0,0001**, р</w:t>
            </w:r>
            <w:r w:rsidRPr="004E3FE9">
              <w:rPr>
                <w:rFonts w:ascii="Times New Roman" w:hAnsi="Times New Roman" w:cs="Times New Roman"/>
                <w:sz w:val="28"/>
                <w:szCs w:val="28"/>
                <w:vertAlign w:val="subscript"/>
                <w:lang w:val="uk-UA"/>
              </w:rPr>
              <w:t>к-1</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к-2</w:t>
            </w:r>
            <w:r w:rsidRPr="004E3FE9">
              <w:rPr>
                <w:rFonts w:ascii="Times New Roman" w:hAnsi="Times New Roman" w:cs="Times New Roman"/>
                <w:sz w:val="28"/>
                <w:szCs w:val="28"/>
                <w:lang w:val="uk-UA"/>
              </w:rPr>
              <w:t xml:space="preserve">=0,0000*, </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к-3</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к-4</w:t>
            </w:r>
            <w:r w:rsidRPr="004E3FE9">
              <w:rPr>
                <w:rFonts w:ascii="Times New Roman" w:hAnsi="Times New Roman" w:cs="Times New Roman"/>
                <w:sz w:val="28"/>
                <w:szCs w:val="28"/>
                <w:lang w:val="uk-UA"/>
              </w:rPr>
              <w:t>=0,0000*</w:t>
            </w:r>
          </w:p>
        </w:tc>
      </w:tr>
    </w:tbl>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Примітки:* - р&lt;0,01- різниця вірогідна з показниками дітей групи контролю; ** - рівень статистичної значущості, згідно поправки Бонфероні, при порівнянні показників різних груп – р&lt;0,01; 1 – шкірна форма; 2 – шкірно-суглобова форма; 3 – змішана форма; 4 – змішана форма з нирковим синдромом, к – група контролю.</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Зазначимо, що рівні МСР-1 в сироватці крові у дітей всіх ступенів активності залишались вище, ніж показники групи контролю. Так, найменші рівні зафіксовано у дітей з мінімальним ступенем активності (660,4 (540,4;758,3) пг/мл). У дітей з ІІ ступенем активності рівень МСР-1 склав 1077,4 (1032,4;1291,4) пг/мл та найвищі показники виявлені у дітей з максимальним ступенем активності патологічного процесу в період клініко-лабораторної ремісії (2003,8 (1504,9;2254,0) пг/мл). При попарному порівнянні показники МСР-1 кожного ступеня активності статистично достовірно відрізнялись один від одного (табл. 5.6). </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283E39" w:rsidRDefault="00BD0BF2" w:rsidP="00BD0BF2">
      <w:pPr>
        <w:spacing w:line="360" w:lineRule="auto"/>
        <w:ind w:right="141"/>
        <w:contextualSpacing/>
        <w:jc w:val="right"/>
        <w:rPr>
          <w:rFonts w:ascii="Times New Roman" w:hAnsi="Times New Roman" w:cs="Times New Roman"/>
          <w:i/>
          <w:sz w:val="28"/>
          <w:szCs w:val="28"/>
          <w:lang w:val="uk-UA"/>
        </w:rPr>
      </w:pPr>
      <w:r w:rsidRPr="00283E39">
        <w:rPr>
          <w:rFonts w:ascii="Times New Roman" w:hAnsi="Times New Roman" w:cs="Times New Roman"/>
          <w:i/>
          <w:sz w:val="28"/>
          <w:szCs w:val="28"/>
          <w:lang w:val="uk-UA"/>
        </w:rPr>
        <w:lastRenderedPageBreak/>
        <w:t>Таблиця 5.6</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Показники МСР-1 в сироватці крові у дітей в залежності від ступеня активності ГВ в період клініко-ла</w:t>
      </w:r>
      <w:r w:rsidR="003471C2">
        <w:rPr>
          <w:rFonts w:ascii="Times New Roman" w:hAnsi="Times New Roman" w:cs="Times New Roman"/>
          <w:b/>
          <w:sz w:val="28"/>
          <w:szCs w:val="28"/>
          <w:lang w:val="uk-UA"/>
        </w:rPr>
        <w:t>бораторної ремісії захворювання</w:t>
      </w:r>
    </w:p>
    <w:tbl>
      <w:tblPr>
        <w:tblStyle w:val="a8"/>
        <w:tblW w:w="0" w:type="auto"/>
        <w:tblLayout w:type="fixed"/>
        <w:tblLook w:val="04A0"/>
      </w:tblPr>
      <w:tblGrid>
        <w:gridCol w:w="1809"/>
        <w:gridCol w:w="993"/>
        <w:gridCol w:w="1889"/>
        <w:gridCol w:w="1748"/>
        <w:gridCol w:w="2033"/>
        <w:gridCol w:w="1275"/>
      </w:tblGrid>
      <w:tr w:rsidR="00BD0BF2" w:rsidRPr="004E3FE9" w:rsidTr="00721EA2">
        <w:trPr>
          <w:trHeight w:val="964"/>
        </w:trPr>
        <w:tc>
          <w:tcPr>
            <w:tcW w:w="1809" w:type="dxa"/>
            <w:vMerge w:val="restart"/>
          </w:tcPr>
          <w:p w:rsidR="00BD0BF2" w:rsidRPr="004E3FE9" w:rsidRDefault="00BD0BF2" w:rsidP="00721EA2">
            <w:pPr>
              <w:spacing w:line="360" w:lineRule="auto"/>
              <w:ind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w:t>
            </w:r>
          </w:p>
        </w:tc>
        <w:tc>
          <w:tcPr>
            <w:tcW w:w="993" w:type="dxa"/>
            <w:vMerge w:val="restart"/>
            <w:textDirection w:val="btLr"/>
          </w:tcPr>
          <w:p w:rsidR="00BD0BF2" w:rsidRPr="004E3FE9" w:rsidRDefault="00BD0BF2" w:rsidP="00721EA2">
            <w:pPr>
              <w:spacing w:line="360" w:lineRule="auto"/>
              <w:ind w:left="113"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Статистичний показник</w:t>
            </w:r>
          </w:p>
        </w:tc>
        <w:tc>
          <w:tcPr>
            <w:tcW w:w="5670" w:type="dxa"/>
            <w:gridSpan w:val="3"/>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Ступень активності</w:t>
            </w:r>
          </w:p>
        </w:tc>
        <w:tc>
          <w:tcPr>
            <w:tcW w:w="1275" w:type="dxa"/>
            <w:vMerge w:val="restart"/>
            <w:textDirection w:val="btLr"/>
          </w:tcPr>
          <w:p w:rsidR="00BD0BF2" w:rsidRPr="004E3FE9" w:rsidRDefault="00BD0BF2" w:rsidP="00721EA2">
            <w:pPr>
              <w:spacing w:line="276" w:lineRule="auto"/>
              <w:ind w:left="113" w:right="141"/>
              <w:contextualSpacing/>
              <w:rPr>
                <w:rFonts w:ascii="Times New Roman" w:hAnsi="Times New Roman" w:cs="Times New Roman"/>
                <w:sz w:val="28"/>
                <w:szCs w:val="28"/>
                <w:lang w:val="uk-UA"/>
              </w:rPr>
            </w:pPr>
            <w:r w:rsidRPr="004E3FE9">
              <w:rPr>
                <w:rFonts w:ascii="Times New Roman" w:hAnsi="Times New Roman" w:cs="Times New Roman"/>
                <w:sz w:val="28"/>
                <w:szCs w:val="28"/>
                <w:lang w:val="uk-UA"/>
              </w:rPr>
              <w:t>Група контролю (n=17)</w:t>
            </w:r>
          </w:p>
          <w:p w:rsidR="00BD0BF2" w:rsidRPr="004E3FE9" w:rsidRDefault="00BD0BF2" w:rsidP="00721EA2">
            <w:pPr>
              <w:spacing w:line="276" w:lineRule="auto"/>
              <w:ind w:left="113" w:right="141"/>
              <w:contextualSpacing/>
              <w:rPr>
                <w:rFonts w:ascii="Times New Roman" w:hAnsi="Times New Roman" w:cs="Times New Roman"/>
                <w:sz w:val="28"/>
                <w:szCs w:val="28"/>
                <w:lang w:val="uk-UA"/>
              </w:rPr>
            </w:pPr>
          </w:p>
        </w:tc>
      </w:tr>
      <w:tr w:rsidR="00BD0BF2" w:rsidRPr="004E3FE9" w:rsidTr="00721EA2">
        <w:trPr>
          <w:trHeight w:val="1010"/>
        </w:trPr>
        <w:tc>
          <w:tcPr>
            <w:tcW w:w="1809" w:type="dxa"/>
            <w:vMerge/>
          </w:tcPr>
          <w:p w:rsidR="00BD0BF2" w:rsidRPr="004E3FE9" w:rsidRDefault="00BD0BF2" w:rsidP="00721EA2">
            <w:pPr>
              <w:spacing w:line="360" w:lineRule="auto"/>
              <w:ind w:right="141"/>
              <w:contextualSpacing/>
              <w:rPr>
                <w:rFonts w:ascii="Times New Roman" w:hAnsi="Times New Roman" w:cs="Times New Roman"/>
                <w:sz w:val="28"/>
                <w:szCs w:val="28"/>
                <w:lang w:val="uk-UA"/>
              </w:rPr>
            </w:pPr>
          </w:p>
        </w:tc>
        <w:tc>
          <w:tcPr>
            <w:tcW w:w="993" w:type="dxa"/>
            <w:vMerge/>
          </w:tcPr>
          <w:p w:rsidR="00BD0BF2" w:rsidRPr="004E3FE9" w:rsidRDefault="00BD0BF2" w:rsidP="00721EA2">
            <w:pPr>
              <w:spacing w:line="360" w:lineRule="auto"/>
              <w:ind w:right="141"/>
              <w:contextualSpacing/>
              <w:jc w:val="both"/>
              <w:rPr>
                <w:rFonts w:ascii="Times New Roman" w:hAnsi="Times New Roman" w:cs="Times New Roman"/>
                <w:sz w:val="28"/>
                <w:szCs w:val="28"/>
                <w:lang w:val="uk-UA"/>
              </w:rPr>
            </w:pPr>
          </w:p>
        </w:tc>
        <w:tc>
          <w:tcPr>
            <w:tcW w:w="1889"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748"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(n=22)</w:t>
            </w:r>
          </w:p>
        </w:tc>
        <w:tc>
          <w:tcPr>
            <w:tcW w:w="2033" w:type="dxa"/>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(n=19)</w:t>
            </w:r>
          </w:p>
        </w:tc>
        <w:tc>
          <w:tcPr>
            <w:tcW w:w="1275" w:type="dxa"/>
            <w:vMerge/>
          </w:tcPr>
          <w:p w:rsidR="00BD0BF2" w:rsidRPr="004E3FE9" w:rsidRDefault="00BD0BF2" w:rsidP="00721EA2">
            <w:pPr>
              <w:spacing w:line="360" w:lineRule="auto"/>
              <w:ind w:right="141"/>
              <w:contextualSpacing/>
              <w:rPr>
                <w:rFonts w:ascii="Times New Roman" w:hAnsi="Times New Roman" w:cs="Times New Roman"/>
                <w:sz w:val="28"/>
                <w:szCs w:val="28"/>
                <w:lang w:val="uk-UA"/>
              </w:rPr>
            </w:pPr>
          </w:p>
        </w:tc>
      </w:tr>
      <w:tr w:rsidR="00BD0BF2" w:rsidRPr="004E3FE9" w:rsidTr="00721EA2">
        <w:trPr>
          <w:trHeight w:val="1569"/>
        </w:trPr>
        <w:tc>
          <w:tcPr>
            <w:tcW w:w="180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МСР-1,</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пг/мл</w:t>
            </w:r>
          </w:p>
        </w:tc>
        <w:tc>
          <w:tcPr>
            <w:tcW w:w="993"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Me</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Lq</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Uq</w:t>
            </w:r>
          </w:p>
        </w:tc>
        <w:tc>
          <w:tcPr>
            <w:tcW w:w="1889"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660,4</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540,4</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758,3*</w:t>
            </w:r>
          </w:p>
        </w:tc>
        <w:tc>
          <w:tcPr>
            <w:tcW w:w="1748" w:type="dxa"/>
            <w:vAlign w:val="center"/>
          </w:tcPr>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1077,4</w:t>
            </w:r>
          </w:p>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1032,4</w:t>
            </w:r>
          </w:p>
          <w:p w:rsidR="00BD0BF2" w:rsidRPr="004E3FE9" w:rsidRDefault="00BD0BF2" w:rsidP="00721EA2">
            <w:pPr>
              <w:tabs>
                <w:tab w:val="left" w:pos="1350"/>
              </w:tabs>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1291,4*</w:t>
            </w:r>
          </w:p>
        </w:tc>
        <w:tc>
          <w:tcPr>
            <w:tcW w:w="2033"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2003,8</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1504,9</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2254,0*</w:t>
            </w:r>
          </w:p>
        </w:tc>
        <w:tc>
          <w:tcPr>
            <w:tcW w:w="1275"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370,6</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350,3</w:t>
            </w:r>
          </w:p>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400,0</w:t>
            </w:r>
          </w:p>
        </w:tc>
      </w:tr>
      <w:tr w:rsidR="00BD0BF2" w:rsidRPr="00810999" w:rsidTr="00721EA2">
        <w:trPr>
          <w:trHeight w:val="1132"/>
        </w:trPr>
        <w:tc>
          <w:tcPr>
            <w:tcW w:w="9747" w:type="dxa"/>
            <w:gridSpan w:val="6"/>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KW H=70,33, р=0,0000,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І-ІІІ</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ІІ-ІІІ</w:t>
            </w:r>
            <w:r w:rsidRPr="004E3FE9">
              <w:rPr>
                <w:rFonts w:ascii="Times New Roman" w:hAnsi="Times New Roman" w:cs="Times New Roman"/>
                <w:sz w:val="28"/>
                <w:szCs w:val="28"/>
                <w:lang w:val="uk-UA"/>
              </w:rPr>
              <w:t>=0,0000**,</w:t>
            </w:r>
          </w:p>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к-І</w:t>
            </w:r>
            <w:r w:rsidRPr="004E3FE9">
              <w:rPr>
                <w:rFonts w:ascii="Times New Roman" w:hAnsi="Times New Roman" w:cs="Times New Roman"/>
                <w:sz w:val="28"/>
                <w:szCs w:val="28"/>
                <w:lang w:val="uk-UA"/>
              </w:rPr>
              <w:t>=0,0000*,р</w:t>
            </w:r>
            <w:r w:rsidRPr="004E3FE9">
              <w:rPr>
                <w:rFonts w:ascii="Times New Roman" w:hAnsi="Times New Roman" w:cs="Times New Roman"/>
                <w:sz w:val="28"/>
                <w:szCs w:val="28"/>
                <w:vertAlign w:val="subscript"/>
                <w:lang w:val="uk-UA"/>
              </w:rPr>
              <w:t>к-ІІ</w:t>
            </w:r>
            <w:r w:rsidRPr="004E3FE9">
              <w:rPr>
                <w:rFonts w:ascii="Times New Roman" w:hAnsi="Times New Roman" w:cs="Times New Roman"/>
                <w:sz w:val="28"/>
                <w:szCs w:val="28"/>
                <w:lang w:val="uk-UA"/>
              </w:rPr>
              <w:t>=0,0000*, р</w:t>
            </w:r>
            <w:r w:rsidRPr="004E3FE9">
              <w:rPr>
                <w:rFonts w:ascii="Times New Roman" w:hAnsi="Times New Roman" w:cs="Times New Roman"/>
                <w:sz w:val="28"/>
                <w:szCs w:val="28"/>
                <w:vertAlign w:val="subscript"/>
                <w:lang w:val="uk-UA"/>
              </w:rPr>
              <w:t>к-ІІІ</w:t>
            </w:r>
            <w:r w:rsidRPr="004E3FE9">
              <w:rPr>
                <w:rFonts w:ascii="Times New Roman" w:hAnsi="Times New Roman" w:cs="Times New Roman"/>
                <w:sz w:val="28"/>
                <w:szCs w:val="28"/>
                <w:lang w:val="uk-UA"/>
              </w:rPr>
              <w:t>=0,0000*</w:t>
            </w:r>
          </w:p>
        </w:tc>
      </w:tr>
    </w:tbl>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Примітки:* - р&lt;0,01- різниця вірогідна з показниками дітей групи контролю; ** - рівень статистичної значущості, згідно поправки Бонфероні, при порівнянні показників різних груп – р&lt;0,01; І, ІІ, ІІІ – ступінь активності геморагічного васкуліту.</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Під час проведення аналізу показників МСР-1 в сироватці крові дітей, хворих на ГВ з різним ступенем активності патологічного процесу в гострий період захворювання та в період клініко-лабораторної ремісії встановлені статистично достовірні відмінності (р&lt;0,01). Зокрема, рівні МСР-1 достовірно знижувались у дітей від мінімального до максимального ступеня активності ГВ, що ймовірно свідчить на користь зменшення або ліквідації активного запального процесу судин, як наслідок тенденція до нормалізації порушень функції ендотелію та ефективності проведених лікувальних заходів.</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Результати отримані при порівнянні двох залежних вибірок, а саме рівні МСР-1 в гострий період та в період клініко-лабораторної ремісії, представлені в табл.5.7 та на рис. 5,5-5.7, вказують на їх позитивну динаміку.</w:t>
      </w:r>
    </w:p>
    <w:p w:rsidR="00BD0BF2" w:rsidRPr="00283E39" w:rsidRDefault="00BD0BF2" w:rsidP="00BD0BF2">
      <w:pPr>
        <w:spacing w:line="360" w:lineRule="auto"/>
        <w:ind w:firstLine="709"/>
        <w:contextualSpacing/>
        <w:jc w:val="right"/>
        <w:rPr>
          <w:rFonts w:ascii="Times New Roman" w:hAnsi="Times New Roman" w:cs="Times New Roman"/>
          <w:i/>
          <w:sz w:val="28"/>
          <w:szCs w:val="28"/>
          <w:lang w:val="uk-UA"/>
        </w:rPr>
      </w:pPr>
      <w:r w:rsidRPr="00283E39">
        <w:rPr>
          <w:rFonts w:ascii="Times New Roman" w:hAnsi="Times New Roman" w:cs="Times New Roman"/>
          <w:i/>
          <w:sz w:val="28"/>
          <w:szCs w:val="28"/>
          <w:lang w:val="uk-UA"/>
        </w:rPr>
        <w:lastRenderedPageBreak/>
        <w:t>Таблиця 5.7</w:t>
      </w:r>
    </w:p>
    <w:p w:rsidR="00BD0BF2" w:rsidRPr="004E3FE9" w:rsidRDefault="00BD0BF2" w:rsidP="00BD0BF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b/>
          <w:sz w:val="28"/>
          <w:szCs w:val="28"/>
          <w:lang w:val="uk-UA"/>
        </w:rPr>
        <w:t>Статистичні характеристики порівняння рівнів МСР-1 в сироватці крові обстежених дітей в гострий період та пері</w:t>
      </w:r>
      <w:r w:rsidR="003471C2">
        <w:rPr>
          <w:rFonts w:ascii="Times New Roman" w:hAnsi="Times New Roman" w:cs="Times New Roman"/>
          <w:b/>
          <w:sz w:val="28"/>
          <w:szCs w:val="28"/>
          <w:lang w:val="uk-UA"/>
        </w:rPr>
        <w:t>од клініко-лабораторної ремісії</w:t>
      </w:r>
    </w:p>
    <w:tbl>
      <w:tblPr>
        <w:tblStyle w:val="a8"/>
        <w:tblW w:w="9464" w:type="dxa"/>
        <w:tblLook w:val="04A0"/>
      </w:tblPr>
      <w:tblGrid>
        <w:gridCol w:w="1904"/>
        <w:gridCol w:w="7560"/>
      </w:tblGrid>
      <w:tr w:rsidR="00BD0BF2" w:rsidRPr="004E3FE9" w:rsidTr="00721EA2">
        <w:tc>
          <w:tcPr>
            <w:tcW w:w="190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Статистичні критерії порівняння</w:t>
            </w:r>
          </w:p>
        </w:tc>
        <w:tc>
          <w:tcPr>
            <w:tcW w:w="756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МСР-1</w:t>
            </w:r>
          </w:p>
        </w:tc>
      </w:tr>
      <w:tr w:rsidR="00BD0BF2" w:rsidRPr="004E3FE9" w:rsidTr="00721EA2">
        <w:tc>
          <w:tcPr>
            <w:tcW w:w="9464" w:type="dxa"/>
            <w:gridSpan w:val="2"/>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ступінь активності (n=19)</w:t>
            </w:r>
          </w:p>
        </w:tc>
      </w:tr>
      <w:tr w:rsidR="00BD0BF2" w:rsidRPr="004E3FE9" w:rsidTr="00721EA2">
        <w:tc>
          <w:tcPr>
            <w:tcW w:w="190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w:t>
            </w:r>
          </w:p>
        </w:tc>
        <w:tc>
          <w:tcPr>
            <w:tcW w:w="756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r>
      <w:tr w:rsidR="00BD0BF2" w:rsidRPr="004E3FE9" w:rsidTr="00721EA2">
        <w:tc>
          <w:tcPr>
            <w:tcW w:w="190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vertAlign w:val="subscript"/>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p>
        </w:tc>
        <w:tc>
          <w:tcPr>
            <w:tcW w:w="756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r>
      <w:tr w:rsidR="00BD0BF2" w:rsidRPr="004E3FE9" w:rsidTr="00721EA2">
        <w:tc>
          <w:tcPr>
            <w:tcW w:w="9464" w:type="dxa"/>
            <w:gridSpan w:val="2"/>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 ступінь активності (n=22)</w:t>
            </w:r>
          </w:p>
        </w:tc>
      </w:tr>
      <w:tr w:rsidR="00BD0BF2" w:rsidRPr="004E3FE9" w:rsidTr="00721EA2">
        <w:tc>
          <w:tcPr>
            <w:tcW w:w="190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w:t>
            </w:r>
          </w:p>
        </w:tc>
        <w:tc>
          <w:tcPr>
            <w:tcW w:w="756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21</w:t>
            </w:r>
          </w:p>
        </w:tc>
      </w:tr>
      <w:tr w:rsidR="00BD0BF2" w:rsidRPr="004E3FE9" w:rsidTr="00721EA2">
        <w:tc>
          <w:tcPr>
            <w:tcW w:w="190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vertAlign w:val="subscript"/>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p>
        </w:tc>
        <w:tc>
          <w:tcPr>
            <w:tcW w:w="756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0,0006*</w:t>
            </w:r>
          </w:p>
        </w:tc>
      </w:tr>
      <w:tr w:rsidR="00BD0BF2" w:rsidRPr="004E3FE9" w:rsidTr="00721EA2">
        <w:tc>
          <w:tcPr>
            <w:tcW w:w="9464" w:type="dxa"/>
            <w:gridSpan w:val="2"/>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 ступінь активності (n=19)</w:t>
            </w:r>
          </w:p>
        </w:tc>
      </w:tr>
      <w:tr w:rsidR="00BD0BF2" w:rsidRPr="004E3FE9" w:rsidTr="00721EA2">
        <w:tc>
          <w:tcPr>
            <w:tcW w:w="190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Т</w:t>
            </w:r>
          </w:p>
        </w:tc>
        <w:tc>
          <w:tcPr>
            <w:tcW w:w="756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w:t>
            </w:r>
          </w:p>
        </w:tc>
      </w:tr>
      <w:tr w:rsidR="00BD0BF2" w:rsidRPr="004E3FE9" w:rsidTr="00721EA2">
        <w:tc>
          <w:tcPr>
            <w:tcW w:w="1904"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vertAlign w:val="subscript"/>
                <w:lang w:val="uk-UA"/>
              </w:rPr>
            </w:pPr>
            <w:r w:rsidRPr="004E3FE9">
              <w:rPr>
                <w:rFonts w:ascii="Times New Roman" w:hAnsi="Times New Roman" w:cs="Times New Roman"/>
                <w:sz w:val="28"/>
                <w:szCs w:val="28"/>
                <w:lang w:val="uk-UA"/>
              </w:rPr>
              <w:t>р</w:t>
            </w:r>
            <w:r w:rsidRPr="004E3FE9">
              <w:rPr>
                <w:rFonts w:ascii="Times New Roman" w:hAnsi="Times New Roman" w:cs="Times New Roman"/>
                <w:sz w:val="28"/>
                <w:szCs w:val="28"/>
                <w:vertAlign w:val="subscript"/>
                <w:lang w:val="uk-UA"/>
              </w:rPr>
              <w:t>І-ІІ</w:t>
            </w:r>
          </w:p>
        </w:tc>
        <w:tc>
          <w:tcPr>
            <w:tcW w:w="756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0,0001*</w:t>
            </w:r>
          </w:p>
        </w:tc>
      </w:tr>
    </w:tbl>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Примітка. * - р&lt;0,01- різниця вірогідна відносно показників гострого періоду (І) та клініко-лабораторної ремісії (ІІ). </w:t>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p>
    <w:p w:rsidR="00BD0BF2" w:rsidRPr="004E3FE9" w:rsidRDefault="00BD0BF2" w:rsidP="00BD0BF2">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Виявлені статистично значущі позитивні кореляційні зв’язки рівнів МСР-1 в сироватці крові у дітей, хворих на геморагічний васкуліт різних ступенів активності в гострий період та загальноприйнятих маркерів запалення свідчать про безпосередню участь цього хемокіну в процесі запалення судинної стінки. А саме, у дітей з мінімальним ступенем активності патологічного процесу про це свідчили коефіцієнти кореляції рівнів ШОЄ, серомукоїду та рівнів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+0,77,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відповідно, n=19). У дітей з ІІ ступенем активності ГВ наявні кореляційні зв’язки рівнів лейкоцитів в периферичній крові, палочкоядерних нейтрофілів, сегментоядерних нейтрофілів та рівнів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+0,50,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=-0,49, відповідно, n=22). У дітей з максимальним ступенем </w:t>
      </w:r>
      <w:r w:rsidRPr="004E3FE9">
        <w:rPr>
          <w:rFonts w:ascii="Times New Roman" w:hAnsi="Times New Roman" w:cs="Times New Roman"/>
          <w:sz w:val="28"/>
          <w:szCs w:val="28"/>
          <w:lang w:val="uk-UA"/>
        </w:rPr>
        <w:lastRenderedPageBreak/>
        <w:t>активності ГВ виявлені достовірні коефіцієнти кореляції рівнів лейкоцитів в периферичній крові, ШОЕ, серомукоїду, γ-глобулінів та та рівнів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+0,92,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+0,60 відповідно, n=19). Більшість хемокінів синтезується лейкоцитами, проте відомо, що МСР-1 продукує культура клітин ендотелію, причому активація цих клітин цитокінами, що сприяють розвитку запалення, ще більш посилює синтез. Таким чином ці механізми підтверджують наявні кореляційні зв’язки.</w:t>
      </w:r>
    </w:p>
    <w:p w:rsidR="00BD0BF2" w:rsidRPr="004E3FE9" w:rsidRDefault="00BD0BF2" w:rsidP="00BD0BF2">
      <w:pPr>
        <w:spacing w:line="360" w:lineRule="auto"/>
        <w:ind w:right="141"/>
        <w:contextualSpacing/>
        <w:jc w:val="both"/>
        <w:rPr>
          <w:rFonts w:ascii="Times New Roman" w:hAnsi="Times New Roman" w:cs="Times New Roman"/>
          <w:sz w:val="28"/>
          <w:szCs w:val="28"/>
          <w:lang w:val="uk-UA"/>
        </w:rPr>
      </w:pPr>
    </w:p>
    <w:p w:rsidR="00BD0BF2" w:rsidRPr="004E3FE9" w:rsidRDefault="00BD0BF2" w:rsidP="00BD0BF2">
      <w:pPr>
        <w:tabs>
          <w:tab w:val="left" w:pos="7251"/>
        </w:tabs>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drawing>
          <wp:inline distT="0" distB="0" distL="0" distR="0">
            <wp:extent cx="5894614" cy="3004456"/>
            <wp:effectExtent l="0" t="0" r="0" b="571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 динам.jp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894615" cy="3004457"/>
                    </a:xfrm>
                    <a:prstGeom prst="rect">
                      <a:avLst/>
                    </a:prstGeom>
                  </pic:spPr>
                </pic:pic>
              </a:graphicData>
            </a:graphic>
          </wp:inline>
        </w:drawing>
      </w:r>
    </w:p>
    <w:p w:rsidR="00BD0BF2" w:rsidRPr="004E3FE9" w:rsidRDefault="00BD0BF2" w:rsidP="00E9561A">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5.5 Рівень МСР-1 в сироватці крові у дітей з І ступенем активності ГВ в гострий період (І) та період клініко-лабораторної ремісії (ІІ).</w:t>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Враховуючи, що геморагічний васкуліт протікає на фоні порушень системи гемостазу у вигляді гіперкоагуляції, нами проведено кореляційний аналіз зв’язку  МСР-1 в сироватці крові та показників коагулограмми. Зафіксовані достовірні коефіцієнти кореляції рівнів активності зсідання (А, %) на другій хвилині інкубації гемолізат-кальцієвої суміші та рівнів МСР-1 у дітей від І до ІІІ ступеня активності ГВ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+0,66, n=19,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+0,42, n=22,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+0,46, n=19).Такі дані можуть свідчить на користь впливу  хемокінів на коагуляційний потенціал крові за рахунок потенціювання запальної реакції, яка, зокрема, при ГВ розгортається на ендотелії.</w:t>
      </w:r>
    </w:p>
    <w:p w:rsidR="00BD0BF2" w:rsidRPr="004E3FE9" w:rsidRDefault="00BD0BF2" w:rsidP="00BD0BF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lastRenderedPageBreak/>
        <w:drawing>
          <wp:inline distT="0" distB="0" distL="0" distR="0">
            <wp:extent cx="5959928" cy="320040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І динам.jp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59928" cy="3200400"/>
                    </a:xfrm>
                    <a:prstGeom prst="rect">
                      <a:avLst/>
                    </a:prstGeom>
                  </pic:spPr>
                </pic:pic>
              </a:graphicData>
            </a:graphic>
          </wp:inline>
        </w:drawing>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5.</w:t>
      </w:r>
      <w:r w:rsidR="00045E52" w:rsidRPr="004E3FE9">
        <w:rPr>
          <w:rFonts w:ascii="Times New Roman" w:hAnsi="Times New Roman" w:cs="Times New Roman"/>
          <w:sz w:val="28"/>
          <w:szCs w:val="28"/>
          <w:lang w:val="uk-UA"/>
        </w:rPr>
        <w:t>6</w:t>
      </w:r>
      <w:r w:rsidRPr="004E3FE9">
        <w:rPr>
          <w:rFonts w:ascii="Times New Roman" w:hAnsi="Times New Roman" w:cs="Times New Roman"/>
          <w:sz w:val="28"/>
          <w:szCs w:val="28"/>
          <w:lang w:val="uk-UA"/>
        </w:rPr>
        <w:t xml:space="preserve"> Рівень МСР-1 в сироватці крові у дітей з ІІ ступенем активності ГВ в гострий період (І) та період клініко-лабораторної ремісії (ІІ).</w:t>
      </w:r>
    </w:p>
    <w:p w:rsidR="00BD0BF2" w:rsidRPr="004E3FE9" w:rsidRDefault="00BD0BF2" w:rsidP="00E9561A">
      <w:pPr>
        <w:spacing w:line="360" w:lineRule="auto"/>
        <w:contextualSpacing/>
        <w:jc w:val="both"/>
        <w:rPr>
          <w:rFonts w:ascii="Times New Roman" w:hAnsi="Times New Roman" w:cs="Times New Roman"/>
          <w:sz w:val="28"/>
          <w:szCs w:val="28"/>
          <w:lang w:val="uk-UA"/>
        </w:rPr>
      </w:pPr>
    </w:p>
    <w:p w:rsidR="00BD0BF2" w:rsidRPr="004E3FE9" w:rsidRDefault="00BD0BF2" w:rsidP="00BD0BF2">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noProof/>
          <w:sz w:val="28"/>
          <w:szCs w:val="28"/>
          <w:lang w:eastAsia="ru-RU"/>
        </w:rPr>
        <w:drawing>
          <wp:inline distT="0" distB="0" distL="0" distR="0">
            <wp:extent cx="5959928" cy="342900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ІІ динам.jpg"/>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59928" cy="3429000"/>
                    </a:xfrm>
                    <a:prstGeom prst="rect">
                      <a:avLst/>
                    </a:prstGeom>
                  </pic:spPr>
                </pic:pic>
              </a:graphicData>
            </a:graphic>
          </wp:inline>
        </w:drawing>
      </w:r>
    </w:p>
    <w:p w:rsidR="00BD0BF2" w:rsidRPr="004E3FE9" w:rsidRDefault="00BD0BF2" w:rsidP="00BD0BF2">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Рисунок 5.</w:t>
      </w:r>
      <w:r w:rsidR="00045E52" w:rsidRPr="004E3FE9">
        <w:rPr>
          <w:rFonts w:ascii="Times New Roman" w:hAnsi="Times New Roman" w:cs="Times New Roman"/>
          <w:sz w:val="28"/>
          <w:szCs w:val="28"/>
          <w:lang w:val="uk-UA"/>
        </w:rPr>
        <w:t>7</w:t>
      </w:r>
      <w:r w:rsidRPr="004E3FE9">
        <w:rPr>
          <w:rFonts w:ascii="Times New Roman" w:hAnsi="Times New Roman" w:cs="Times New Roman"/>
          <w:sz w:val="28"/>
          <w:szCs w:val="28"/>
          <w:lang w:val="uk-UA"/>
        </w:rPr>
        <w:t xml:space="preserve"> Рівень МСР-1 в сироватці крові у дітей з ІІІ ступенем активності ГВ в гострий період (І) та період клініко-лабораторної ремісії (ІІ).</w:t>
      </w:r>
    </w:p>
    <w:p w:rsidR="00BD0BF2" w:rsidRPr="004E3FE9" w:rsidRDefault="00BD0BF2" w:rsidP="00BD0BF2">
      <w:pPr>
        <w:tabs>
          <w:tab w:val="left" w:pos="7251"/>
        </w:tabs>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 xml:space="preserve">Оскільки МСР-1 служить хемоаттрактантом не тільки для моноцитів та базофілів, а також привертає до вогнища запалення і Т-лімфоцити, натуральні кілери та впливає на процеси фагоцитозу, доречним є проведення кореляційного аналізу рівнів МСР-1 в сироватці крові у дітей з ГВ та показників клітинної та гуморальної ланок імунітету та фагоцитозу. Треба зазначити, що у дітей з І ступенем активності достовірно значимих кореляційних зв’язків не виявлено. </w:t>
      </w:r>
    </w:p>
    <w:p w:rsidR="00BD0BF2" w:rsidRPr="004E3FE9" w:rsidRDefault="00BD0BF2" w:rsidP="00BD0BF2">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 дітей з ІІ ступенем активності ГВ на користь участі МСР-1 в активації Т-клітинної ланки імунітету свідчать прямі достовірні коефіцієнти кореляції рівнів МСР-1 в сироватці крові та абсолютних і відносних рівнів CD4, співвідношенням CD4/CD8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+0,87,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+0,84 відповідно, n=22) та зворотні кореляційні звязки рівнів МСР-1 та абсолютними та відносними рівнями CD8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-0,91, відповідно, n=22). Однонаравлений кореляційний зв'язок рівнів МСР-1 та абсолютною та відносною кількістю CD22 ймовірно вказує на експресію МСР-1 В-лімфоцитами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+0,50,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+0,50, відповідно, n=22). Аналізуючи кореляційні зв'язки МСР-1 та показників фагоцитозу нами відмічені зворотні коефіцієнти кореляції рівнів фагоцитуючих нейтрофілів, фагоцитарного числа та рівнів МСР-1в сироватці крові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відповідно, n=22). Такі дані можуть свідчити на користь зниження компенсаторних можливостей фагоцитозу, який в умовах активної запальної реакції спрямований на елімінацію продуктів запалення та ЦІК. В свою чергу, в умовах недостатньої активності фагоцитарної ланки імунітету підвищується синтез МСР-1 з метою залучення до вогнища запалення макрофагів та компенсувати процес виснаження. Також нами відмічені прямі кореляційні зв'язки рівнів Ig A, Ig M, Ig G та рівнів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+0,45 відповідно, n=22), що вказує на вплив даного хемокіну на гуморальну ланку імунітету.</w:t>
      </w:r>
    </w:p>
    <w:p w:rsidR="00BD0BF2" w:rsidRPr="004E3FE9" w:rsidRDefault="00BD0BF2" w:rsidP="00BD0BF2">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Аналогічні дані отримані нами при кореляційному аналізі імунологічних показників та показників МСР-1 в сироватці крові у дітей з ІІІ </w:t>
      </w:r>
      <w:r w:rsidRPr="004E3FE9">
        <w:rPr>
          <w:rFonts w:ascii="Times New Roman" w:hAnsi="Times New Roman" w:cs="Times New Roman"/>
          <w:sz w:val="28"/>
          <w:szCs w:val="28"/>
          <w:lang w:val="uk-UA"/>
        </w:rPr>
        <w:lastRenderedPageBreak/>
        <w:t>ступенем ГВ. Прямі коефіцієнти кореляції визначені між рівнями абсолютної, відносної кількості CD4, абсолютної, відносної кількості CD16, абсолютної, відносної кількості CD22, Ig A, Ig M та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+0,80,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+0,76,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+0,50,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+0,55 відповідно, n=19). Зворотні кореляційні зв'язки виявлено серед рівнів абсолютної, відносної кількості CD8, фагоцитуючих нейтрофілів, фагоцитарного числа та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-0,72,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-0,83,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-0,54 відповідно, n=19).</w:t>
      </w:r>
    </w:p>
    <w:p w:rsidR="00BD0BF2" w:rsidRPr="004E3FE9" w:rsidRDefault="00BD0BF2" w:rsidP="00BD0BF2">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Нами проведено кореляційний аналіз зв'язків МСР-1 та окремих маркерів дисфункції ендотелію. Отримані дані представлені в табл. 5.8.</w:t>
      </w:r>
    </w:p>
    <w:p w:rsidR="00BD0BF2" w:rsidRPr="00283E39" w:rsidRDefault="00BD0BF2" w:rsidP="00BD0BF2">
      <w:pPr>
        <w:tabs>
          <w:tab w:val="left" w:pos="7251"/>
        </w:tabs>
        <w:spacing w:line="360" w:lineRule="auto"/>
        <w:ind w:firstLine="709"/>
        <w:contextualSpacing/>
        <w:jc w:val="right"/>
        <w:rPr>
          <w:rFonts w:ascii="Times New Roman" w:hAnsi="Times New Roman" w:cs="Times New Roman"/>
          <w:i/>
          <w:sz w:val="28"/>
          <w:szCs w:val="28"/>
          <w:lang w:val="uk-UA"/>
        </w:rPr>
      </w:pPr>
      <w:r w:rsidRPr="00283E39">
        <w:rPr>
          <w:rFonts w:ascii="Times New Roman" w:hAnsi="Times New Roman" w:cs="Times New Roman"/>
          <w:i/>
          <w:sz w:val="28"/>
          <w:szCs w:val="28"/>
          <w:lang w:val="uk-UA"/>
        </w:rPr>
        <w:t>Таблиця 5.8</w:t>
      </w:r>
    </w:p>
    <w:p w:rsidR="00BD0BF2" w:rsidRPr="004E3FE9" w:rsidRDefault="00BD0BF2" w:rsidP="00BD0BF2">
      <w:pPr>
        <w:tabs>
          <w:tab w:val="left" w:pos="7251"/>
        </w:tabs>
        <w:spacing w:line="360" w:lineRule="auto"/>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Кореляційні зв’язки МСР-1 в сироватці крові та окремих маркерів ендотеліальної дисфункції у обстежених дітей з ГВ різного ступеня активності.</w:t>
      </w:r>
    </w:p>
    <w:tbl>
      <w:tblPr>
        <w:tblStyle w:val="a8"/>
        <w:tblW w:w="0" w:type="auto"/>
        <w:tblInd w:w="108" w:type="dxa"/>
        <w:tblLayout w:type="fixed"/>
        <w:tblLook w:val="04A0"/>
      </w:tblPr>
      <w:tblGrid>
        <w:gridCol w:w="1985"/>
        <w:gridCol w:w="1869"/>
        <w:gridCol w:w="1870"/>
        <w:gridCol w:w="1789"/>
        <w:gridCol w:w="1950"/>
      </w:tblGrid>
      <w:tr w:rsidR="00BD0BF2" w:rsidRPr="004E3FE9" w:rsidTr="00721EA2">
        <w:tc>
          <w:tcPr>
            <w:tcW w:w="1985"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Показники</w:t>
            </w:r>
          </w:p>
        </w:tc>
        <w:tc>
          <w:tcPr>
            <w:tcW w:w="186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мкмоль/л</w:t>
            </w:r>
          </w:p>
        </w:tc>
        <w:tc>
          <w:tcPr>
            <w:tcW w:w="187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мкмоль/л</w:t>
            </w:r>
          </w:p>
        </w:tc>
        <w:tc>
          <w:tcPr>
            <w:tcW w:w="178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S-нітрозотіол, ммоль/л</w:t>
            </w:r>
          </w:p>
        </w:tc>
        <w:tc>
          <w:tcPr>
            <w:tcW w:w="1950"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фактор Віллебранда, %</w:t>
            </w:r>
          </w:p>
        </w:tc>
      </w:tr>
      <w:tr w:rsidR="00BD0BF2" w:rsidRPr="004E3FE9" w:rsidTr="00721EA2">
        <w:tc>
          <w:tcPr>
            <w:tcW w:w="9463"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ступінь активності (n=19)</w:t>
            </w:r>
          </w:p>
        </w:tc>
      </w:tr>
      <w:tr w:rsidR="00BD0BF2" w:rsidRPr="004E3FE9" w:rsidTr="00721EA2">
        <w:tc>
          <w:tcPr>
            <w:tcW w:w="1985"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МСР-1, пг/мл</w:t>
            </w:r>
          </w:p>
        </w:tc>
        <w:tc>
          <w:tcPr>
            <w:tcW w:w="1869"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0,29</w:t>
            </w:r>
          </w:p>
        </w:tc>
        <w:tc>
          <w:tcPr>
            <w:tcW w:w="1870"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0,74*</w:t>
            </w:r>
          </w:p>
        </w:tc>
        <w:tc>
          <w:tcPr>
            <w:tcW w:w="1789"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0,61*</w:t>
            </w:r>
          </w:p>
        </w:tc>
        <w:tc>
          <w:tcPr>
            <w:tcW w:w="1950"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0,40</w:t>
            </w:r>
          </w:p>
        </w:tc>
      </w:tr>
      <w:tr w:rsidR="00BD0BF2" w:rsidRPr="004E3FE9" w:rsidTr="00721EA2">
        <w:tc>
          <w:tcPr>
            <w:tcW w:w="9463"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 ступінь активності (n=22)</w:t>
            </w:r>
          </w:p>
        </w:tc>
      </w:tr>
      <w:tr w:rsidR="00BD0BF2" w:rsidRPr="004E3FE9" w:rsidTr="00721EA2">
        <w:tc>
          <w:tcPr>
            <w:tcW w:w="1985"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МСР-1, пг/мл</w:t>
            </w:r>
          </w:p>
        </w:tc>
        <w:tc>
          <w:tcPr>
            <w:tcW w:w="1869"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0,07</w:t>
            </w:r>
          </w:p>
        </w:tc>
        <w:tc>
          <w:tcPr>
            <w:tcW w:w="1870"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0,58*</w:t>
            </w:r>
          </w:p>
        </w:tc>
        <w:tc>
          <w:tcPr>
            <w:tcW w:w="1789"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0,44*</w:t>
            </w:r>
          </w:p>
        </w:tc>
        <w:tc>
          <w:tcPr>
            <w:tcW w:w="1950"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0,53*</w:t>
            </w:r>
          </w:p>
        </w:tc>
      </w:tr>
      <w:tr w:rsidR="00BD0BF2" w:rsidRPr="004E3FE9" w:rsidTr="00721EA2">
        <w:tc>
          <w:tcPr>
            <w:tcW w:w="9463"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ІІІ ступінь активності (n=19)</w:t>
            </w:r>
          </w:p>
        </w:tc>
      </w:tr>
      <w:tr w:rsidR="00BD0BF2" w:rsidRPr="004E3FE9" w:rsidTr="00721EA2">
        <w:tc>
          <w:tcPr>
            <w:tcW w:w="1985"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МСР-1, пг/мл</w:t>
            </w:r>
          </w:p>
        </w:tc>
        <w:tc>
          <w:tcPr>
            <w:tcW w:w="1869"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-0,55*</w:t>
            </w:r>
          </w:p>
        </w:tc>
        <w:tc>
          <w:tcPr>
            <w:tcW w:w="1870"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-0,46*</w:t>
            </w:r>
          </w:p>
        </w:tc>
        <w:tc>
          <w:tcPr>
            <w:tcW w:w="1789"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-0,46*</w:t>
            </w:r>
          </w:p>
        </w:tc>
        <w:tc>
          <w:tcPr>
            <w:tcW w:w="1950"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0,51*</w:t>
            </w:r>
          </w:p>
        </w:tc>
      </w:tr>
    </w:tbl>
    <w:p w:rsidR="00BD0BF2" w:rsidRPr="004E3FE9" w:rsidRDefault="004806EB" w:rsidP="00BD0BF2">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Примітка. * - p&lt;0,01</w:t>
      </w:r>
      <w:r w:rsidR="00BD0BF2" w:rsidRPr="004E3FE9">
        <w:rPr>
          <w:rFonts w:ascii="Times New Roman" w:hAnsi="Times New Roman" w:cs="Times New Roman"/>
          <w:sz w:val="28"/>
          <w:szCs w:val="28"/>
          <w:lang w:val="uk-UA"/>
        </w:rPr>
        <w:t xml:space="preserve"> – різниця вірогідна відносно означених біохімічних маркерів ендотеліальної дисфункції.</w:t>
      </w:r>
    </w:p>
    <w:p w:rsidR="00BD0BF2" w:rsidRPr="004E3FE9" w:rsidRDefault="00BD0BF2" w:rsidP="00BD0BF2">
      <w:pPr>
        <w:tabs>
          <w:tab w:val="left" w:pos="7251"/>
        </w:tabs>
        <w:spacing w:line="360" w:lineRule="auto"/>
        <w:ind w:firstLine="709"/>
        <w:contextualSpacing/>
        <w:jc w:val="both"/>
        <w:rPr>
          <w:rFonts w:ascii="Times New Roman" w:hAnsi="Times New Roman" w:cs="Times New Roman"/>
          <w:sz w:val="28"/>
          <w:szCs w:val="28"/>
          <w:lang w:val="uk-UA"/>
        </w:rPr>
      </w:pPr>
    </w:p>
    <w:p w:rsidR="00BD0BF2" w:rsidRPr="004E3FE9" w:rsidRDefault="00BD0BF2" w:rsidP="00BD0BF2">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 дітей з мінімальною активністю ГВ виявлені наступні достовірні прямі кореляційні зв'язки рівнів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S-нітрозотіолу та рівнів МСР-1 в сироватці крові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+0,61, відповідно, n=19). У дітей з ІІ ступенем активності ГВ також виявлені однонапрвлені кореляційні зв'язки </w:t>
      </w:r>
      <w:r w:rsidRPr="004E3FE9">
        <w:rPr>
          <w:rFonts w:ascii="Times New Roman" w:hAnsi="Times New Roman" w:cs="Times New Roman"/>
          <w:sz w:val="28"/>
          <w:szCs w:val="28"/>
          <w:lang w:val="uk-UA"/>
        </w:rPr>
        <w:lastRenderedPageBreak/>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S-нітрозотіолу, фактору Віллебранда та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відповідно, n=22). Такі взаємозв’язки рівнів МСР-1 та метаболітів оксиду азоту можливо пов’язані з пошкоджуючим впливом пероксинитриту, який утворюється внаслідок взаємодії оксиду азоту з супероксидом або пероксидом водороду, на ендотелій судин. В свою чергу, ендотеліальні клітини у відповідь на ушкодження починають активно експресувати МСР-1. У дітей з ІІІ ступенем активності ГВ кореляційні зв'язки рівнів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S-нітрозотіолу та рівнів МСР-1 набувають зворотного характеру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-0,55,</w:t>
      </w:r>
      <w:r w:rsidR="003471C2">
        <w:rPr>
          <w:rFonts w:ascii="Times New Roman" w:hAnsi="Times New Roman" w:cs="Times New Roman"/>
          <w:sz w:val="28"/>
          <w:szCs w:val="28"/>
          <w:lang w:val="uk-UA"/>
        </w:rPr>
        <w:t xml:space="preserve">   </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-0,46,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-0,46, відповідно, n=19). Такі зміни, ймовірно, свідчать про наростання ушкодження ендотелію при підвищеному синтезі МСР-1 та знижених рівнів метаболітів NO.</w:t>
      </w:r>
    </w:p>
    <w:p w:rsidR="00BD0BF2" w:rsidRPr="00283E39" w:rsidRDefault="00BD0BF2" w:rsidP="00BD0BF2">
      <w:pPr>
        <w:spacing w:line="360" w:lineRule="auto"/>
        <w:ind w:right="141"/>
        <w:contextualSpacing/>
        <w:jc w:val="right"/>
        <w:rPr>
          <w:rFonts w:ascii="Times New Roman" w:hAnsi="Times New Roman" w:cs="Times New Roman"/>
          <w:i/>
          <w:sz w:val="28"/>
          <w:szCs w:val="28"/>
          <w:lang w:val="uk-UA"/>
        </w:rPr>
      </w:pPr>
      <w:r w:rsidRPr="00283E39">
        <w:rPr>
          <w:rFonts w:ascii="Times New Roman" w:hAnsi="Times New Roman" w:cs="Times New Roman"/>
          <w:i/>
          <w:sz w:val="28"/>
          <w:szCs w:val="28"/>
          <w:lang w:val="uk-UA"/>
        </w:rPr>
        <w:t>Таблиця 5.9</w:t>
      </w:r>
    </w:p>
    <w:p w:rsidR="00BD0BF2" w:rsidRPr="004E3FE9" w:rsidRDefault="00BD0BF2" w:rsidP="00BD0BF2">
      <w:pPr>
        <w:spacing w:line="360" w:lineRule="auto"/>
        <w:ind w:right="141"/>
        <w:contextualSpacing/>
        <w:jc w:val="center"/>
        <w:rPr>
          <w:rFonts w:ascii="Times New Roman" w:hAnsi="Times New Roman" w:cs="Times New Roman"/>
          <w:b/>
          <w:sz w:val="28"/>
          <w:szCs w:val="28"/>
          <w:lang w:val="uk-UA"/>
        </w:rPr>
      </w:pPr>
      <w:r w:rsidRPr="004E3FE9">
        <w:rPr>
          <w:rFonts w:ascii="Times New Roman" w:hAnsi="Times New Roman" w:cs="Times New Roman"/>
          <w:b/>
          <w:sz w:val="28"/>
          <w:szCs w:val="28"/>
          <w:lang w:val="uk-UA"/>
        </w:rPr>
        <w:t>Кореляційні зв’язки показників МСР-1 в сироватці крові та окремих інструментальних показників ендотеліальної дисфункції у обстежених дітей з ГВ з різним ступенем активност</w:t>
      </w:r>
      <w:r w:rsidR="003471C2">
        <w:rPr>
          <w:rFonts w:ascii="Times New Roman" w:hAnsi="Times New Roman" w:cs="Times New Roman"/>
          <w:b/>
          <w:sz w:val="28"/>
          <w:szCs w:val="28"/>
          <w:lang w:val="uk-UA"/>
        </w:rPr>
        <w:t>і</w:t>
      </w:r>
    </w:p>
    <w:tbl>
      <w:tblPr>
        <w:tblStyle w:val="a8"/>
        <w:tblW w:w="0" w:type="auto"/>
        <w:jc w:val="center"/>
        <w:tblLook w:val="04A0"/>
      </w:tblPr>
      <w:tblGrid>
        <w:gridCol w:w="3119"/>
        <w:gridCol w:w="1586"/>
        <w:gridCol w:w="1586"/>
        <w:gridCol w:w="1586"/>
        <w:gridCol w:w="1586"/>
      </w:tblGrid>
      <w:tr w:rsidR="00BD0BF2" w:rsidRPr="004E3FE9" w:rsidTr="00721EA2">
        <w:trPr>
          <w:jc w:val="center"/>
        </w:trPr>
        <w:tc>
          <w:tcPr>
            <w:tcW w:w="3119" w:type="dxa"/>
            <w:vAlign w:val="center"/>
          </w:tcPr>
          <w:p w:rsidR="00BD0BF2" w:rsidRPr="004E3FE9" w:rsidRDefault="00BD0BF2" w:rsidP="00721EA2">
            <w:pPr>
              <w:spacing w:line="360" w:lineRule="auto"/>
              <w:ind w:right="142"/>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Показники</w:t>
            </w:r>
          </w:p>
        </w:tc>
        <w:tc>
          <w:tcPr>
            <w:tcW w:w="1586" w:type="dxa"/>
            <w:vAlign w:val="center"/>
          </w:tcPr>
          <w:p w:rsidR="00BD0BF2" w:rsidRPr="004E3FE9" w:rsidRDefault="00BD0BF2" w:rsidP="00721EA2">
            <w:pPr>
              <w:spacing w:line="360" w:lineRule="auto"/>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КІМ ЗСА, мм</w:t>
            </w:r>
          </w:p>
        </w:tc>
        <w:tc>
          <w:tcPr>
            <w:tcW w:w="158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d ПА до оклюзії, мм</w:t>
            </w:r>
          </w:p>
        </w:tc>
        <w:tc>
          <w:tcPr>
            <w:tcW w:w="158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w:t>
            </w:r>
          </w:p>
          <w:p w:rsidR="00BD0BF2" w:rsidRPr="004E3FE9" w:rsidRDefault="00BD0BF2" w:rsidP="00721EA2">
            <w:pPr>
              <w:spacing w:line="360" w:lineRule="auto"/>
              <w:contextualSpacing/>
              <w:jc w:val="center"/>
              <w:rPr>
                <w:rFonts w:ascii="Times New Roman" w:hAnsi="Times New Roman" w:cs="Times New Roman"/>
                <w:sz w:val="28"/>
                <w:szCs w:val="28"/>
                <w:lang w:val="uk-UA"/>
              </w:rPr>
            </w:pPr>
          </w:p>
        </w:tc>
        <w:tc>
          <w:tcPr>
            <w:tcW w:w="1586"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КД</w:t>
            </w:r>
            <w:r w:rsidRPr="004E3FE9">
              <w:rPr>
                <w:rFonts w:ascii="Times New Roman" w:hAnsi="Times New Roman" w:cs="Times New Roman"/>
                <w:sz w:val="28"/>
                <w:szCs w:val="28"/>
                <w:vertAlign w:val="subscript"/>
                <w:lang w:val="uk-UA"/>
              </w:rPr>
              <w:t>60</w:t>
            </w:r>
            <w:r w:rsidRPr="004E3FE9">
              <w:rPr>
                <w:rFonts w:ascii="Times New Roman" w:hAnsi="Times New Roman" w:cs="Times New Roman"/>
                <w:sz w:val="28"/>
                <w:szCs w:val="28"/>
                <w:lang w:val="uk-UA"/>
              </w:rPr>
              <w:t>, %</w:t>
            </w:r>
          </w:p>
          <w:p w:rsidR="00BD0BF2" w:rsidRPr="004E3FE9" w:rsidRDefault="00BD0BF2" w:rsidP="00721EA2">
            <w:pPr>
              <w:spacing w:line="360" w:lineRule="auto"/>
              <w:contextualSpacing/>
              <w:jc w:val="center"/>
              <w:rPr>
                <w:rFonts w:ascii="Times New Roman" w:hAnsi="Times New Roman" w:cs="Times New Roman"/>
                <w:sz w:val="28"/>
                <w:szCs w:val="28"/>
                <w:lang w:val="uk-UA"/>
              </w:rPr>
            </w:pPr>
          </w:p>
        </w:tc>
      </w:tr>
      <w:tr w:rsidR="00BD0BF2" w:rsidRPr="004E3FE9" w:rsidTr="00721EA2">
        <w:trPr>
          <w:jc w:val="center"/>
        </w:trPr>
        <w:tc>
          <w:tcPr>
            <w:tcW w:w="9463" w:type="dxa"/>
            <w:gridSpan w:val="5"/>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І ступінь n=19</w:t>
            </w:r>
          </w:p>
        </w:tc>
      </w:tr>
      <w:tr w:rsidR="00BD0BF2" w:rsidRPr="004E3FE9" w:rsidTr="00721EA2">
        <w:trPr>
          <w:jc w:val="center"/>
        </w:trPr>
        <w:tc>
          <w:tcPr>
            <w:tcW w:w="311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МСР-1, пг/мл</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0,02*</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0,23*</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-0,49*</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-0,59*</w:t>
            </w:r>
          </w:p>
        </w:tc>
      </w:tr>
      <w:tr w:rsidR="00BD0BF2" w:rsidRPr="004E3FE9" w:rsidTr="00721EA2">
        <w:trPr>
          <w:jc w:val="center"/>
        </w:trPr>
        <w:tc>
          <w:tcPr>
            <w:tcW w:w="9463" w:type="dxa"/>
            <w:gridSpan w:val="5"/>
            <w:vAlign w:val="center"/>
          </w:tcPr>
          <w:p w:rsidR="00BD0BF2" w:rsidRPr="004E3FE9" w:rsidRDefault="00BD0BF2" w:rsidP="00721EA2">
            <w:pPr>
              <w:spacing w:line="360" w:lineRule="auto"/>
              <w:contextualSpacing/>
              <w:jc w:val="center"/>
              <w:rPr>
                <w:rFonts w:ascii="Times New Roman" w:hAnsi="Times New Roman" w:cs="Times New Roman"/>
                <w:color w:val="000000"/>
                <w:sz w:val="28"/>
                <w:szCs w:val="28"/>
                <w:lang w:val="uk-UA"/>
              </w:rPr>
            </w:pPr>
            <w:r w:rsidRPr="004E3FE9">
              <w:rPr>
                <w:rFonts w:ascii="Times New Roman" w:hAnsi="Times New Roman" w:cs="Times New Roman"/>
                <w:sz w:val="28"/>
                <w:szCs w:val="28"/>
                <w:lang w:val="uk-UA"/>
              </w:rPr>
              <w:t>ІІ ступінь n=22</w:t>
            </w:r>
          </w:p>
        </w:tc>
      </w:tr>
      <w:tr w:rsidR="00BD0BF2" w:rsidRPr="004E3FE9" w:rsidTr="00721EA2">
        <w:trPr>
          <w:jc w:val="center"/>
        </w:trPr>
        <w:tc>
          <w:tcPr>
            <w:tcW w:w="311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МСР-1, пг/мл</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-0,02</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0,40</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-0,76*</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-0,80*</w:t>
            </w:r>
          </w:p>
        </w:tc>
      </w:tr>
      <w:tr w:rsidR="00BD0BF2" w:rsidRPr="004E3FE9" w:rsidTr="00721EA2">
        <w:trPr>
          <w:jc w:val="center"/>
        </w:trPr>
        <w:tc>
          <w:tcPr>
            <w:tcW w:w="9463" w:type="dxa"/>
            <w:gridSpan w:val="5"/>
            <w:vAlign w:val="center"/>
          </w:tcPr>
          <w:p w:rsidR="00BD0BF2" w:rsidRPr="004E3FE9" w:rsidRDefault="00BD0BF2" w:rsidP="00721EA2">
            <w:pPr>
              <w:spacing w:line="360" w:lineRule="auto"/>
              <w:contextualSpacing/>
              <w:jc w:val="center"/>
              <w:rPr>
                <w:rFonts w:ascii="Times New Roman" w:hAnsi="Times New Roman" w:cs="Times New Roman"/>
                <w:color w:val="000000"/>
                <w:sz w:val="28"/>
                <w:szCs w:val="28"/>
                <w:lang w:val="uk-UA"/>
              </w:rPr>
            </w:pPr>
            <w:r w:rsidRPr="004E3FE9">
              <w:rPr>
                <w:rFonts w:ascii="Times New Roman" w:hAnsi="Times New Roman" w:cs="Times New Roman"/>
                <w:sz w:val="28"/>
                <w:szCs w:val="28"/>
                <w:lang w:val="uk-UA"/>
              </w:rPr>
              <w:t>ІІІ ступінь n=19</w:t>
            </w:r>
          </w:p>
        </w:tc>
      </w:tr>
      <w:tr w:rsidR="00BD0BF2" w:rsidRPr="004E3FE9" w:rsidTr="00721EA2">
        <w:trPr>
          <w:jc w:val="center"/>
        </w:trPr>
        <w:tc>
          <w:tcPr>
            <w:tcW w:w="3119" w:type="dxa"/>
            <w:vAlign w:val="center"/>
          </w:tcPr>
          <w:p w:rsidR="00BD0BF2" w:rsidRPr="004E3FE9" w:rsidRDefault="00BD0BF2" w:rsidP="00721EA2">
            <w:pPr>
              <w:spacing w:line="360" w:lineRule="auto"/>
              <w:ind w:right="141"/>
              <w:contextualSpacing/>
              <w:jc w:val="center"/>
              <w:rPr>
                <w:rFonts w:ascii="Times New Roman" w:hAnsi="Times New Roman" w:cs="Times New Roman"/>
                <w:sz w:val="28"/>
                <w:szCs w:val="28"/>
                <w:lang w:val="uk-UA"/>
              </w:rPr>
            </w:pPr>
            <w:r w:rsidRPr="004E3FE9">
              <w:rPr>
                <w:rFonts w:ascii="Times New Roman" w:hAnsi="Times New Roman" w:cs="Times New Roman"/>
                <w:sz w:val="28"/>
                <w:szCs w:val="28"/>
                <w:lang w:val="uk-UA"/>
              </w:rPr>
              <w:t>МСР-1, пг/мл</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0,44*</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0,30</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-0,58*</w:t>
            </w:r>
          </w:p>
        </w:tc>
        <w:tc>
          <w:tcPr>
            <w:tcW w:w="1586" w:type="dxa"/>
            <w:vAlign w:val="center"/>
          </w:tcPr>
          <w:p w:rsidR="00BD0BF2" w:rsidRPr="004E3FE9" w:rsidRDefault="00BD0BF2" w:rsidP="00721EA2">
            <w:pPr>
              <w:jc w:val="center"/>
              <w:rPr>
                <w:rFonts w:ascii="Times New Roman" w:hAnsi="Times New Roman" w:cs="Times New Roman"/>
                <w:sz w:val="28"/>
                <w:szCs w:val="28"/>
                <w:lang w:val="uk-UA"/>
              </w:rPr>
            </w:pPr>
            <w:r w:rsidRPr="004E3FE9">
              <w:rPr>
                <w:rFonts w:ascii="Times New Roman" w:hAnsi="Times New Roman" w:cs="Times New Roman"/>
                <w:color w:val="000000"/>
                <w:sz w:val="28"/>
                <w:szCs w:val="28"/>
                <w:lang w:val="uk-UA"/>
              </w:rPr>
              <w:t>-0,64*</w:t>
            </w:r>
          </w:p>
        </w:tc>
      </w:tr>
    </w:tbl>
    <w:p w:rsidR="00BD0BF2" w:rsidRPr="004E3FE9" w:rsidRDefault="00BD0BF2" w:rsidP="00BD0BF2">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w:t>
      </w:r>
      <w:r w:rsidR="003471C2">
        <w:rPr>
          <w:rFonts w:ascii="Times New Roman" w:hAnsi="Times New Roman" w:cs="Times New Roman"/>
          <w:sz w:val="28"/>
          <w:szCs w:val="28"/>
          <w:lang w:val="uk-UA"/>
        </w:rPr>
        <w:t>римітка. * - p&lt;0,05</w:t>
      </w:r>
      <w:r w:rsidRPr="004E3FE9">
        <w:rPr>
          <w:rFonts w:ascii="Times New Roman" w:hAnsi="Times New Roman" w:cs="Times New Roman"/>
          <w:sz w:val="28"/>
          <w:szCs w:val="28"/>
          <w:lang w:val="uk-UA"/>
        </w:rPr>
        <w:t xml:space="preserve"> – різниця вірогідна відносно означених інструментальних показників ендотеліальної дисфункції.</w:t>
      </w:r>
    </w:p>
    <w:p w:rsidR="00BD0BF2" w:rsidRPr="004E3FE9" w:rsidRDefault="00BD0BF2" w:rsidP="00BD0BF2">
      <w:pPr>
        <w:tabs>
          <w:tab w:val="left" w:pos="7251"/>
        </w:tabs>
        <w:spacing w:line="360" w:lineRule="auto"/>
        <w:ind w:firstLine="709"/>
        <w:contextualSpacing/>
        <w:jc w:val="both"/>
        <w:rPr>
          <w:rFonts w:ascii="Times New Roman" w:hAnsi="Times New Roman" w:cs="Times New Roman"/>
          <w:sz w:val="28"/>
          <w:szCs w:val="28"/>
          <w:lang w:val="uk-UA"/>
        </w:rPr>
      </w:pPr>
    </w:p>
    <w:p w:rsidR="004806EB" w:rsidRPr="004E3FE9" w:rsidRDefault="004806EB" w:rsidP="00BD0BF2">
      <w:pPr>
        <w:tabs>
          <w:tab w:val="left" w:pos="7251"/>
        </w:tabs>
        <w:spacing w:line="360" w:lineRule="auto"/>
        <w:ind w:firstLine="709"/>
        <w:contextualSpacing/>
        <w:jc w:val="both"/>
        <w:rPr>
          <w:rFonts w:ascii="Times New Roman" w:hAnsi="Times New Roman" w:cs="Times New Roman"/>
          <w:sz w:val="28"/>
          <w:szCs w:val="28"/>
          <w:lang w:val="uk-UA"/>
        </w:rPr>
      </w:pPr>
    </w:p>
    <w:p w:rsidR="004F59FF" w:rsidRPr="004E3FE9" w:rsidRDefault="004F59FF" w:rsidP="00BD0BF2">
      <w:pPr>
        <w:tabs>
          <w:tab w:val="left" w:pos="7251"/>
        </w:tabs>
        <w:spacing w:line="360" w:lineRule="auto"/>
        <w:ind w:firstLine="709"/>
        <w:contextualSpacing/>
        <w:jc w:val="both"/>
        <w:rPr>
          <w:rFonts w:ascii="Times New Roman" w:hAnsi="Times New Roman" w:cs="Times New Roman"/>
          <w:sz w:val="28"/>
          <w:szCs w:val="28"/>
          <w:lang w:val="uk-UA"/>
        </w:rPr>
      </w:pPr>
    </w:p>
    <w:p w:rsidR="004F59FF" w:rsidRPr="004E3FE9" w:rsidRDefault="004F59FF" w:rsidP="00BD0BF2">
      <w:pPr>
        <w:tabs>
          <w:tab w:val="left" w:pos="7251"/>
        </w:tabs>
        <w:spacing w:line="360" w:lineRule="auto"/>
        <w:ind w:firstLine="709"/>
        <w:contextualSpacing/>
        <w:jc w:val="both"/>
        <w:rPr>
          <w:rFonts w:ascii="Times New Roman" w:hAnsi="Times New Roman" w:cs="Times New Roman"/>
          <w:sz w:val="28"/>
          <w:szCs w:val="28"/>
          <w:lang w:val="uk-UA"/>
        </w:rPr>
      </w:pPr>
    </w:p>
    <w:p w:rsidR="004806EB" w:rsidRPr="003471C2" w:rsidRDefault="003471C2" w:rsidP="00BD0BF2">
      <w:pPr>
        <w:tabs>
          <w:tab w:val="left" w:pos="7251"/>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до розділу 5</w:t>
      </w:r>
    </w:p>
    <w:p w:rsidR="00BD0BF2" w:rsidRPr="004E3FE9" w:rsidRDefault="00BD0BF2" w:rsidP="00BD0BF2">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Роль МСР-1 в патогенетичних механізмах ушкодження ендотелію та розвитку її дисфункції підтверджується виявленими статистично значущими різнонаправленими кореляційними зв’язками рівнів МСР-1 в сироватці крові та показниками ЕЗВД. Також під впливом МСР-1 відбувається проліферація гладких м'язів судин з секрецією ними прозапальних цитокінів, що сприяють прогресуванню захворювання за рахунок судинного ушкодження. Такі дані підтверджуються наявним позитивним коефіцієнтом кореляції рівнів МСР-1 та товщиною КІМ ЗСА у дітей з максимальним ступенем активності (табл. 5.9).</w:t>
      </w:r>
    </w:p>
    <w:p w:rsidR="00BD0BF2" w:rsidRPr="004E3FE9" w:rsidRDefault="00BD0BF2" w:rsidP="00BD0BF2">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Таким чином, підвищення рівнів МСР-1 та ендотеліальна дисфункція у дітей, хворих на ГВ представляються тісно асоційованими процесами, що призводять до прогресування захворювання з подальшим виникненням ускладнень.</w:t>
      </w:r>
    </w:p>
    <w:p w:rsidR="004806EB" w:rsidRDefault="004806EB" w:rsidP="00BD0BF2">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Результати дослідження показали, що при ГВ ендотелій судин являється не тільки плацдармом, на якому розвивається запальний процес, а й активним співучасником патофізіологічних подій з порушенням численних функцій ендотелію, в реалізації котрих суттєва значимість морфофункціональних змін судинної стінки, фактору Віллебранда, метаболітів оксиду азоту, МСР-1. Вира</w:t>
      </w:r>
      <w:r w:rsidR="00B40288">
        <w:rPr>
          <w:rFonts w:ascii="Times New Roman" w:hAnsi="Times New Roman" w:cs="Times New Roman"/>
          <w:sz w:val="28"/>
          <w:szCs w:val="28"/>
          <w:lang w:val="uk-UA"/>
        </w:rPr>
        <w:t>з</w:t>
      </w:r>
      <w:r w:rsidRPr="004E3FE9">
        <w:rPr>
          <w:rFonts w:ascii="Times New Roman" w:hAnsi="Times New Roman" w:cs="Times New Roman"/>
          <w:sz w:val="28"/>
          <w:szCs w:val="28"/>
          <w:lang w:val="uk-UA"/>
        </w:rPr>
        <w:t>ність змін цих показників являється не тільки маркером ендотеліальної дисфункції, а можуть бути також і прогностичними ознаками несприятливого перебігу захворювання та розвитку ускладнень.</w:t>
      </w:r>
    </w:p>
    <w:p w:rsidR="003471C2" w:rsidRPr="004E3FE9" w:rsidRDefault="003471C2" w:rsidP="00BD0BF2">
      <w:pPr>
        <w:tabs>
          <w:tab w:val="left" w:pos="7251"/>
        </w:tabs>
        <w:spacing w:line="360" w:lineRule="auto"/>
        <w:ind w:firstLine="709"/>
        <w:contextualSpacing/>
        <w:jc w:val="both"/>
        <w:rPr>
          <w:rFonts w:ascii="Times New Roman" w:hAnsi="Times New Roman" w:cs="Times New Roman"/>
          <w:sz w:val="28"/>
          <w:szCs w:val="28"/>
          <w:lang w:val="uk-UA"/>
        </w:rPr>
      </w:pPr>
      <w:r w:rsidRPr="003471C2">
        <w:rPr>
          <w:rFonts w:ascii="Times New Roman" w:hAnsi="Times New Roman" w:cs="Times New Roman"/>
          <w:sz w:val="28"/>
          <w:szCs w:val="28"/>
          <w:lang w:val="uk-UA"/>
        </w:rPr>
        <w:t>Основні результати дослідження та його положення, які викладені в даному розділі, апробовані на місцевому, регіональному та міжнародному рівнях, що знайшло відображення в таких публікаціях:</w:t>
      </w:r>
    </w:p>
    <w:p w:rsidR="00BD0BF2" w:rsidRDefault="003471C2" w:rsidP="003471C2">
      <w:pPr>
        <w:pStyle w:val="a7"/>
        <w:numPr>
          <w:ilvl w:val="0"/>
          <w:numId w:val="16"/>
        </w:numPr>
        <w:spacing w:line="360" w:lineRule="auto"/>
        <w:jc w:val="both"/>
        <w:rPr>
          <w:rFonts w:ascii="Times New Roman" w:hAnsi="Times New Roman" w:cs="Times New Roman"/>
          <w:sz w:val="28"/>
          <w:szCs w:val="28"/>
          <w:lang w:val="uk-UA"/>
        </w:rPr>
      </w:pPr>
      <w:r w:rsidRPr="003471C2">
        <w:rPr>
          <w:rFonts w:ascii="Times New Roman" w:hAnsi="Times New Roman" w:cs="Times New Roman"/>
          <w:sz w:val="28"/>
          <w:szCs w:val="28"/>
          <w:lang w:val="uk-UA"/>
        </w:rPr>
        <w:t xml:space="preserve">Яворович М.В. Оцінка інформативності показників МСР-1 та S-нітрозотіолу в якості діагностично-прогностичних критеріїв перебігу геморагічного васкуліту у дітей / М.В. Яворович // Актуальні проблеми </w:t>
      </w:r>
      <w:r w:rsidRPr="003471C2">
        <w:rPr>
          <w:rFonts w:ascii="Times New Roman" w:hAnsi="Times New Roman" w:cs="Times New Roman"/>
          <w:sz w:val="28"/>
          <w:szCs w:val="28"/>
          <w:lang w:val="uk-UA"/>
        </w:rPr>
        <w:lastRenderedPageBreak/>
        <w:t>сучасної медицини: Вісник української медичної стоматологічної академії. – 2015. – Т. 15. – №. 4 (52). – С.143-146.</w:t>
      </w:r>
    </w:p>
    <w:p w:rsidR="003471C2" w:rsidRDefault="003471C2" w:rsidP="003471C2">
      <w:pPr>
        <w:pStyle w:val="a7"/>
        <w:numPr>
          <w:ilvl w:val="0"/>
          <w:numId w:val="16"/>
        </w:numPr>
        <w:spacing w:line="360" w:lineRule="auto"/>
        <w:jc w:val="both"/>
        <w:rPr>
          <w:rFonts w:ascii="Times New Roman" w:hAnsi="Times New Roman" w:cs="Times New Roman"/>
          <w:sz w:val="28"/>
          <w:szCs w:val="28"/>
          <w:lang w:val="uk-UA"/>
        </w:rPr>
      </w:pPr>
      <w:r w:rsidRPr="003471C2">
        <w:rPr>
          <w:rFonts w:ascii="Times New Roman" w:hAnsi="Times New Roman" w:cs="Times New Roman"/>
          <w:sz w:val="28"/>
          <w:szCs w:val="28"/>
          <w:lang w:val="uk-UA"/>
        </w:rPr>
        <w:t>Yavorovych M.V. Тhe role of monocyte chemoattractant protein 1 in immune response formation in children with hemorrhagic vasc</w:t>
      </w:r>
      <w:r>
        <w:rPr>
          <w:rFonts w:ascii="Times New Roman" w:hAnsi="Times New Roman" w:cs="Times New Roman"/>
          <w:sz w:val="28"/>
          <w:szCs w:val="28"/>
          <w:lang w:val="uk-UA"/>
        </w:rPr>
        <w:t xml:space="preserve">ulitis / Yu.V. Odynets, </w:t>
      </w:r>
      <w:r w:rsidRPr="003471C2">
        <w:rPr>
          <w:rFonts w:ascii="Times New Roman" w:hAnsi="Times New Roman" w:cs="Times New Roman"/>
          <w:sz w:val="28"/>
          <w:szCs w:val="28"/>
          <w:lang w:val="uk-UA"/>
        </w:rPr>
        <w:t>M.V. Yavorovych // Inter Collegas. – 2016. – Vol. 3, №. 2. – P. 81-86.</w:t>
      </w:r>
    </w:p>
    <w:p w:rsidR="003471C2" w:rsidRDefault="003471C2" w:rsidP="003471C2">
      <w:pPr>
        <w:pStyle w:val="a7"/>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Яворович М.В. </w:t>
      </w:r>
      <w:r w:rsidRPr="009A01C1">
        <w:rPr>
          <w:rFonts w:ascii="Times New Roman" w:hAnsi="Times New Roman" w:cs="Times New Roman"/>
          <w:sz w:val="28"/>
          <w:szCs w:val="28"/>
          <w:lang w:val="uk-UA"/>
        </w:rPr>
        <w:t>Характеристика взаимосвязи иммунологических показателей и МСР-1 у детей с геморрагическим васкулитом / М.В. Яворович // Актуальні проблеми експериментальної та</w:t>
      </w:r>
      <w:r>
        <w:rPr>
          <w:rFonts w:ascii="Times New Roman" w:hAnsi="Times New Roman" w:cs="Times New Roman"/>
          <w:sz w:val="28"/>
          <w:szCs w:val="28"/>
          <w:lang w:val="uk-UA"/>
        </w:rPr>
        <w:t xml:space="preserve"> клінічної біохімії: матеріали </w:t>
      </w:r>
      <w:r w:rsidRPr="009A01C1">
        <w:rPr>
          <w:rFonts w:ascii="Times New Roman" w:hAnsi="Times New Roman" w:cs="Times New Roman"/>
          <w:sz w:val="28"/>
          <w:szCs w:val="28"/>
          <w:lang w:val="uk-UA"/>
        </w:rPr>
        <w:t>3-ї Міжвузівської науково-практичної конференції, 12-13 жовтня 2015 р. –Харків, 2015. – С.20.</w:t>
      </w:r>
    </w:p>
    <w:p w:rsidR="003471C2" w:rsidRDefault="003471C2" w:rsidP="003471C2">
      <w:pPr>
        <w:pStyle w:val="a7"/>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Яворович М.</w:t>
      </w:r>
      <w:r w:rsidRPr="009A01C1">
        <w:rPr>
          <w:rFonts w:ascii="Times New Roman" w:hAnsi="Times New Roman" w:cs="Times New Roman"/>
          <w:sz w:val="28"/>
          <w:szCs w:val="28"/>
          <w:lang w:val="uk-UA"/>
        </w:rPr>
        <w:t>В. Оценка связей МСР-1 и маркеров дисфункции эндотелия у детей с геморрагическим васкулитом / М.В. Яворович // Медицина третього тисячоліття: збірник тез міжвузівської конференції молодих вчених та студентів, 20 січня 2016 р. – Харків, 2016. - С.279.</w:t>
      </w:r>
    </w:p>
    <w:p w:rsidR="003471C2" w:rsidRDefault="003471C2" w:rsidP="003471C2">
      <w:pPr>
        <w:pStyle w:val="a7"/>
        <w:numPr>
          <w:ilvl w:val="0"/>
          <w:numId w:val="16"/>
        </w:numPr>
        <w:spacing w:line="360" w:lineRule="auto"/>
        <w:jc w:val="both"/>
        <w:rPr>
          <w:rFonts w:ascii="Times New Roman" w:hAnsi="Times New Roman" w:cs="Times New Roman"/>
          <w:sz w:val="28"/>
          <w:szCs w:val="28"/>
          <w:lang w:val="uk-UA"/>
        </w:rPr>
      </w:pPr>
      <w:r w:rsidRPr="009A01C1">
        <w:rPr>
          <w:rFonts w:ascii="Times New Roman" w:hAnsi="Times New Roman" w:cs="Times New Roman"/>
          <w:sz w:val="28"/>
          <w:szCs w:val="28"/>
          <w:lang w:val="uk-UA"/>
        </w:rPr>
        <w:t>Yavorovych M.V. Biochemical markers of endothelial dysfunction in children with Henoch-Schonlein purpura./ Yu.V. Odynets, M.V. Yavorovych //12th Warsaw International Medical Congress for young scientists, 12-15 May 2016. –Warsaw, 2016. – Р. 269.</w:t>
      </w:r>
    </w:p>
    <w:p w:rsidR="003471C2" w:rsidRPr="003471C2" w:rsidRDefault="003471C2" w:rsidP="003471C2">
      <w:pPr>
        <w:spacing w:line="360" w:lineRule="auto"/>
        <w:ind w:left="360"/>
        <w:jc w:val="both"/>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BD0BF2" w:rsidRDefault="00BD0BF2">
      <w:pPr>
        <w:rPr>
          <w:rFonts w:ascii="Times New Roman" w:hAnsi="Times New Roman" w:cs="Times New Roman"/>
          <w:sz w:val="28"/>
          <w:szCs w:val="28"/>
          <w:lang w:val="uk-UA"/>
        </w:rPr>
      </w:pPr>
    </w:p>
    <w:p w:rsidR="003471C2" w:rsidRPr="004E3FE9" w:rsidRDefault="003471C2">
      <w:pPr>
        <w:rPr>
          <w:rFonts w:ascii="Times New Roman" w:hAnsi="Times New Roman" w:cs="Times New Roman"/>
          <w:sz w:val="28"/>
          <w:szCs w:val="28"/>
          <w:lang w:val="uk-UA"/>
        </w:rPr>
      </w:pPr>
    </w:p>
    <w:p w:rsidR="00BD0BF2" w:rsidRPr="004E3FE9" w:rsidRDefault="00BD0BF2">
      <w:pPr>
        <w:rPr>
          <w:rFonts w:ascii="Times New Roman" w:hAnsi="Times New Roman" w:cs="Times New Roman"/>
          <w:sz w:val="28"/>
          <w:szCs w:val="28"/>
          <w:lang w:val="uk-UA"/>
        </w:rPr>
      </w:pPr>
    </w:p>
    <w:p w:rsidR="00F94DCF" w:rsidRPr="004E3FE9" w:rsidRDefault="00F94DCF" w:rsidP="00CC1596">
      <w:pPr>
        <w:pStyle w:val="1"/>
        <w:spacing w:line="360" w:lineRule="auto"/>
        <w:jc w:val="center"/>
        <w:rPr>
          <w:rFonts w:ascii="Times New Roman" w:hAnsi="Times New Roman"/>
          <w:color w:val="000000" w:themeColor="text1"/>
          <w:lang w:val="uk-UA"/>
        </w:rPr>
      </w:pPr>
      <w:bookmarkStart w:id="20" w:name="_Toc465797617"/>
      <w:r w:rsidRPr="004E3FE9">
        <w:rPr>
          <w:rFonts w:ascii="Times New Roman" w:hAnsi="Times New Roman"/>
          <w:color w:val="000000" w:themeColor="text1"/>
          <w:lang w:val="uk-UA"/>
        </w:rPr>
        <w:lastRenderedPageBreak/>
        <w:t>РОЗДІЛ 6</w:t>
      </w:r>
      <w:r w:rsidR="00CC1596" w:rsidRPr="004E3FE9">
        <w:rPr>
          <w:rFonts w:ascii="Times New Roman" w:hAnsi="Times New Roman"/>
          <w:color w:val="000000" w:themeColor="text1"/>
          <w:lang w:val="uk-UA"/>
        </w:rPr>
        <w:br/>
      </w:r>
      <w:r w:rsidRPr="004E3FE9">
        <w:rPr>
          <w:rFonts w:ascii="Times New Roman" w:hAnsi="Times New Roman"/>
          <w:color w:val="000000" w:themeColor="text1"/>
          <w:lang w:val="uk-UA"/>
        </w:rPr>
        <w:t xml:space="preserve">МАТЕМАТИЧНЕ ПРОГНОЗУВАННЯ РОЗВИТКУ НИРКОВОГО СИНДРОМУ У ДІТЕЙ, ХВОРИХ НА </w:t>
      </w:r>
      <w:r w:rsidR="00CC1596" w:rsidRPr="004E3FE9">
        <w:rPr>
          <w:rFonts w:ascii="Times New Roman" w:hAnsi="Times New Roman"/>
          <w:color w:val="000000" w:themeColor="text1"/>
          <w:lang w:val="uk-UA"/>
        </w:rPr>
        <w:t>ГЕМОРАГІЧНИЙ ВАСКУЛІТ</w:t>
      </w:r>
      <w:r w:rsidRPr="004E3FE9">
        <w:rPr>
          <w:rFonts w:ascii="Times New Roman" w:hAnsi="Times New Roman"/>
          <w:color w:val="000000" w:themeColor="text1"/>
          <w:lang w:val="uk-UA"/>
        </w:rPr>
        <w:t>.</w:t>
      </w:r>
      <w:bookmarkEnd w:id="20"/>
    </w:p>
    <w:p w:rsidR="00F94DCF" w:rsidRDefault="00F94DCF" w:rsidP="00F94DCF">
      <w:pPr>
        <w:spacing w:line="360" w:lineRule="auto"/>
        <w:ind w:firstLine="709"/>
        <w:contextualSpacing/>
        <w:jc w:val="center"/>
        <w:rPr>
          <w:rFonts w:ascii="Times New Roman" w:hAnsi="Times New Roman"/>
          <w:b/>
          <w:sz w:val="28"/>
          <w:szCs w:val="28"/>
          <w:lang w:val="uk-UA"/>
        </w:rPr>
      </w:pPr>
    </w:p>
    <w:p w:rsidR="00283E39" w:rsidRDefault="00283E39" w:rsidP="00F94DCF">
      <w:pPr>
        <w:spacing w:line="360" w:lineRule="auto"/>
        <w:ind w:firstLine="709"/>
        <w:contextualSpacing/>
        <w:jc w:val="center"/>
        <w:rPr>
          <w:rFonts w:ascii="Times New Roman" w:hAnsi="Times New Roman"/>
          <w:b/>
          <w:sz w:val="28"/>
          <w:szCs w:val="28"/>
          <w:lang w:val="uk-UA"/>
        </w:rPr>
      </w:pPr>
    </w:p>
    <w:p w:rsidR="00283E39" w:rsidRPr="004E3FE9" w:rsidRDefault="00283E39" w:rsidP="00F94DCF">
      <w:pPr>
        <w:spacing w:line="360" w:lineRule="auto"/>
        <w:ind w:firstLine="709"/>
        <w:contextualSpacing/>
        <w:jc w:val="center"/>
        <w:rPr>
          <w:rFonts w:ascii="Times New Roman" w:hAnsi="Times New Roman"/>
          <w:b/>
          <w:sz w:val="28"/>
          <w:szCs w:val="28"/>
          <w:lang w:val="uk-UA"/>
        </w:rPr>
      </w:pPr>
    </w:p>
    <w:p w:rsidR="00F94DCF" w:rsidRPr="004E3FE9" w:rsidRDefault="00F94DCF" w:rsidP="00F94DCF">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t>Відомо, що в основі патогенезу ГВ лежить асептичне ушкодження ендотелію мікросудин циркулюючими імунними комплексами, що проявляється поширеним мікротромбозом, геморагіями, розладами мікроциркуляції [</w:t>
      </w:r>
      <w:r w:rsidR="00042990" w:rsidRPr="004E3FE9">
        <w:rPr>
          <w:rFonts w:ascii="Times New Roman" w:hAnsi="Times New Roman"/>
          <w:sz w:val="28"/>
          <w:szCs w:val="28"/>
          <w:lang w:val="uk-UA"/>
        </w:rPr>
        <w:t>57</w:t>
      </w:r>
      <w:r w:rsidRPr="004E3FE9">
        <w:rPr>
          <w:rFonts w:ascii="Times New Roman" w:hAnsi="Times New Roman"/>
          <w:sz w:val="28"/>
          <w:szCs w:val="28"/>
          <w:lang w:val="uk-UA"/>
        </w:rPr>
        <w:t>]. Беручи до уваги, що перші клініко-лабораторні ознаки розвитку ниркового синдрому при ГВ, як правило, виявляють на 3-4 тижні від початку захворювання, існує необхідність як можна раніше передбачити несприятливі наслідки хвороби [</w:t>
      </w:r>
      <w:r w:rsidR="004A1130" w:rsidRPr="004E3FE9">
        <w:rPr>
          <w:rFonts w:ascii="Times New Roman" w:hAnsi="Times New Roman"/>
          <w:sz w:val="28"/>
          <w:szCs w:val="28"/>
          <w:lang w:val="uk-UA"/>
        </w:rPr>
        <w:t>22</w:t>
      </w:r>
      <w:r w:rsidRPr="004E3FE9">
        <w:rPr>
          <w:rFonts w:ascii="Times New Roman" w:hAnsi="Times New Roman"/>
          <w:sz w:val="28"/>
          <w:szCs w:val="28"/>
          <w:lang w:val="uk-UA"/>
        </w:rPr>
        <w:t>]. Висока частота ГВ, важкість перебігу та можливість залучення в процес нирок, з подальшим розвитком хронічної ниркової недостатності визначають актуальність вивчення даного захворювання [</w:t>
      </w:r>
      <w:r w:rsidR="00042990" w:rsidRPr="004E3FE9">
        <w:rPr>
          <w:rFonts w:ascii="Times New Roman" w:hAnsi="Times New Roman"/>
          <w:sz w:val="28"/>
          <w:szCs w:val="28"/>
          <w:lang w:val="uk-UA"/>
        </w:rPr>
        <w:t>140</w:t>
      </w:r>
      <w:r w:rsidRPr="004E3FE9">
        <w:rPr>
          <w:rFonts w:ascii="Times New Roman" w:hAnsi="Times New Roman"/>
          <w:sz w:val="28"/>
          <w:szCs w:val="28"/>
          <w:lang w:val="uk-UA"/>
        </w:rPr>
        <w:t>].</w:t>
      </w:r>
    </w:p>
    <w:p w:rsidR="00F94DCF" w:rsidRPr="004E3FE9" w:rsidRDefault="00F94DCF" w:rsidP="00F94DCF">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t>Однією з основних проблем теоретичної та практичної нефрології є прогресування хронічних захворювань нирок, яке супроводжується наростанням ниркової недостатності, що вимагає замісної ниркової терапії на термінальній стадії [</w:t>
      </w:r>
      <w:r w:rsidR="00042990" w:rsidRPr="004E3FE9">
        <w:rPr>
          <w:rFonts w:ascii="Times New Roman" w:hAnsi="Times New Roman"/>
          <w:sz w:val="28"/>
          <w:szCs w:val="28"/>
          <w:lang w:val="uk-UA"/>
        </w:rPr>
        <w:t>143</w:t>
      </w:r>
      <w:r w:rsidRPr="004E3FE9">
        <w:rPr>
          <w:rFonts w:ascii="Times New Roman" w:hAnsi="Times New Roman"/>
          <w:sz w:val="28"/>
          <w:szCs w:val="28"/>
          <w:lang w:val="uk-UA"/>
        </w:rPr>
        <w:t xml:space="preserve">]. </w:t>
      </w:r>
    </w:p>
    <w:p w:rsidR="00F94DCF" w:rsidRPr="004E3FE9" w:rsidRDefault="00F94DCF" w:rsidP="00F94DCF">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t>Встановлено, що будь-яке пошкодження клітин паренхіми нирок призводить до секреції ними медіаторів запалення. Під впливом прозапальних цитокінів, таких як ІЛ-1β і ФНП - α, стимулюється продукція MCP-1, який забезпечує приплив лейкоцитів і моноцитів в область ушкодження і формує запальний інфільтрат [</w:t>
      </w:r>
      <w:r w:rsidR="00042990" w:rsidRPr="004E3FE9">
        <w:rPr>
          <w:rFonts w:ascii="Times New Roman" w:hAnsi="Times New Roman"/>
          <w:sz w:val="28"/>
          <w:szCs w:val="28"/>
          <w:lang w:val="uk-UA"/>
        </w:rPr>
        <w:t>162</w:t>
      </w:r>
      <w:r w:rsidRPr="004E3FE9">
        <w:rPr>
          <w:rFonts w:ascii="Times New Roman" w:hAnsi="Times New Roman"/>
          <w:sz w:val="28"/>
          <w:szCs w:val="28"/>
          <w:lang w:val="uk-UA"/>
        </w:rPr>
        <w:t>]. Цей хемокін експресується також мононуклеарами і ендотеліальними клітинами судин. Встановлено залучення МСР-1 в процеси інтерстиціального фіброзу і гломерулосклероза. Цей протеїн викликає підвищення вироблення тубулярними епітеліальними клітинами основного профіброгенного цитокіна - трансформуючого фактора росту бета-1 [</w:t>
      </w:r>
      <w:r w:rsidR="00042990" w:rsidRPr="004E3FE9">
        <w:rPr>
          <w:rFonts w:ascii="Times New Roman" w:hAnsi="Times New Roman"/>
          <w:sz w:val="28"/>
          <w:szCs w:val="28"/>
          <w:lang w:val="uk-UA"/>
        </w:rPr>
        <w:t>143</w:t>
      </w:r>
      <w:r w:rsidRPr="004E3FE9">
        <w:rPr>
          <w:rFonts w:ascii="Times New Roman" w:hAnsi="Times New Roman"/>
          <w:sz w:val="28"/>
          <w:szCs w:val="28"/>
          <w:lang w:val="uk-UA"/>
        </w:rPr>
        <w:t>].</w:t>
      </w:r>
    </w:p>
    <w:p w:rsidR="00F94DCF" w:rsidRPr="004E3FE9" w:rsidRDefault="00F94DCF" w:rsidP="00F94DCF">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lastRenderedPageBreak/>
        <w:t>З огляду на виявлені статистично значущі відмінності біохімічних та імунологічних параметрів у хворих на ГВ в залежності від форми захворювання, ми провели математичне моделювання ймовірності розвитку ниркового синдрому у дітей, хворих на ГВ. Для того щоб з’ясувати, які фактори слід обов’язково враховувати під час здійснення прогнозу формування розвитку ниркового синдрому виконано процедуру множинного логістичного регресивного аналізу, де бінарною залежною змінною було обрано відповідно розвиток ниркового синдрому – «1» і відсутність розвитку ниркового синдрому – «0». Кожну якісну ознаку було закодовано як «1», якщо в дитини наявна ця ознака, або «0», якщо цієї ознаки не було зафіксовано.</w:t>
      </w:r>
    </w:p>
    <w:p w:rsidR="00F94DCF" w:rsidRPr="004E3FE9" w:rsidRDefault="00F94DCF" w:rsidP="00F94DCF">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t>Потенційні незалежні предиктори розбили на три групи:</w:t>
      </w:r>
    </w:p>
    <w:p w:rsidR="00F94DCF" w:rsidRPr="004E3FE9" w:rsidRDefault="00F94DCF" w:rsidP="00F94DCF">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t>- Якісні ознаки та кількісні ознаки активності патологічного процесу;</w:t>
      </w:r>
    </w:p>
    <w:p w:rsidR="00F94DCF" w:rsidRPr="004E3FE9" w:rsidRDefault="00F94DCF" w:rsidP="00F94DCF">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t>- Імунологічні показники (показники клітинного і гуморального імунітету, фагоцитозу);</w:t>
      </w:r>
    </w:p>
    <w:p w:rsidR="00F94DCF" w:rsidRPr="004E3FE9" w:rsidRDefault="00F94DCF" w:rsidP="00F94DCF">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t>- Параметри, які на нашу думку характеризують стан ендотеліального компоненту при ГВ.</w:t>
      </w:r>
    </w:p>
    <w:p w:rsidR="00F94DCF" w:rsidRPr="004E3FE9" w:rsidRDefault="00F94DCF" w:rsidP="00F94DCF">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t xml:space="preserve">Якість створеної моделі перевіряли за допомогою процента конкордації (Percent Concordant - РС). Цей показник рівний частці спостережень, які було правильно перекласифіковано в окремі підгрупи залежного показника за допомогою рівняння логістичної регресії. Чим ближчий цей показник до 100%, тим вища якість одержаної моделі. </w:t>
      </w:r>
    </w:p>
    <w:p w:rsidR="00F94DCF" w:rsidRPr="004E3FE9" w:rsidRDefault="00F94DCF" w:rsidP="00F94DCF">
      <w:pPr>
        <w:spacing w:line="360" w:lineRule="auto"/>
        <w:ind w:firstLine="709"/>
        <w:contextualSpacing/>
        <w:jc w:val="both"/>
        <w:rPr>
          <w:rFonts w:ascii="Times New Roman" w:hAnsi="Times New Roman"/>
          <w:sz w:val="28"/>
          <w:szCs w:val="28"/>
          <w:lang w:val="uk-UA"/>
        </w:rPr>
      </w:pPr>
      <w:r w:rsidRPr="004E3FE9">
        <w:rPr>
          <w:rFonts w:ascii="Times New Roman" w:hAnsi="Times New Roman"/>
          <w:sz w:val="28"/>
          <w:szCs w:val="28"/>
          <w:lang w:val="uk-UA"/>
        </w:rPr>
        <w:t xml:space="preserve">Математично модель логістичної регресії представлена у вигляді залежності логарифма шансу настання прогнозованої події (логіт) від лінійної комбінації факторних змінних: </w:t>
      </w:r>
    </w:p>
    <w:p w:rsidR="00F94DCF" w:rsidRPr="004E3FE9" w:rsidRDefault="00F94DCF" w:rsidP="00F94DCF">
      <w:pPr>
        <w:pStyle w:val="af2"/>
        <w:spacing w:before="0" w:beforeAutospacing="0" w:after="0" w:afterAutospacing="0" w:line="360" w:lineRule="auto"/>
        <w:ind w:firstLine="709"/>
        <w:contextualSpacing/>
        <w:jc w:val="both"/>
        <w:rPr>
          <w:sz w:val="28"/>
          <w:szCs w:val="28"/>
          <w:lang w:val="uk-UA"/>
        </w:rPr>
      </w:pPr>
      <w:r w:rsidRPr="004E3FE9">
        <w:rPr>
          <w:sz w:val="28"/>
          <w:szCs w:val="28"/>
          <w:lang w:val="uk-UA"/>
        </w:rPr>
        <w:t xml:space="preserve">               1</w:t>
      </w:r>
    </w:p>
    <w:p w:rsidR="00F94DCF" w:rsidRPr="004E3FE9" w:rsidRDefault="00F94DCF" w:rsidP="00F94DCF">
      <w:pPr>
        <w:pStyle w:val="af2"/>
        <w:spacing w:before="0" w:beforeAutospacing="0" w:after="0" w:afterAutospacing="0" w:line="360" w:lineRule="auto"/>
        <w:ind w:firstLine="709"/>
        <w:contextualSpacing/>
        <w:jc w:val="both"/>
        <w:rPr>
          <w:sz w:val="28"/>
          <w:szCs w:val="28"/>
          <w:lang w:val="uk-UA"/>
        </w:rPr>
      </w:pPr>
      <w:r w:rsidRPr="004E3FE9">
        <w:rPr>
          <w:sz w:val="28"/>
          <w:szCs w:val="28"/>
          <w:lang w:val="uk-UA"/>
        </w:rPr>
        <w:t>Р= ---------------- ,</w:t>
      </w:r>
    </w:p>
    <w:p w:rsidR="00F94DCF" w:rsidRPr="004E3FE9" w:rsidRDefault="00F94DCF" w:rsidP="00F94DCF">
      <w:pPr>
        <w:pStyle w:val="af2"/>
        <w:spacing w:before="0" w:beforeAutospacing="0" w:after="0" w:afterAutospacing="0" w:line="360" w:lineRule="auto"/>
        <w:ind w:firstLine="709"/>
        <w:contextualSpacing/>
        <w:jc w:val="both"/>
        <w:rPr>
          <w:sz w:val="28"/>
          <w:szCs w:val="28"/>
          <w:vertAlign w:val="superscript"/>
          <w:lang w:val="uk-UA"/>
        </w:rPr>
      </w:pPr>
      <w:r w:rsidRPr="004E3FE9">
        <w:rPr>
          <w:sz w:val="28"/>
          <w:szCs w:val="28"/>
          <w:lang w:val="uk-UA"/>
        </w:rPr>
        <w:t xml:space="preserve">            1 + е</w:t>
      </w:r>
      <w:r w:rsidRPr="004E3FE9">
        <w:rPr>
          <w:sz w:val="28"/>
          <w:szCs w:val="28"/>
          <w:vertAlign w:val="superscript"/>
          <w:lang w:val="uk-UA"/>
        </w:rPr>
        <w:t>-Z</w:t>
      </w:r>
    </w:p>
    <w:p w:rsidR="00F94DCF" w:rsidRPr="004E3FE9" w:rsidRDefault="00F94DCF" w:rsidP="00F94DCF">
      <w:pPr>
        <w:pStyle w:val="af2"/>
        <w:spacing w:line="360" w:lineRule="auto"/>
        <w:ind w:firstLine="709"/>
        <w:contextualSpacing/>
        <w:jc w:val="both"/>
        <w:rPr>
          <w:sz w:val="28"/>
          <w:szCs w:val="28"/>
          <w:lang w:val="uk-UA"/>
        </w:rPr>
      </w:pPr>
      <w:r w:rsidRPr="004E3FE9">
        <w:rPr>
          <w:sz w:val="28"/>
          <w:szCs w:val="28"/>
          <w:lang w:val="uk-UA"/>
        </w:rPr>
        <w:t>де Р - ймовірність прогнозованої події,</w:t>
      </w:r>
    </w:p>
    <w:p w:rsidR="00F94DCF" w:rsidRPr="004E3FE9" w:rsidRDefault="00F94DCF" w:rsidP="00F94DCF">
      <w:pPr>
        <w:pStyle w:val="af2"/>
        <w:spacing w:line="360" w:lineRule="auto"/>
        <w:ind w:firstLine="709"/>
        <w:contextualSpacing/>
        <w:jc w:val="both"/>
        <w:rPr>
          <w:sz w:val="28"/>
          <w:szCs w:val="28"/>
          <w:lang w:val="uk-UA"/>
        </w:rPr>
      </w:pPr>
      <w:r w:rsidRPr="004E3FE9">
        <w:rPr>
          <w:sz w:val="28"/>
          <w:szCs w:val="28"/>
          <w:lang w:val="uk-UA"/>
        </w:rPr>
        <w:lastRenderedPageBreak/>
        <w:t xml:space="preserve">z =  а + b </w:t>
      </w:r>
      <w:r w:rsidRPr="004E3FE9">
        <w:rPr>
          <w:sz w:val="28"/>
          <w:szCs w:val="28"/>
          <w:vertAlign w:val="subscript"/>
          <w:lang w:val="uk-UA"/>
        </w:rPr>
        <w:t>1</w:t>
      </w:r>
      <w:r w:rsidRPr="004E3FE9">
        <w:rPr>
          <w:sz w:val="28"/>
          <w:szCs w:val="28"/>
          <w:lang w:val="uk-UA"/>
        </w:rPr>
        <w:t xml:space="preserve"> *X </w:t>
      </w:r>
      <w:r w:rsidRPr="004E3FE9">
        <w:rPr>
          <w:sz w:val="28"/>
          <w:szCs w:val="28"/>
          <w:vertAlign w:val="subscript"/>
          <w:lang w:val="uk-UA"/>
        </w:rPr>
        <w:t>1</w:t>
      </w:r>
      <w:r w:rsidRPr="004E3FE9">
        <w:rPr>
          <w:sz w:val="28"/>
          <w:szCs w:val="28"/>
          <w:lang w:val="uk-UA"/>
        </w:rPr>
        <w:t xml:space="preserve"> + b </w:t>
      </w:r>
      <w:r w:rsidRPr="004E3FE9">
        <w:rPr>
          <w:sz w:val="28"/>
          <w:szCs w:val="28"/>
          <w:vertAlign w:val="subscript"/>
          <w:lang w:val="uk-UA"/>
        </w:rPr>
        <w:t>2</w:t>
      </w:r>
      <w:r w:rsidRPr="004E3FE9">
        <w:rPr>
          <w:sz w:val="28"/>
          <w:szCs w:val="28"/>
          <w:lang w:val="uk-UA"/>
        </w:rPr>
        <w:t xml:space="preserve"> *Х </w:t>
      </w:r>
      <w:r w:rsidRPr="004E3FE9">
        <w:rPr>
          <w:sz w:val="28"/>
          <w:szCs w:val="28"/>
          <w:vertAlign w:val="subscript"/>
          <w:lang w:val="uk-UA"/>
        </w:rPr>
        <w:t>2</w:t>
      </w:r>
      <w:r w:rsidRPr="004E3FE9">
        <w:rPr>
          <w:sz w:val="28"/>
          <w:szCs w:val="28"/>
          <w:lang w:val="uk-UA"/>
        </w:rPr>
        <w:t xml:space="preserve"> + ...+ b </w:t>
      </w:r>
      <w:r w:rsidRPr="004E3FE9">
        <w:rPr>
          <w:sz w:val="28"/>
          <w:szCs w:val="28"/>
          <w:vertAlign w:val="subscript"/>
          <w:lang w:val="uk-UA"/>
        </w:rPr>
        <w:t>n</w:t>
      </w:r>
      <w:r w:rsidRPr="004E3FE9">
        <w:rPr>
          <w:sz w:val="28"/>
          <w:szCs w:val="28"/>
          <w:lang w:val="uk-UA"/>
        </w:rPr>
        <w:t xml:space="preserve"> *X </w:t>
      </w:r>
      <w:r w:rsidRPr="004E3FE9">
        <w:rPr>
          <w:sz w:val="28"/>
          <w:szCs w:val="28"/>
          <w:vertAlign w:val="subscript"/>
          <w:lang w:val="uk-UA"/>
        </w:rPr>
        <w:t>n</w:t>
      </w:r>
      <w:r w:rsidRPr="004E3FE9">
        <w:rPr>
          <w:sz w:val="28"/>
          <w:szCs w:val="28"/>
          <w:lang w:val="uk-UA"/>
        </w:rPr>
        <w:t>;</w:t>
      </w:r>
    </w:p>
    <w:p w:rsidR="00F94DCF" w:rsidRPr="004E3FE9" w:rsidRDefault="00F94DCF" w:rsidP="00F94DCF">
      <w:pPr>
        <w:pStyle w:val="af2"/>
        <w:spacing w:line="360" w:lineRule="auto"/>
        <w:ind w:firstLine="709"/>
        <w:contextualSpacing/>
        <w:jc w:val="both"/>
        <w:rPr>
          <w:sz w:val="28"/>
          <w:szCs w:val="28"/>
          <w:lang w:val="uk-UA"/>
        </w:rPr>
      </w:pPr>
      <w:r w:rsidRPr="004E3FE9">
        <w:rPr>
          <w:sz w:val="28"/>
          <w:szCs w:val="28"/>
          <w:lang w:val="uk-UA"/>
        </w:rPr>
        <w:t>е - математична константа 2,72;</w:t>
      </w:r>
    </w:p>
    <w:p w:rsidR="00F94DCF" w:rsidRPr="004E3FE9" w:rsidRDefault="00F94DCF" w:rsidP="00F94DCF">
      <w:pPr>
        <w:pStyle w:val="af2"/>
        <w:spacing w:line="360" w:lineRule="auto"/>
        <w:ind w:firstLine="709"/>
        <w:contextualSpacing/>
        <w:jc w:val="both"/>
        <w:rPr>
          <w:sz w:val="28"/>
          <w:szCs w:val="28"/>
          <w:lang w:val="uk-UA"/>
        </w:rPr>
      </w:pPr>
      <w:r w:rsidRPr="004E3FE9">
        <w:rPr>
          <w:sz w:val="28"/>
          <w:szCs w:val="28"/>
          <w:lang w:val="uk-UA"/>
        </w:rPr>
        <w:t>а - константа моделі;</w:t>
      </w:r>
    </w:p>
    <w:p w:rsidR="00F94DCF" w:rsidRPr="004E3FE9" w:rsidRDefault="00F94DCF" w:rsidP="00F94DCF">
      <w:pPr>
        <w:pStyle w:val="af2"/>
        <w:spacing w:before="0" w:beforeAutospacing="0" w:after="0" w:afterAutospacing="0" w:line="360" w:lineRule="auto"/>
        <w:ind w:firstLine="709"/>
        <w:contextualSpacing/>
        <w:jc w:val="both"/>
        <w:rPr>
          <w:sz w:val="28"/>
          <w:szCs w:val="28"/>
          <w:lang w:val="uk-UA"/>
        </w:rPr>
      </w:pPr>
      <w:r w:rsidRPr="004E3FE9">
        <w:rPr>
          <w:sz w:val="28"/>
          <w:szCs w:val="28"/>
          <w:lang w:val="uk-UA"/>
        </w:rPr>
        <w:t>X</w:t>
      </w:r>
      <w:r w:rsidRPr="004E3FE9">
        <w:rPr>
          <w:sz w:val="28"/>
          <w:szCs w:val="28"/>
          <w:vertAlign w:val="subscript"/>
          <w:lang w:val="uk-UA"/>
        </w:rPr>
        <w:t xml:space="preserve">1 </w:t>
      </w:r>
      <w:r w:rsidRPr="004E3FE9">
        <w:rPr>
          <w:sz w:val="28"/>
          <w:szCs w:val="28"/>
          <w:lang w:val="uk-UA"/>
        </w:rPr>
        <w:t xml:space="preserve">, Х </w:t>
      </w:r>
      <w:r w:rsidRPr="004E3FE9">
        <w:rPr>
          <w:sz w:val="28"/>
          <w:szCs w:val="28"/>
          <w:vertAlign w:val="subscript"/>
          <w:lang w:val="uk-UA"/>
        </w:rPr>
        <w:t xml:space="preserve">2 </w:t>
      </w:r>
      <w:r w:rsidRPr="004E3FE9">
        <w:rPr>
          <w:sz w:val="28"/>
          <w:szCs w:val="28"/>
          <w:lang w:val="uk-UA"/>
        </w:rPr>
        <w:t xml:space="preserve">, X </w:t>
      </w:r>
      <w:r w:rsidRPr="004E3FE9">
        <w:rPr>
          <w:sz w:val="28"/>
          <w:szCs w:val="28"/>
          <w:vertAlign w:val="subscript"/>
          <w:lang w:val="uk-UA"/>
        </w:rPr>
        <w:t>n</w:t>
      </w:r>
      <w:r w:rsidRPr="004E3FE9">
        <w:rPr>
          <w:sz w:val="28"/>
          <w:szCs w:val="28"/>
          <w:lang w:val="uk-UA"/>
        </w:rPr>
        <w:t xml:space="preserve">  — значення незалежних змінних, </w:t>
      </w:r>
    </w:p>
    <w:p w:rsidR="00F94DCF" w:rsidRPr="004E3FE9" w:rsidRDefault="00F94DCF" w:rsidP="00F94DCF">
      <w:pPr>
        <w:pStyle w:val="af2"/>
        <w:spacing w:before="0" w:beforeAutospacing="0" w:after="0" w:afterAutospacing="0" w:line="360" w:lineRule="auto"/>
        <w:ind w:firstLine="709"/>
        <w:contextualSpacing/>
        <w:jc w:val="both"/>
        <w:rPr>
          <w:sz w:val="28"/>
          <w:szCs w:val="28"/>
          <w:lang w:val="uk-UA"/>
        </w:rPr>
      </w:pPr>
      <w:r w:rsidRPr="004E3FE9">
        <w:rPr>
          <w:sz w:val="28"/>
          <w:szCs w:val="28"/>
          <w:lang w:val="uk-UA"/>
        </w:rPr>
        <w:t>b</w:t>
      </w:r>
      <w:r w:rsidRPr="004E3FE9">
        <w:rPr>
          <w:sz w:val="28"/>
          <w:szCs w:val="28"/>
          <w:vertAlign w:val="subscript"/>
          <w:lang w:val="uk-UA"/>
        </w:rPr>
        <w:t xml:space="preserve">1 </w:t>
      </w:r>
      <w:r w:rsidRPr="004E3FE9">
        <w:rPr>
          <w:sz w:val="28"/>
          <w:szCs w:val="28"/>
          <w:lang w:val="uk-UA"/>
        </w:rPr>
        <w:t xml:space="preserve">, b </w:t>
      </w:r>
      <w:r w:rsidRPr="004E3FE9">
        <w:rPr>
          <w:sz w:val="28"/>
          <w:szCs w:val="28"/>
          <w:vertAlign w:val="subscript"/>
          <w:lang w:val="uk-UA"/>
        </w:rPr>
        <w:t xml:space="preserve">2 </w:t>
      </w:r>
      <w:r w:rsidRPr="004E3FE9">
        <w:rPr>
          <w:sz w:val="28"/>
          <w:szCs w:val="28"/>
          <w:lang w:val="uk-UA"/>
        </w:rPr>
        <w:t xml:space="preserve">, b </w:t>
      </w:r>
      <w:r w:rsidRPr="004E3FE9">
        <w:rPr>
          <w:sz w:val="28"/>
          <w:szCs w:val="28"/>
          <w:vertAlign w:val="subscript"/>
          <w:lang w:val="uk-UA"/>
        </w:rPr>
        <w:t>n</w:t>
      </w:r>
      <w:r w:rsidRPr="004E3FE9">
        <w:rPr>
          <w:sz w:val="28"/>
          <w:szCs w:val="28"/>
          <w:lang w:val="uk-UA"/>
        </w:rPr>
        <w:t xml:space="preserve">  — коефіцієнти, розрахунок яких є задачею бінарної логістичної регресії, </w:t>
      </w:r>
    </w:p>
    <w:p w:rsidR="00F94DCF" w:rsidRPr="004E3FE9" w:rsidRDefault="00F94DCF" w:rsidP="00F94DCF">
      <w:pPr>
        <w:pStyle w:val="af2"/>
        <w:spacing w:before="0" w:beforeAutospacing="0" w:after="0" w:afterAutospacing="0" w:line="360" w:lineRule="auto"/>
        <w:ind w:firstLine="709"/>
        <w:contextualSpacing/>
        <w:jc w:val="both"/>
        <w:rPr>
          <w:sz w:val="28"/>
          <w:szCs w:val="28"/>
          <w:lang w:val="uk-UA"/>
        </w:rPr>
      </w:pPr>
      <w:r w:rsidRPr="004E3FE9">
        <w:rPr>
          <w:sz w:val="28"/>
          <w:szCs w:val="28"/>
          <w:lang w:val="uk-UA"/>
        </w:rPr>
        <w:t>n - порядковий номер предіктора, включеного до рівняння.</w:t>
      </w:r>
    </w:p>
    <w:p w:rsidR="00F94DCF" w:rsidRPr="004E3FE9" w:rsidRDefault="00F94DCF" w:rsidP="00BD119A">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sz w:val="28"/>
          <w:szCs w:val="28"/>
          <w:lang w:val="uk-UA"/>
        </w:rPr>
        <w:t>Побудова логістичної регресійної моделі здійснювалося методом покрокового виключення прогностичних факторів з визначенням мінімального набору предикторів за оцінкою квадрата Нейджелкерка (значення коефіцієнта детермінації R 2, що показує частку впливу всіх предикторов моделі на дисперсію залежною змінною).</w:t>
      </w:r>
      <w:r w:rsidRPr="004E3FE9">
        <w:rPr>
          <w:rFonts w:ascii="Times New Roman" w:hAnsi="Times New Roman"/>
          <w:bCs/>
          <w:sz w:val="28"/>
          <w:szCs w:val="28"/>
          <w:lang w:val="uk-UA" w:eastAsia="ru-RU"/>
        </w:rPr>
        <w:t xml:space="preserve"> </w:t>
      </w:r>
    </w:p>
    <w:p w:rsidR="00F94DCF" w:rsidRPr="004E3FE9" w:rsidRDefault="00F94DCF" w:rsidP="00BD119A">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Було з’ясовано, що до чинників, значення яких слід враховувати під час прогнозування формування ниркового синдрому у дітей з ГВ рівень ШОЕ, обтяжливий алергоанамнез та наявність вогнищ хронічної інфекції ЛОР-органів. Інші  чинники, які вивчалися, не продемонстрували сили зв’язку й ступеня значущості (табл. 6.</w:t>
      </w:r>
      <w:r w:rsidR="00A91B85" w:rsidRPr="004E3FE9">
        <w:rPr>
          <w:rFonts w:ascii="Times New Roman" w:hAnsi="Times New Roman"/>
          <w:bCs/>
          <w:sz w:val="28"/>
          <w:szCs w:val="28"/>
          <w:lang w:val="uk-UA" w:eastAsia="ru-RU"/>
        </w:rPr>
        <w:t>1</w:t>
      </w:r>
      <w:r w:rsidRPr="004E3FE9">
        <w:rPr>
          <w:rFonts w:ascii="Times New Roman" w:hAnsi="Times New Roman"/>
          <w:bCs/>
          <w:sz w:val="28"/>
          <w:szCs w:val="28"/>
          <w:lang w:val="uk-UA" w:eastAsia="ru-RU"/>
        </w:rPr>
        <w:t xml:space="preserve">). </w:t>
      </w:r>
    </w:p>
    <w:p w:rsidR="00F94DCF" w:rsidRPr="00283E39" w:rsidRDefault="00F94DCF" w:rsidP="00F94DCF">
      <w:pPr>
        <w:spacing w:after="0" w:line="360" w:lineRule="auto"/>
        <w:ind w:firstLine="709"/>
        <w:contextualSpacing/>
        <w:jc w:val="right"/>
        <w:rPr>
          <w:rFonts w:ascii="Times New Roman" w:hAnsi="Times New Roman"/>
          <w:i/>
          <w:sz w:val="28"/>
          <w:szCs w:val="28"/>
          <w:lang w:val="uk-UA" w:eastAsia="ru-RU"/>
        </w:rPr>
      </w:pPr>
      <w:r w:rsidRPr="00283E39">
        <w:rPr>
          <w:rFonts w:ascii="Times New Roman" w:hAnsi="Times New Roman"/>
          <w:i/>
          <w:sz w:val="28"/>
          <w:szCs w:val="28"/>
          <w:lang w:val="uk-UA" w:eastAsia="ru-RU"/>
        </w:rPr>
        <w:t>Таблиця 6.</w:t>
      </w:r>
      <w:r w:rsidR="00A91B85" w:rsidRPr="00283E39">
        <w:rPr>
          <w:rFonts w:ascii="Times New Roman" w:hAnsi="Times New Roman"/>
          <w:i/>
          <w:sz w:val="28"/>
          <w:szCs w:val="28"/>
          <w:lang w:val="uk-UA" w:eastAsia="ru-RU"/>
        </w:rPr>
        <w:t>1</w:t>
      </w:r>
    </w:p>
    <w:p w:rsidR="00F94DCF" w:rsidRPr="004E3FE9" w:rsidRDefault="00F94DCF" w:rsidP="00F94DCF">
      <w:pPr>
        <w:spacing w:after="0" w:line="360" w:lineRule="auto"/>
        <w:ind w:firstLine="709"/>
        <w:contextualSpacing/>
        <w:jc w:val="center"/>
        <w:rPr>
          <w:rFonts w:ascii="Times New Roman" w:hAnsi="Times New Roman"/>
          <w:b/>
          <w:bCs/>
          <w:sz w:val="28"/>
          <w:szCs w:val="28"/>
          <w:lang w:val="uk-UA" w:eastAsia="ru-RU"/>
        </w:rPr>
      </w:pPr>
      <w:r w:rsidRPr="004E3FE9">
        <w:rPr>
          <w:rFonts w:ascii="Times New Roman" w:hAnsi="Times New Roman"/>
          <w:b/>
          <w:bCs/>
          <w:sz w:val="28"/>
          <w:szCs w:val="28"/>
          <w:lang w:val="uk-UA" w:eastAsia="ru-RU"/>
        </w:rPr>
        <w:t>Статистині характеристики множинної логістичної регрессії факторів анамнезу життя та активності патологічного процесу, які потенційно спроможні впливати на формування ниркового синдрому у дітей, хворих на ГВ.</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114"/>
        <w:gridCol w:w="1701"/>
        <w:gridCol w:w="1418"/>
      </w:tblGrid>
      <w:tr w:rsidR="00F94DCF" w:rsidRPr="004E3FE9" w:rsidTr="002A506C">
        <w:trPr>
          <w:jc w:val="center"/>
        </w:trPr>
        <w:tc>
          <w:tcPr>
            <w:tcW w:w="6114"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Змінна</w:t>
            </w:r>
          </w:p>
        </w:tc>
        <w:tc>
          <w:tcPr>
            <w:tcW w:w="1701"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Коефіцієнт</w:t>
            </w:r>
          </w:p>
        </w:tc>
        <w:tc>
          <w:tcPr>
            <w:tcW w:w="1418" w:type="dxa"/>
            <w:vAlign w:val="center"/>
          </w:tcPr>
          <w:p w:rsidR="00F94DCF" w:rsidRPr="004E3FE9" w:rsidRDefault="00F94DCF" w:rsidP="002A506C">
            <w:pPr>
              <w:spacing w:after="0" w:line="360" w:lineRule="auto"/>
              <w:ind w:firstLine="709"/>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P</w:t>
            </w:r>
          </w:p>
        </w:tc>
      </w:tr>
      <w:tr w:rsidR="00F94DCF" w:rsidRPr="004E3FE9" w:rsidTr="002A506C">
        <w:trPr>
          <w:jc w:val="center"/>
        </w:trPr>
        <w:tc>
          <w:tcPr>
            <w:tcW w:w="6114"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Constant</w:t>
            </w:r>
          </w:p>
        </w:tc>
        <w:tc>
          <w:tcPr>
            <w:tcW w:w="1701"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-0,372</w:t>
            </w:r>
          </w:p>
        </w:tc>
        <w:tc>
          <w:tcPr>
            <w:tcW w:w="1418" w:type="dxa"/>
            <w:vAlign w:val="center"/>
          </w:tcPr>
          <w:p w:rsidR="00F94DCF" w:rsidRPr="004E3FE9" w:rsidRDefault="00F94DCF" w:rsidP="002A506C">
            <w:pPr>
              <w:spacing w:after="0" w:line="360" w:lineRule="auto"/>
              <w:ind w:firstLine="709"/>
              <w:contextualSpacing/>
              <w:jc w:val="center"/>
              <w:rPr>
                <w:rFonts w:ascii="Times New Roman" w:hAnsi="Times New Roman"/>
                <w:bCs/>
                <w:sz w:val="28"/>
                <w:szCs w:val="28"/>
                <w:lang w:val="uk-UA" w:eastAsia="ru-RU"/>
              </w:rPr>
            </w:pPr>
          </w:p>
        </w:tc>
      </w:tr>
      <w:tr w:rsidR="00F94DCF" w:rsidRPr="004E3FE9" w:rsidTr="002A506C">
        <w:trPr>
          <w:jc w:val="center"/>
        </w:trPr>
        <w:tc>
          <w:tcPr>
            <w:tcW w:w="6114"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ШОЕ</w:t>
            </w:r>
          </w:p>
        </w:tc>
        <w:tc>
          <w:tcPr>
            <w:tcW w:w="1701"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0,012</w:t>
            </w:r>
          </w:p>
        </w:tc>
        <w:tc>
          <w:tcPr>
            <w:tcW w:w="1418"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&lt;0,001</w:t>
            </w:r>
          </w:p>
        </w:tc>
      </w:tr>
      <w:tr w:rsidR="00F94DCF" w:rsidRPr="004E3FE9" w:rsidTr="002A506C">
        <w:trPr>
          <w:jc w:val="center"/>
        </w:trPr>
        <w:tc>
          <w:tcPr>
            <w:tcW w:w="6114"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Обтяжливий алергоанамнез</w:t>
            </w:r>
          </w:p>
        </w:tc>
        <w:tc>
          <w:tcPr>
            <w:tcW w:w="1701"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0,177</w:t>
            </w:r>
          </w:p>
        </w:tc>
        <w:tc>
          <w:tcPr>
            <w:tcW w:w="1418"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&lt;0,001</w:t>
            </w:r>
          </w:p>
        </w:tc>
      </w:tr>
      <w:tr w:rsidR="00F94DCF" w:rsidRPr="004E3FE9" w:rsidTr="002A506C">
        <w:trPr>
          <w:jc w:val="center"/>
        </w:trPr>
        <w:tc>
          <w:tcPr>
            <w:tcW w:w="6114"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Наявність вогнищ хронічної інфекції ЛОР-органів</w:t>
            </w:r>
          </w:p>
        </w:tc>
        <w:tc>
          <w:tcPr>
            <w:tcW w:w="1701"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0,563</w:t>
            </w:r>
          </w:p>
        </w:tc>
        <w:tc>
          <w:tcPr>
            <w:tcW w:w="1418"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&lt;0,001</w:t>
            </w:r>
          </w:p>
        </w:tc>
      </w:tr>
    </w:tbl>
    <w:p w:rsidR="00F94DCF" w:rsidRPr="004E3FE9" w:rsidRDefault="00F94DCF" w:rsidP="00BD119A">
      <w:pPr>
        <w:rPr>
          <w:rFonts w:ascii="Times New Roman" w:hAnsi="Times New Roman"/>
          <w:bCs/>
          <w:sz w:val="28"/>
          <w:szCs w:val="28"/>
          <w:lang w:val="uk-UA" w:eastAsia="ru-RU"/>
        </w:rPr>
      </w:pPr>
      <w:r w:rsidRPr="004E3FE9">
        <w:rPr>
          <w:rFonts w:ascii="Times New Roman" w:hAnsi="Times New Roman"/>
          <w:bCs/>
          <w:sz w:val="28"/>
          <w:szCs w:val="28"/>
          <w:lang w:val="uk-UA" w:eastAsia="ru-RU"/>
        </w:rPr>
        <w:t>Примітка: R2 = 0,814, p&lt;0,001</w:t>
      </w:r>
    </w:p>
    <w:p w:rsidR="00F94DCF" w:rsidRPr="004E3FE9" w:rsidRDefault="00F94DCF" w:rsidP="00BD119A">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bCs/>
          <w:sz w:val="28"/>
          <w:szCs w:val="28"/>
          <w:lang w:val="uk-UA" w:eastAsia="ru-RU"/>
        </w:rPr>
        <w:lastRenderedPageBreak/>
        <w:t>Якість створеної моделі перевірено  за допомогою процента конкордації (показники належності до підгрупи (1 = наявність ниркового синдрому, 0 = відсутність ниркового синдрому), що спостерігаються, було протиставлено, що передбачені на основі розрахованої моделі). Загалом, вірно було розпізнано 52 випадок з 60, що складає 86,6%.</w:t>
      </w:r>
    </w:p>
    <w:p w:rsidR="00F94DCF" w:rsidRPr="004E3FE9" w:rsidRDefault="00F94DCF" w:rsidP="00BD119A">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За результатами проведеного аналізу було створено рівняння множинної регресії:</w:t>
      </w:r>
    </w:p>
    <w:p w:rsidR="00F94DCF" w:rsidRPr="004E3FE9" w:rsidRDefault="00F94DCF" w:rsidP="00BD119A">
      <w:pPr>
        <w:spacing w:after="0" w:line="360" w:lineRule="auto"/>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 xml:space="preserve">z = </w:t>
      </w:r>
      <w:r w:rsidRPr="004E3FE9">
        <w:rPr>
          <w:rFonts w:ascii="Times New Roman" w:hAnsi="Times New Roman"/>
          <w:bCs/>
          <w:sz w:val="28"/>
          <w:szCs w:val="28"/>
          <w:lang w:val="uk-UA"/>
        </w:rPr>
        <w:t>-0,372</w:t>
      </w:r>
      <w:r w:rsidRPr="004E3FE9">
        <w:rPr>
          <w:rFonts w:ascii="Times New Roman" w:hAnsi="Times New Roman"/>
          <w:bCs/>
          <w:sz w:val="28"/>
          <w:szCs w:val="28"/>
          <w:lang w:val="uk-UA" w:eastAsia="ru-RU"/>
        </w:rPr>
        <w:t>+ (</w:t>
      </w:r>
      <w:r w:rsidRPr="004E3FE9">
        <w:rPr>
          <w:rStyle w:val="result"/>
          <w:rFonts w:ascii="Times New Roman" w:hAnsi="Times New Roman"/>
          <w:color w:val="auto"/>
          <w:sz w:val="28"/>
          <w:szCs w:val="28"/>
          <w:lang w:val="uk-UA"/>
        </w:rPr>
        <w:t>0,012</w:t>
      </w:r>
      <w:r w:rsidRPr="004E3FE9">
        <w:rPr>
          <w:rStyle w:val="result"/>
          <w:color w:val="auto"/>
          <w:sz w:val="28"/>
          <w:szCs w:val="28"/>
          <w:lang w:val="uk-UA"/>
        </w:rPr>
        <w:t xml:space="preserve"> </w:t>
      </w:r>
      <w:r w:rsidRPr="004E3FE9">
        <w:rPr>
          <w:rFonts w:ascii="Times New Roman" w:hAnsi="Times New Roman"/>
          <w:bCs/>
          <w:sz w:val="28"/>
          <w:szCs w:val="28"/>
          <w:lang w:val="uk-UA" w:eastAsia="ru-RU"/>
        </w:rPr>
        <w:t>* ШОЕ ) + (</w:t>
      </w:r>
      <w:r w:rsidRPr="004E3FE9">
        <w:rPr>
          <w:rStyle w:val="result"/>
          <w:rFonts w:ascii="Times New Roman" w:hAnsi="Times New Roman"/>
          <w:color w:val="auto"/>
          <w:sz w:val="28"/>
          <w:szCs w:val="28"/>
          <w:lang w:val="uk-UA"/>
        </w:rPr>
        <w:t>0,177 *обтяжливий алергоанамнез</w:t>
      </w:r>
      <w:r w:rsidRPr="004E3FE9">
        <w:rPr>
          <w:rFonts w:ascii="Times New Roman" w:hAnsi="Times New Roman"/>
          <w:bCs/>
          <w:sz w:val="28"/>
          <w:szCs w:val="28"/>
          <w:lang w:val="uk-UA" w:eastAsia="ru-RU"/>
        </w:rPr>
        <w:t>) + (</w:t>
      </w:r>
      <w:r w:rsidRPr="004E3FE9">
        <w:rPr>
          <w:rStyle w:val="result"/>
          <w:rFonts w:ascii="Times New Roman" w:hAnsi="Times New Roman"/>
          <w:color w:val="auto"/>
          <w:sz w:val="28"/>
          <w:szCs w:val="28"/>
          <w:lang w:val="uk-UA"/>
        </w:rPr>
        <w:t>0,563</w:t>
      </w:r>
      <w:r w:rsidRPr="004E3FE9">
        <w:rPr>
          <w:rFonts w:ascii="Times New Roman" w:hAnsi="Times New Roman"/>
          <w:bCs/>
          <w:sz w:val="28"/>
          <w:szCs w:val="28"/>
          <w:lang w:val="uk-UA" w:eastAsia="ru-RU"/>
        </w:rPr>
        <w:t>* хр. інф. ЛОР-органів)</w:t>
      </w:r>
    </w:p>
    <w:p w:rsidR="00F94DCF" w:rsidRPr="004E3FE9" w:rsidRDefault="00F94DCF" w:rsidP="00BD119A">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Якщо ми розглянемо випадок з дитиною із геморагічним васкулітом, змішаною формою з нирковим синдромом, яка в результаті обстеження мала наявні вогнища хронічної інфекції ЛОР-органів, обтяжливий алергоанамнез та рівень ШОЕ 33 мм/год, то виходячи із рівняння:</w:t>
      </w:r>
    </w:p>
    <w:p w:rsidR="00F94DCF" w:rsidRPr="004E3FE9" w:rsidRDefault="00F94DCF" w:rsidP="00BD119A">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 xml:space="preserve">z = </w:t>
      </w:r>
      <w:r w:rsidRPr="004E3FE9">
        <w:rPr>
          <w:rFonts w:ascii="Times New Roman" w:hAnsi="Times New Roman"/>
          <w:bCs/>
          <w:sz w:val="28"/>
          <w:szCs w:val="28"/>
          <w:lang w:val="uk-UA"/>
        </w:rPr>
        <w:t xml:space="preserve">-0,372 </w:t>
      </w:r>
      <w:r w:rsidRPr="004E3FE9">
        <w:rPr>
          <w:rFonts w:ascii="Times New Roman" w:hAnsi="Times New Roman"/>
          <w:bCs/>
          <w:sz w:val="28"/>
          <w:szCs w:val="28"/>
          <w:lang w:val="uk-UA" w:eastAsia="ru-RU"/>
        </w:rPr>
        <w:t>+ (</w:t>
      </w:r>
      <w:r w:rsidRPr="004E3FE9">
        <w:rPr>
          <w:rStyle w:val="result"/>
          <w:rFonts w:ascii="Times New Roman" w:hAnsi="Times New Roman"/>
          <w:color w:val="auto"/>
          <w:sz w:val="28"/>
          <w:szCs w:val="28"/>
          <w:lang w:val="uk-UA"/>
        </w:rPr>
        <w:t>0,012</w:t>
      </w:r>
      <w:r w:rsidRPr="004E3FE9">
        <w:rPr>
          <w:rFonts w:ascii="Times New Roman" w:hAnsi="Times New Roman"/>
          <w:bCs/>
          <w:sz w:val="28"/>
          <w:szCs w:val="28"/>
          <w:lang w:val="uk-UA" w:eastAsia="ru-RU"/>
        </w:rPr>
        <w:t>* 33) + (</w:t>
      </w:r>
      <w:r w:rsidRPr="004E3FE9">
        <w:rPr>
          <w:rStyle w:val="result"/>
          <w:rFonts w:ascii="Times New Roman" w:hAnsi="Times New Roman"/>
          <w:color w:val="auto"/>
          <w:sz w:val="28"/>
          <w:szCs w:val="28"/>
          <w:lang w:val="uk-UA"/>
        </w:rPr>
        <w:t>0,177</w:t>
      </w:r>
      <w:r w:rsidRPr="004E3FE9">
        <w:rPr>
          <w:rStyle w:val="result"/>
          <w:color w:val="auto"/>
          <w:sz w:val="28"/>
          <w:szCs w:val="28"/>
          <w:lang w:val="uk-UA"/>
        </w:rPr>
        <w:t xml:space="preserve"> </w:t>
      </w:r>
      <w:r w:rsidRPr="004E3FE9">
        <w:rPr>
          <w:rFonts w:ascii="Times New Roman" w:hAnsi="Times New Roman"/>
          <w:bCs/>
          <w:sz w:val="28"/>
          <w:szCs w:val="28"/>
          <w:lang w:val="uk-UA" w:eastAsia="ru-RU"/>
        </w:rPr>
        <w:t>* 1) + (</w:t>
      </w:r>
      <w:r w:rsidRPr="004E3FE9">
        <w:rPr>
          <w:rStyle w:val="result"/>
          <w:rFonts w:ascii="Times New Roman" w:hAnsi="Times New Roman"/>
          <w:color w:val="auto"/>
          <w:sz w:val="28"/>
          <w:szCs w:val="28"/>
          <w:lang w:val="uk-UA"/>
        </w:rPr>
        <w:t>0,563*1</w:t>
      </w:r>
      <w:r w:rsidRPr="004E3FE9">
        <w:rPr>
          <w:rFonts w:ascii="Times New Roman" w:hAnsi="Times New Roman"/>
          <w:bCs/>
          <w:sz w:val="28"/>
          <w:szCs w:val="28"/>
          <w:lang w:val="uk-UA" w:eastAsia="ru-RU"/>
        </w:rPr>
        <w:t>)</w:t>
      </w:r>
    </w:p>
    <w:p w:rsidR="00F94DCF" w:rsidRPr="004E3FE9" w:rsidRDefault="00F94DCF" w:rsidP="00BD119A">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z= 0,764</w:t>
      </w:r>
    </w:p>
    <w:p w:rsidR="00F94DCF" w:rsidRPr="004E3FE9" w:rsidRDefault="00F94DCF" w:rsidP="00BD119A">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Обчислюємо імовірність формування в цієї дитини ниркового синдрому:</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 xml:space="preserve">               1</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р= ----------------   = 0,68</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 xml:space="preserve">            1 + е </w:t>
      </w:r>
      <w:r w:rsidRPr="004E3FE9">
        <w:rPr>
          <w:rFonts w:ascii="Times New Roman" w:hAnsi="Times New Roman"/>
          <w:sz w:val="28"/>
          <w:szCs w:val="28"/>
          <w:vertAlign w:val="superscript"/>
          <w:lang w:val="uk-UA" w:eastAsia="ru-RU"/>
        </w:rPr>
        <w:t>-0,764</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 xml:space="preserve">Таким чином, імовірність розвитку ниркового синдрому у дітей, хворих на геморагічний васкуліт, враховуючи анамнестичні дані та лабораторні показники активності патологічного процесу дорівнює 0,68 або 68%. Проте, такий рівень прогнозу та показники, які увійшли до моделі не можуть задовільнити сучасного клініциста та науковця, що потребує більш глибшого дослідження пацієнтів з даною нозологічною одиницею. </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 xml:space="preserve">Нами запропоновано побудування прогностичної моделі розвитку ниркового синдрому у дітей з геморагічним васкулітом за даними дослідження показників клітинної, гуморальної ланок імунітету та фагоцитозу. Результати побудови регресійної моделі представлені в табл. 6.2. </w:t>
      </w:r>
      <w:r w:rsidRPr="004E3FE9">
        <w:rPr>
          <w:rFonts w:ascii="Times New Roman" w:hAnsi="Times New Roman"/>
          <w:sz w:val="28"/>
          <w:szCs w:val="28"/>
          <w:lang w:val="uk-UA" w:eastAsia="ru-RU"/>
        </w:rPr>
        <w:lastRenderedPageBreak/>
        <w:t>Конкордантність проаналізованих предикторів за результатами склала 83,3%. Було з’ясовано, що до чинників, значення яких слід враховувати під час прогнозування розвитку ниркового синдрому у дітей з геморагічним васкулітом, відносяться рівні CD16, фагоцитуючих нейтрофілів та Ig M. Інші  чинники, які вивчалися, не продемонстрували сили зв’язку й ступеня значущості.</w:t>
      </w:r>
    </w:p>
    <w:p w:rsidR="00F94DCF" w:rsidRPr="00283E39" w:rsidRDefault="00F94DCF" w:rsidP="00F94DCF">
      <w:pPr>
        <w:spacing w:after="0" w:line="360" w:lineRule="auto"/>
        <w:ind w:firstLine="709"/>
        <w:contextualSpacing/>
        <w:jc w:val="right"/>
        <w:rPr>
          <w:rFonts w:ascii="Times New Roman" w:hAnsi="Times New Roman"/>
          <w:i/>
          <w:sz w:val="28"/>
          <w:szCs w:val="28"/>
          <w:lang w:val="uk-UA" w:eastAsia="ru-RU"/>
        </w:rPr>
      </w:pPr>
      <w:r w:rsidRPr="00283E39">
        <w:rPr>
          <w:rFonts w:ascii="Times New Roman" w:hAnsi="Times New Roman"/>
          <w:i/>
          <w:sz w:val="28"/>
          <w:szCs w:val="28"/>
          <w:lang w:val="uk-UA" w:eastAsia="ru-RU"/>
        </w:rPr>
        <w:t>Таблиця 6.2</w:t>
      </w:r>
    </w:p>
    <w:p w:rsidR="00F94DCF" w:rsidRPr="004E3FE9" w:rsidRDefault="00F94DCF" w:rsidP="00F94DCF">
      <w:pPr>
        <w:spacing w:after="0" w:line="360" w:lineRule="auto"/>
        <w:ind w:firstLine="709"/>
        <w:contextualSpacing/>
        <w:jc w:val="center"/>
        <w:rPr>
          <w:rFonts w:ascii="Times New Roman" w:hAnsi="Times New Roman"/>
          <w:b/>
          <w:bCs/>
          <w:sz w:val="28"/>
          <w:szCs w:val="28"/>
          <w:lang w:val="uk-UA" w:eastAsia="ru-RU"/>
        </w:rPr>
      </w:pPr>
      <w:r w:rsidRPr="004E3FE9">
        <w:rPr>
          <w:rFonts w:ascii="Times New Roman" w:hAnsi="Times New Roman"/>
          <w:b/>
          <w:bCs/>
          <w:sz w:val="28"/>
          <w:szCs w:val="28"/>
          <w:lang w:val="uk-UA" w:eastAsia="ru-RU"/>
        </w:rPr>
        <w:t>Статистині характеристики множинної логістичної регрессії показників клітинної, гуморальної ланок імунітету та фагоцитозу, які потенційно спроможні впливати на формування ниркового синдрому у дітей, хворих на ГВ.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485"/>
        <w:gridCol w:w="1560"/>
        <w:gridCol w:w="1417"/>
        <w:gridCol w:w="1818"/>
      </w:tblGrid>
      <w:tr w:rsidR="00F94DCF" w:rsidRPr="004E3FE9" w:rsidTr="002A506C">
        <w:trPr>
          <w:jc w:val="center"/>
        </w:trPr>
        <w:tc>
          <w:tcPr>
            <w:tcW w:w="4485"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Змінна</w:t>
            </w:r>
          </w:p>
        </w:tc>
        <w:tc>
          <w:tcPr>
            <w:tcW w:w="1560"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Коефіцієнт</w:t>
            </w:r>
          </w:p>
        </w:tc>
        <w:tc>
          <w:tcPr>
            <w:tcW w:w="1417"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Станд.</w:t>
            </w:r>
          </w:p>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похибка</w:t>
            </w:r>
          </w:p>
        </w:tc>
        <w:tc>
          <w:tcPr>
            <w:tcW w:w="1818" w:type="dxa"/>
            <w:vAlign w:val="center"/>
          </w:tcPr>
          <w:p w:rsidR="00F94DCF" w:rsidRPr="004E3FE9" w:rsidRDefault="00F94DCF" w:rsidP="002A506C">
            <w:pPr>
              <w:spacing w:after="0" w:line="360" w:lineRule="auto"/>
              <w:ind w:firstLine="709"/>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P</w:t>
            </w:r>
          </w:p>
        </w:tc>
      </w:tr>
      <w:tr w:rsidR="00F94DCF" w:rsidRPr="004E3FE9" w:rsidTr="002A506C">
        <w:trPr>
          <w:jc w:val="center"/>
        </w:trPr>
        <w:tc>
          <w:tcPr>
            <w:tcW w:w="4485"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Constant</w:t>
            </w:r>
          </w:p>
        </w:tc>
        <w:tc>
          <w:tcPr>
            <w:tcW w:w="1560"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-0,586</w:t>
            </w:r>
          </w:p>
        </w:tc>
        <w:tc>
          <w:tcPr>
            <w:tcW w:w="1417"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0,149</w:t>
            </w:r>
          </w:p>
        </w:tc>
        <w:tc>
          <w:tcPr>
            <w:tcW w:w="1818" w:type="dxa"/>
            <w:vAlign w:val="center"/>
          </w:tcPr>
          <w:p w:rsidR="00F94DCF" w:rsidRPr="004E3FE9" w:rsidRDefault="00F94DCF" w:rsidP="002A506C">
            <w:pPr>
              <w:spacing w:after="0" w:line="360" w:lineRule="auto"/>
              <w:ind w:firstLine="709"/>
              <w:contextualSpacing/>
              <w:jc w:val="center"/>
              <w:rPr>
                <w:rFonts w:ascii="Times New Roman" w:hAnsi="Times New Roman"/>
                <w:bCs/>
                <w:sz w:val="28"/>
                <w:szCs w:val="28"/>
                <w:lang w:val="uk-UA" w:eastAsia="ru-RU"/>
              </w:rPr>
            </w:pPr>
          </w:p>
        </w:tc>
      </w:tr>
      <w:tr w:rsidR="00F94DCF" w:rsidRPr="004E3FE9" w:rsidTr="002A506C">
        <w:trPr>
          <w:jc w:val="center"/>
        </w:trPr>
        <w:tc>
          <w:tcPr>
            <w:tcW w:w="4485"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CD16</w:t>
            </w:r>
          </w:p>
        </w:tc>
        <w:tc>
          <w:tcPr>
            <w:tcW w:w="1560"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0,736</w:t>
            </w:r>
          </w:p>
        </w:tc>
        <w:tc>
          <w:tcPr>
            <w:tcW w:w="1417"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0,0360</w:t>
            </w:r>
          </w:p>
        </w:tc>
        <w:tc>
          <w:tcPr>
            <w:tcW w:w="1818"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&lt;0,001</w:t>
            </w:r>
          </w:p>
        </w:tc>
      </w:tr>
      <w:tr w:rsidR="00F94DCF" w:rsidRPr="004E3FE9" w:rsidTr="002A506C">
        <w:trPr>
          <w:jc w:val="center"/>
        </w:trPr>
        <w:tc>
          <w:tcPr>
            <w:tcW w:w="4485"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Фагоцитуючі нейтрофіли</w:t>
            </w:r>
          </w:p>
        </w:tc>
        <w:tc>
          <w:tcPr>
            <w:tcW w:w="1560"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0,005</w:t>
            </w:r>
          </w:p>
        </w:tc>
        <w:tc>
          <w:tcPr>
            <w:tcW w:w="1417"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0,00151</w:t>
            </w:r>
          </w:p>
        </w:tc>
        <w:tc>
          <w:tcPr>
            <w:tcW w:w="1818"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&lt;0,001</w:t>
            </w:r>
          </w:p>
        </w:tc>
      </w:tr>
      <w:tr w:rsidR="00F94DCF" w:rsidRPr="004E3FE9" w:rsidTr="002A506C">
        <w:trPr>
          <w:jc w:val="center"/>
        </w:trPr>
        <w:tc>
          <w:tcPr>
            <w:tcW w:w="4485"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Ig M</w:t>
            </w:r>
          </w:p>
        </w:tc>
        <w:tc>
          <w:tcPr>
            <w:tcW w:w="1560"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0,090</w:t>
            </w:r>
          </w:p>
        </w:tc>
        <w:tc>
          <w:tcPr>
            <w:tcW w:w="1417"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0,0192</w:t>
            </w:r>
          </w:p>
        </w:tc>
        <w:tc>
          <w:tcPr>
            <w:tcW w:w="1818"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&lt;0,001</w:t>
            </w:r>
          </w:p>
        </w:tc>
      </w:tr>
    </w:tbl>
    <w:p w:rsidR="00F94DCF" w:rsidRPr="004E3FE9" w:rsidRDefault="00F94DCF" w:rsidP="00F94DCF">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 xml:space="preserve">Примітка: </w:t>
      </w:r>
      <w:r w:rsidR="00A91B85" w:rsidRPr="004E3FE9">
        <w:rPr>
          <w:rFonts w:ascii="Times New Roman" w:hAnsi="Times New Roman"/>
          <w:bCs/>
          <w:sz w:val="28"/>
          <w:szCs w:val="28"/>
          <w:lang w:val="uk-UA" w:eastAsia="ru-RU"/>
        </w:rPr>
        <w:t xml:space="preserve">R2 = 0,961, </w:t>
      </w:r>
      <w:r w:rsidRPr="004E3FE9">
        <w:rPr>
          <w:rFonts w:ascii="Times New Roman" w:hAnsi="Times New Roman"/>
          <w:bCs/>
          <w:sz w:val="28"/>
          <w:szCs w:val="28"/>
          <w:lang w:val="uk-UA" w:eastAsia="ru-RU"/>
        </w:rPr>
        <w:t>p&lt;0,001</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За результатами проведеного аналізу було створено рівняння множинної регресії:</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z= -0,586 + (0,736 * CD16) + (0,005 * Фагоцитуючі нейтрофіли) + (0,090 * Ig M).</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Якщо ми розглянемо випадок з дитиною із геморагічним васкулітом, яка за даними обстеження мала наступні результати: CD16 – 2,1</w:t>
      </w:r>
      <w:r w:rsidRPr="004E3FE9">
        <w:rPr>
          <w:rFonts w:ascii="Times New Roman" w:hAnsi="Times New Roman"/>
          <w:sz w:val="28"/>
          <w:szCs w:val="28"/>
          <w:lang w:val="uk-UA"/>
        </w:rPr>
        <w:t>*10</w:t>
      </w:r>
      <w:r w:rsidRPr="004E3FE9">
        <w:rPr>
          <w:rFonts w:ascii="Times New Roman" w:hAnsi="Times New Roman"/>
          <w:sz w:val="28"/>
          <w:szCs w:val="28"/>
          <w:vertAlign w:val="superscript"/>
          <w:lang w:val="uk-UA"/>
        </w:rPr>
        <w:t>9</w:t>
      </w:r>
      <w:r w:rsidRPr="004E3FE9">
        <w:rPr>
          <w:rFonts w:ascii="Times New Roman" w:hAnsi="Times New Roman"/>
          <w:sz w:val="28"/>
          <w:szCs w:val="28"/>
          <w:lang w:val="uk-UA"/>
        </w:rPr>
        <w:t>/л, фагоцитуючі нейтрофіли – 41 %, Ig M – 2,5 г/л</w:t>
      </w:r>
      <w:r w:rsidRPr="004E3FE9">
        <w:rPr>
          <w:rFonts w:ascii="Times New Roman" w:hAnsi="Times New Roman"/>
          <w:sz w:val="28"/>
          <w:szCs w:val="28"/>
          <w:lang w:val="uk-UA" w:eastAsia="ru-RU"/>
        </w:rPr>
        <w:t>, то виходячи із рівняння:</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z= -0,586 + (0,736 * 2,1) + (0,005 * 41) + (0,090 * 2,5)</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z= 0,94</w:t>
      </w:r>
    </w:p>
    <w:p w:rsidR="00F94DCF"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Обчислюємо імовірність формування в цієї дитини розвитку ниркового синдрому:</w:t>
      </w:r>
    </w:p>
    <w:p w:rsidR="00283E39" w:rsidRPr="004E3FE9" w:rsidRDefault="00283E39" w:rsidP="00F94DCF">
      <w:pPr>
        <w:spacing w:line="360" w:lineRule="auto"/>
        <w:ind w:firstLine="709"/>
        <w:contextualSpacing/>
        <w:jc w:val="both"/>
        <w:rPr>
          <w:rFonts w:ascii="Times New Roman" w:hAnsi="Times New Roman"/>
          <w:sz w:val="28"/>
          <w:szCs w:val="28"/>
          <w:lang w:val="uk-UA" w:eastAsia="ru-RU"/>
        </w:rPr>
      </w:pP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lastRenderedPageBreak/>
        <w:t xml:space="preserve">               1</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р= ----------------   = 0,71.</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 xml:space="preserve">            1 + е </w:t>
      </w:r>
      <w:r w:rsidRPr="004E3FE9">
        <w:rPr>
          <w:rFonts w:ascii="Times New Roman" w:hAnsi="Times New Roman"/>
          <w:sz w:val="28"/>
          <w:szCs w:val="28"/>
          <w:vertAlign w:val="superscript"/>
          <w:lang w:val="uk-UA" w:eastAsia="ru-RU"/>
        </w:rPr>
        <w:t>-0,94</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 xml:space="preserve">Таким чином, імовірність дорівнює 0,71 або 71 %. </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 xml:space="preserve">Враховуючи не досить високий рівень прогнозу розвитку ниркового синдрому у дітей з геморагічним васкулітом виходячи з отриманих вище результатів нами проведено множинний логістичний аналіз з побудуванням формули логістичної регресії за даними біохімічних та ультразвукових показників оцінки функції ендотелію та МСР-1. </w:t>
      </w:r>
    </w:p>
    <w:p w:rsidR="00F94DCF" w:rsidRPr="004E3FE9" w:rsidRDefault="00F94DCF" w:rsidP="00F94DCF">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Було з’ясовано, чинниками, значення яких слід враховувати під час прогнозування ниркового синдрому у дітей, хворих на геморагічний васкуліт, є рівні МСР-1, фактору Віллебранда та товщини КІМ ЗСА. Інші  чинники, які  задіяні під час розрахунків, не продемонстрували сили зв’язку й ступеня значущості, достатніх для їхнього врахування в якості впливових (табл. 6.3).</w:t>
      </w:r>
    </w:p>
    <w:p w:rsidR="00F94DCF" w:rsidRPr="00283E39" w:rsidRDefault="00F94DCF" w:rsidP="00F94DCF">
      <w:pPr>
        <w:spacing w:after="0" w:line="360" w:lineRule="auto"/>
        <w:ind w:firstLine="709"/>
        <w:contextualSpacing/>
        <w:jc w:val="right"/>
        <w:rPr>
          <w:rFonts w:ascii="Times New Roman" w:hAnsi="Times New Roman"/>
          <w:i/>
          <w:sz w:val="28"/>
          <w:szCs w:val="28"/>
          <w:lang w:val="uk-UA" w:eastAsia="ru-RU"/>
        </w:rPr>
      </w:pPr>
      <w:r w:rsidRPr="00283E39">
        <w:rPr>
          <w:rFonts w:ascii="Times New Roman" w:hAnsi="Times New Roman"/>
          <w:i/>
          <w:sz w:val="28"/>
          <w:szCs w:val="28"/>
          <w:lang w:val="uk-UA" w:eastAsia="ru-RU"/>
        </w:rPr>
        <w:t>Таблиця 6.3</w:t>
      </w:r>
    </w:p>
    <w:p w:rsidR="00F94DCF" w:rsidRPr="004E3FE9" w:rsidRDefault="00F94DCF" w:rsidP="00F94DCF">
      <w:pPr>
        <w:spacing w:after="0" w:line="360" w:lineRule="auto"/>
        <w:ind w:firstLine="709"/>
        <w:contextualSpacing/>
        <w:jc w:val="center"/>
        <w:rPr>
          <w:rFonts w:ascii="Times New Roman" w:hAnsi="Times New Roman"/>
          <w:b/>
          <w:bCs/>
          <w:sz w:val="28"/>
          <w:szCs w:val="28"/>
          <w:lang w:val="uk-UA" w:eastAsia="ru-RU"/>
        </w:rPr>
      </w:pPr>
      <w:r w:rsidRPr="004E3FE9">
        <w:rPr>
          <w:rFonts w:ascii="Times New Roman" w:hAnsi="Times New Roman"/>
          <w:b/>
          <w:bCs/>
          <w:sz w:val="28"/>
          <w:szCs w:val="28"/>
          <w:lang w:val="uk-UA" w:eastAsia="ru-RU"/>
        </w:rPr>
        <w:t>Статистині характеристики множинної логістичної регрессії показників МСР-1, фактору Віллебранда та товщини КІМ ЗСА, які потенційно спроможні впливати на формування ниркового синдрому у дітей, хворих на ГВ.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485"/>
        <w:gridCol w:w="1560"/>
        <w:gridCol w:w="1417"/>
        <w:gridCol w:w="1818"/>
      </w:tblGrid>
      <w:tr w:rsidR="00A91B85" w:rsidRPr="004E3FE9" w:rsidTr="002A506C">
        <w:trPr>
          <w:jc w:val="center"/>
        </w:trPr>
        <w:tc>
          <w:tcPr>
            <w:tcW w:w="4485"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Змінна</w:t>
            </w:r>
          </w:p>
        </w:tc>
        <w:tc>
          <w:tcPr>
            <w:tcW w:w="1560"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Коефіцієнт</w:t>
            </w:r>
          </w:p>
        </w:tc>
        <w:tc>
          <w:tcPr>
            <w:tcW w:w="1417"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Станд.</w:t>
            </w:r>
          </w:p>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похибка</w:t>
            </w:r>
          </w:p>
        </w:tc>
        <w:tc>
          <w:tcPr>
            <w:tcW w:w="1818" w:type="dxa"/>
            <w:vAlign w:val="center"/>
          </w:tcPr>
          <w:p w:rsidR="00F94DCF" w:rsidRPr="004E3FE9" w:rsidRDefault="00F94DCF" w:rsidP="002A506C">
            <w:pPr>
              <w:spacing w:after="0" w:line="360" w:lineRule="auto"/>
              <w:ind w:firstLine="709"/>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P</w:t>
            </w:r>
          </w:p>
        </w:tc>
      </w:tr>
      <w:tr w:rsidR="00A91B85" w:rsidRPr="004E3FE9" w:rsidTr="002A506C">
        <w:trPr>
          <w:jc w:val="center"/>
        </w:trPr>
        <w:tc>
          <w:tcPr>
            <w:tcW w:w="4485"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Constant</w:t>
            </w:r>
          </w:p>
        </w:tc>
        <w:tc>
          <w:tcPr>
            <w:tcW w:w="1560"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0,150</w:t>
            </w:r>
          </w:p>
        </w:tc>
        <w:tc>
          <w:tcPr>
            <w:tcW w:w="1417"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bCs/>
                <w:sz w:val="28"/>
                <w:szCs w:val="28"/>
                <w:lang w:val="uk-UA" w:eastAsia="ru-RU"/>
              </w:rPr>
              <w:t>0,219</w:t>
            </w:r>
          </w:p>
        </w:tc>
        <w:tc>
          <w:tcPr>
            <w:tcW w:w="1818" w:type="dxa"/>
            <w:vAlign w:val="center"/>
          </w:tcPr>
          <w:p w:rsidR="00F94DCF" w:rsidRPr="004E3FE9" w:rsidRDefault="00F94DCF" w:rsidP="002A506C">
            <w:pPr>
              <w:spacing w:after="0" w:line="360" w:lineRule="auto"/>
              <w:ind w:firstLine="709"/>
              <w:contextualSpacing/>
              <w:jc w:val="center"/>
              <w:rPr>
                <w:rFonts w:ascii="Times New Roman" w:hAnsi="Times New Roman"/>
                <w:bCs/>
                <w:sz w:val="28"/>
                <w:szCs w:val="28"/>
                <w:lang w:val="uk-UA" w:eastAsia="ru-RU"/>
              </w:rPr>
            </w:pPr>
          </w:p>
        </w:tc>
      </w:tr>
      <w:tr w:rsidR="00A91B85" w:rsidRPr="004E3FE9" w:rsidTr="002A506C">
        <w:trPr>
          <w:jc w:val="center"/>
        </w:trPr>
        <w:tc>
          <w:tcPr>
            <w:tcW w:w="4485"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sz w:val="28"/>
                <w:szCs w:val="28"/>
                <w:lang w:val="uk-UA" w:eastAsia="ru-RU"/>
              </w:rPr>
              <w:t>МСР-1</w:t>
            </w:r>
          </w:p>
        </w:tc>
        <w:tc>
          <w:tcPr>
            <w:tcW w:w="1560"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0,000608</w:t>
            </w:r>
          </w:p>
        </w:tc>
        <w:tc>
          <w:tcPr>
            <w:tcW w:w="1417"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0,0000656</w:t>
            </w:r>
          </w:p>
        </w:tc>
        <w:tc>
          <w:tcPr>
            <w:tcW w:w="1818"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&lt;0,001</w:t>
            </w:r>
          </w:p>
        </w:tc>
      </w:tr>
      <w:tr w:rsidR="00A91B85" w:rsidRPr="004E3FE9" w:rsidTr="002A506C">
        <w:trPr>
          <w:jc w:val="center"/>
        </w:trPr>
        <w:tc>
          <w:tcPr>
            <w:tcW w:w="4485"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sz w:val="28"/>
                <w:szCs w:val="28"/>
                <w:lang w:val="uk-UA" w:eastAsia="ru-RU"/>
              </w:rPr>
              <w:t>фактор Віллебранда</w:t>
            </w:r>
          </w:p>
        </w:tc>
        <w:tc>
          <w:tcPr>
            <w:tcW w:w="1560"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0,00683</w:t>
            </w:r>
          </w:p>
        </w:tc>
        <w:tc>
          <w:tcPr>
            <w:tcW w:w="1417"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0,0016</w:t>
            </w:r>
          </w:p>
        </w:tc>
        <w:tc>
          <w:tcPr>
            <w:tcW w:w="1818"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&lt;0,001</w:t>
            </w:r>
          </w:p>
        </w:tc>
      </w:tr>
      <w:tr w:rsidR="00A91B85" w:rsidRPr="004E3FE9" w:rsidTr="002A506C">
        <w:trPr>
          <w:jc w:val="center"/>
        </w:trPr>
        <w:tc>
          <w:tcPr>
            <w:tcW w:w="4485" w:type="dxa"/>
            <w:vAlign w:val="center"/>
          </w:tcPr>
          <w:p w:rsidR="00F94DCF" w:rsidRPr="004E3FE9" w:rsidRDefault="00F94DCF" w:rsidP="002A506C">
            <w:pPr>
              <w:spacing w:after="0" w:line="360" w:lineRule="auto"/>
              <w:contextualSpacing/>
              <w:jc w:val="center"/>
              <w:rPr>
                <w:rFonts w:ascii="Times New Roman" w:hAnsi="Times New Roman"/>
                <w:bCs/>
                <w:sz w:val="28"/>
                <w:szCs w:val="28"/>
                <w:lang w:val="uk-UA" w:eastAsia="ru-RU"/>
              </w:rPr>
            </w:pPr>
            <w:r w:rsidRPr="004E3FE9">
              <w:rPr>
                <w:rFonts w:ascii="Times New Roman" w:hAnsi="Times New Roman"/>
                <w:sz w:val="28"/>
                <w:szCs w:val="28"/>
                <w:lang w:val="uk-UA" w:eastAsia="ru-RU"/>
              </w:rPr>
              <w:t>товщина КІМ ЗСА</w:t>
            </w:r>
          </w:p>
        </w:tc>
        <w:tc>
          <w:tcPr>
            <w:tcW w:w="1560"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-0,397</w:t>
            </w:r>
          </w:p>
        </w:tc>
        <w:tc>
          <w:tcPr>
            <w:tcW w:w="1417"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0,166</w:t>
            </w:r>
          </w:p>
        </w:tc>
        <w:tc>
          <w:tcPr>
            <w:tcW w:w="1818" w:type="dxa"/>
            <w:vAlign w:val="center"/>
          </w:tcPr>
          <w:p w:rsidR="00F94DCF" w:rsidRPr="004E3FE9" w:rsidRDefault="00F94DCF" w:rsidP="002A506C">
            <w:pPr>
              <w:spacing w:after="0" w:line="240" w:lineRule="auto"/>
              <w:contextualSpacing/>
              <w:jc w:val="center"/>
              <w:rPr>
                <w:rFonts w:ascii="Times New Roman" w:hAnsi="Times New Roman"/>
                <w:sz w:val="28"/>
                <w:szCs w:val="28"/>
                <w:lang w:val="uk-UA" w:eastAsia="ru-RU"/>
              </w:rPr>
            </w:pPr>
            <w:r w:rsidRPr="004E3FE9">
              <w:rPr>
                <w:rStyle w:val="result"/>
                <w:rFonts w:ascii="Times New Roman" w:hAnsi="Times New Roman"/>
                <w:color w:val="auto"/>
                <w:sz w:val="28"/>
                <w:szCs w:val="28"/>
                <w:lang w:val="uk-UA" w:eastAsia="ru-RU"/>
              </w:rPr>
              <w:t>&lt;0,001</w:t>
            </w:r>
          </w:p>
        </w:tc>
      </w:tr>
    </w:tbl>
    <w:p w:rsidR="00F94DCF" w:rsidRDefault="00F94DCF" w:rsidP="00F94DCF">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 xml:space="preserve">Примітка: </w:t>
      </w:r>
      <w:r w:rsidR="00A91B85" w:rsidRPr="004E3FE9">
        <w:rPr>
          <w:rFonts w:ascii="Times New Roman" w:hAnsi="Times New Roman"/>
          <w:bCs/>
          <w:sz w:val="28"/>
          <w:szCs w:val="28"/>
          <w:lang w:val="uk-UA" w:eastAsia="ru-RU"/>
        </w:rPr>
        <w:t xml:space="preserve">R2 = 0,981, </w:t>
      </w:r>
      <w:r w:rsidRPr="004E3FE9">
        <w:rPr>
          <w:rFonts w:ascii="Times New Roman" w:hAnsi="Times New Roman"/>
          <w:bCs/>
          <w:sz w:val="28"/>
          <w:szCs w:val="28"/>
          <w:lang w:val="uk-UA" w:eastAsia="ru-RU"/>
        </w:rPr>
        <w:t>p&lt;0,001</w:t>
      </w:r>
    </w:p>
    <w:p w:rsidR="00283E39" w:rsidRPr="004E3FE9" w:rsidRDefault="00283E39" w:rsidP="00F94DCF">
      <w:pPr>
        <w:spacing w:line="360" w:lineRule="auto"/>
        <w:ind w:firstLine="709"/>
        <w:contextualSpacing/>
        <w:jc w:val="both"/>
        <w:rPr>
          <w:rFonts w:ascii="Times New Roman" w:hAnsi="Times New Roman"/>
          <w:bCs/>
          <w:sz w:val="28"/>
          <w:szCs w:val="28"/>
          <w:lang w:val="uk-UA" w:eastAsia="ru-RU"/>
        </w:rPr>
      </w:pPr>
    </w:p>
    <w:p w:rsidR="00F94DCF" w:rsidRDefault="00F94DCF" w:rsidP="00F94DCF">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За результатами проведеного аналізу було створено рівняння множинної регресії:</w:t>
      </w:r>
    </w:p>
    <w:p w:rsidR="00283E39" w:rsidRPr="004E3FE9" w:rsidRDefault="00283E39" w:rsidP="00F94DCF">
      <w:pPr>
        <w:spacing w:line="360" w:lineRule="auto"/>
        <w:ind w:firstLine="709"/>
        <w:contextualSpacing/>
        <w:jc w:val="both"/>
        <w:rPr>
          <w:rFonts w:ascii="Times New Roman" w:hAnsi="Times New Roman"/>
          <w:bCs/>
          <w:sz w:val="28"/>
          <w:szCs w:val="28"/>
          <w:lang w:val="uk-UA" w:eastAsia="ru-RU"/>
        </w:rPr>
      </w:pPr>
    </w:p>
    <w:p w:rsidR="00F94DCF" w:rsidRPr="004E3FE9" w:rsidRDefault="00F94DCF" w:rsidP="00F94DCF">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lastRenderedPageBreak/>
        <w:t>z = 0,150 + (0,000608 * МСР-1) + (0,00683 * фактор Віллебранда) –</w:t>
      </w:r>
    </w:p>
    <w:p w:rsidR="00F94DCF" w:rsidRPr="004E3FE9" w:rsidRDefault="00F94DCF" w:rsidP="00F94DCF">
      <w:pPr>
        <w:pStyle w:val="a7"/>
        <w:spacing w:line="360" w:lineRule="auto"/>
        <w:ind w:left="0"/>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 (0,397 * товщина КІМ ЗСА)</w:t>
      </w:r>
    </w:p>
    <w:p w:rsidR="00F94DCF" w:rsidRPr="004E3FE9" w:rsidRDefault="00F94DCF" w:rsidP="00F94DCF">
      <w:pPr>
        <w:spacing w:after="0" w:line="360" w:lineRule="auto"/>
        <w:ind w:firstLine="708"/>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 xml:space="preserve">Якщо ми розглянемо випадок дитини із геморагічним васкулітом, яка в результаті біохімічного обстеження мала наступні показники : МСР-1 – 2980,43 пг/мл, </w:t>
      </w:r>
      <w:r w:rsidRPr="004E3FE9">
        <w:rPr>
          <w:rFonts w:ascii="Times New Roman" w:hAnsi="Times New Roman"/>
          <w:bCs/>
          <w:sz w:val="28"/>
          <w:szCs w:val="28"/>
          <w:lang w:val="uk-UA" w:eastAsia="ru-RU"/>
        </w:rPr>
        <w:t>фактор Віллебранда</w:t>
      </w:r>
      <w:r w:rsidRPr="004E3FE9">
        <w:rPr>
          <w:rFonts w:ascii="Times New Roman" w:hAnsi="Times New Roman"/>
          <w:sz w:val="28"/>
          <w:szCs w:val="28"/>
          <w:lang w:val="uk-UA" w:eastAsia="ru-RU"/>
        </w:rPr>
        <w:t xml:space="preserve"> - 197,18 %, </w:t>
      </w:r>
      <w:r w:rsidRPr="004E3FE9">
        <w:rPr>
          <w:rFonts w:ascii="Times New Roman" w:hAnsi="Times New Roman"/>
          <w:bCs/>
          <w:sz w:val="28"/>
          <w:szCs w:val="28"/>
          <w:lang w:val="uk-UA" w:eastAsia="ru-RU"/>
        </w:rPr>
        <w:t>товщина КІМ ЗСА</w:t>
      </w:r>
      <w:r w:rsidRPr="004E3FE9">
        <w:rPr>
          <w:rFonts w:ascii="Times New Roman" w:hAnsi="Times New Roman"/>
          <w:sz w:val="28"/>
          <w:szCs w:val="24"/>
          <w:lang w:val="uk-UA" w:eastAsia="ru-RU"/>
        </w:rPr>
        <w:t xml:space="preserve"> – 1,2 мм, </w:t>
      </w:r>
      <w:r w:rsidRPr="004E3FE9">
        <w:rPr>
          <w:rFonts w:ascii="Times New Roman" w:hAnsi="Times New Roman"/>
          <w:sz w:val="28"/>
          <w:szCs w:val="28"/>
          <w:lang w:val="uk-UA" w:eastAsia="ru-RU"/>
        </w:rPr>
        <w:t>то виходячи із рівняння</w:t>
      </w:r>
    </w:p>
    <w:p w:rsidR="00F94DCF" w:rsidRPr="004E3FE9" w:rsidRDefault="00F94DCF" w:rsidP="00F94DCF">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z = 0,150 + (0,000608 * 2980,43) + (0,00683 * 197,18) –</w:t>
      </w:r>
    </w:p>
    <w:p w:rsidR="00F94DCF" w:rsidRPr="004E3FE9" w:rsidRDefault="00F94DCF" w:rsidP="00F94DCF">
      <w:pPr>
        <w:spacing w:after="0" w:line="360" w:lineRule="auto"/>
        <w:contextualSpacing/>
        <w:jc w:val="both"/>
        <w:rPr>
          <w:rFonts w:ascii="Times New Roman" w:hAnsi="Times New Roman"/>
          <w:sz w:val="28"/>
          <w:szCs w:val="28"/>
          <w:lang w:val="uk-UA" w:eastAsia="ru-RU"/>
        </w:rPr>
      </w:pPr>
      <w:r w:rsidRPr="004E3FE9">
        <w:rPr>
          <w:rFonts w:ascii="Times New Roman" w:hAnsi="Times New Roman"/>
          <w:bCs/>
          <w:sz w:val="28"/>
          <w:szCs w:val="28"/>
          <w:lang w:val="uk-UA" w:eastAsia="ru-RU"/>
        </w:rPr>
        <w:t>– (0,397 * 1,2)</w:t>
      </w:r>
    </w:p>
    <w:p w:rsidR="00F94DCF" w:rsidRPr="004E3FE9" w:rsidRDefault="00F94DCF" w:rsidP="00F94DCF">
      <w:pPr>
        <w:spacing w:after="0" w:line="360" w:lineRule="auto"/>
        <w:ind w:left="708"/>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z= 2,83</w:t>
      </w:r>
    </w:p>
    <w:p w:rsidR="00F94DCF" w:rsidRPr="004E3FE9" w:rsidRDefault="00F94DCF" w:rsidP="00F94DCF">
      <w:pPr>
        <w:spacing w:after="0" w:line="360" w:lineRule="auto"/>
        <w:ind w:firstLine="708"/>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Обчислюємо імовірність формування в цієї дитини бронхіальної астми</w:t>
      </w:r>
    </w:p>
    <w:p w:rsidR="00F94DCF" w:rsidRPr="004E3FE9" w:rsidRDefault="00F94DCF" w:rsidP="00F94DCF">
      <w:pPr>
        <w:spacing w:after="0" w:line="240" w:lineRule="auto"/>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 xml:space="preserve">               1</w:t>
      </w:r>
    </w:p>
    <w:p w:rsidR="00F94DCF" w:rsidRPr="004E3FE9" w:rsidRDefault="00F94DCF" w:rsidP="00F94DCF">
      <w:pPr>
        <w:spacing w:after="0" w:line="240" w:lineRule="auto"/>
        <w:contextualSpacing/>
        <w:jc w:val="both"/>
        <w:rPr>
          <w:rFonts w:ascii="Times New Roman" w:hAnsi="Times New Roman"/>
          <w:sz w:val="28"/>
          <w:szCs w:val="28"/>
          <w:lang w:val="uk-UA" w:eastAsia="ru-RU"/>
        </w:rPr>
      </w:pPr>
      <w:r w:rsidRPr="004E3FE9">
        <w:rPr>
          <w:rFonts w:ascii="Times New Roman" w:hAnsi="Times New Roman"/>
          <w:sz w:val="28"/>
          <w:szCs w:val="28"/>
          <w:lang w:val="uk-UA" w:eastAsia="ru-RU"/>
        </w:rPr>
        <w:t xml:space="preserve">р= ----------------   = 0,944  </w:t>
      </w:r>
    </w:p>
    <w:p w:rsidR="00F94DCF" w:rsidRPr="004E3FE9" w:rsidRDefault="00F94DCF" w:rsidP="00F94DCF">
      <w:pPr>
        <w:spacing w:after="0" w:line="240" w:lineRule="auto"/>
        <w:contextualSpacing/>
        <w:jc w:val="both"/>
        <w:rPr>
          <w:rFonts w:ascii="Times New Roman" w:hAnsi="Times New Roman"/>
          <w:sz w:val="28"/>
          <w:szCs w:val="28"/>
          <w:vertAlign w:val="superscript"/>
          <w:lang w:val="uk-UA" w:eastAsia="ru-RU"/>
        </w:rPr>
      </w:pPr>
      <w:r w:rsidRPr="004E3FE9">
        <w:rPr>
          <w:rFonts w:ascii="Times New Roman" w:hAnsi="Times New Roman"/>
          <w:sz w:val="28"/>
          <w:szCs w:val="28"/>
          <w:lang w:val="uk-UA" w:eastAsia="ru-RU"/>
        </w:rPr>
        <w:t xml:space="preserve">            1 + е </w:t>
      </w:r>
      <w:r w:rsidRPr="004E3FE9">
        <w:rPr>
          <w:rFonts w:ascii="Times New Roman" w:hAnsi="Times New Roman"/>
          <w:sz w:val="28"/>
          <w:szCs w:val="28"/>
          <w:vertAlign w:val="superscript"/>
          <w:lang w:val="uk-UA" w:eastAsia="ru-RU"/>
        </w:rPr>
        <w:t>-2,83</w:t>
      </w:r>
    </w:p>
    <w:p w:rsidR="00F94DCF" w:rsidRPr="004E3FE9" w:rsidRDefault="00F94DCF" w:rsidP="00F94DCF">
      <w:pPr>
        <w:spacing w:after="0" w:line="240" w:lineRule="auto"/>
        <w:contextualSpacing/>
        <w:rPr>
          <w:rFonts w:ascii="Times New Roman" w:hAnsi="Times New Roman"/>
          <w:sz w:val="24"/>
          <w:szCs w:val="24"/>
          <w:lang w:val="uk-UA" w:eastAsia="ru-RU"/>
        </w:rPr>
      </w:pPr>
    </w:p>
    <w:p w:rsidR="00F94DCF" w:rsidRPr="004E3FE9" w:rsidRDefault="00F94DCF" w:rsidP="00F94DCF">
      <w:pPr>
        <w:pStyle w:val="a7"/>
        <w:spacing w:line="360" w:lineRule="auto"/>
        <w:ind w:left="0" w:firstLine="709"/>
        <w:jc w:val="both"/>
        <w:rPr>
          <w:rFonts w:ascii="Times New Roman" w:hAnsi="Times New Roman"/>
          <w:sz w:val="28"/>
          <w:szCs w:val="28"/>
          <w:lang w:val="uk-UA" w:eastAsia="ru-RU"/>
        </w:rPr>
      </w:pPr>
      <w:r w:rsidRPr="004E3FE9">
        <w:rPr>
          <w:rFonts w:ascii="Times New Roman" w:hAnsi="Times New Roman"/>
          <w:sz w:val="28"/>
          <w:szCs w:val="28"/>
          <w:lang w:val="uk-UA" w:eastAsia="ru-RU"/>
        </w:rPr>
        <w:t>Таким чином, імовірність дорівнює 0,944 або 94,4%.</w:t>
      </w:r>
    </w:p>
    <w:p w:rsidR="00F94DCF" w:rsidRPr="003471C2" w:rsidRDefault="003471C2" w:rsidP="008F0A7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6</w:t>
      </w:r>
    </w:p>
    <w:p w:rsidR="004806EB" w:rsidRPr="004E3FE9" w:rsidRDefault="004806EB" w:rsidP="008F0A7F">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За допомогою </w:t>
      </w:r>
      <w:r w:rsidR="0099056E" w:rsidRPr="004E3FE9">
        <w:rPr>
          <w:rFonts w:ascii="Times New Roman" w:hAnsi="Times New Roman"/>
          <w:sz w:val="28"/>
          <w:szCs w:val="28"/>
          <w:lang w:val="uk-UA"/>
        </w:rPr>
        <w:t>логістичного регресивного аналізу</w:t>
      </w:r>
      <w:r w:rsidR="0099056E" w:rsidRPr="004E3FE9">
        <w:rPr>
          <w:rFonts w:ascii="Times New Roman" w:hAnsi="Times New Roman"/>
          <w:sz w:val="28"/>
          <w:szCs w:val="28"/>
          <w:lang w:val="uk-UA" w:eastAsia="ru-RU"/>
        </w:rPr>
        <w:t xml:space="preserve"> та ROC-аналізу</w:t>
      </w:r>
      <w:r w:rsidR="0099056E" w:rsidRPr="004E3FE9">
        <w:rPr>
          <w:rFonts w:ascii="Times New Roman" w:hAnsi="Times New Roman" w:cs="Times New Roman"/>
          <w:sz w:val="28"/>
          <w:szCs w:val="28"/>
          <w:lang w:val="uk-UA"/>
        </w:rPr>
        <w:t xml:space="preserve"> б</w:t>
      </w:r>
      <w:r w:rsidRPr="004E3FE9">
        <w:rPr>
          <w:rFonts w:ascii="Times New Roman" w:hAnsi="Times New Roman" w:cs="Times New Roman"/>
          <w:sz w:val="28"/>
          <w:szCs w:val="28"/>
          <w:lang w:val="uk-UA"/>
        </w:rPr>
        <w:t>уло з’ясовано, що чинниками, значення яких слід враховувати під час прогнозування ниркового синдрому у дітей, хворих на геморагічний васкуліт, є рівні МСР-1, фактору Віллебранда та товщини КІМ ЗСА.</w:t>
      </w:r>
      <w:r w:rsidR="0099056E" w:rsidRPr="004E3FE9">
        <w:rPr>
          <w:rFonts w:ascii="Times New Roman" w:hAnsi="Times New Roman" w:cs="Times New Roman"/>
          <w:sz w:val="28"/>
          <w:szCs w:val="28"/>
          <w:lang w:val="uk-UA"/>
        </w:rPr>
        <w:t xml:space="preserve"> </w:t>
      </w:r>
      <w:r w:rsidR="0099056E" w:rsidRPr="004E3FE9">
        <w:rPr>
          <w:rFonts w:ascii="Times New Roman" w:hAnsi="Times New Roman"/>
          <w:bCs/>
          <w:sz w:val="28"/>
          <w:szCs w:val="28"/>
          <w:lang w:val="uk-UA" w:eastAsia="ru-RU"/>
        </w:rPr>
        <w:t xml:space="preserve">Якість створеної моделі перевірено  за допомогою процента конкордації (показники належності до підгруп (1 = наявність ниркового синдрому, 0 = відсутність ниркового синдрому)), що спостерігаються. Загалом, вірно було розпізнано 52 випадків з 60, що складає 86,6%. </w:t>
      </w:r>
      <w:r w:rsidR="0099056E" w:rsidRPr="004E3FE9">
        <w:rPr>
          <w:rFonts w:ascii="Times New Roman" w:hAnsi="Times New Roman"/>
          <w:sz w:val="28"/>
          <w:szCs w:val="28"/>
          <w:lang w:val="uk-UA" w:eastAsia="ru-RU"/>
        </w:rPr>
        <w:t>Рівень прогнозу розвитку ниркового синдрому у дітей з геморагічним васкулітом має складати не менше 75%.</w:t>
      </w:r>
    </w:p>
    <w:p w:rsidR="004B41E5" w:rsidRPr="004E3FE9" w:rsidRDefault="004B41E5" w:rsidP="008F0A7F">
      <w:pPr>
        <w:spacing w:line="360" w:lineRule="auto"/>
        <w:contextualSpacing/>
        <w:jc w:val="both"/>
        <w:rPr>
          <w:rFonts w:ascii="Times New Roman" w:hAnsi="Times New Roman" w:cs="Times New Roman"/>
          <w:sz w:val="28"/>
          <w:szCs w:val="28"/>
          <w:lang w:val="uk-UA"/>
        </w:rPr>
      </w:pPr>
    </w:p>
    <w:p w:rsidR="004B41E5" w:rsidRPr="004E3FE9" w:rsidRDefault="004B41E5" w:rsidP="008F0A7F">
      <w:pPr>
        <w:spacing w:line="360" w:lineRule="auto"/>
        <w:rPr>
          <w:rFonts w:ascii="Times New Roman" w:hAnsi="Times New Roman" w:cs="Times New Roman"/>
          <w:sz w:val="28"/>
          <w:szCs w:val="28"/>
          <w:lang w:val="uk-UA"/>
        </w:rPr>
      </w:pPr>
    </w:p>
    <w:p w:rsidR="004B41E5" w:rsidRPr="004E3FE9" w:rsidRDefault="004B41E5" w:rsidP="008F0A7F">
      <w:pPr>
        <w:spacing w:line="360" w:lineRule="auto"/>
        <w:rPr>
          <w:rFonts w:ascii="Times New Roman" w:hAnsi="Times New Roman" w:cs="Times New Roman"/>
          <w:sz w:val="28"/>
          <w:szCs w:val="28"/>
          <w:lang w:val="uk-UA"/>
        </w:rPr>
      </w:pPr>
    </w:p>
    <w:p w:rsidR="004B41E5" w:rsidRPr="004E3FE9" w:rsidRDefault="004B41E5">
      <w:pPr>
        <w:rPr>
          <w:rFonts w:ascii="Times New Roman" w:hAnsi="Times New Roman" w:cs="Times New Roman"/>
          <w:sz w:val="28"/>
          <w:szCs w:val="28"/>
          <w:lang w:val="uk-UA"/>
        </w:rPr>
      </w:pPr>
    </w:p>
    <w:p w:rsidR="002965AE" w:rsidRDefault="002965AE" w:rsidP="00CC1596">
      <w:pPr>
        <w:pStyle w:val="1"/>
        <w:jc w:val="center"/>
        <w:rPr>
          <w:rFonts w:ascii="Times New Roman" w:hAnsi="Times New Roman" w:cs="Times New Roman"/>
          <w:color w:val="000000" w:themeColor="text1"/>
          <w:lang w:val="uk-UA"/>
        </w:rPr>
      </w:pPr>
      <w:bookmarkStart w:id="21" w:name="_Toc465797618"/>
      <w:r w:rsidRPr="004E3FE9">
        <w:rPr>
          <w:rFonts w:ascii="Times New Roman" w:hAnsi="Times New Roman" w:cs="Times New Roman"/>
          <w:color w:val="000000" w:themeColor="text1"/>
          <w:lang w:val="uk-UA"/>
        </w:rPr>
        <w:lastRenderedPageBreak/>
        <w:t xml:space="preserve">АНАЛІЗ </w:t>
      </w:r>
      <w:r w:rsidR="00AE5B2B">
        <w:rPr>
          <w:rFonts w:ascii="Times New Roman" w:hAnsi="Times New Roman" w:cs="Times New Roman"/>
          <w:color w:val="000000" w:themeColor="text1"/>
          <w:lang w:val="uk-UA"/>
        </w:rPr>
        <w:t>ТА</w:t>
      </w:r>
      <w:r w:rsidRPr="004E3FE9">
        <w:rPr>
          <w:rFonts w:ascii="Times New Roman" w:hAnsi="Times New Roman" w:cs="Times New Roman"/>
          <w:color w:val="000000" w:themeColor="text1"/>
          <w:lang w:val="uk-UA"/>
        </w:rPr>
        <w:t xml:space="preserve"> УЗАГАЛЬНЕННЯ РЕЗУЛЬТАТІВ ДОСЛІДЖЕННЯ</w:t>
      </w:r>
      <w:bookmarkEnd w:id="21"/>
    </w:p>
    <w:p w:rsidR="0061729E" w:rsidRDefault="0061729E" w:rsidP="00EF2692">
      <w:pPr>
        <w:spacing w:line="240" w:lineRule="auto"/>
        <w:rPr>
          <w:lang w:val="uk-UA"/>
        </w:rPr>
      </w:pPr>
    </w:p>
    <w:p w:rsidR="0061729E" w:rsidRDefault="0061729E" w:rsidP="00EF2692">
      <w:pPr>
        <w:spacing w:line="240" w:lineRule="auto"/>
        <w:rPr>
          <w:lang w:val="uk-UA"/>
        </w:rPr>
      </w:pPr>
    </w:p>
    <w:p w:rsidR="0061729E" w:rsidRPr="0061729E" w:rsidRDefault="0061729E" w:rsidP="00EF2692">
      <w:pPr>
        <w:spacing w:line="240" w:lineRule="auto"/>
        <w:rPr>
          <w:lang w:val="uk-UA"/>
        </w:rPr>
      </w:pP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Геморагічний васкуліт належить до групи захворювань, відомих як системні васкуліти. Дане захворювання являється мультисистемним за участю шкіри, суглобів, шлунково-кишкового тракту та нирок, яке в більшості випадків вражає дітей. Розповсюдженість ГВ сягає від10 до 20 випадків на 100000 дитячого населення віком до 17 років [</w:t>
      </w:r>
      <w:r w:rsidR="00042990" w:rsidRPr="004E3FE9">
        <w:rPr>
          <w:rFonts w:ascii="Times New Roman" w:hAnsi="Times New Roman" w:cs="Times New Roman"/>
          <w:sz w:val="28"/>
          <w:szCs w:val="28"/>
          <w:lang w:val="uk-UA"/>
        </w:rPr>
        <w:t>139, 143</w:t>
      </w:r>
      <w:r w:rsidRPr="004E3FE9">
        <w:rPr>
          <w:rFonts w:ascii="Times New Roman" w:hAnsi="Times New Roman" w:cs="Times New Roman"/>
          <w:sz w:val="28"/>
          <w:szCs w:val="28"/>
          <w:lang w:val="uk-UA"/>
        </w:rPr>
        <w:t>,</w:t>
      </w:r>
      <w:r w:rsidR="00042990" w:rsidRPr="004E3FE9">
        <w:rPr>
          <w:rFonts w:ascii="Times New Roman" w:hAnsi="Times New Roman" w:cs="Times New Roman"/>
          <w:sz w:val="28"/>
          <w:szCs w:val="28"/>
          <w:lang w:val="uk-UA"/>
        </w:rPr>
        <w:t xml:space="preserve"> 144, 162</w:t>
      </w:r>
      <w:r w:rsidRPr="004E3FE9">
        <w:rPr>
          <w:rFonts w:ascii="Times New Roman" w:hAnsi="Times New Roman" w:cs="Times New Roman"/>
          <w:sz w:val="28"/>
          <w:szCs w:val="28"/>
          <w:lang w:val="uk-UA"/>
        </w:rPr>
        <w:t>]. Більш ніж 75% дітей, хворих на ГВ, молодше 10 років; пік захворюваності приходиться га вік від 4 до 6 років [</w:t>
      </w:r>
      <w:r w:rsidR="00042990" w:rsidRPr="004E3FE9">
        <w:rPr>
          <w:rFonts w:ascii="Times New Roman" w:hAnsi="Times New Roman" w:cs="Times New Roman"/>
          <w:sz w:val="28"/>
          <w:szCs w:val="28"/>
          <w:lang w:val="uk-UA"/>
        </w:rPr>
        <w:t>73</w:t>
      </w:r>
      <w:r w:rsidRPr="004E3FE9">
        <w:rPr>
          <w:rFonts w:ascii="Times New Roman" w:hAnsi="Times New Roman" w:cs="Times New Roman"/>
          <w:sz w:val="28"/>
          <w:szCs w:val="28"/>
          <w:lang w:val="uk-UA"/>
        </w:rPr>
        <w:t>]. Протягом останнього десятиріччя захворюваність дітей на геморрагічний васкуліт збільшилась в усіх вікових групах, що потребує покращання діагностики, методів лікування та реабілітації з метою зниження ризику розвитку рецидивів та ускладнень захворювання [</w:t>
      </w:r>
      <w:r w:rsidR="00042990" w:rsidRPr="004E3FE9">
        <w:rPr>
          <w:rFonts w:ascii="Times New Roman" w:hAnsi="Times New Roman" w:cs="Times New Roman"/>
          <w:color w:val="FF0000"/>
          <w:sz w:val="28"/>
          <w:szCs w:val="28"/>
          <w:lang w:val="uk-UA"/>
        </w:rPr>
        <w:t>132</w:t>
      </w:r>
      <w:r w:rsidRPr="004E3FE9">
        <w:rPr>
          <w:rFonts w:ascii="Times New Roman" w:hAnsi="Times New Roman" w:cs="Times New Roman"/>
          <w:sz w:val="28"/>
          <w:szCs w:val="28"/>
          <w:lang w:val="uk-UA"/>
        </w:rPr>
        <w:t xml:space="preserve">].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Причини та умови розвитку пурпури Шенлейн-Геноха складні та не повністю з'ясовані. Тим паче, можна виділити ряд тригерних факторів, що мають вплив на розвиток даного захворювання. До провокуючих чинників належать: вірусні інфекції, бактеріальні захворювання, паразитарні інвазії, харчові та медикаментозні алергени, охолодження, перегрівання, фізичні травми та оперативні втручання.</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Результати сучасних досліджень дозволяють вважати, що патологічний процес виникає  на фоні  пошкодження судинного ендотелію, який відіграє провідну роль в розвитку тромбозу, процесах ремоделювання судин, внутрішньо-судинній активації тромбоцитів та лейкоцитів [</w:t>
      </w:r>
      <w:r w:rsidR="00042990" w:rsidRPr="004E3FE9">
        <w:rPr>
          <w:rFonts w:ascii="Times New Roman" w:hAnsi="Times New Roman" w:cs="Times New Roman"/>
          <w:color w:val="FF0000"/>
          <w:sz w:val="28"/>
          <w:szCs w:val="28"/>
          <w:lang w:val="uk-UA"/>
        </w:rPr>
        <w:t>168</w:t>
      </w:r>
      <w:r w:rsidRPr="004E3FE9">
        <w:rPr>
          <w:rFonts w:ascii="Times New Roman" w:hAnsi="Times New Roman" w:cs="Times New Roman"/>
          <w:sz w:val="28"/>
          <w:szCs w:val="28"/>
          <w:lang w:val="uk-UA"/>
        </w:rPr>
        <w:t>]. Ендотеліальній дисфункції відведена суттєва роль в розвитку клінічних проявів, перебігу захворювання та виникненні ускладнень при васкулітах [</w:t>
      </w:r>
      <w:r w:rsidR="00042990" w:rsidRPr="004E3FE9">
        <w:rPr>
          <w:rFonts w:ascii="Times New Roman" w:hAnsi="Times New Roman" w:cs="Times New Roman"/>
          <w:color w:val="FF0000"/>
          <w:sz w:val="28"/>
          <w:szCs w:val="28"/>
          <w:lang w:val="uk-UA"/>
        </w:rPr>
        <w:t>24</w:t>
      </w:r>
      <w:r w:rsidRPr="004E3FE9">
        <w:rPr>
          <w:rFonts w:ascii="Times New Roman" w:hAnsi="Times New Roman" w:cs="Times New Roman"/>
          <w:sz w:val="28"/>
          <w:szCs w:val="28"/>
          <w:lang w:val="uk-UA"/>
        </w:rPr>
        <w:t xml:space="preserve">].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Клінічний протокол надання медичної допомоги хворим на васкуліт Шенлейна — Геноха (геморагічний васкуліт, пурпура Шенлейна — Геноха) </w:t>
      </w:r>
      <w:r w:rsidRPr="004E3FE9">
        <w:rPr>
          <w:rFonts w:ascii="Times New Roman" w:hAnsi="Times New Roman" w:cs="Times New Roman"/>
          <w:sz w:val="28"/>
          <w:szCs w:val="28"/>
          <w:lang w:val="uk-UA"/>
        </w:rPr>
        <w:lastRenderedPageBreak/>
        <w:t xml:space="preserve">(ВШГ) №676 затверджено в Україні у 2006 році. Таким чином, за останні 10 років не переглядались алгоритми ранньої клініко-лабораторної діагностики патологічного процесу та профілактичні заходи, що дали б змогу попередити рецидиви захворювання та розвиток ускладнень.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«Стратегічне» розташування ендотеліальних клітин обумовлює той факт, що вони першими залучаються до різних патологічних процесів. При порушенні функції або структури ендотелію різко змінюється спектр біологічно активних речовин, які він утворює. При несприятливих умовах (гіпоксія, порушення обміну речовин, атеросклероз і т. п.) ендотелій становиться ініціатором багатьох патологічних процесів в організмі [</w:t>
      </w:r>
      <w:r w:rsidR="00042990" w:rsidRPr="004E3FE9">
        <w:rPr>
          <w:rFonts w:ascii="Times New Roman" w:hAnsi="Times New Roman" w:cs="Times New Roman"/>
          <w:sz w:val="28"/>
          <w:szCs w:val="28"/>
          <w:lang w:val="uk-UA"/>
        </w:rPr>
        <w:t>64</w:t>
      </w:r>
      <w:r w:rsidRPr="004E3FE9">
        <w:rPr>
          <w:rFonts w:ascii="Times New Roman" w:hAnsi="Times New Roman" w:cs="Times New Roman"/>
          <w:sz w:val="28"/>
          <w:szCs w:val="28"/>
          <w:lang w:val="uk-UA"/>
        </w:rPr>
        <w:t xml:space="preserve">, </w:t>
      </w:r>
      <w:r w:rsidR="00042990" w:rsidRPr="004E3FE9">
        <w:rPr>
          <w:rFonts w:ascii="Times New Roman" w:hAnsi="Times New Roman" w:cs="Times New Roman"/>
          <w:sz w:val="28"/>
          <w:szCs w:val="28"/>
          <w:lang w:val="uk-UA"/>
        </w:rPr>
        <w:t>142</w:t>
      </w:r>
      <w:r w:rsidRPr="004E3FE9">
        <w:rPr>
          <w:rFonts w:ascii="Times New Roman" w:hAnsi="Times New Roman" w:cs="Times New Roman"/>
          <w:sz w:val="28"/>
          <w:szCs w:val="28"/>
          <w:lang w:val="uk-UA"/>
        </w:rPr>
        <w:t xml:space="preserve">].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Як відомо, особливістю геморагічного васкуліту є ураження судин мікроциркуляторного русла та, в подальшому, розгортання імунопатологічного процесу на ендотелії. Тому, на нашу думку, своєчасна та точна діагностика рівня його ураження грає важливу роль при обранні найбільш ефективних методів терапії хворих на ГВ.</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Вазорегулююча функція ендотелію виконується на рівні автокринної регуляції, завдяки синтезу ендотеліальними клітинами вазоконстрикторів (ендотелін-1) та вазодилятаторів (NO) [</w:t>
      </w:r>
      <w:r w:rsidR="00042990" w:rsidRPr="004E3FE9">
        <w:rPr>
          <w:rFonts w:ascii="Times New Roman" w:hAnsi="Times New Roman" w:cs="Times New Roman"/>
          <w:sz w:val="28"/>
          <w:szCs w:val="28"/>
          <w:lang w:val="uk-UA"/>
        </w:rPr>
        <w:t>162</w:t>
      </w:r>
      <w:r w:rsidRPr="004E3FE9">
        <w:rPr>
          <w:rFonts w:ascii="Times New Roman" w:hAnsi="Times New Roman" w:cs="Times New Roman"/>
          <w:sz w:val="28"/>
          <w:szCs w:val="28"/>
          <w:lang w:val="uk-UA"/>
        </w:rPr>
        <w:t>]. Існують повідомлення, що такий потужний вазодилататор, як оксид азоту, синтезується в більших концентраціях на ендотелії судин саме малого калібру, а тому є важливим показником стану його функції при ГВ [</w:t>
      </w:r>
      <w:r w:rsidR="00042990" w:rsidRPr="004E3FE9">
        <w:rPr>
          <w:rFonts w:ascii="Times New Roman" w:hAnsi="Times New Roman" w:cs="Times New Roman"/>
          <w:sz w:val="28"/>
          <w:szCs w:val="28"/>
          <w:lang w:val="uk-UA"/>
        </w:rPr>
        <w:t>122</w:t>
      </w:r>
      <w:r w:rsidRPr="004E3FE9">
        <w:rPr>
          <w:rFonts w:ascii="Times New Roman" w:hAnsi="Times New Roman" w:cs="Times New Roman"/>
          <w:sz w:val="28"/>
          <w:szCs w:val="28"/>
          <w:lang w:val="uk-UA"/>
        </w:rPr>
        <w:t xml:space="preserve">]. Але , на жаль, тривалість життя молекули оксиду азоту складає лише 6 секунд, тому в крові визначаються стабільні метаболіти, такі як S-нітрозотіол, нітрити та нітрати. Дані літератури свідчать про участь NO в інгібуванні процесів адгезії та агрегації тромбоцитів, які при ГВ внаслідок ураження судинної стінки активуються під впливом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та розгортаються ознаки ДВС-синдрому, але не внаслідок коагулопатії споживання, а внаслідок некротизації та дезорганізаціі стінки судин [</w:t>
      </w:r>
      <w:r w:rsidR="00042990" w:rsidRPr="004E3FE9">
        <w:rPr>
          <w:rFonts w:ascii="Times New Roman" w:hAnsi="Times New Roman" w:cs="Times New Roman"/>
          <w:sz w:val="28"/>
          <w:szCs w:val="28"/>
          <w:lang w:val="uk-UA"/>
        </w:rPr>
        <w:t>57</w:t>
      </w:r>
      <w:r w:rsidRPr="004E3FE9">
        <w:rPr>
          <w:rFonts w:ascii="Times New Roman" w:hAnsi="Times New Roman" w:cs="Times New Roman"/>
          <w:sz w:val="28"/>
          <w:szCs w:val="28"/>
          <w:lang w:val="uk-UA"/>
        </w:rPr>
        <w:t>]. Також відомо, що оксид азоту пригнічує адгезію лейкоцитів до ендотелію судин, пригнічує проліферацію міоцитів та міграцію ендотеліальних клітин [</w:t>
      </w:r>
      <w:r w:rsidR="00042990" w:rsidRPr="004E3FE9">
        <w:rPr>
          <w:rFonts w:ascii="Times New Roman" w:hAnsi="Times New Roman" w:cs="Times New Roman"/>
          <w:sz w:val="28"/>
          <w:szCs w:val="28"/>
          <w:lang w:val="uk-UA"/>
        </w:rPr>
        <w:t>73</w:t>
      </w:r>
      <w:r w:rsidRPr="004E3FE9">
        <w:rPr>
          <w:rFonts w:ascii="Times New Roman" w:hAnsi="Times New Roman" w:cs="Times New Roman"/>
          <w:sz w:val="28"/>
          <w:szCs w:val="28"/>
          <w:lang w:val="uk-UA"/>
        </w:rPr>
        <w:t xml:space="preserve">].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lastRenderedPageBreak/>
        <w:t>Існує багато методів оцінки функції ендотелію, які можна розділити на 3 основні групи: біохімічні маркери, інвазивні та неінвазивні методи [</w:t>
      </w:r>
      <w:r w:rsidR="00042990" w:rsidRPr="004E3FE9">
        <w:rPr>
          <w:rFonts w:ascii="Times New Roman" w:hAnsi="Times New Roman" w:cs="Times New Roman"/>
          <w:sz w:val="28"/>
          <w:szCs w:val="28"/>
          <w:lang w:val="uk-UA"/>
        </w:rPr>
        <w:t>144</w:t>
      </w:r>
      <w:r w:rsidRPr="004E3FE9">
        <w:rPr>
          <w:rFonts w:ascii="Times New Roman" w:hAnsi="Times New Roman" w:cs="Times New Roman"/>
          <w:sz w:val="28"/>
          <w:szCs w:val="28"/>
          <w:lang w:val="uk-UA"/>
        </w:rPr>
        <w:t xml:space="preserve">].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«Золотим стандартом» оцінки стану ендотеліальної функції є коронарографія з введенням ацетилхоліну, але цей метод є високоінвазивним та потребує багато коштів для проведення [</w:t>
      </w:r>
      <w:r w:rsidR="00042990" w:rsidRPr="004E3FE9">
        <w:rPr>
          <w:rFonts w:ascii="Times New Roman" w:hAnsi="Times New Roman" w:cs="Times New Roman"/>
          <w:color w:val="FF0000"/>
          <w:sz w:val="28"/>
          <w:szCs w:val="28"/>
          <w:lang w:val="uk-UA"/>
        </w:rPr>
        <w:t>130</w:t>
      </w:r>
      <w:r w:rsidRPr="004E3FE9">
        <w:rPr>
          <w:rFonts w:ascii="Times New Roman" w:hAnsi="Times New Roman" w:cs="Times New Roman"/>
          <w:sz w:val="28"/>
          <w:szCs w:val="28"/>
          <w:lang w:val="uk-UA"/>
        </w:rPr>
        <w:t>]. Ультразвукове дослідження грає важливу роль в діагностиці захворювань судин. Даний метод здатний визначати як ендотеліальну дисфункцію так і товщину комплексу інтима-медіа і виявляти стенози, оклюзії або аневризми [</w:t>
      </w:r>
      <w:r w:rsidR="00042990" w:rsidRPr="004E3FE9">
        <w:rPr>
          <w:rFonts w:ascii="Times New Roman" w:hAnsi="Times New Roman" w:cs="Times New Roman"/>
          <w:color w:val="FF0000"/>
          <w:sz w:val="28"/>
          <w:szCs w:val="28"/>
          <w:lang w:val="uk-UA"/>
        </w:rPr>
        <w:t>125</w:t>
      </w:r>
      <w:r w:rsidRPr="004E3FE9">
        <w:rPr>
          <w:rFonts w:ascii="Times New Roman" w:hAnsi="Times New Roman" w:cs="Times New Roman"/>
          <w:sz w:val="28"/>
          <w:szCs w:val="28"/>
          <w:lang w:val="uk-UA"/>
        </w:rPr>
        <w:t>]. На сьогоднішній день неінвазивні ультразвукові методи застосовують для виявлення перших доклінічних ознак захворювання [</w:t>
      </w:r>
      <w:r w:rsidR="00042990" w:rsidRPr="004E3FE9">
        <w:rPr>
          <w:rFonts w:ascii="Times New Roman" w:hAnsi="Times New Roman" w:cs="Times New Roman"/>
          <w:sz w:val="28"/>
          <w:szCs w:val="28"/>
          <w:lang w:val="uk-UA"/>
        </w:rPr>
        <w:t xml:space="preserve">5, </w:t>
      </w:r>
      <w:r w:rsidR="00042990" w:rsidRPr="004E3FE9">
        <w:rPr>
          <w:rFonts w:ascii="Times New Roman" w:hAnsi="Times New Roman" w:cs="Times New Roman"/>
          <w:color w:val="FF0000"/>
          <w:sz w:val="28"/>
          <w:szCs w:val="28"/>
          <w:lang w:val="uk-UA"/>
        </w:rPr>
        <w:t>130</w:t>
      </w:r>
      <w:r w:rsidRPr="004E3FE9">
        <w:rPr>
          <w:rFonts w:ascii="Times New Roman" w:hAnsi="Times New Roman" w:cs="Times New Roman"/>
          <w:sz w:val="28"/>
          <w:szCs w:val="28"/>
          <w:lang w:val="uk-UA"/>
        </w:rPr>
        <w:t>]. У той же час, не дивлячись на малоінвазивність даних методів, застосування їх в педіатричній практиці, а саме у дітей з геморагічним васкулітом недостатньо вивчено.</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За останнє десятиріччя показано, що одними з провідних молекулярних маркерів пошкодження ендотелію судинного русла можна вважати моноцитарний хемоатрактантний протеїн-1 (МСР-1) [</w:t>
      </w:r>
      <w:r w:rsidR="00042990" w:rsidRPr="004E3FE9">
        <w:rPr>
          <w:rFonts w:ascii="Times New Roman" w:hAnsi="Times New Roman" w:cs="Times New Roman"/>
          <w:sz w:val="28"/>
          <w:szCs w:val="28"/>
          <w:lang w:val="uk-UA"/>
        </w:rPr>
        <w:t>45</w:t>
      </w:r>
      <w:r w:rsidRPr="004E3FE9">
        <w:rPr>
          <w:rFonts w:ascii="Times New Roman" w:hAnsi="Times New Roman" w:cs="Times New Roman"/>
          <w:sz w:val="28"/>
          <w:szCs w:val="28"/>
          <w:lang w:val="uk-UA"/>
        </w:rPr>
        <w:t>]. На наш погляд недостатньо уваги в питанні патогенезу ГВ приділялася профіброгенним медіаторам. Цитокіни хемотаксису, так само відомі як хемокіни, являють собою групу запальних та імуномодулюючих поліпептидних факторів, які вивільняються різними клітинами, такими як макрофаги, моноцити, еозинофіли, нейтрофіли, фібробласти, ендотеліальні клітини судин, гладенькі м'язи і опасисті клітини в ділянках запалення, що є важливим патогенним фактором пошкодження тканин при розвитку ГВ.</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Тому метою нашого дослідження стало </w:t>
      </w:r>
      <w:r w:rsidRPr="004E3FE9">
        <w:rPr>
          <w:rFonts w:ascii="Times New Roman" w:hAnsi="Times New Roman"/>
          <w:sz w:val="28"/>
          <w:szCs w:val="28"/>
          <w:lang w:val="uk-UA"/>
        </w:rPr>
        <w:t xml:space="preserve">вдосконалення прогнозування перебігу та своєчасної діагностики ускладнень геморагічного васкуліту у дітей на підставі вивчення моноцитарного хемотаксичного протеїну-1 (МСР-1), метаболітів оксиду азоту, </w:t>
      </w:r>
      <w:r w:rsidR="009A67C0" w:rsidRPr="004E3FE9">
        <w:rPr>
          <w:rFonts w:ascii="Times New Roman" w:hAnsi="Times New Roman"/>
          <w:sz w:val="28"/>
          <w:szCs w:val="28"/>
          <w:lang w:val="uk-UA"/>
        </w:rPr>
        <w:t>ФВ</w:t>
      </w:r>
      <w:r w:rsidRPr="004E3FE9">
        <w:rPr>
          <w:rFonts w:ascii="Times New Roman" w:hAnsi="Times New Roman"/>
          <w:sz w:val="28"/>
          <w:szCs w:val="28"/>
          <w:lang w:val="uk-UA"/>
        </w:rPr>
        <w:t xml:space="preserve"> та морфофункціонального стану судин, як показників вазорегуляторної функції ендотелію.</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Для виконання поставлених задач дослідження, що проводилось впродовж 2013-2016 рр. в умовах КЗОЗ «Харківська  міська клінічна дитяча лікарня №16», було проведено клініко-інструментальне обстеження 60 (35 </w:t>
      </w:r>
      <w:r w:rsidRPr="004E3FE9">
        <w:rPr>
          <w:rFonts w:ascii="Times New Roman" w:hAnsi="Times New Roman" w:cs="Times New Roman"/>
          <w:sz w:val="28"/>
          <w:szCs w:val="28"/>
          <w:lang w:val="uk-UA"/>
        </w:rPr>
        <w:lastRenderedPageBreak/>
        <w:t xml:space="preserve">хлопчиків і 25 дівчат) дітей віком від 1 до 17 років з геморагічним васкулітом різних форм та перебігу та 17 практично здорових дітей аналогічного віку та статі в якості групи контролю. Крім загальноприйнятих в педіатрії клінічних та параклiнiчних методів обстеження, що передбачені відповідними стандартами та протоколами, проведено комплекс спеціальних досліджень по визначенню в сироватці крові </w:t>
      </w:r>
      <w:r w:rsidRPr="004E3FE9">
        <w:rPr>
          <w:rFonts w:ascii="Times New Roman" w:hAnsi="Times New Roman"/>
          <w:sz w:val="28"/>
          <w:szCs w:val="28"/>
          <w:lang w:val="uk-UA"/>
        </w:rPr>
        <w:t>моноцитарного хемотаксичного протеїну-1 (МСР-1), метаболітів оксиду азоту (NO</w:t>
      </w:r>
      <w:r w:rsidRPr="004E3FE9">
        <w:rPr>
          <w:rFonts w:ascii="Times New Roman" w:hAnsi="Times New Roman"/>
          <w:sz w:val="28"/>
          <w:szCs w:val="28"/>
          <w:vertAlign w:val="subscript"/>
          <w:lang w:val="uk-UA"/>
        </w:rPr>
        <w:t>2</w:t>
      </w:r>
      <w:r w:rsidRPr="004E3FE9">
        <w:rPr>
          <w:rFonts w:ascii="Times New Roman" w:hAnsi="Times New Roman"/>
          <w:sz w:val="28"/>
          <w:szCs w:val="28"/>
          <w:lang w:val="uk-UA"/>
        </w:rPr>
        <w:t>, NO</w:t>
      </w:r>
      <w:r w:rsidRPr="004E3FE9">
        <w:rPr>
          <w:rFonts w:ascii="Times New Roman" w:hAnsi="Times New Roman"/>
          <w:sz w:val="28"/>
          <w:szCs w:val="28"/>
          <w:vertAlign w:val="subscript"/>
          <w:lang w:val="uk-UA"/>
        </w:rPr>
        <w:t>3</w:t>
      </w:r>
      <w:r w:rsidRPr="004E3FE9">
        <w:rPr>
          <w:rFonts w:ascii="Times New Roman" w:hAnsi="Times New Roman"/>
          <w:sz w:val="28"/>
          <w:szCs w:val="28"/>
          <w:lang w:val="uk-UA"/>
        </w:rPr>
        <w:t xml:space="preserve">, S-нітрозотіол), </w:t>
      </w:r>
      <w:r w:rsidR="009A67C0" w:rsidRPr="004E3FE9">
        <w:rPr>
          <w:rFonts w:ascii="Times New Roman" w:hAnsi="Times New Roman"/>
          <w:sz w:val="28"/>
          <w:szCs w:val="28"/>
          <w:lang w:val="uk-UA"/>
        </w:rPr>
        <w:t>ФВ</w:t>
      </w:r>
      <w:r w:rsidRPr="004E3FE9">
        <w:rPr>
          <w:rFonts w:ascii="Times New Roman" w:hAnsi="Times New Roman" w:cs="Times New Roman"/>
          <w:sz w:val="28"/>
          <w:szCs w:val="28"/>
          <w:lang w:val="uk-UA"/>
        </w:rPr>
        <w:t xml:space="preserve">, а також оцінка функції ендотелію за допомогою ультразвукових методів дослідження. </w:t>
      </w:r>
      <w:r w:rsidRPr="004E3FE9">
        <w:rPr>
          <w:rFonts w:ascii="Times New Roman" w:hAnsi="Times New Roman" w:cs="Times New Roman"/>
          <w:snapToGrid w:val="0"/>
          <w:sz w:val="28"/>
          <w:szCs w:val="28"/>
          <w:lang w:val="uk-UA"/>
        </w:rPr>
        <w:t>Дослідження проводили в динаміці: в гострий період геморагічного васкуліту (І період), коли клінічні та лабораторні ознаки були виражені найбільш яскраво та при виписці хворого зі стаціонару (ІІ період) та розвитку ознак клініко-лабораторної ремісії, або при розвитку ускладнень захворювання.</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Використані різноманітні статистичні методи і показники, які дозволили досить детально проаналізувати багато взаємозв’язків (чи їх відсутність) з високим ступенем достовірності отриманих результатів.</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29 дітей (</w:t>
      </w:r>
      <w:r w:rsidRPr="004E3FE9">
        <w:rPr>
          <w:rFonts w:ascii="Times New Roman" w:eastAsia="Times New Roman" w:hAnsi="Times New Roman" w:cs="Times New Roman"/>
          <w:sz w:val="28"/>
          <w:szCs w:val="28"/>
          <w:lang w:val="uk-UA" w:eastAsia="ru-RU"/>
        </w:rPr>
        <w:t>48,3±6,42</w:t>
      </w:r>
      <w:r w:rsidRPr="004E3FE9">
        <w:rPr>
          <w:rFonts w:ascii="Times New Roman" w:hAnsi="Times New Roman" w:cs="Times New Roman"/>
          <w:sz w:val="28"/>
          <w:szCs w:val="28"/>
          <w:lang w:val="uk-UA"/>
        </w:rPr>
        <w:t>%) потрапили до групи дошкільного віку, 23 дитини (</w:t>
      </w:r>
      <w:r w:rsidRPr="004E3FE9">
        <w:rPr>
          <w:rFonts w:ascii="Times New Roman" w:eastAsia="Times New Roman" w:hAnsi="Times New Roman" w:cs="Times New Roman"/>
          <w:sz w:val="28"/>
          <w:szCs w:val="28"/>
          <w:lang w:val="uk-UA" w:eastAsia="ru-RU"/>
        </w:rPr>
        <w:t>38,3±6,2</w:t>
      </w:r>
      <w:r w:rsidRPr="004E3FE9">
        <w:rPr>
          <w:rFonts w:ascii="Times New Roman" w:hAnsi="Times New Roman" w:cs="Times New Roman"/>
          <w:sz w:val="28"/>
          <w:szCs w:val="28"/>
          <w:lang w:val="uk-UA"/>
        </w:rPr>
        <w:t>%) – до періоду шкільного віку та лише 8 хворих (</w:t>
      </w:r>
      <w:r w:rsidRPr="004E3FE9">
        <w:rPr>
          <w:rFonts w:ascii="Times New Roman" w:eastAsia="Times New Roman" w:hAnsi="Times New Roman" w:cs="Times New Roman"/>
          <w:sz w:val="28"/>
          <w:szCs w:val="28"/>
          <w:lang w:val="uk-UA" w:eastAsia="ru-RU"/>
        </w:rPr>
        <w:t>13,3±4,3</w:t>
      </w:r>
      <w:r w:rsidRPr="004E3FE9">
        <w:rPr>
          <w:rFonts w:ascii="Times New Roman" w:hAnsi="Times New Roman" w:cs="Times New Roman"/>
          <w:sz w:val="28"/>
          <w:szCs w:val="28"/>
          <w:lang w:val="uk-UA"/>
        </w:rPr>
        <w:t>%) до періоду статевого дозрівання. Таким чином, 86,6</w:t>
      </w:r>
      <w:r w:rsidRPr="004E3FE9">
        <w:rPr>
          <w:rFonts w:ascii="Times New Roman" w:eastAsia="Times New Roman" w:hAnsi="Times New Roman" w:cs="Times New Roman"/>
          <w:sz w:val="28"/>
          <w:szCs w:val="28"/>
          <w:lang w:val="uk-UA" w:eastAsia="ru-RU"/>
        </w:rPr>
        <w:t>±4,3</w:t>
      </w:r>
      <w:r w:rsidRPr="004E3FE9">
        <w:rPr>
          <w:rFonts w:ascii="Times New Roman" w:hAnsi="Times New Roman" w:cs="Times New Roman"/>
          <w:sz w:val="28"/>
          <w:szCs w:val="28"/>
          <w:lang w:val="uk-UA"/>
        </w:rPr>
        <w:t>% (р=0,003) дітей хворіють на ГВ у віці до 12 років, що свідчить про значне «омолодження» цієї патології. 37 (61</w:t>
      </w:r>
      <w:r w:rsidRPr="004E3FE9">
        <w:rPr>
          <w:rFonts w:ascii="Times New Roman" w:eastAsia="Times New Roman" w:hAnsi="Times New Roman" w:cs="Times New Roman"/>
          <w:sz w:val="28"/>
          <w:szCs w:val="28"/>
          <w:lang w:val="uk-UA" w:eastAsia="ru-RU"/>
        </w:rPr>
        <w:t>±6,2</w:t>
      </w:r>
      <w:r w:rsidRPr="004E3FE9">
        <w:rPr>
          <w:rFonts w:ascii="Times New Roman" w:hAnsi="Times New Roman" w:cs="Times New Roman"/>
          <w:sz w:val="28"/>
          <w:szCs w:val="28"/>
          <w:lang w:val="uk-UA"/>
        </w:rPr>
        <w:t>%) дітей з ГВ хворіли саме в осінньо-весняний період, 17 (28,3</w:t>
      </w:r>
      <w:r w:rsidRPr="004E3FE9">
        <w:rPr>
          <w:rFonts w:ascii="Times New Roman" w:eastAsia="Times New Roman" w:hAnsi="Times New Roman" w:cs="Times New Roman"/>
          <w:sz w:val="28"/>
          <w:szCs w:val="28"/>
          <w:lang w:val="uk-UA" w:eastAsia="ru-RU"/>
        </w:rPr>
        <w:t>±5,8</w:t>
      </w:r>
      <w:r w:rsidRPr="004E3FE9">
        <w:rPr>
          <w:rFonts w:ascii="Times New Roman" w:hAnsi="Times New Roman" w:cs="Times New Roman"/>
          <w:sz w:val="28"/>
          <w:szCs w:val="28"/>
          <w:lang w:val="uk-UA"/>
        </w:rPr>
        <w:t>%) дітей – взимку та лише 6 (10</w:t>
      </w:r>
      <w:r w:rsidRPr="004E3FE9">
        <w:rPr>
          <w:rFonts w:ascii="Times New Roman" w:eastAsia="Times New Roman" w:hAnsi="Times New Roman" w:cs="Times New Roman"/>
          <w:sz w:val="28"/>
          <w:szCs w:val="28"/>
          <w:lang w:val="uk-UA" w:eastAsia="ru-RU"/>
        </w:rPr>
        <w:t>±3,8</w:t>
      </w:r>
      <w:r w:rsidRPr="004E3FE9">
        <w:rPr>
          <w:rFonts w:ascii="Times New Roman" w:hAnsi="Times New Roman" w:cs="Times New Roman"/>
          <w:sz w:val="28"/>
          <w:szCs w:val="28"/>
          <w:lang w:val="uk-UA"/>
        </w:rPr>
        <w:t>%) хворих – влітку. 30 (50</w:t>
      </w:r>
      <w:r w:rsidRPr="004E3FE9">
        <w:rPr>
          <w:rFonts w:ascii="Times New Roman" w:eastAsia="Times New Roman" w:hAnsi="Times New Roman" w:cs="Times New Roman"/>
          <w:sz w:val="28"/>
          <w:szCs w:val="28"/>
          <w:lang w:val="uk-UA" w:eastAsia="ru-RU"/>
        </w:rPr>
        <w:t>±6,4%</w:t>
      </w:r>
      <w:r w:rsidRPr="004E3FE9">
        <w:rPr>
          <w:rFonts w:ascii="Times New Roman" w:hAnsi="Times New Roman" w:cs="Times New Roman"/>
          <w:sz w:val="28"/>
          <w:szCs w:val="28"/>
          <w:lang w:val="uk-UA"/>
        </w:rPr>
        <w:t>) хворих основної групи мали обтяжливий алеогоанамнез, а саме у 11 (18,3</w:t>
      </w:r>
      <w:r w:rsidRPr="004E3FE9">
        <w:rPr>
          <w:rFonts w:ascii="Times New Roman" w:eastAsia="Times New Roman" w:hAnsi="Times New Roman" w:cs="Times New Roman"/>
          <w:sz w:val="28"/>
          <w:szCs w:val="28"/>
          <w:lang w:val="uk-UA" w:eastAsia="ru-RU"/>
        </w:rPr>
        <w:t>±4,9%</w:t>
      </w:r>
      <w:r w:rsidRPr="004E3FE9">
        <w:rPr>
          <w:rFonts w:ascii="Times New Roman" w:hAnsi="Times New Roman" w:cs="Times New Roman"/>
          <w:sz w:val="28"/>
          <w:szCs w:val="28"/>
          <w:lang w:val="uk-UA"/>
        </w:rPr>
        <w:t>) – батьки відмічали наявність харчової алергії, у 5 (8,3</w:t>
      </w:r>
      <w:r w:rsidRPr="004E3FE9">
        <w:rPr>
          <w:rFonts w:ascii="Times New Roman" w:eastAsia="Times New Roman" w:hAnsi="Times New Roman" w:cs="Times New Roman"/>
          <w:sz w:val="28"/>
          <w:szCs w:val="28"/>
          <w:lang w:val="uk-UA" w:eastAsia="ru-RU"/>
        </w:rPr>
        <w:t>±3,5%</w:t>
      </w:r>
      <w:r w:rsidRPr="004E3FE9">
        <w:rPr>
          <w:rFonts w:ascii="Times New Roman" w:hAnsi="Times New Roman" w:cs="Times New Roman"/>
          <w:sz w:val="28"/>
          <w:szCs w:val="28"/>
          <w:lang w:val="uk-UA"/>
        </w:rPr>
        <w:t>) – медикаментозної та 14 (23,3</w:t>
      </w:r>
      <w:r w:rsidRPr="004E3FE9">
        <w:rPr>
          <w:rFonts w:ascii="Times New Roman" w:eastAsia="Times New Roman" w:hAnsi="Times New Roman" w:cs="Times New Roman"/>
          <w:sz w:val="28"/>
          <w:szCs w:val="28"/>
          <w:lang w:val="uk-UA" w:eastAsia="ru-RU"/>
        </w:rPr>
        <w:t>±5,4%</w:t>
      </w:r>
      <w:r w:rsidRPr="004E3FE9">
        <w:rPr>
          <w:rFonts w:ascii="Times New Roman" w:hAnsi="Times New Roman" w:cs="Times New Roman"/>
          <w:sz w:val="28"/>
          <w:szCs w:val="28"/>
          <w:lang w:val="uk-UA"/>
        </w:rPr>
        <w:t>) дітей – мали змішану алергію. Часті гострі респіраторні захворювання (4 та більше раз на рік) спостерігали у 44 (73,3</w:t>
      </w:r>
      <w:r w:rsidRPr="004E3FE9">
        <w:rPr>
          <w:rFonts w:ascii="Times New Roman" w:eastAsia="Times New Roman" w:hAnsi="Times New Roman" w:cs="Times New Roman"/>
          <w:sz w:val="28"/>
          <w:szCs w:val="28"/>
          <w:lang w:val="uk-UA" w:eastAsia="ru-RU"/>
        </w:rPr>
        <w:t>±5,7%</w:t>
      </w:r>
      <w:r w:rsidRPr="004E3FE9">
        <w:rPr>
          <w:rFonts w:ascii="Times New Roman" w:hAnsi="Times New Roman" w:cs="Times New Roman"/>
          <w:sz w:val="28"/>
          <w:szCs w:val="28"/>
          <w:lang w:val="uk-UA"/>
        </w:rPr>
        <w:t>) дітей, наявність хронічних вогнищ інфекцій ЛОР-органів виявлено у 27 (4</w:t>
      </w:r>
      <w:r w:rsidRPr="004E3FE9">
        <w:rPr>
          <w:rFonts w:ascii="Times New Roman" w:eastAsia="Times New Roman" w:hAnsi="Times New Roman" w:cs="Times New Roman"/>
          <w:sz w:val="28"/>
          <w:szCs w:val="28"/>
          <w:lang w:val="uk-UA" w:eastAsia="ru-RU"/>
        </w:rPr>
        <w:t>5±6,4%</w:t>
      </w:r>
      <w:r w:rsidRPr="004E3FE9">
        <w:rPr>
          <w:rFonts w:ascii="Times New Roman" w:hAnsi="Times New Roman" w:cs="Times New Roman"/>
          <w:sz w:val="28"/>
          <w:szCs w:val="28"/>
          <w:lang w:val="uk-UA"/>
        </w:rPr>
        <w:t>) дітей, часті запальні захворювання дихальної системи – у 6 (10</w:t>
      </w:r>
      <w:r w:rsidRPr="004E3FE9">
        <w:rPr>
          <w:rFonts w:ascii="Times New Roman" w:eastAsia="Times New Roman" w:hAnsi="Times New Roman" w:cs="Times New Roman"/>
          <w:sz w:val="28"/>
          <w:szCs w:val="28"/>
          <w:lang w:val="uk-UA" w:eastAsia="ru-RU"/>
        </w:rPr>
        <w:t>±3,8%</w:t>
      </w:r>
      <w:r w:rsidRPr="004E3FE9">
        <w:rPr>
          <w:rFonts w:ascii="Times New Roman" w:hAnsi="Times New Roman" w:cs="Times New Roman"/>
          <w:sz w:val="28"/>
          <w:szCs w:val="28"/>
          <w:lang w:val="uk-UA"/>
        </w:rPr>
        <w:t>) хворих та у 8 (13,3</w:t>
      </w:r>
      <w:r w:rsidRPr="004E3FE9">
        <w:rPr>
          <w:rFonts w:ascii="Times New Roman" w:eastAsia="Times New Roman" w:hAnsi="Times New Roman" w:cs="Times New Roman"/>
          <w:sz w:val="28"/>
          <w:szCs w:val="28"/>
          <w:lang w:val="uk-UA" w:eastAsia="ru-RU"/>
        </w:rPr>
        <w:t>±4,3%</w:t>
      </w:r>
      <w:r w:rsidRPr="004E3FE9">
        <w:rPr>
          <w:rFonts w:ascii="Times New Roman" w:hAnsi="Times New Roman" w:cs="Times New Roman"/>
          <w:sz w:val="28"/>
          <w:szCs w:val="28"/>
          <w:lang w:val="uk-UA"/>
        </w:rPr>
        <w:t>) дітей виявлена персистуюча герпетична інфекція. У 41 (68,3</w:t>
      </w:r>
      <w:r w:rsidRPr="004E3FE9">
        <w:rPr>
          <w:rFonts w:ascii="Times New Roman" w:eastAsia="Times New Roman" w:hAnsi="Times New Roman" w:cs="Times New Roman"/>
          <w:sz w:val="28"/>
          <w:szCs w:val="28"/>
          <w:lang w:val="uk-UA" w:eastAsia="ru-RU"/>
        </w:rPr>
        <w:t>±6%</w:t>
      </w:r>
      <w:r w:rsidRPr="004E3FE9">
        <w:rPr>
          <w:rFonts w:ascii="Times New Roman" w:hAnsi="Times New Roman" w:cs="Times New Roman"/>
          <w:sz w:val="28"/>
          <w:szCs w:val="28"/>
          <w:lang w:val="uk-UA"/>
        </w:rPr>
        <w:t xml:space="preserve">) хворих з ГВ зареєстровано </w:t>
      </w:r>
      <w:r w:rsidRPr="004E3FE9">
        <w:rPr>
          <w:rFonts w:ascii="Times New Roman" w:hAnsi="Times New Roman" w:cs="Times New Roman"/>
          <w:sz w:val="28"/>
          <w:szCs w:val="28"/>
          <w:lang w:val="uk-UA"/>
        </w:rPr>
        <w:lastRenderedPageBreak/>
        <w:t>порушення обміну речовин. У 34 (56,6±6,3%) хворих найбільшу частоту факторів, які передували розвитку ГВ, склали гострі респіраторні захворювання, майже у кожного 4 хворого розвитку хвороби сприяли ті чи інші алергійні процеси (23,3±5,4%), що підкреслює важливу патогенетичну роль алергії в розвитку ГВ у дітей. Згідно даним, які наводяться в літературі про високу значимість ангіни в розвитку ГВ, нами остання відмічена напередодні захворювання у 7 (11,6±4,1%) хворих.</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Виявлено, що у 8 (13,3</w:t>
      </w:r>
      <w:r w:rsidRPr="004E3FE9">
        <w:rPr>
          <w:rFonts w:ascii="Times New Roman" w:eastAsia="Times New Roman" w:hAnsi="Times New Roman" w:cs="Times New Roman"/>
          <w:sz w:val="28"/>
          <w:szCs w:val="28"/>
          <w:lang w:val="uk-UA" w:eastAsia="ru-RU"/>
        </w:rPr>
        <w:t>±4,3%</w:t>
      </w:r>
      <w:r w:rsidRPr="004E3FE9">
        <w:rPr>
          <w:rFonts w:ascii="Times New Roman" w:hAnsi="Times New Roman" w:cs="Times New Roman"/>
          <w:sz w:val="28"/>
          <w:szCs w:val="28"/>
          <w:lang w:val="uk-UA"/>
        </w:rPr>
        <w:t>) хворих зареєстрована шкірна форма захворювання, у 24 (40</w:t>
      </w:r>
      <w:r w:rsidRPr="004E3FE9">
        <w:rPr>
          <w:rFonts w:ascii="Times New Roman" w:eastAsia="Times New Roman" w:hAnsi="Times New Roman" w:cs="Times New Roman"/>
          <w:sz w:val="28"/>
          <w:szCs w:val="28"/>
          <w:lang w:val="uk-UA" w:eastAsia="ru-RU"/>
        </w:rPr>
        <w:t>±10%</w:t>
      </w:r>
      <w:r w:rsidRPr="004E3FE9">
        <w:rPr>
          <w:rFonts w:ascii="Times New Roman" w:hAnsi="Times New Roman" w:cs="Times New Roman"/>
          <w:sz w:val="28"/>
          <w:szCs w:val="28"/>
          <w:lang w:val="uk-UA"/>
        </w:rPr>
        <w:t>) – шкірно-суглобова, у 19 (31,6</w:t>
      </w:r>
      <w:r w:rsidRPr="004E3FE9">
        <w:rPr>
          <w:rFonts w:ascii="Times New Roman" w:eastAsia="Times New Roman" w:hAnsi="Times New Roman" w:cs="Times New Roman"/>
          <w:sz w:val="28"/>
          <w:szCs w:val="28"/>
          <w:lang w:val="uk-UA" w:eastAsia="ru-RU"/>
        </w:rPr>
        <w:t>±6%</w:t>
      </w:r>
      <w:r w:rsidRPr="004E3FE9">
        <w:rPr>
          <w:rFonts w:ascii="Times New Roman" w:hAnsi="Times New Roman" w:cs="Times New Roman"/>
          <w:sz w:val="28"/>
          <w:szCs w:val="28"/>
          <w:lang w:val="uk-UA"/>
        </w:rPr>
        <w:t>) – змішана форма ГВ та у 9 (15</w:t>
      </w:r>
      <w:r w:rsidRPr="004E3FE9">
        <w:rPr>
          <w:rFonts w:ascii="Times New Roman" w:eastAsia="Times New Roman" w:hAnsi="Times New Roman" w:cs="Times New Roman"/>
          <w:sz w:val="28"/>
          <w:szCs w:val="28"/>
          <w:lang w:val="uk-UA" w:eastAsia="ru-RU"/>
        </w:rPr>
        <w:t>±4,6%</w:t>
      </w:r>
      <w:r w:rsidRPr="004E3FE9">
        <w:rPr>
          <w:rFonts w:ascii="Times New Roman" w:hAnsi="Times New Roman" w:cs="Times New Roman"/>
          <w:sz w:val="28"/>
          <w:szCs w:val="28"/>
          <w:lang w:val="uk-UA"/>
        </w:rPr>
        <w:t>) дітей – змішана форма з нирковим синдромом. У 40 (66,6</w:t>
      </w:r>
      <w:r w:rsidRPr="004E3FE9">
        <w:rPr>
          <w:rFonts w:ascii="Times New Roman" w:eastAsia="Times New Roman" w:hAnsi="Times New Roman" w:cs="Times New Roman"/>
          <w:sz w:val="28"/>
          <w:szCs w:val="28"/>
          <w:lang w:val="uk-UA" w:eastAsia="ru-RU"/>
        </w:rPr>
        <w:t>±6,2%</w:t>
      </w:r>
      <w:r w:rsidRPr="004E3FE9">
        <w:rPr>
          <w:rFonts w:ascii="Times New Roman" w:hAnsi="Times New Roman" w:cs="Times New Roman"/>
          <w:sz w:val="28"/>
          <w:szCs w:val="28"/>
          <w:lang w:val="uk-UA"/>
        </w:rPr>
        <w:t>) дітей захворювання мало гострий перебіг, у 3 (5</w:t>
      </w:r>
      <w:r w:rsidRPr="004E3FE9">
        <w:rPr>
          <w:rFonts w:ascii="Times New Roman" w:eastAsia="Times New Roman" w:hAnsi="Times New Roman" w:cs="Times New Roman"/>
          <w:sz w:val="28"/>
          <w:szCs w:val="28"/>
          <w:lang w:val="uk-UA" w:eastAsia="ru-RU"/>
        </w:rPr>
        <w:t>±2,8%</w:t>
      </w:r>
      <w:r w:rsidRPr="004E3FE9">
        <w:rPr>
          <w:rFonts w:ascii="Times New Roman" w:hAnsi="Times New Roman" w:cs="Times New Roman"/>
          <w:sz w:val="28"/>
          <w:szCs w:val="28"/>
          <w:lang w:val="uk-UA"/>
        </w:rPr>
        <w:t>) – затяжний та у 17 (28,3</w:t>
      </w:r>
      <w:r w:rsidRPr="004E3FE9">
        <w:rPr>
          <w:rFonts w:ascii="Times New Roman" w:eastAsia="Times New Roman" w:hAnsi="Times New Roman" w:cs="Times New Roman"/>
          <w:sz w:val="28"/>
          <w:szCs w:val="28"/>
          <w:lang w:val="uk-UA" w:eastAsia="ru-RU"/>
        </w:rPr>
        <w:t>±5,8%</w:t>
      </w:r>
      <w:r w:rsidRPr="004E3FE9">
        <w:rPr>
          <w:rFonts w:ascii="Times New Roman" w:hAnsi="Times New Roman" w:cs="Times New Roman"/>
          <w:sz w:val="28"/>
          <w:szCs w:val="28"/>
          <w:lang w:val="uk-UA"/>
        </w:rPr>
        <w:t>) – рецидивуючий перебіг ГВ. І ступінь активності спостерігали у 19 (31,6</w:t>
      </w:r>
      <w:r w:rsidRPr="004E3FE9">
        <w:rPr>
          <w:rFonts w:ascii="Times New Roman" w:eastAsia="Times New Roman" w:hAnsi="Times New Roman" w:cs="Times New Roman"/>
          <w:sz w:val="28"/>
          <w:szCs w:val="28"/>
          <w:lang w:val="uk-UA" w:eastAsia="ru-RU"/>
        </w:rPr>
        <w:t>±6%</w:t>
      </w:r>
      <w:r w:rsidRPr="004E3FE9">
        <w:rPr>
          <w:rFonts w:ascii="Times New Roman" w:hAnsi="Times New Roman" w:cs="Times New Roman"/>
          <w:sz w:val="28"/>
          <w:szCs w:val="28"/>
          <w:lang w:val="uk-UA"/>
        </w:rPr>
        <w:t>) хворих, у 22 (36,6</w:t>
      </w:r>
      <w:r w:rsidRPr="004E3FE9">
        <w:rPr>
          <w:rFonts w:ascii="Times New Roman" w:eastAsia="Times New Roman" w:hAnsi="Times New Roman" w:cs="Times New Roman"/>
          <w:sz w:val="28"/>
          <w:szCs w:val="28"/>
          <w:lang w:val="uk-UA" w:eastAsia="ru-RU"/>
        </w:rPr>
        <w:t>±6,2%</w:t>
      </w:r>
      <w:r w:rsidRPr="004E3FE9">
        <w:rPr>
          <w:rFonts w:ascii="Times New Roman" w:hAnsi="Times New Roman" w:cs="Times New Roman"/>
          <w:sz w:val="28"/>
          <w:szCs w:val="28"/>
          <w:lang w:val="uk-UA"/>
        </w:rPr>
        <w:t>) хворих – ІІ ступінь та у 19 (31,6</w:t>
      </w:r>
      <w:r w:rsidRPr="004E3FE9">
        <w:rPr>
          <w:rFonts w:ascii="Times New Roman" w:eastAsia="Times New Roman" w:hAnsi="Times New Roman" w:cs="Times New Roman"/>
          <w:sz w:val="28"/>
          <w:szCs w:val="28"/>
          <w:lang w:val="uk-UA" w:eastAsia="ru-RU"/>
        </w:rPr>
        <w:t>±6%</w:t>
      </w:r>
      <w:r w:rsidRPr="004E3FE9">
        <w:rPr>
          <w:rFonts w:ascii="Times New Roman" w:hAnsi="Times New Roman" w:cs="Times New Roman"/>
          <w:sz w:val="28"/>
          <w:szCs w:val="28"/>
          <w:lang w:val="uk-UA"/>
        </w:rPr>
        <w:t>) хворих –ІІІ ступінь активності захворювання. Серед дітей з І ступенем переважали хворі зі шкірно-суглобовою формою (</w:t>
      </w:r>
      <w:r w:rsidRPr="004E3FE9">
        <w:rPr>
          <w:rFonts w:ascii="Times New Roman" w:eastAsia="Times New Roman" w:hAnsi="Times New Roman" w:cs="Times New Roman"/>
          <w:sz w:val="28"/>
          <w:szCs w:val="28"/>
          <w:lang w:val="uk-UA" w:eastAsia="ru-RU"/>
        </w:rPr>
        <w:t>52,6±11,4%</w:t>
      </w:r>
      <w:r w:rsidRPr="004E3FE9">
        <w:rPr>
          <w:rFonts w:ascii="Times New Roman" w:hAnsi="Times New Roman" w:cs="Times New Roman"/>
          <w:sz w:val="28"/>
          <w:szCs w:val="28"/>
          <w:lang w:val="uk-UA"/>
        </w:rPr>
        <w:t>), серед дітей з ІІ ступенем зафіксовано шкірно-суглобову та змішану форми (</w:t>
      </w:r>
      <w:r w:rsidRPr="004E3FE9">
        <w:rPr>
          <w:rFonts w:ascii="Times New Roman" w:eastAsia="Times New Roman" w:hAnsi="Times New Roman" w:cs="Times New Roman"/>
          <w:sz w:val="28"/>
          <w:szCs w:val="28"/>
          <w:lang w:val="uk-UA" w:eastAsia="ru-RU"/>
        </w:rPr>
        <w:t>40,9±10,1% та45,5±10,6% відповідно</w:t>
      </w:r>
      <w:r w:rsidRPr="004E3FE9">
        <w:rPr>
          <w:rFonts w:ascii="Times New Roman" w:hAnsi="Times New Roman" w:cs="Times New Roman"/>
          <w:sz w:val="28"/>
          <w:szCs w:val="28"/>
          <w:lang w:val="uk-UA"/>
        </w:rPr>
        <w:t>) та серед дітей з ІІІ ступенем активності переважали хворі зі змішаною формою з нирковим синдромом (</w:t>
      </w:r>
      <w:r w:rsidRPr="004E3FE9">
        <w:rPr>
          <w:rFonts w:ascii="Times New Roman" w:eastAsia="Times New Roman" w:hAnsi="Times New Roman" w:cs="Times New Roman"/>
          <w:sz w:val="28"/>
          <w:szCs w:val="28"/>
          <w:lang w:val="uk-UA" w:eastAsia="ru-RU"/>
        </w:rPr>
        <w:t>47,7±11,4%</w:t>
      </w:r>
      <w:r w:rsidRPr="004E3FE9">
        <w:rPr>
          <w:rFonts w:ascii="Times New Roman" w:hAnsi="Times New Roman" w:cs="Times New Roman"/>
          <w:sz w:val="28"/>
          <w:szCs w:val="28"/>
          <w:lang w:val="uk-UA"/>
        </w:rPr>
        <w:t xml:space="preserve">).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Діти з І ступенем активності надходили до стаціонару у стані середньої важкості. Висип на шкірі носив плямисто-папульозний характер з переважною локалізацією на нижніх кінцівках, у 7 (36,8±11,1%) дітей розповсюджувався на сідниці та у 5 (26,3±10,1%) – окрім того і на верхні кінцівки. Суглобовий синдром зустрічався у 13 (68,4±10,6%) хворих та проявлявся артралгіями і набряком уражених суглобів. У 4 (21,1±10,3%) хворих спостерігали абдомінальний синдром. Лабораторно в гострий період достовірно збільшувались рівні ШОЕ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глікопротеїдів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=0,005), гамма-глобулінів і зниження значень бета-глобулінів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ІІ-к</w:t>
      </w:r>
      <w:r w:rsidRPr="004E3FE9">
        <w:rPr>
          <w:rFonts w:ascii="Times New Roman" w:hAnsi="Times New Roman" w:cs="Times New Roman"/>
          <w:sz w:val="28"/>
          <w:szCs w:val="28"/>
          <w:lang w:val="uk-UA"/>
        </w:rPr>
        <w:t xml:space="preserve">=0,008 відповідно). На фоні проведеної терапії повністю куповані клінічні прояви захворювання. Лабораторні показники клінічних та біохімічних досліджень </w:t>
      </w:r>
      <w:r w:rsidRPr="004E3FE9">
        <w:rPr>
          <w:rFonts w:ascii="Times New Roman" w:hAnsi="Times New Roman" w:cs="Times New Roman"/>
          <w:sz w:val="28"/>
          <w:szCs w:val="28"/>
          <w:lang w:val="uk-UA"/>
        </w:rPr>
        <w:lastRenderedPageBreak/>
        <w:t xml:space="preserve">набули нормальних рівнів в порівнянні з показниками групи контролю, що дозволило розцінювати це як розвиток клініко-лабораторної ремісії.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Діти, хворі на ГВ з ІІ ступенем активності, на момент надходження до клініки мали геморагічний плямисто-папульозний висип на шкірі. У 17 (77,2±8,9%) хворих захворювання почалось після перенесених запальних захворювань ЛОР-органів та верхніх дихальних шляхів, у 5 (22,7±8,9%) дітей – після порушень в дієті. Алергічні реакції в анамнезі засвідчили батьки 9 (40,9±10,4%) дітей, наявність хронічних вогнищ інфекції верхніх дихальних шляхів мали 10 (45,4±10,6%) хворих. Шкірний геморагічний синдром протікав з локалізацією висипу на нижніх кінцівках. Суглобовий синдром спостерігали у 19 (86,3±7,3%) хворих, який клінічно проявлявся артралгіями, набряком та обмеженням рухів. Найбільш частіше до патологічного процесу залучались гомілкові (18 (81,8±8,2%) спостережень), колінні (7 (31,8±9,9%) спостережень) та променезап'ясткові (3 (13,6±7,3%) спостережень) суглоби. Абдомінальний синдром діагностовано у 10 (45,4±10,6%) дітей, який проявлявся на фоні шкірного та суглобового синдромів та характеризувався переймоподібним болем в животі, у 2 хворих спостерігали нудоту та послаблення стулу. Лабораторні показники в гострий період характеризувалися достовірним збільшенням рівнів лейкоцитів з сегментоядерним нейтрофільозом та ШОЕ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відповідно), серомукоїду, глікопротеїдів та гамма-глобулінів. У 4 (18,1±8,1%) хворих спостерігали рецидив шкірного синдрому на фоні гострого респіраторного захворювання та приєднання симптомів загальної інтоксикації. Позитивна динаміка клінічних проявів ГВ, а саме покращення на 3-4 тижні захворювання загального стану дітей, відсутність шкірного, суглобового та абдомінальних синдромів, нормалізація клінічних та біохімічних показників свідчили про розвиток клініко-лабораторної ремісії у хворих з ІІ ступенем активності ГВ.</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Хворі на ГВ з ІІІ ступенем активності патологічного процесу надходили до стаціонару переважно в стані середньої важкості (16 </w:t>
      </w:r>
      <w:r w:rsidRPr="004E3FE9">
        <w:rPr>
          <w:rFonts w:ascii="Times New Roman" w:hAnsi="Times New Roman" w:cs="Times New Roman"/>
          <w:sz w:val="28"/>
          <w:szCs w:val="28"/>
          <w:lang w:val="uk-UA"/>
        </w:rPr>
        <w:lastRenderedPageBreak/>
        <w:t>(84,2±8,3%) хворих) та 3 (15,7±8,3%) дітей перебували в важкому стані. Всім хворим були притаманні симптоми загальної інтоксикації, рясний геморагічний висип, 18 (94,7±5,1%) хворих скаржились на болі в суглобах, 11 (57,8±11,3%) хворих – на абдомінальні болі та у 5 (26,3±10,1%) дітей спостерігали нудоту, блювання та послаблення стулу. 13 (68,4±10,6%) дітей пов’язували розвиток хвороби з перенесеними напередодні гострими респіраторними захворюванями та 6 (31,5±10,6%) дітей – з похибками в дієті, прийманням ліків та укусами комах. З анамнезу життя відомо, що 12 (63,1±11,1%) дітей мали алергійну налаштованість та половина (52,6±11,4%) хворих мали захворювання верхніх дихальних шляхів та ЛОР-органів. Клінічно висип носив розповсюджений характер з тенденцією до злиття та супроводжувався свербежем та печінням. Суглобовий синдром зареєстровано у 18 (94,7±5,1%) хворих. До патологічного процесу залучались гомілкові (18 (94,7±5,1%) дітей), колінні – (8 (42,1±11,3%) дітей), променезап'ясткові (4 (21,1 ±9,3%) дітей) суглоби та у одного хворого зафіксовано ураження ліктьових суглобів. Абдомінальний синдром зареєстровано у 10 (52,6±11,4%) хворих та проявлявся на фоні шкірного та суглобового синдромів. Ураження нирок зафіксовано у 9 (47,3±11,4%) хворих на фоні шкірного, суглобового та абдомінального синдромів. У 2 хворих зміни в аналізах сечі зафіксовані в перші дні захворювання, у інших 7 хворих – на 2-3 тижні. Головним чином залучення нирок в патологічний процес фіксували у вигляді сечового синдрому (транзиторна гематурія, протеїнурія та циліндрурія). Лабораторні показники вказували на статистично достовірне підвищення рівнів лейкоцитів, палочкоядерних та сегментоядерних нейтрофілів, ШОЕ (р</w:t>
      </w:r>
      <w:r w:rsidRPr="004E3FE9">
        <w:rPr>
          <w:rFonts w:ascii="Times New Roman" w:hAnsi="Times New Roman" w:cs="Times New Roman"/>
          <w:sz w:val="28"/>
          <w:szCs w:val="28"/>
          <w:vertAlign w:val="subscript"/>
          <w:lang w:val="uk-UA"/>
        </w:rPr>
        <w:t>ІІІ-к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=0,019,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відповідно), підвищення рівнів серомукоїду, глікопротеїдів та гамма-глобулінів в порівнянні з показниками дітей групи контролю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=0,000, р</w:t>
      </w:r>
      <w:r w:rsidRPr="004E3FE9">
        <w:rPr>
          <w:rFonts w:ascii="Times New Roman" w:hAnsi="Times New Roman" w:cs="Times New Roman"/>
          <w:sz w:val="28"/>
          <w:szCs w:val="28"/>
          <w:vertAlign w:val="subscript"/>
          <w:lang w:val="uk-UA"/>
        </w:rPr>
        <w:t>І-к</w:t>
      </w:r>
      <w:r w:rsidRPr="004E3FE9">
        <w:rPr>
          <w:rFonts w:ascii="Times New Roman" w:hAnsi="Times New Roman" w:cs="Times New Roman"/>
          <w:sz w:val="28"/>
          <w:szCs w:val="28"/>
          <w:lang w:val="uk-UA"/>
        </w:rPr>
        <w:t xml:space="preserve">=0,000, відповідно). В подальшому, на фоні лікування у 11 (57,8±11,3%) хворих спостерігався рецидив шкірного синдрому. У дітей з ГВ, який перебігав з нирковим синдромом, сечовий синдром зберігався на протязі 1-2 місяців. На фоні </w:t>
      </w:r>
      <w:r w:rsidRPr="004E3FE9">
        <w:rPr>
          <w:rFonts w:ascii="Times New Roman" w:hAnsi="Times New Roman" w:cs="Times New Roman"/>
          <w:sz w:val="28"/>
          <w:szCs w:val="28"/>
          <w:lang w:val="uk-UA"/>
        </w:rPr>
        <w:lastRenderedPageBreak/>
        <w:t>лікування рівні лейкоцитів знизились (Т=26,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=0,005), але залишились достовірно вищими за рівні групи контролю (р</w:t>
      </w:r>
      <w:r w:rsidRPr="004E3FE9">
        <w:rPr>
          <w:rFonts w:ascii="Times New Roman" w:hAnsi="Times New Roman" w:cs="Times New Roman"/>
          <w:sz w:val="28"/>
          <w:szCs w:val="28"/>
          <w:vertAlign w:val="subscript"/>
          <w:lang w:val="uk-UA"/>
        </w:rPr>
        <w:t>ІІ-к</w:t>
      </w:r>
      <w:r w:rsidRPr="004E3FE9">
        <w:rPr>
          <w:rFonts w:ascii="Times New Roman" w:hAnsi="Times New Roman" w:cs="Times New Roman"/>
          <w:sz w:val="28"/>
          <w:szCs w:val="28"/>
          <w:lang w:val="uk-UA"/>
        </w:rPr>
        <w:t>=0,008). Рівні палочкоядерних та сегментоядерних нейтрофілів, лімфоцитів та ШОЕ відповідали нормативним значенням (Т=0,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=0,003, Т=26,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=0,005, Т=22,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=0,003, Т=1,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 відповідно). Показники гострої фази запалення також знизились та досягли нормальних рівнів (серомукоїд Т=6,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=0,000, глікопротеїдиТ=24, р</w:t>
      </w:r>
      <w:r w:rsidRPr="004E3FE9">
        <w:rPr>
          <w:rFonts w:ascii="Times New Roman" w:hAnsi="Times New Roman" w:cs="Times New Roman"/>
          <w:sz w:val="28"/>
          <w:szCs w:val="28"/>
          <w:vertAlign w:val="subscript"/>
          <w:lang w:val="uk-UA"/>
        </w:rPr>
        <w:t>І-ІІ</w:t>
      </w:r>
      <w:r w:rsidRPr="004E3FE9">
        <w:rPr>
          <w:rFonts w:ascii="Times New Roman" w:hAnsi="Times New Roman" w:cs="Times New Roman"/>
          <w:sz w:val="28"/>
          <w:szCs w:val="28"/>
          <w:lang w:val="uk-UA"/>
        </w:rPr>
        <w:t>=0,004)</w:t>
      </w:r>
      <w:r w:rsidRPr="004E3FE9">
        <w:rPr>
          <w:rFonts w:ascii="Times New Roman" w:hAnsi="Times New Roman" w:cs="Times New Roman"/>
          <w:noProof/>
          <w:sz w:val="28"/>
          <w:szCs w:val="28"/>
          <w:lang w:val="uk-UA" w:eastAsia="ru-RU"/>
        </w:rPr>
        <w:t xml:space="preserve">.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Аналіз показників коагуляційного гемостазу в залежності від ступеня активності ГВ в гострий період вказує на статистично достовірно підвищені рівні значень А та фібриногену (р&lt;0,01) та низькі рівні T2, ІІТ та протромбінового індексу в порівнянні з показниками дітей групи контролю (р&lt;0,01). Зміни показників систем зсідання та проти зсідання у дітей з важким перебігом ГВ мали найбільш виражений характер порушень. Такі зміни свідчать про суттєві порушення системи гемостазу, які проявляються різним ступенем гіперкоагуляції, яка, в свою чергу, знаходилась в прямій залежності від важкості перебігу захворювання. В період формування клініко-лабораторної ремісії спостерігали зменшення ознак гіперкоагуляції та покращання процесів фібринолізу, що сприяло врівноваженню функціональної активності систем зсідання та протизсідання крові.</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Специфічні та неспецифічні фактори захисту при ГВ у дітей мали значні зміни, які характеризувалися підвищенням рівнів ЦІК, показники яких знаходиться в прямій залежності від важкості перебігу ГВ, від мінімального до максимального ступеня активності патологічного процесу. Підвищений рівень ЦІК пояснюється гіперпродукцією всіх класів Ig, які є постачальниками антитіл під час утворювання імунних комплексів. Наявні кореляційні зв’язки у дітей з ІІ ступенем активності рівнів Ig A, Ig M, Ig G та CD</w:t>
      </w:r>
      <w:r w:rsidRPr="004E3FE9">
        <w:rPr>
          <w:rFonts w:ascii="Times New Roman" w:hAnsi="Times New Roman" w:cs="Times New Roman"/>
          <w:sz w:val="28"/>
          <w:szCs w:val="28"/>
          <w:vertAlign w:val="subscript"/>
          <w:lang w:val="uk-UA"/>
        </w:rPr>
        <w:t>22</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+0,73 відповідно, n=22) та у у дітей з ІІІ ступенем активності рівнів Ig A, Ig M, Ig G та CD</w:t>
      </w:r>
      <w:r w:rsidRPr="004E3FE9">
        <w:rPr>
          <w:rFonts w:ascii="Times New Roman" w:hAnsi="Times New Roman" w:cs="Times New Roman"/>
          <w:sz w:val="28"/>
          <w:szCs w:val="28"/>
          <w:vertAlign w:val="subscript"/>
          <w:lang w:val="uk-UA"/>
        </w:rPr>
        <w:t xml:space="preserve">22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+0,86,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+0,80, відповідно, n=19) пояснює підвищений рівень В-лімфоцитів та активне утворення всіх видів Ig. Зміни представників клітинного імунітету </w:t>
      </w:r>
      <w:r w:rsidRPr="004E3FE9">
        <w:rPr>
          <w:rFonts w:ascii="Times New Roman" w:hAnsi="Times New Roman" w:cs="Times New Roman"/>
          <w:sz w:val="28"/>
          <w:szCs w:val="28"/>
          <w:lang w:val="uk-UA"/>
        </w:rPr>
        <w:lastRenderedPageBreak/>
        <w:t>характеризувались підвищенням рівнів Т-хелперів та зниженням рівнів Т-супресорів та, як наслідок, підвищення значень співвідношення CD</w:t>
      </w:r>
      <w:r w:rsidRPr="004E3FE9">
        <w:rPr>
          <w:rFonts w:ascii="Times New Roman" w:hAnsi="Times New Roman" w:cs="Times New Roman"/>
          <w:sz w:val="28"/>
          <w:szCs w:val="28"/>
          <w:vertAlign w:val="subscript"/>
          <w:lang w:val="uk-UA"/>
        </w:rPr>
        <w:t>4</w:t>
      </w:r>
      <w:r w:rsidRPr="004E3FE9">
        <w:rPr>
          <w:rFonts w:ascii="Times New Roman" w:hAnsi="Times New Roman" w:cs="Times New Roman"/>
          <w:sz w:val="28"/>
          <w:szCs w:val="28"/>
          <w:lang w:val="uk-UA"/>
        </w:rPr>
        <w:t>/CD</w:t>
      </w:r>
      <w:r w:rsidRPr="004E3FE9">
        <w:rPr>
          <w:rFonts w:ascii="Times New Roman" w:hAnsi="Times New Roman" w:cs="Times New Roman"/>
          <w:sz w:val="28"/>
          <w:szCs w:val="28"/>
          <w:vertAlign w:val="subscript"/>
          <w:lang w:val="uk-UA"/>
        </w:rPr>
        <w:t>8</w:t>
      </w:r>
      <w:r w:rsidRPr="004E3FE9">
        <w:rPr>
          <w:rFonts w:ascii="Times New Roman" w:hAnsi="Times New Roman" w:cs="Times New Roman"/>
          <w:sz w:val="28"/>
          <w:szCs w:val="28"/>
          <w:lang w:val="uk-UA"/>
        </w:rPr>
        <w:t xml:space="preserve">, тобто імунорегуляторного індексу, який знаходився в прямій залежності від активності патологічного процесу.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Отримані дані відносно процесів фагоцитозу вказують на виснаження його компенсаторних можливостей, зокрема, киснезалежних та кисненезалежних механізмів кілінга та відчиняє шлях до хронізації імунокомплексного процесу, розвитку імунопатологічних органних уражень, ускладнень, включаючи і формування гломерулонефриту, на що вказують найбільш виражені зміни у дітей з максимальним ступенем активності.</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 фізіологічних умовах ендотелій судин продукує велику кількість біологічно активних факторів, які безперервно пов'язані з гемостазом, фібринолізом, порушенням судинного тонусу і проникністю судин. Проведений аналіз біохімічних чинників функції ендотелію теж вказує на певні його порушення. Так, у дітей із шкірною та шкірно-суглобовою формою ГВ в гострий період захворювання підвищувались рівні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S-нітрозотіолу та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(р&lt;0,01), при збереженні нормальних рівнів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У дітей зі змішаною формою захворювання показники метаболітів оксиду азоту залишались на рівні нормальних при порівнянні з показниками групи контролю, а вміст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продовжував зростати. Вищенаведені показники у дітей зі змішаною формою та нирковим синдромом також мали певні зміни, а саме, рівні метаболітів оксиду азоту знизились майже вдвічі, а рівень S-нітрозотіолу – втричі в порівнянні з показниками групи контролю (р&lt;0,01). Рівень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підвищувався більш ніж в півтора рази в порівнянні з показниками групи контролю (р&lt;0,01). У дітей з І та ІІ ступенем активності рівень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xml:space="preserve"> не відрізняється від рівнів показників групи контролю, а у дітей з ІІІ ступенем активності зафіксоване зменшення його рівнів вдвічі відносно дітей групи контролю (р&lt;0,01). Показники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та S-нітрозотіолу з мінімальним та середнім ступенем активності ГВ майже вдвічі вищі за рівні у дітей групи контролю (44,27(33,42;46,78) мкмоль/л, 0,64(0,52;0,69) ммоль/л та </w:t>
      </w:r>
      <w:r w:rsidRPr="004E3FE9">
        <w:rPr>
          <w:rFonts w:ascii="Times New Roman" w:hAnsi="Times New Roman" w:cs="Times New Roman"/>
          <w:sz w:val="28"/>
          <w:szCs w:val="28"/>
          <w:lang w:val="uk-UA"/>
        </w:rPr>
        <w:lastRenderedPageBreak/>
        <w:t>44,93(36,14;51,24) мкмоль/л, 0,55(0,48;0,64) ммоль/л відповідно), та навпаки у дітей з ІІІ ступенем активності виявлено значне зменшення рівнів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та S-нітрозотіолу (13,98(13,21;14,73) мкмоль/л, 0,11(0,08;0,18) ммоль/л, відповідно) (р&lt;0,01). </w:t>
      </w:r>
    </w:p>
    <w:p w:rsidR="002965AE" w:rsidRPr="004E3FE9" w:rsidRDefault="002965AE" w:rsidP="002965AE">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Достовірні коефіцієнти кореляції у дітей з І ступенем активності ГВ рівнів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та сегментоядерних нейтрофілів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+0,58, n=19), рівнів NO</w:t>
      </w:r>
      <w:r w:rsidRPr="004E3FE9">
        <w:rPr>
          <w:rFonts w:ascii="Times New Roman" w:hAnsi="Times New Roman" w:cs="Times New Roman"/>
          <w:sz w:val="28"/>
          <w:szCs w:val="28"/>
          <w:vertAlign w:val="subscript"/>
          <w:lang w:val="uk-UA"/>
        </w:rPr>
        <w:t xml:space="preserve">3 </w:t>
      </w:r>
      <w:r w:rsidRPr="004E3FE9">
        <w:rPr>
          <w:rFonts w:ascii="Times New Roman" w:hAnsi="Times New Roman" w:cs="Times New Roman"/>
          <w:sz w:val="28"/>
          <w:szCs w:val="28"/>
          <w:lang w:val="uk-UA"/>
        </w:rPr>
        <w:t>та ШОЕ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+0,62, n=19), у дітей з ІІ ступенем активності – рівнів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та сегментоядерних нейтрофілів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+0,46, n=22), рівнів лейкоцитів в периферичній крові та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S-нітрозотіола,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+0,52, відповідно, n=22) свідчили про залежність концентрації метаболітів оксиду азоту та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від активності запалення. У дітей з ІІІ ступенем активності ГВ зафіксовано достовірні кореляційні зв’язки показників лейкоцитів в периферичній крові та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S-нітрозотіола,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-0,59,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-0,59,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+0,78 відповідно, n=19), рівнів ШОЕ та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S-нітрозотіола,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+0,65 відповідно, n=19), рівнів серомукоїду та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 xml:space="preserve">3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-0,57, відповідно, n=19). </w:t>
      </w:r>
    </w:p>
    <w:p w:rsidR="002965AE" w:rsidRPr="004E3FE9" w:rsidRDefault="002965AE" w:rsidP="002965AE">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Таким чином, підвищення концентрації метаболітів оксиду азоту в сироватці крові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S-нітрозотіол) у дітей, хворих на геморагічний васкуліт, з мінімальним та середнім ступенем активності патологічного процесу, в гострий період захворювання, ймовірно, пов’язано з компенсаторною реакцією організму, спрямованої на дилатацію мікроциркуляторного русла, з метою виведення з поверхні ендотелію ЦІК та продуктів гіперкоагуляції за рахунок активації ендотеліальної NOS. При ІІІ ступені активності проявляється фактор «виснаження» синтезу оксиду азоту та, як наслідок, його метаболітів. При ІІІ ступені активності захворювання виявлено наступне: чим нижче рівень метаболітів оксиду азоту, тим вище значення показників гострої фази запалення (р&lt;0,01).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Отримані дані закономірно відображають патологічну направленість запального процесу, оскільки ГВ являється представником імунозапального, </w:t>
      </w:r>
      <w:r w:rsidRPr="004E3FE9">
        <w:rPr>
          <w:rFonts w:ascii="Times New Roman" w:hAnsi="Times New Roman" w:cs="Times New Roman"/>
          <w:sz w:val="28"/>
          <w:szCs w:val="28"/>
          <w:lang w:val="uk-UA"/>
        </w:rPr>
        <w:lastRenderedPageBreak/>
        <w:t xml:space="preserve">зокрема імунокомплексного захворювання, чим і зумовлена, вірогідно, пряма кореляційна залежність рівнів ЦІК, Ig A, M, G, CD22 (В-лімфоцитів) і метаболітів оксиду азоту та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при І та ІІ ступенях активності ГВ. При ІІ та ІІІ ступенях активності ГВ реєструються кореляційні зв’язки метаболітів оксиду азоту і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та субпопуляцій Т-лімфоцитів, зокрема CD4 (Т-хелперів) – позитивні коефіцієнти кореляції і CD8 – негативні, характеризуючи, очевидну, подальшу наростаючу напруженість імунного запалення з розвитком дисфункції CD4/CD8 в напрямку переважання кількісної і відносної кількості CD4, сприяючи подальшому розвитку запального процесу за участю активованихTh-2.</w:t>
      </w:r>
    </w:p>
    <w:p w:rsidR="002965AE" w:rsidRPr="004E3FE9" w:rsidRDefault="002965AE" w:rsidP="002965AE">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При ІІ та ІІІ ступенях активності ГВ зафіксовано достовірні коефіцієнти кореляції рівнів метаболітів оксиду азоту і фагоцитарної функції гранулоцитів з активацією кисневозалежної функції (NST-тест) нейтрофілів, так і при активності запалення ІІІ ступеня – кисневонезалежної функції (ЛКБ) фагоцитозу. Вбачаючи в цьому позитивну функцію активації неспецифічних факторів захисту, спрямовану на елімінацію циркулюючих імунних комплексів, слід зауважити, що надмірна активація фагоцитозу може супроводжуватись і активацією iNOS з утворенням токсичних радикалів азоту. Активні радикали азоту активують або інгібують інші міжмолекулярні зв’язки, порушують баланс внутрішньоклітинних шляхів і активують запалення, переводячи компенсаторну реакцію на рейки патологічного процесу.</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Аналіз зв'язків маркерів ураження ендотелію та показників гемостазу вказує на причетність оксиду азоту та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до змін коагуляційного потенціалу крові, зокрема активації згортаючої системи крові та судинно-тромбоцитарної ланки гемостазу, а значить і формування судинно-тромбоцитарного синдрому при геморагічному васкуліті. У дітей з І ступенем активності виявлено достовірні зворотні кореляційні зв'язки показників значення часу досягнення половинної згортаючої активності (Т1) та рівнів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S-нітрозотіола в сироватці крові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-0,47 n=19), </w:t>
      </w:r>
      <w:r w:rsidRPr="004E3FE9">
        <w:rPr>
          <w:rFonts w:ascii="Times New Roman" w:hAnsi="Times New Roman" w:cs="Times New Roman"/>
          <w:sz w:val="28"/>
          <w:szCs w:val="28"/>
          <w:lang w:val="uk-UA"/>
        </w:rPr>
        <w:lastRenderedPageBreak/>
        <w:t>рівнів тромбоцитів в периферичній крові, ІІТ, фібриногену та фактору Віллебранда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+0,48, відповідно, n=19). У дітей з ІІ ступенем активності ГВ наявна статистично значима пряма кореляція показників тромбоцитів та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+0,54, відповідно, n=22). У дітей з ІІІ ступенем активності встановлено достовірний зворотній кореляційний зв'язок рівнів фібриногену та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-0,54, відповідно, n=19), рівнів активності зсідання (А, %) та NO</w:t>
      </w:r>
      <w:r w:rsidRPr="004E3FE9">
        <w:rPr>
          <w:rFonts w:ascii="Times New Roman" w:hAnsi="Times New Roman" w:cs="Times New Roman"/>
          <w:sz w:val="28"/>
          <w:szCs w:val="28"/>
          <w:vertAlign w:val="subscript"/>
          <w:lang w:val="uk-UA"/>
        </w:rPr>
        <w:t xml:space="preserve">3 </w:t>
      </w:r>
      <w:r w:rsidRPr="004E3FE9">
        <w:rPr>
          <w:rFonts w:ascii="Times New Roman" w:hAnsi="Times New Roman" w:cs="Times New Roman"/>
          <w:sz w:val="28"/>
          <w:szCs w:val="28"/>
          <w:lang w:val="uk-UA"/>
        </w:rPr>
        <w:t>(r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-0,47, n=19).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Оцінка маркерів дисфункції ендотелію в залежності від активності захворювання в період клініко-лабораторної ремісії показала, що у дітей з І ступенем активності ГВ рівні метаболітів оксиду азоту не відрізнялись від показників дітей групи контролю Рівень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реєструвався з незначною тенденцією до збільшення (104,32 (98,78;110,32) %). Аналізуючи аналогічні показники дітей, що мали ІІ ступінь активності захворювання, нами доведено, що показники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та S-нітрозотіолу були на рівнях встановленої норми, рівень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xml:space="preserve"> статистично достовірно перевищував рівень групи контролю на 32,4%. Так, достовірно вищим був рівень ФВ, що становив (139,73 (130,98;147,29) %, що 1,4 рази вище рівня ФВ дітей групи контролю (р&lt;0,01). У дітей з ІІІ ступенем активності патологічного процесу з’ясовано, що рівні метаболітів оксиду азоту достовірно нижчі, ніж у дітей групи контролю, а рівень ФВ на 19,7 % вищий за аналогічний показник групи контролю (р&lt;0,01). Такі результати можуть свідчити на користь більшої схильності дітей з ІІІ ступенем активності ГВ до розвитку ендотеліальної дисфункції, виникнення більш виражених клініко-лабораторних проявів захворювання та ускладнень.</w:t>
      </w:r>
    </w:p>
    <w:p w:rsidR="002965AE" w:rsidRPr="004E3FE9" w:rsidRDefault="002965AE" w:rsidP="002965AE">
      <w:pPr>
        <w:spacing w:line="360" w:lineRule="auto"/>
        <w:ind w:firstLine="709"/>
        <w:contextualSpacing/>
        <w:jc w:val="both"/>
        <w:rPr>
          <w:rFonts w:ascii="Times New Roman" w:eastAsia="Times New Roman" w:hAnsi="Times New Roman" w:cs="Times New Roman"/>
          <w:sz w:val="28"/>
          <w:szCs w:val="28"/>
          <w:lang w:val="uk-UA"/>
        </w:rPr>
      </w:pPr>
      <w:r w:rsidRPr="004E3FE9">
        <w:rPr>
          <w:rFonts w:ascii="Times New Roman" w:eastAsia="Times New Roman" w:hAnsi="Times New Roman" w:cs="Times New Roman"/>
          <w:sz w:val="28"/>
          <w:szCs w:val="28"/>
          <w:lang w:val="uk-UA"/>
        </w:rPr>
        <w:t>Проведений аналіз залежності показників функції ендотелію ЗСА в залежності від форми захворювання показав, що у дітей зі шкірною, шкірно-суглобовою та змішаною формами показники товщини КІМ ЗСА не відрізнялись від показників дітей групи контролю. Достовірне потовщення КІМ ЗСА зареєстровано при змішаній формі з нирковим синдромом (1,00 (0,90;1,00) мм), порівняно з показником дітей групи контролю (</w:t>
      </w:r>
      <w:r w:rsidRPr="004E3FE9">
        <w:rPr>
          <w:rFonts w:ascii="Times New Roman" w:hAnsi="Times New Roman" w:cs="Times New Roman"/>
          <w:sz w:val="28"/>
          <w:szCs w:val="28"/>
          <w:lang w:val="uk-UA"/>
        </w:rPr>
        <w:t>р&lt;0,01</w:t>
      </w:r>
      <w:r w:rsidRPr="004E3FE9">
        <w:rPr>
          <w:rFonts w:ascii="Times New Roman" w:eastAsia="Times New Roman" w:hAnsi="Times New Roman" w:cs="Times New Roman"/>
          <w:sz w:val="28"/>
          <w:szCs w:val="28"/>
          <w:lang w:val="uk-UA"/>
        </w:rPr>
        <w:t xml:space="preserve">), що </w:t>
      </w:r>
      <w:r w:rsidRPr="004E3FE9">
        <w:rPr>
          <w:rFonts w:ascii="Times New Roman" w:eastAsia="Times New Roman" w:hAnsi="Times New Roman" w:cs="Times New Roman"/>
          <w:sz w:val="28"/>
          <w:szCs w:val="28"/>
          <w:lang w:val="uk-UA"/>
        </w:rPr>
        <w:lastRenderedPageBreak/>
        <w:t>свідчить про виражені прояви ендотеліальної дисфункції у обстежених дітей з даною формою захворювання. Також треба зазначити, що у дітей з максимальним ступенем активності товщина КІМ СА склала 0,90 (0,90;1,00) мм, що майже на 50 % вище, ніж у дітей групи контролю (</w:t>
      </w:r>
      <w:r w:rsidRPr="004E3FE9">
        <w:rPr>
          <w:rFonts w:ascii="Times New Roman" w:hAnsi="Times New Roman" w:cs="Times New Roman"/>
          <w:sz w:val="28"/>
          <w:szCs w:val="28"/>
          <w:lang w:val="uk-UA"/>
        </w:rPr>
        <w:t>р&lt;0,01</w:t>
      </w:r>
      <w:r w:rsidRPr="004E3FE9">
        <w:rPr>
          <w:rFonts w:ascii="Times New Roman" w:eastAsia="Times New Roman" w:hAnsi="Times New Roman" w:cs="Times New Roman"/>
          <w:sz w:val="28"/>
          <w:szCs w:val="28"/>
          <w:lang w:val="uk-UA"/>
        </w:rPr>
        <w:t xml:space="preserve">). У дітей з І та ІІ ступенем активності змін товщини КІМ ЗСА виявлено не було. </w:t>
      </w:r>
    </w:p>
    <w:p w:rsidR="002965AE" w:rsidRPr="004E3FE9" w:rsidRDefault="002965AE" w:rsidP="002965AE">
      <w:pPr>
        <w:spacing w:line="360" w:lineRule="auto"/>
        <w:ind w:firstLine="709"/>
        <w:contextualSpacing/>
        <w:jc w:val="both"/>
        <w:rPr>
          <w:rFonts w:ascii="Times New Roman" w:eastAsia="Times New Roman" w:hAnsi="Times New Roman" w:cs="Times New Roman"/>
          <w:sz w:val="28"/>
          <w:szCs w:val="28"/>
          <w:lang w:val="uk-UA"/>
        </w:rPr>
      </w:pPr>
      <w:r w:rsidRPr="004E3FE9">
        <w:rPr>
          <w:rFonts w:ascii="Times New Roman" w:hAnsi="Times New Roman" w:cs="Times New Roman"/>
          <w:sz w:val="28"/>
          <w:szCs w:val="28"/>
          <w:lang w:val="uk-UA"/>
        </w:rPr>
        <w:t xml:space="preserve">Ендотелійзалежна вазодилатація є важливим показником, що відображає функціональний стан судинної стінки. Встановлено, що вимір ступеня ендотелійзалежної дилатації плечової артерії в період реактивної гіперемії є неінвазивним і доступним об'єктивним методом оцінки функції ендотелію. Результати d ПА до оклюзії дозволили констатувати відсутність залежності цього показника від форми захворювання. Процент приросту діаметра ПА на 30 с та 60 с після оклюзії у дітей зі всіма формами ГВ мав негативні значення, що статистично достовірно відрізнялось від показників дітей </w:t>
      </w:r>
      <w:r w:rsidRPr="004E3FE9">
        <w:rPr>
          <w:rFonts w:ascii="Times New Roman" w:eastAsia="Times New Roman" w:hAnsi="Times New Roman" w:cs="Times New Roman"/>
          <w:sz w:val="28"/>
          <w:szCs w:val="28"/>
          <w:lang w:val="uk-UA"/>
        </w:rPr>
        <w:t>групи контролю (</w:t>
      </w:r>
      <w:r w:rsidRPr="004E3FE9">
        <w:rPr>
          <w:rFonts w:ascii="Times New Roman" w:hAnsi="Times New Roman" w:cs="Times New Roman"/>
          <w:sz w:val="28"/>
          <w:szCs w:val="28"/>
          <w:lang w:val="uk-UA"/>
        </w:rPr>
        <w:t>р&lt;0,01</w:t>
      </w:r>
      <w:r w:rsidRPr="004E3FE9">
        <w:rPr>
          <w:rFonts w:ascii="Times New Roman" w:eastAsia="Times New Roman" w:hAnsi="Times New Roman" w:cs="Times New Roman"/>
          <w:sz w:val="28"/>
          <w:szCs w:val="28"/>
          <w:lang w:val="uk-UA"/>
        </w:rPr>
        <w:t>)</w:t>
      </w:r>
      <w:r w:rsidRPr="004E3FE9">
        <w:rPr>
          <w:rFonts w:ascii="Times New Roman" w:hAnsi="Times New Roman" w:cs="Times New Roman"/>
          <w:sz w:val="28"/>
          <w:szCs w:val="28"/>
          <w:lang w:val="uk-UA"/>
        </w:rPr>
        <w:t xml:space="preserve">. Найбільші зміни встановлено у дітей зі змішаною формою та змішаною з нирковим синдромом (-10,71 (-13,79;-3,44) % та -12,00 (-14,28;-9,67) % відповідно). Аналізуючи функцію ендотелію у дітей, хворих на ГВ, в залежності від активності захворювання, статистично значущих відмінностей розміру вихідного діаметра ПА в порівнянні з дітьми групи контролю не виявлено. Показники ЕЗВД як на 30 с, так і на 60 с мали негативну реакцію, а саме прояви вазоконстрикції та мали достовірну різницю в порівнянні з показниками </w:t>
      </w:r>
      <w:r w:rsidRPr="004E3FE9">
        <w:rPr>
          <w:rFonts w:ascii="Times New Roman" w:eastAsia="Times New Roman" w:hAnsi="Times New Roman" w:cs="Times New Roman"/>
          <w:sz w:val="28"/>
          <w:szCs w:val="28"/>
          <w:lang w:val="uk-UA"/>
        </w:rPr>
        <w:t>групи контролю (</w:t>
      </w:r>
      <w:r w:rsidRPr="004E3FE9">
        <w:rPr>
          <w:rFonts w:ascii="Times New Roman" w:hAnsi="Times New Roman" w:cs="Times New Roman"/>
          <w:sz w:val="28"/>
          <w:szCs w:val="28"/>
          <w:lang w:val="uk-UA"/>
        </w:rPr>
        <w:t>р&lt;0,01</w:t>
      </w:r>
      <w:r w:rsidRPr="004E3FE9">
        <w:rPr>
          <w:rFonts w:ascii="Times New Roman" w:eastAsia="Times New Roman" w:hAnsi="Times New Roman" w:cs="Times New Roman"/>
          <w:sz w:val="28"/>
          <w:szCs w:val="28"/>
          <w:lang w:val="uk-UA"/>
        </w:rPr>
        <w:t>). В</w:t>
      </w:r>
      <w:r w:rsidRPr="004E3FE9">
        <w:rPr>
          <w:rFonts w:ascii="Times New Roman" w:hAnsi="Times New Roman" w:cs="Times New Roman"/>
          <w:sz w:val="28"/>
          <w:szCs w:val="28"/>
          <w:lang w:val="uk-UA"/>
        </w:rPr>
        <w:t xml:space="preserve">иявлені зміни показників ультразвукової доплерографії плечових артерій дітей, </w:t>
      </w:r>
      <w:r w:rsidRPr="004E3FE9">
        <w:rPr>
          <w:rFonts w:ascii="Times New Roman" w:eastAsia="Times New Roman" w:hAnsi="Times New Roman" w:cs="Times New Roman"/>
          <w:sz w:val="28"/>
          <w:szCs w:val="28"/>
          <w:lang w:val="uk-UA"/>
        </w:rPr>
        <w:t>хворих на ГВ</w:t>
      </w:r>
      <w:r w:rsidRPr="004E3FE9">
        <w:rPr>
          <w:rFonts w:ascii="Times New Roman" w:hAnsi="Times New Roman" w:cs="Times New Roman"/>
          <w:sz w:val="28"/>
          <w:szCs w:val="28"/>
          <w:lang w:val="uk-UA"/>
        </w:rPr>
        <w:t>, можуть свідчити про підвищення загального периферичного опору судин, що більш виражене у дітей з максимальною активністю захворювання.</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Аналіз зв’язків ультразвукових параметрів функції ендотелію виявив певні зміни. Так, у дітей з мінімальною активністю виявлені статистичо значимі зворотні кореляційні зв’язки значень КІМ ЗСА та NST-тесту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-0,47, n=19) та показників d ПА до оклюзії і фагоцитуючих нейтрофілів, NST-тесту, Ig A, Ig M, Ig G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-0,56,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-0,47, </w:t>
      </w:r>
      <w:r w:rsidRPr="004E3FE9">
        <w:rPr>
          <w:rFonts w:ascii="Times New Roman" w:hAnsi="Times New Roman" w:cs="Times New Roman"/>
          <w:sz w:val="28"/>
          <w:szCs w:val="28"/>
          <w:lang w:val="uk-UA"/>
        </w:rPr>
        <w:lastRenderedPageBreak/>
        <w:t>n=19, відповідно), показників КД</w:t>
      </w:r>
      <w:r w:rsidRPr="004E3FE9">
        <w:rPr>
          <w:rFonts w:ascii="Times New Roman" w:hAnsi="Times New Roman" w:cs="Times New Roman"/>
          <w:sz w:val="28"/>
          <w:szCs w:val="28"/>
          <w:vertAlign w:val="subscript"/>
          <w:lang w:val="uk-UA"/>
        </w:rPr>
        <w:t>30</w:t>
      </w:r>
      <w:r w:rsidRPr="004E3FE9">
        <w:rPr>
          <w:rFonts w:ascii="Times New Roman" w:hAnsi="Times New Roman" w:cs="Times New Roman"/>
          <w:sz w:val="28"/>
          <w:szCs w:val="28"/>
          <w:lang w:val="uk-UA"/>
        </w:rPr>
        <w:t xml:space="preserve"> та абсолютної кількості CD22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n=19). У дітей з ІІ ступенем активності виявили наявність достовірних прямих кореляційних зв'язків показників КІМ ЗСА та ІАН, Ig A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+0,46, n=22, відповідно), що свідчить про причетність цих імунологічних показників до структурних та функціональних порушень ендотелію судин. Кореляційний аналіз субпопуляцій Т-лімфоцитів та показників ЕЗВД плечової артерії виявив багаточисленні достовірні прямі (CD8, CD22, CD16) зв’язки. Серед дітей з максимальним ступенем активності зафіксовані наступні коефіцієнти кореляції: рівнів КІМ ЗСА та абсолютної кількості CD22, фагоцитуючих нейтрофілів, Ig М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+0,49,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+0,49, n=19, відповідно). Наявні кореляційні зв’язки між окремими інструментальними показниками ендотеліальної функції у обстежених дітей з ГВ з різним ступенем активності та біохімічними маркерами ендотеліальної дисфункції, які найбільш яскраво проявляються у дітей з максимальним ступенем активності, свідчать про безпосередню участь метаболітів оксиду азоту (NO</w:t>
      </w:r>
      <w:r w:rsidRPr="004E3FE9">
        <w:rPr>
          <w:rFonts w:ascii="Times New Roman" w:hAnsi="Times New Roman" w:cs="Times New Roman"/>
          <w:sz w:val="28"/>
          <w:szCs w:val="28"/>
          <w:vertAlign w:val="subscript"/>
          <w:lang w:val="uk-UA"/>
        </w:rPr>
        <w:t xml:space="preserve">2, </w:t>
      </w:r>
      <w:r w:rsidRPr="004E3FE9">
        <w:rPr>
          <w:rFonts w:ascii="Times New Roman" w:hAnsi="Times New Roman" w:cs="Times New Roman"/>
          <w:sz w:val="28"/>
          <w:szCs w:val="28"/>
          <w:lang w:val="uk-UA"/>
        </w:rPr>
        <w:t xml:space="preserve">NO3, S-нітрозотіола) та </w:t>
      </w:r>
      <w:r w:rsidR="009A67C0" w:rsidRPr="004E3FE9">
        <w:rPr>
          <w:rFonts w:ascii="Times New Roman" w:hAnsi="Times New Roman" w:cs="Times New Roman"/>
          <w:sz w:val="28"/>
          <w:szCs w:val="28"/>
          <w:lang w:val="uk-UA"/>
        </w:rPr>
        <w:t>ФВ</w:t>
      </w:r>
      <w:r w:rsidRPr="004E3FE9">
        <w:rPr>
          <w:rFonts w:ascii="Times New Roman" w:hAnsi="Times New Roman" w:cs="Times New Roman"/>
          <w:sz w:val="28"/>
          <w:szCs w:val="28"/>
          <w:lang w:val="uk-UA"/>
        </w:rPr>
        <w:t xml:space="preserve"> в потенціюванні запального процесу судинної стінки і, як наслідок, ремоделюванні судинного русла.</w:t>
      </w:r>
    </w:p>
    <w:p w:rsidR="002965AE" w:rsidRPr="004E3FE9" w:rsidRDefault="002965AE" w:rsidP="002965AE">
      <w:pPr>
        <w:spacing w:line="360" w:lineRule="auto"/>
        <w:ind w:right="142"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Під час порівняння показників КІМ ЗСА в гострий період захворювання та період клініко-лабораторної ремісії, виявлена позитивна динаміка на фоні терапії. Проте, стан ендотеліаьної функції залишався негативним, за даними ЕЗВД та за даними показників судинного опору, відображаючи, напевно, відставання біологічної репарації запального процесу від показників клінічної ремісії.</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Показники МСР-1 в сироватці крові у обстежених нами дітей, хворих на ГВ, була в майже в 4 рази більшою порівняно з показником групи контролю та не мала вірогідної різниці в залежності від статі та віку. Аналіз рівнів МСР-1 в залежності від форми ГВ показав, що достовірне збільшення цих показників зареєстровано при всіх формах захворювання в обстежених дітей в  порівнянні з показниками дітей групи контролю (р&lt;0,01), але найвищий результат зафіксовано при змішаній формі з нирковим синдромом </w:t>
      </w:r>
      <w:r w:rsidRPr="004E3FE9">
        <w:rPr>
          <w:rFonts w:ascii="Times New Roman" w:hAnsi="Times New Roman" w:cs="Times New Roman"/>
          <w:sz w:val="28"/>
          <w:szCs w:val="28"/>
          <w:lang w:val="uk-UA"/>
        </w:rPr>
        <w:lastRenderedPageBreak/>
        <w:t xml:space="preserve">– 2350,6 (2225,3;2864,3) пг/мл, що в 6,3 рази вище відносно даних групи контролю (р&lt;0,01). У пацієнтів зі шкірно-суглобовою та змішаною формами рівні МСР-1 достовірно не різнились та склали 1239,4 (900,4;1627,4) пг/мл та 1290,6 (980,6;2039,4) пг/мл, відповідно. Найнижчий результат зафіксовано у хворих зі шкірною формою ГВ (958,6 (880,3;1065,4) пг/мл). Ураження мікроциркуляторного русла нирок при ГВ, як правило, визначає прогноз захворювання, будучи потенційно небезпечним проявом. </w:t>
      </w:r>
      <w:r w:rsidRPr="004E3FE9">
        <w:rPr>
          <w:rFonts w:ascii="Times New Roman" w:hAnsi="Times New Roman" w:cs="Times New Roman"/>
          <w:color w:val="FF0000"/>
          <w:sz w:val="28"/>
          <w:szCs w:val="28"/>
          <w:lang w:val="uk-UA"/>
        </w:rPr>
        <w:t xml:space="preserve">Показник відносного ризику розвитку ниркового синдрому у дітей з ГВ при рівні МСР-1 у сироватці крові вище ніж 2040 пг/мл склав RR=11,5 95% ДІ: 2,6-49,1. </w:t>
      </w:r>
      <w:r w:rsidRPr="004E3FE9">
        <w:rPr>
          <w:rFonts w:ascii="Times New Roman" w:hAnsi="Times New Roman" w:cs="Times New Roman"/>
          <w:sz w:val="28"/>
          <w:szCs w:val="28"/>
          <w:lang w:val="uk-UA"/>
        </w:rPr>
        <w:t>Оцінка показників МСР-1 в залежності від активності патологічного процесу у дітей, хворих на геморагічний васкуліт, вказує на значне збільшення його значень. Зокрема, треба відмітити залежність рівнів МСР-1 в сироватці крові від ступеня активності ГВ. Так, у дітей з І ступенем активності реєстрували найменші значення МСР-1 (870,4 (786,5;955,3) пг/мл), у дітей із ІІ ступенем ці показники склали 1280,6 (1127,4;1430,2) пг/мл. Найвищі показники зафіксовано у дітей з ІІІ ступенем активності ГВ (2350,6 (2050,2;2780,6) пг/мл), що майже в 6,3 рази вище показників дітей групи контролю (р&lt;0,01). Дані, отримані при попарному порівнянні вказують на достовірну різницю дітей з різним ступенем активності ГВ як відносно показників групи контролю, так і між собою (р&lt;0,01).</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Аналіз результатів МСР-1 в сироватці крові в період клініко-лабораторної ремісії в залежності від форми ГВ вказує на збереження високих значень їх рівнів відносно показників групи контролю (р&lt;0,01), що підтверджується достовірними значеннями отриманими при попарному порівнянні за критерієм Мана-Уітні. Також на фоні проведеної терапії залишились високі значення МСР-1 у дітей зі змішаною формою та нирковим синдромом (2254,0 (2003,8;2517,4) пг/мл) в порівнянні з показниками інших форм захворювання (р&lt;0,01). Так, найменші рівні зафіксовано у дітей з мінімальним ступенем активності (660,4 (540,4;758,3) пг/мл). У дітей з ІІ ступенем активності рівень МСР-1 склав 1077,4 (1032,4;1291,4) пг/мл та </w:t>
      </w:r>
      <w:r w:rsidRPr="004E3FE9">
        <w:rPr>
          <w:rFonts w:ascii="Times New Roman" w:hAnsi="Times New Roman" w:cs="Times New Roman"/>
          <w:sz w:val="28"/>
          <w:szCs w:val="28"/>
          <w:lang w:val="uk-UA"/>
        </w:rPr>
        <w:lastRenderedPageBreak/>
        <w:t>найвищі показники виявлені у дітей з максимальним ступенем активності патологічного процесу в період клініко-лабораторної ремісії (2003,8 (1504,9;2254,0) пг/мл). Під час проведення аналізу показників МСР-1 в сироватці крові дітей, хворих на ГВ, з різним ступенем активності патологічного процесу в гострий період захворювання та в період клініко-лабораторної ремісії встановлені статистично достовірні відмінності (р&lt;0,01). Зокрема, рівні МСР-1 достовірно знижувались у дітей від мінімального до максимального ступеня активності ГВ, що ймовірно свідчить на користь зменшення або ліквідації активного запального процесу судин та, як наслідок, тенденція до нормалізації порушень функції ендотелію віддзеркалюючи ефективністьі проведених лікувальних заходів.</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Статистично значущі позитивні кореляційні зв’язки рівнів МСР-1 в сироватці крові у дітей, хворих на геморагічний васкуліт різних ступенів активності, в гострий період та загальноприйнятих маркерів запалення свідчать про безпосередню участь цього хемокіну в процесі запалення судинної стінки. У дітей з мінімальним ступенем активності патологічного процесу достовірні коефіцієнти кореляції рівнів ШОЄ, серомукоїду та значень МСР-1 склали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+0,77 та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відповідно (n=19). У дітей з ІІ ступенем активності ГВ наявні статистично значущі кореляційні зв’язки рівнів лейкоцитів в периферичній крові, палочкоядерних нейтрофілів, сегментоядерних нейтрофілів та показників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+0,50,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=-0,49, відповідно, n=22). У дітей з максимальним ступенем активності ГВ виявлені достовірні коефіцієнти кореляції рівнів лейкоцитів в периферичній крові, ШОЕ, серомукоїду, γ-глобулінів та показників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+0,92,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+0,60 відповідно, n=19). Відомо, що МСР-1 продукує культура клітин ендотелію, причому активація цих клітин цитокінами, що сприяють розвитку запалення, ще більш посилює синтез даного хемокіну. </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Кореляційний аналіз зв’язку МСР-1 в сироватці крові та показників коагулограмми вказує на достовірні коефіцієнти кореляції рівнів активності зсідання (А, %) на другій хвилині інкубації гемолізат-кальцієвої суміші та </w:t>
      </w:r>
      <w:r w:rsidRPr="004E3FE9">
        <w:rPr>
          <w:rFonts w:ascii="Times New Roman" w:hAnsi="Times New Roman" w:cs="Times New Roman"/>
          <w:sz w:val="28"/>
          <w:szCs w:val="28"/>
          <w:lang w:val="uk-UA"/>
        </w:rPr>
        <w:lastRenderedPageBreak/>
        <w:t>значень МСР-1 у дітей від І до ІІІ ступеня активності ГВ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+0,66, n=19,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+0,42, n=22,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+0,46, відповідно, n=19).Такі дані можуть свідчить на користь впливу  хемокінів на коагуляційний потенціал крові за рахунок потенціювання запальної реакції, яка, зокрема, при ГВ розгортається на плацдармі ендотелію. </w:t>
      </w:r>
    </w:p>
    <w:p w:rsidR="002965AE" w:rsidRPr="004E3FE9" w:rsidRDefault="002965AE" w:rsidP="002965AE">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Треба зазначити, що у дітей з І ступенем активності достовірно значимих кореляційних зв’язків рівнів МСР-1 та показників специфічних та неспецифічих факторів захисту не виявлено. У дітей з ІІ ступенем активності ГВ наявні статистично значимі прямі коефіцієнти кореляції рівнів МСР-1 в сироватці крові та абсолютних і відносних рівнів CD4, співвідношення CD4/CD8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+0,87,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+0,84 відповідно, n=22) та достовірні зворотні кореляційні зв’язки рівнів МСР-1 і абсолютних та відносних значень CD8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-0,91, відповідно, n=22) свідчать на користь участі МСР-1 в активації Т-клітинної ланки імунітету. Наявні позитивні кореляційні зв’язки рівнів МСР-1 та рівнів CD16 свідчать про значну роль даного хемокіну в формуванні Th1 шляху імунної відповіді у хворих на ГВ. Однонаравлений кореляційний зв'язок рівнів МСР-1 і абсолютної та відносної кількості CD22, ймовірно, вказує на експресію МСР-1 В-лімфоцитами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+0,50,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+0,50, відповідно, n=22). Аналіз кореляційних зв'язків МСР-1 і показників фагоцитозу вказує на зворотні коефіцієнти кореляції рівнів фагоцитуючих нейтрофілів, фагоцитарного числа та рівнів МСР-1в сироватці крові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відповідно, n=22). Такі дані можуть свідчити на користь зниження компенсаторних можливостей фагоцитозу, який в умовах активної запальної реакції спрямований на елімінацію продуктів запалення та ЦІК. В свою чергу, в умовах недостатньої активності фагоцитарної ланки імунітету підвищується синтез МСР-1 з метою залучення до вогнища запалення макрофагів і компенсувати цим процес виснаження чи зменшити їх активність. Також нами відмічені прямі кореляційні зв'язки рівнів Ig A, Ig M, Ig G та показників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+0,45 відповідно, n=22), що вказує на вплив даного хемокіну </w:t>
      </w:r>
      <w:r w:rsidRPr="004E3FE9">
        <w:rPr>
          <w:rFonts w:ascii="Times New Roman" w:hAnsi="Times New Roman" w:cs="Times New Roman"/>
          <w:sz w:val="28"/>
          <w:szCs w:val="28"/>
          <w:lang w:val="uk-UA"/>
        </w:rPr>
        <w:lastRenderedPageBreak/>
        <w:t>на гуморальну ланку імунітету. У дітей з ІІІ ступенем ГВ прямі коефіцієнти кореляції визначені між рівнями абсолютної, відносної кількості CD4, абсолютної, відносної кількості CD16, абсолютної, відносної кількості CD22, Ig A, Ig M та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+0,80,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+0,76,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+0,50,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+0,55 відповідно, n=19). Виявлено статистично значимі зворотні кореляційні зв'язки рівнів абсолютної, відносної кількості CD8, фагоцитуючих нейтрофілів, фагоцитарного числа та показників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-0,72,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-0,83,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-0,54 відповідно, n=19).</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У дітей з мінімальною активністю ГВ виявлені наступні достовірні прямі кореляційні зв'язки рівнів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S-нітрозотіолу та рівнів МСР-1 в сироватці крові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+0,74,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+0,61, відповідно, n=19). У дітей з ІІ ступенем активності ГВ також виявлені однонапрвлені кореляційні зв'язки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S-нітрозотіолу, фактору Віллебранда та МСР-1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+0,58,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+0,44,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+0,53 відповідно, n=22). Такі взаємозв’язки рівнів МСР-1 та метаболітів оксиду азоту можливо пов’язані з пошкоджуючим впливом пероксинитриту, який утворюється внаслідок взаємодії оксиду азоту з супероксидом або пероксидом водороду на ендотелій судин. В свою чергу, ендотеліальні клітини у відповідь на ушкодження починають активно експресувати МСР-1. У дітей з ІІІ ступенем активності ГВ кореляційні зв'язки рівнів NO</w:t>
      </w:r>
      <w:r w:rsidRPr="004E3FE9">
        <w:rPr>
          <w:rFonts w:ascii="Times New Roman" w:hAnsi="Times New Roman" w:cs="Times New Roman"/>
          <w:sz w:val="28"/>
          <w:szCs w:val="28"/>
          <w:vertAlign w:val="subscript"/>
          <w:lang w:val="uk-UA"/>
        </w:rPr>
        <w:t>2</w:t>
      </w:r>
      <w:r w:rsidRPr="004E3FE9">
        <w:rPr>
          <w:rFonts w:ascii="Times New Roman" w:hAnsi="Times New Roman" w:cs="Times New Roman"/>
          <w:sz w:val="28"/>
          <w:szCs w:val="28"/>
          <w:lang w:val="uk-UA"/>
        </w:rPr>
        <w:t>, NO</w:t>
      </w:r>
      <w:r w:rsidRPr="004E3FE9">
        <w:rPr>
          <w:rFonts w:ascii="Times New Roman" w:hAnsi="Times New Roman" w:cs="Times New Roman"/>
          <w:sz w:val="28"/>
          <w:szCs w:val="28"/>
          <w:vertAlign w:val="subscript"/>
          <w:lang w:val="uk-UA"/>
        </w:rPr>
        <w:t>3</w:t>
      </w:r>
      <w:r w:rsidRPr="004E3FE9">
        <w:rPr>
          <w:rFonts w:ascii="Times New Roman" w:hAnsi="Times New Roman" w:cs="Times New Roman"/>
          <w:sz w:val="28"/>
          <w:szCs w:val="28"/>
          <w:lang w:val="uk-UA"/>
        </w:rPr>
        <w:t>, S-нітрозотіолу та рівнів МСР-1 набувають зворотного характеру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-0,55,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-0,46, r</w:t>
      </w:r>
      <w:r w:rsidRPr="004E3FE9">
        <w:rPr>
          <w:rFonts w:ascii="Times New Roman" w:hAnsi="Times New Roman" w:cs="Times New Roman"/>
          <w:sz w:val="28"/>
          <w:szCs w:val="28"/>
          <w:vertAlign w:val="subscript"/>
          <w:lang w:val="uk-UA"/>
        </w:rPr>
        <w:t>xy</w:t>
      </w:r>
      <w:r w:rsidRPr="004E3FE9">
        <w:rPr>
          <w:rFonts w:ascii="Times New Roman" w:hAnsi="Times New Roman" w:cs="Times New Roman"/>
          <w:sz w:val="28"/>
          <w:szCs w:val="28"/>
          <w:lang w:val="uk-UA"/>
        </w:rPr>
        <w:t xml:space="preserve"> = -0,46, відповідно, n=19). Такі зміни, ймовірно, свідчать про маніфестацію ушкодження ендотелію при підвищеному синтезі МСР-1 та знижених рівнів метаболітів NO.</w:t>
      </w:r>
    </w:p>
    <w:p w:rsidR="002965AE" w:rsidRPr="004E3FE9" w:rsidRDefault="002965AE" w:rsidP="002965AE">
      <w:pPr>
        <w:tabs>
          <w:tab w:val="left" w:pos="7251"/>
        </w:tabs>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Роль МСР-1 в патогенетичних механізмах ушкодження ендотелію та розвитку її дисфункції підтверджується виявленими статистично значущими різнонаправленими кореляційними зв’язками рівнів МСР-1 в сироватці крові та показниками ЕЗВД. Також під впливом МСР-1 відбувається проліферація гладких м'язів судин з секрецією ними прозапальних цитокінів, що сприяють прогресуванню захворювання за рахунок судинного ушкодження. Такі дані </w:t>
      </w:r>
      <w:r w:rsidRPr="004E3FE9">
        <w:rPr>
          <w:rFonts w:ascii="Times New Roman" w:hAnsi="Times New Roman" w:cs="Times New Roman"/>
          <w:sz w:val="28"/>
          <w:szCs w:val="28"/>
          <w:lang w:val="uk-UA"/>
        </w:rPr>
        <w:lastRenderedPageBreak/>
        <w:t>підтверджуються наявним позитивним коефіцієнтом кореляції рівнів МСР-1 та товщиною КІМ ЗСА у дітей з максимальним ступенем активності.</w:t>
      </w:r>
    </w:p>
    <w:p w:rsidR="002965AE" w:rsidRPr="004E3FE9" w:rsidRDefault="002965AE" w:rsidP="002965AE">
      <w:pPr>
        <w:spacing w:line="360" w:lineRule="auto"/>
        <w:ind w:firstLine="709"/>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Таким чином, підвищення рівнів МСР-1 та ендотеліальна дисфункція у дітей, хворих на ГВ представляються тісно асоційованими процесами, що призводять до прогресування захворювання з подальшим виникненням ускладнень.</w:t>
      </w:r>
    </w:p>
    <w:p w:rsidR="002965AE" w:rsidRPr="004E3FE9" w:rsidRDefault="002965AE" w:rsidP="00BD119A">
      <w:pPr>
        <w:spacing w:line="360" w:lineRule="auto"/>
        <w:ind w:firstLine="709"/>
        <w:contextualSpacing/>
        <w:jc w:val="both"/>
        <w:rPr>
          <w:rFonts w:ascii="Times New Roman" w:hAnsi="Times New Roman"/>
          <w:sz w:val="28"/>
          <w:szCs w:val="28"/>
          <w:lang w:val="uk-UA" w:eastAsia="ru-RU"/>
        </w:rPr>
      </w:pPr>
      <w:r w:rsidRPr="004E3FE9">
        <w:rPr>
          <w:rFonts w:ascii="Times New Roman" w:hAnsi="Times New Roman"/>
          <w:sz w:val="28"/>
          <w:szCs w:val="28"/>
          <w:lang w:val="uk-UA"/>
        </w:rPr>
        <w:t>Для того щоб з’ясувати, які фактори слід обов’язково враховувати під час здійснення прогнозу формування розвитку ниркового синдрому при ГВ виконано процедуру логістичного регресивного аналізу</w:t>
      </w:r>
      <w:r w:rsidRPr="004E3FE9">
        <w:rPr>
          <w:rFonts w:ascii="Times New Roman" w:hAnsi="Times New Roman"/>
          <w:sz w:val="28"/>
          <w:szCs w:val="28"/>
          <w:lang w:val="uk-UA" w:eastAsia="ru-RU"/>
        </w:rPr>
        <w:t xml:space="preserve"> та ROC-аналізу. </w:t>
      </w:r>
      <w:r w:rsidRPr="004E3FE9">
        <w:rPr>
          <w:rFonts w:ascii="Times New Roman" w:hAnsi="Times New Roman"/>
          <w:sz w:val="28"/>
          <w:szCs w:val="28"/>
          <w:lang w:val="uk-UA"/>
        </w:rPr>
        <w:t>Побудова логістичної регресійної моделі здійснювалося методом покрокового виключення прогностичних факторів з визначенням мінімального набору предикторів за оцінкою квадрата Нейджелкерка (значення коефіцієнта детермінації R2, що показує частку впливу всіх предикторов моделі на дисперсію залежною змінною).</w:t>
      </w:r>
      <w:r w:rsidRPr="004E3FE9">
        <w:rPr>
          <w:rFonts w:ascii="Times New Roman" w:hAnsi="Times New Roman"/>
          <w:bCs/>
          <w:sz w:val="28"/>
          <w:szCs w:val="28"/>
          <w:lang w:val="uk-UA" w:eastAsia="ru-RU"/>
        </w:rPr>
        <w:t xml:space="preserve"> </w:t>
      </w:r>
      <w:r w:rsidRPr="004E3FE9">
        <w:rPr>
          <w:rFonts w:ascii="Times New Roman" w:hAnsi="Times New Roman"/>
          <w:sz w:val="28"/>
          <w:szCs w:val="28"/>
          <w:lang w:val="uk-UA" w:eastAsia="ru-RU"/>
        </w:rPr>
        <w:t>Щоб перетворити рівняння логістичної регресії в діагностичний тест, необхідно задатися граничним значенням. Апарат RОС-аналізу дозволяє вибрати оптимальне порогове значення і оцінити передбачувану здатність одержуваного класифікатора.</w:t>
      </w:r>
    </w:p>
    <w:p w:rsidR="002965AE" w:rsidRPr="004E3FE9" w:rsidRDefault="002965AE" w:rsidP="00BD119A">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sz w:val="28"/>
          <w:szCs w:val="28"/>
          <w:lang w:val="uk-UA" w:eastAsia="ru-RU"/>
        </w:rPr>
        <w:t xml:space="preserve">Було з’ясовано, чинниками, значення яких слід враховувати під час прогнозування ниркового синдрому у дітей, хворих на геморагічний васкуліт, є рівні МСР-1, фактору Віллебранда та товщини КІМ ЗСА. </w:t>
      </w:r>
      <w:r w:rsidRPr="004E3FE9">
        <w:rPr>
          <w:rFonts w:ascii="Times New Roman" w:hAnsi="Times New Roman"/>
          <w:bCs/>
          <w:sz w:val="28"/>
          <w:szCs w:val="28"/>
          <w:lang w:val="uk-UA" w:eastAsia="ru-RU"/>
        </w:rPr>
        <w:t>За результатами проведеного аналізу було створено рівняння множинної регресії:</w:t>
      </w:r>
    </w:p>
    <w:p w:rsidR="002965AE" w:rsidRPr="004E3FE9" w:rsidRDefault="002965AE" w:rsidP="004F59FF">
      <w:pPr>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 xml:space="preserve">              1</w:t>
      </w:r>
    </w:p>
    <w:p w:rsidR="002965AE" w:rsidRPr="004E3FE9" w:rsidRDefault="002965AE" w:rsidP="004F59FF">
      <w:pPr>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Р= ---------------- ,</w:t>
      </w:r>
    </w:p>
    <w:p w:rsidR="002965AE" w:rsidRPr="004E3FE9" w:rsidRDefault="002965AE" w:rsidP="004F59FF">
      <w:pPr>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 xml:space="preserve">            1 + е</w:t>
      </w:r>
      <w:r w:rsidRPr="004E3FE9">
        <w:rPr>
          <w:rFonts w:ascii="Times New Roman" w:hAnsi="Times New Roman"/>
          <w:bCs/>
          <w:sz w:val="28"/>
          <w:szCs w:val="28"/>
          <w:vertAlign w:val="superscript"/>
          <w:lang w:val="uk-UA" w:eastAsia="ru-RU"/>
        </w:rPr>
        <w:t>-Z</w:t>
      </w:r>
    </w:p>
    <w:p w:rsidR="00A75E08" w:rsidRDefault="002965AE" w:rsidP="004F59FF">
      <w:pPr>
        <w:spacing w:line="360" w:lineRule="auto"/>
        <w:ind w:firstLine="709"/>
        <w:contextualSpacing/>
        <w:jc w:val="both"/>
        <w:rPr>
          <w:rFonts w:ascii="Times New Roman" w:hAnsi="Times New Roman"/>
          <w:bCs/>
          <w:sz w:val="28"/>
          <w:szCs w:val="28"/>
          <w:lang w:val="uk-UA" w:eastAsia="ru-RU"/>
        </w:rPr>
      </w:pPr>
      <w:r w:rsidRPr="004E3FE9">
        <w:rPr>
          <w:rFonts w:ascii="Times New Roman" w:hAnsi="Times New Roman"/>
          <w:bCs/>
          <w:sz w:val="28"/>
          <w:szCs w:val="28"/>
          <w:lang w:val="uk-UA" w:eastAsia="ru-RU"/>
        </w:rPr>
        <w:t>де Р - ймовірність прогнозованої події,</w:t>
      </w:r>
      <w:r w:rsidR="004F59FF" w:rsidRPr="004E3FE9">
        <w:rPr>
          <w:rFonts w:ascii="Times New Roman" w:hAnsi="Times New Roman"/>
          <w:bCs/>
          <w:sz w:val="28"/>
          <w:szCs w:val="28"/>
          <w:lang w:val="uk-UA" w:eastAsia="ru-RU"/>
        </w:rPr>
        <w:t xml:space="preserve"> </w:t>
      </w:r>
      <w:r w:rsidRPr="004E3FE9">
        <w:rPr>
          <w:rFonts w:ascii="Times New Roman" w:hAnsi="Times New Roman"/>
          <w:bCs/>
          <w:sz w:val="28"/>
          <w:szCs w:val="28"/>
          <w:lang w:val="uk-UA" w:eastAsia="ru-RU"/>
        </w:rPr>
        <w:t xml:space="preserve">z = 0,150 + (0,000608 * МСР-1) + (0,00683 * фактор Віллебранда) </w:t>
      </w:r>
      <w:r w:rsidR="004F59FF" w:rsidRPr="004E3FE9">
        <w:rPr>
          <w:rFonts w:ascii="Times New Roman" w:hAnsi="Times New Roman"/>
          <w:bCs/>
          <w:sz w:val="28"/>
          <w:szCs w:val="28"/>
          <w:lang w:val="uk-UA" w:eastAsia="ru-RU"/>
        </w:rPr>
        <w:t>–</w:t>
      </w:r>
      <w:r w:rsidRPr="004E3FE9">
        <w:rPr>
          <w:rFonts w:ascii="Times New Roman" w:hAnsi="Times New Roman"/>
          <w:bCs/>
          <w:sz w:val="28"/>
          <w:szCs w:val="28"/>
          <w:lang w:val="uk-UA" w:eastAsia="ru-RU"/>
        </w:rPr>
        <w:t xml:space="preserve"> (0,397 * товщина КІМ ЗСА)</w:t>
      </w:r>
      <w:r w:rsidR="004F59FF" w:rsidRPr="004E3FE9">
        <w:rPr>
          <w:rFonts w:ascii="Times New Roman" w:hAnsi="Times New Roman"/>
          <w:bCs/>
          <w:sz w:val="28"/>
          <w:szCs w:val="28"/>
          <w:lang w:val="uk-UA" w:eastAsia="ru-RU"/>
        </w:rPr>
        <w:t>; е - математична константа 2,72.</w:t>
      </w:r>
    </w:p>
    <w:p w:rsidR="00810999" w:rsidRPr="004E3FE9" w:rsidRDefault="00810999" w:rsidP="004F59FF">
      <w:pPr>
        <w:spacing w:line="360" w:lineRule="auto"/>
        <w:ind w:firstLine="709"/>
        <w:contextualSpacing/>
        <w:jc w:val="both"/>
        <w:rPr>
          <w:rFonts w:ascii="Times New Roman" w:hAnsi="Times New Roman"/>
          <w:bCs/>
          <w:sz w:val="28"/>
          <w:szCs w:val="28"/>
          <w:lang w:val="uk-UA" w:eastAsia="ru-RU"/>
        </w:rPr>
      </w:pPr>
    </w:p>
    <w:p w:rsidR="00987C5F" w:rsidRDefault="00987C5F" w:rsidP="0099056E">
      <w:pPr>
        <w:pStyle w:val="1"/>
        <w:spacing w:line="360" w:lineRule="auto"/>
        <w:contextualSpacing/>
        <w:jc w:val="center"/>
        <w:rPr>
          <w:rFonts w:ascii="Times New Roman" w:hAnsi="Times New Roman"/>
          <w:bCs w:val="0"/>
          <w:color w:val="000000" w:themeColor="text1"/>
          <w:lang w:val="uk-UA" w:eastAsia="ru-RU"/>
        </w:rPr>
      </w:pPr>
      <w:bookmarkStart w:id="22" w:name="_Toc465797619"/>
      <w:r w:rsidRPr="004E3FE9">
        <w:rPr>
          <w:rFonts w:ascii="Times New Roman" w:hAnsi="Times New Roman"/>
          <w:bCs w:val="0"/>
          <w:color w:val="000000" w:themeColor="text1"/>
          <w:lang w:val="uk-UA" w:eastAsia="ru-RU"/>
        </w:rPr>
        <w:lastRenderedPageBreak/>
        <w:t>ВИСНОВКИ</w:t>
      </w:r>
      <w:bookmarkEnd w:id="22"/>
    </w:p>
    <w:p w:rsidR="00810999" w:rsidRDefault="00810999" w:rsidP="00810999">
      <w:pPr>
        <w:rPr>
          <w:lang w:val="uk-UA" w:eastAsia="ru-RU"/>
        </w:rPr>
      </w:pPr>
    </w:p>
    <w:p w:rsidR="00810999" w:rsidRDefault="00810999" w:rsidP="00810999">
      <w:pPr>
        <w:rPr>
          <w:lang w:val="uk-UA" w:eastAsia="ru-RU"/>
        </w:rPr>
      </w:pPr>
    </w:p>
    <w:p w:rsidR="00810999" w:rsidRPr="00810999" w:rsidRDefault="00810999" w:rsidP="00810999">
      <w:pPr>
        <w:rPr>
          <w:lang w:val="uk-UA" w:eastAsia="ru-RU"/>
        </w:rPr>
      </w:pPr>
    </w:p>
    <w:p w:rsidR="00810999" w:rsidRPr="00810999" w:rsidRDefault="0099056E" w:rsidP="00810999">
      <w:pPr>
        <w:spacing w:line="360" w:lineRule="auto"/>
        <w:contextualSpacing/>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1.</w:t>
      </w:r>
      <w:r w:rsidRPr="004E3FE9">
        <w:rPr>
          <w:rFonts w:ascii="Times New Roman" w:hAnsi="Times New Roman" w:cs="Times New Roman"/>
          <w:sz w:val="28"/>
          <w:szCs w:val="28"/>
          <w:lang w:val="uk-UA"/>
        </w:rPr>
        <w:tab/>
      </w:r>
      <w:r w:rsidR="00810999" w:rsidRPr="00810999">
        <w:rPr>
          <w:rFonts w:ascii="Times New Roman" w:hAnsi="Times New Roman" w:cs="Times New Roman"/>
          <w:sz w:val="28"/>
          <w:szCs w:val="28"/>
          <w:lang w:val="uk-UA"/>
        </w:rPr>
        <w:t>У роботі представлено нове вирішення завдання сучасної педіатрії щодо вдосконалення прогнозування перебігу та ускладнень геморагічного васкуліту в дітей на підставі вивчення ролі моноцитарного хемотаксичного протеїну-1, метаболітів оксиду азоту, фактору Віллебранда та морфофункціонального стану судин у механізмах розвитку та прогресування цієї патології.</w:t>
      </w:r>
    </w:p>
    <w:p w:rsidR="00810999" w:rsidRPr="00810999" w:rsidRDefault="00810999" w:rsidP="00810999">
      <w:pPr>
        <w:spacing w:line="360" w:lineRule="auto"/>
        <w:contextualSpacing/>
        <w:jc w:val="both"/>
        <w:rPr>
          <w:rFonts w:ascii="Times New Roman" w:hAnsi="Times New Roman" w:cs="Times New Roman"/>
          <w:sz w:val="28"/>
          <w:szCs w:val="28"/>
          <w:lang w:val="uk-UA"/>
        </w:rPr>
      </w:pPr>
      <w:r w:rsidRPr="00810999">
        <w:rPr>
          <w:rFonts w:ascii="Times New Roman" w:hAnsi="Times New Roman" w:cs="Times New Roman"/>
          <w:sz w:val="28"/>
          <w:szCs w:val="28"/>
          <w:lang w:val="uk-UA"/>
        </w:rPr>
        <w:t>2.</w:t>
      </w:r>
      <w:r w:rsidRPr="00810999">
        <w:rPr>
          <w:rFonts w:ascii="Times New Roman" w:hAnsi="Times New Roman" w:cs="Times New Roman"/>
          <w:sz w:val="28"/>
          <w:szCs w:val="28"/>
          <w:lang w:val="uk-UA"/>
        </w:rPr>
        <w:tab/>
        <w:t>У дітей, хворих на ГВ, визначаються суттєві високодостовірні зміни (р&lt;0,01) показників, що характеризують функцію ендотелію судин (метаболітів оксиду азоту – NO2, NO3, S-нітрозотіол), фактору Віллебранда в сироватці крові, товщини КІМ ЗСА та ендотелійзалежної вазодилатації), а також моноцитарного хемотаксичного протеїну-1, ступінь змін яких знаходиться в прямій залежності від активності, форми перебігу та ниркових ускладнень захворювання, але не залежить від статі та віку пацієнтів.</w:t>
      </w:r>
    </w:p>
    <w:p w:rsidR="00810999" w:rsidRPr="00810999" w:rsidRDefault="00810999" w:rsidP="00810999">
      <w:pPr>
        <w:spacing w:line="360" w:lineRule="auto"/>
        <w:contextualSpacing/>
        <w:jc w:val="both"/>
        <w:rPr>
          <w:rFonts w:ascii="Times New Roman" w:hAnsi="Times New Roman" w:cs="Times New Roman"/>
          <w:sz w:val="28"/>
          <w:szCs w:val="28"/>
          <w:lang w:val="uk-UA"/>
        </w:rPr>
      </w:pPr>
      <w:r w:rsidRPr="00810999">
        <w:rPr>
          <w:rFonts w:ascii="Times New Roman" w:hAnsi="Times New Roman" w:cs="Times New Roman"/>
          <w:sz w:val="28"/>
          <w:szCs w:val="28"/>
          <w:lang w:val="uk-UA"/>
        </w:rPr>
        <w:t>3.</w:t>
      </w:r>
      <w:r w:rsidRPr="00810999">
        <w:rPr>
          <w:rFonts w:ascii="Times New Roman" w:hAnsi="Times New Roman" w:cs="Times New Roman"/>
          <w:sz w:val="28"/>
          <w:szCs w:val="28"/>
          <w:lang w:val="uk-UA"/>
        </w:rPr>
        <w:tab/>
        <w:t xml:space="preserve">Морфофункційні зміни ендотелію судин у дітей з ГВ з максимальним ступенем активності характеризуються стовщенням КІМ ЗСА до 0,9 (0,9;1,0) мм, перевищуючи нормативи на 50 % (р&lt;0,01), особливо при змішаній формі з нирковим синдромом (1,0 (0,9;1,0) мм) з достовірними виявами вазоконстрикції (р&lt;0,01), особливо у хворих зі змішаною (-10,71 (-13,79;-3,47)%) та змішаною формою з нирковим синдромом (-12,00 (-14,28;-9,67)%). Угенезівстановлених змін суттєва значимість належить дисфункції вазорегуляторних механізмів зі зниженням вазодилататорних функцій метаболітів оксиду азоту, достовірне зниження рівня котрих(NO2, NO3, S-нітрозотіолу в сироватці крові) зростає за мірою зростання тяжкості та активності захворювання. </w:t>
      </w:r>
    </w:p>
    <w:p w:rsidR="00810999" w:rsidRPr="00810999" w:rsidRDefault="00810999" w:rsidP="00810999">
      <w:pPr>
        <w:spacing w:line="360" w:lineRule="auto"/>
        <w:contextualSpacing/>
        <w:jc w:val="both"/>
        <w:rPr>
          <w:rFonts w:ascii="Times New Roman" w:hAnsi="Times New Roman" w:cs="Times New Roman"/>
          <w:sz w:val="28"/>
          <w:szCs w:val="28"/>
          <w:lang w:val="uk-UA"/>
        </w:rPr>
      </w:pPr>
      <w:r w:rsidRPr="00810999">
        <w:rPr>
          <w:rFonts w:ascii="Times New Roman" w:hAnsi="Times New Roman" w:cs="Times New Roman"/>
          <w:sz w:val="28"/>
          <w:szCs w:val="28"/>
          <w:lang w:val="uk-UA"/>
        </w:rPr>
        <w:t>4.</w:t>
      </w:r>
      <w:r w:rsidRPr="00810999">
        <w:rPr>
          <w:rFonts w:ascii="Times New Roman" w:hAnsi="Times New Roman" w:cs="Times New Roman"/>
          <w:sz w:val="28"/>
          <w:szCs w:val="28"/>
          <w:lang w:val="uk-UA"/>
        </w:rPr>
        <w:tab/>
        <w:t xml:space="preserve">Моноцитарний хемотаксичний протеїн-1 при рівні понад                         1239 (900;1627) пг/мл виявляє предикторні властивості активності та </w:t>
      </w:r>
      <w:r w:rsidRPr="00810999">
        <w:rPr>
          <w:rFonts w:ascii="Times New Roman" w:hAnsi="Times New Roman" w:cs="Times New Roman"/>
          <w:sz w:val="28"/>
          <w:szCs w:val="28"/>
          <w:lang w:val="uk-UA"/>
        </w:rPr>
        <w:lastRenderedPageBreak/>
        <w:t>тяжкості перебігу геморагічного васкуліту в дітей, а зростання концентрації МСР-1 та вище 2040 пг/мл асоціюється з розвитком ускладнень – ниркового синдрому. Показник відносного ризику розвитку ниркового синдрому при цих рівнях МСР-1 у сироватці крові при ГВ у дітей становив 11,5 95% ДІ: 2,6-49,1.</w:t>
      </w:r>
    </w:p>
    <w:p w:rsidR="00810999" w:rsidRPr="00810999" w:rsidRDefault="00810999" w:rsidP="00810999">
      <w:pPr>
        <w:spacing w:line="360" w:lineRule="auto"/>
        <w:contextualSpacing/>
        <w:jc w:val="both"/>
        <w:rPr>
          <w:rFonts w:ascii="Times New Roman" w:hAnsi="Times New Roman" w:cs="Times New Roman"/>
          <w:sz w:val="28"/>
          <w:szCs w:val="28"/>
          <w:lang w:val="uk-UA"/>
        </w:rPr>
      </w:pPr>
      <w:r w:rsidRPr="00810999">
        <w:rPr>
          <w:rFonts w:ascii="Times New Roman" w:hAnsi="Times New Roman" w:cs="Times New Roman"/>
          <w:sz w:val="28"/>
          <w:szCs w:val="28"/>
          <w:lang w:val="uk-UA"/>
        </w:rPr>
        <w:t>5.</w:t>
      </w:r>
      <w:r w:rsidRPr="00810999">
        <w:rPr>
          <w:rFonts w:ascii="Times New Roman" w:hAnsi="Times New Roman" w:cs="Times New Roman"/>
          <w:sz w:val="28"/>
          <w:szCs w:val="28"/>
          <w:lang w:val="uk-UA"/>
        </w:rPr>
        <w:tab/>
        <w:t>Тісний зв'язок рівнів метаболітів оксиду азоту, фактору Віллебранда,   МСР-1, КІМ ЗСА, ЕЗВД плечової артерії та показників гострої фази запалення, ЦІК, Ig A, M, G, CD22, CD4, кисневозалежних (NST) та кисневонезалежних (ЛКБ) механізмів фагоцитозу, значень коагуляційного потенціалу крові вказують не тільки на наявність ендотеліальної дисфункції, а й на причетність морфофункційного стану ендотелію судин, метаболітів оксиду азоту, фактору Віллебранда, МСР-1 до формування, прогресування запалення, відбиваючи ініціюючий вплив хемокінів та дисфункції ендотелію на прогностично несприятливий перебіг ГВ у дітей та розвиток його ускладнень.</w:t>
      </w:r>
    </w:p>
    <w:p w:rsidR="00D04688" w:rsidRPr="004E3FE9" w:rsidRDefault="00810999" w:rsidP="00810999">
      <w:pPr>
        <w:spacing w:line="360" w:lineRule="auto"/>
        <w:contextualSpacing/>
        <w:jc w:val="both"/>
        <w:rPr>
          <w:rFonts w:ascii="Times New Roman" w:hAnsi="Times New Roman" w:cs="Times New Roman"/>
          <w:sz w:val="28"/>
          <w:szCs w:val="28"/>
          <w:lang w:val="uk-UA"/>
        </w:rPr>
      </w:pPr>
      <w:r w:rsidRPr="00810999">
        <w:rPr>
          <w:rFonts w:ascii="Times New Roman" w:hAnsi="Times New Roman" w:cs="Times New Roman"/>
          <w:sz w:val="28"/>
          <w:szCs w:val="28"/>
          <w:lang w:val="uk-UA"/>
        </w:rPr>
        <w:t>6.</w:t>
      </w:r>
      <w:r w:rsidRPr="00810999">
        <w:rPr>
          <w:rFonts w:ascii="Times New Roman" w:hAnsi="Times New Roman" w:cs="Times New Roman"/>
          <w:sz w:val="28"/>
          <w:szCs w:val="28"/>
          <w:lang w:val="uk-UA"/>
        </w:rPr>
        <w:tab/>
        <w:t>Статистично значущими показниками прогнозу несприятливого перебігу та розвитку ниркових ускладнень ГВ у дітей згідно з результатами аналізу процедури покрокового виключення прогностичних факторів з визначенням мінімального набору предикторів є рівні МСР-1, фактору Віллебранда та товщини КІМ ЗСА.</w:t>
      </w:r>
    </w:p>
    <w:p w:rsidR="00D04688" w:rsidRPr="004E3FE9" w:rsidRDefault="00D04688" w:rsidP="00D04688">
      <w:pPr>
        <w:spacing w:line="360" w:lineRule="auto"/>
        <w:jc w:val="both"/>
        <w:rPr>
          <w:rFonts w:ascii="Times New Roman" w:hAnsi="Times New Roman" w:cs="Times New Roman"/>
          <w:sz w:val="28"/>
          <w:szCs w:val="28"/>
          <w:lang w:val="uk-UA"/>
        </w:rPr>
      </w:pPr>
    </w:p>
    <w:p w:rsidR="00D04688" w:rsidRPr="004E3FE9" w:rsidRDefault="00D04688" w:rsidP="00D04688">
      <w:pPr>
        <w:spacing w:line="360" w:lineRule="auto"/>
        <w:jc w:val="both"/>
        <w:rPr>
          <w:rFonts w:ascii="Times New Roman" w:hAnsi="Times New Roman" w:cs="Times New Roman"/>
          <w:sz w:val="28"/>
          <w:szCs w:val="28"/>
          <w:lang w:val="uk-UA"/>
        </w:rPr>
      </w:pPr>
    </w:p>
    <w:p w:rsidR="00D04688" w:rsidRPr="004E3FE9" w:rsidRDefault="00D04688" w:rsidP="00D04688">
      <w:pPr>
        <w:spacing w:line="360" w:lineRule="auto"/>
        <w:jc w:val="both"/>
        <w:rPr>
          <w:rFonts w:ascii="Times New Roman" w:hAnsi="Times New Roman" w:cs="Times New Roman"/>
          <w:sz w:val="28"/>
          <w:szCs w:val="28"/>
          <w:lang w:val="uk-UA"/>
        </w:rPr>
      </w:pPr>
    </w:p>
    <w:p w:rsidR="00CC1596" w:rsidRPr="004E3FE9" w:rsidRDefault="00CC1596" w:rsidP="00D04688">
      <w:pPr>
        <w:spacing w:line="360" w:lineRule="auto"/>
        <w:jc w:val="center"/>
        <w:rPr>
          <w:rFonts w:ascii="Times New Roman" w:hAnsi="Times New Roman" w:cs="Times New Roman"/>
          <w:sz w:val="28"/>
          <w:szCs w:val="28"/>
          <w:lang w:val="uk-UA"/>
        </w:rPr>
      </w:pPr>
    </w:p>
    <w:p w:rsidR="0099056E" w:rsidRDefault="0099056E" w:rsidP="00D04688">
      <w:pPr>
        <w:spacing w:line="360" w:lineRule="auto"/>
        <w:jc w:val="center"/>
        <w:rPr>
          <w:rFonts w:ascii="Times New Roman" w:hAnsi="Times New Roman" w:cs="Times New Roman"/>
          <w:sz w:val="28"/>
          <w:szCs w:val="28"/>
          <w:lang w:val="uk-UA"/>
        </w:rPr>
      </w:pPr>
    </w:p>
    <w:p w:rsidR="00810999" w:rsidRPr="004E3FE9" w:rsidRDefault="00810999" w:rsidP="00D04688">
      <w:pPr>
        <w:spacing w:line="360" w:lineRule="auto"/>
        <w:jc w:val="center"/>
        <w:rPr>
          <w:rFonts w:ascii="Times New Roman" w:hAnsi="Times New Roman" w:cs="Times New Roman"/>
          <w:sz w:val="28"/>
          <w:szCs w:val="28"/>
          <w:lang w:val="uk-UA"/>
        </w:rPr>
      </w:pPr>
    </w:p>
    <w:p w:rsidR="008524CA" w:rsidRDefault="00987C5F" w:rsidP="00CC1596">
      <w:pPr>
        <w:pStyle w:val="1"/>
        <w:spacing w:line="360" w:lineRule="auto"/>
        <w:jc w:val="center"/>
        <w:rPr>
          <w:rFonts w:ascii="Times New Roman" w:hAnsi="Times New Roman" w:cs="Times New Roman"/>
          <w:color w:val="000000" w:themeColor="text1"/>
          <w:lang w:val="uk-UA"/>
        </w:rPr>
      </w:pPr>
      <w:bookmarkStart w:id="23" w:name="_Toc465797620"/>
      <w:r w:rsidRPr="004E3FE9">
        <w:rPr>
          <w:rFonts w:ascii="Times New Roman" w:hAnsi="Times New Roman" w:cs="Times New Roman"/>
          <w:color w:val="000000" w:themeColor="text1"/>
          <w:lang w:val="uk-UA"/>
        </w:rPr>
        <w:lastRenderedPageBreak/>
        <w:t>ПРАКТИЧНІ РЕКОМЕНДАЦІЇ</w:t>
      </w:r>
      <w:bookmarkEnd w:id="23"/>
    </w:p>
    <w:p w:rsidR="00810999" w:rsidRDefault="00810999" w:rsidP="00810999">
      <w:pPr>
        <w:rPr>
          <w:lang w:val="uk-UA"/>
        </w:rPr>
      </w:pPr>
    </w:p>
    <w:p w:rsidR="00810999" w:rsidRDefault="00810999" w:rsidP="00810999">
      <w:pPr>
        <w:rPr>
          <w:lang w:val="uk-UA"/>
        </w:rPr>
      </w:pPr>
    </w:p>
    <w:p w:rsidR="00810999" w:rsidRPr="00810999" w:rsidRDefault="00810999" w:rsidP="00810999">
      <w:pPr>
        <w:rPr>
          <w:lang w:val="uk-UA"/>
        </w:rPr>
      </w:pPr>
    </w:p>
    <w:p w:rsidR="00810999" w:rsidRPr="00810999" w:rsidRDefault="00810999" w:rsidP="00810999">
      <w:pPr>
        <w:pStyle w:val="a7"/>
        <w:numPr>
          <w:ilvl w:val="0"/>
          <w:numId w:val="12"/>
        </w:numPr>
        <w:spacing w:line="360" w:lineRule="auto"/>
        <w:ind w:left="0" w:firstLine="0"/>
        <w:jc w:val="both"/>
        <w:rPr>
          <w:rFonts w:ascii="Times New Roman" w:hAnsi="Times New Roman" w:cs="Times New Roman"/>
          <w:sz w:val="28"/>
          <w:szCs w:val="28"/>
          <w:lang w:val="uk-UA"/>
        </w:rPr>
      </w:pPr>
      <w:r w:rsidRPr="00810999">
        <w:rPr>
          <w:rFonts w:ascii="Times New Roman" w:hAnsi="Times New Roman" w:cs="Times New Roman"/>
          <w:sz w:val="28"/>
          <w:szCs w:val="28"/>
          <w:lang w:val="uk-UA"/>
        </w:rPr>
        <w:t>З метою моніторингу перебігу ГВ у дітей рекомендується використовувати неінвазивні методи визначення товщини КІМ ЗСА та ендотелійзалежної вазодилатації плечової артерії в динаміці захворювання. Збереження товщини КІМ ЗСА понад 0,9 (0,9;1,0) мм та показників приросту діаметру ПА з негативними (-13,79 (-17,14;-9,67)%) значеннями поза активністю ГВможуть свідчити про несприятливий перебіг запального процесу.</w:t>
      </w:r>
    </w:p>
    <w:p w:rsidR="00810999" w:rsidRPr="00810999" w:rsidRDefault="00810999" w:rsidP="00810999">
      <w:pPr>
        <w:pStyle w:val="a7"/>
        <w:numPr>
          <w:ilvl w:val="0"/>
          <w:numId w:val="12"/>
        </w:numPr>
        <w:spacing w:line="360" w:lineRule="auto"/>
        <w:ind w:left="0" w:firstLine="0"/>
        <w:jc w:val="both"/>
        <w:rPr>
          <w:rFonts w:ascii="Times New Roman" w:hAnsi="Times New Roman" w:cs="Times New Roman"/>
          <w:sz w:val="28"/>
          <w:szCs w:val="28"/>
          <w:lang w:val="uk-UA"/>
        </w:rPr>
      </w:pPr>
      <w:r w:rsidRPr="00810999">
        <w:rPr>
          <w:rFonts w:ascii="Times New Roman" w:hAnsi="Times New Roman" w:cs="Times New Roman"/>
          <w:sz w:val="28"/>
          <w:szCs w:val="28"/>
          <w:lang w:val="uk-UA"/>
        </w:rPr>
        <w:t>З метою прогнозування несприятливого перебігу ГВ у дітей рекомендується використовувати поряд з морфофункційними показниками стану ендотелію судин, визначення рівнів у сироватці крові фактору Віллебранда, NO2, NO3, S-нітрозотіолу. Показники фактору Віллебранда вище за (185,31%), зниження рівнів NO2 (6,9 мкмоль/л), NO3 (14,7 мкмоль/л), S-нітрозотіолу (0,15 ммоль/л) у поєднанні з підвищенням товщини КІМ ЗСА і негативними значеннями приросту діаметра ПА можуть використовуватися як маркери прогресування та несприятливого перебігу ГВ у дітей.</w:t>
      </w:r>
    </w:p>
    <w:p w:rsidR="00A75E08" w:rsidRPr="00810999" w:rsidRDefault="00810999" w:rsidP="00810999">
      <w:pPr>
        <w:pStyle w:val="a7"/>
        <w:numPr>
          <w:ilvl w:val="0"/>
          <w:numId w:val="12"/>
        </w:numPr>
        <w:spacing w:line="360" w:lineRule="auto"/>
        <w:ind w:left="0" w:firstLine="0"/>
        <w:jc w:val="both"/>
        <w:rPr>
          <w:rFonts w:ascii="Times New Roman" w:hAnsi="Times New Roman"/>
          <w:bCs/>
          <w:sz w:val="28"/>
          <w:szCs w:val="28"/>
          <w:lang w:val="uk-UA" w:eastAsia="ru-RU"/>
        </w:rPr>
      </w:pPr>
      <w:r w:rsidRPr="00810999">
        <w:rPr>
          <w:rFonts w:ascii="Times New Roman" w:hAnsi="Times New Roman" w:cs="Times New Roman"/>
          <w:sz w:val="28"/>
          <w:szCs w:val="28"/>
          <w:lang w:val="uk-UA"/>
        </w:rPr>
        <w:t>Для прогнозування розвитку ниркових ускладнень ГВ у дітей рекомендовано використовувати визначення рівнів МСР-1 у сироватці крові, значення яких від 2040,0 пг/мл і вище вказує на можливість розвитку ниркового синдрому, показник відносного ризику якого становить RR=11,5 95% ДІ: 2,6-49,1. Застосування розробленого алгоритму прогнозування розвитку ниркового синдрому в дітей, хворих на ГВ, з урахування таких чинників, як рівні МСР-1, фактору Віллебранда та товщини КІМ ЗСА, за рівнянням множинної регресії суттєво поліпшує результативність прогнозу.Рівень прогнозу розвитку ниркового синдрому в дітей, хворих на геморагічний васкуліт має становити не менше 75%.</w:t>
      </w:r>
    </w:p>
    <w:p w:rsidR="006C0EE6" w:rsidRDefault="006C0EE6" w:rsidP="0099056E">
      <w:pPr>
        <w:pStyle w:val="1"/>
        <w:spacing w:line="360" w:lineRule="auto"/>
        <w:jc w:val="center"/>
        <w:rPr>
          <w:rFonts w:ascii="Times New Roman" w:eastAsia="Times New Roman" w:hAnsi="Times New Roman" w:cs="Times New Roman"/>
          <w:iCs/>
          <w:color w:val="000000" w:themeColor="text1"/>
          <w:lang w:val="uk-UA" w:eastAsia="ru-RU"/>
        </w:rPr>
      </w:pPr>
      <w:bookmarkStart w:id="24" w:name="_Toc465797621"/>
      <w:r w:rsidRPr="004E3FE9">
        <w:rPr>
          <w:rFonts w:ascii="Times New Roman" w:eastAsia="Times New Roman" w:hAnsi="Times New Roman" w:cs="Times New Roman"/>
          <w:iCs/>
          <w:color w:val="000000" w:themeColor="text1"/>
          <w:lang w:val="uk-UA" w:eastAsia="ru-RU"/>
        </w:rPr>
        <w:lastRenderedPageBreak/>
        <w:t>ПЕРЕЛІК ВИКОРИСТАНИХ ДЖЕРЕЛ</w:t>
      </w:r>
      <w:bookmarkEnd w:id="24"/>
    </w:p>
    <w:p w:rsidR="0003517F" w:rsidRDefault="0003517F" w:rsidP="0003517F">
      <w:pPr>
        <w:rPr>
          <w:lang w:val="uk-UA" w:eastAsia="ru-RU"/>
        </w:rPr>
      </w:pPr>
    </w:p>
    <w:p w:rsidR="0003517F" w:rsidRDefault="0003517F" w:rsidP="0003517F">
      <w:pPr>
        <w:rPr>
          <w:lang w:val="uk-UA" w:eastAsia="ru-RU"/>
        </w:rPr>
      </w:pPr>
    </w:p>
    <w:p w:rsidR="0003517F" w:rsidRPr="0003517F" w:rsidRDefault="0003517F" w:rsidP="0003517F">
      <w:pPr>
        <w:rPr>
          <w:lang w:val="uk-UA" w:eastAsia="ru-RU"/>
        </w:rPr>
      </w:pPr>
    </w:p>
    <w:p w:rsidR="006C0EE6" w:rsidRPr="004E3FE9" w:rsidRDefault="0099056E" w:rsidP="0099056E">
      <w:pPr>
        <w:pStyle w:val="a7"/>
        <w:numPr>
          <w:ilvl w:val="0"/>
          <w:numId w:val="7"/>
        </w:numPr>
        <w:spacing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Андронов Е.</w:t>
      </w:r>
      <w:r w:rsidR="006C0EE6" w:rsidRPr="004E3FE9">
        <w:rPr>
          <w:rFonts w:ascii="Times New Roman" w:hAnsi="Times New Roman" w:cs="Times New Roman"/>
          <w:bCs/>
          <w:color w:val="000000" w:themeColor="text1"/>
          <w:sz w:val="28"/>
          <w:szCs w:val="28"/>
          <w:lang w:val="uk-UA"/>
        </w:rPr>
        <w:t>В. Роль оксида азота в регуляции микроциркуляторного звена системы гемостаза (обзор литературы) / Киричук В.Ф., Иванов А.Н., Мамонтова Н. В. // Саратовский научно-медицинский журнал. – 2007. – Т. 3, №. 3. – С. 39-44</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 xml:space="preserve">Аракелова Э.A. Мембраноатакующий комплекс как показатель гиперактивации комплемента при сахарном диабете 2 типа / </w:t>
      </w:r>
      <w:r w:rsidR="006E7416"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Э.A. Аракелова, М.Р. Овсепян, А.С. Бояджян // Сахарный диабет. — 2011. — № 3. — С. 17–20.</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Атаман О.В. Патологічна фізіологія в запитаннях і відповідях. Навчальний посібник. Видання друге, перероблене і доповнене / Атаман О.В. - Вінниця: Нова Книга, 2008. - 256 с.</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Атраментова Л.О. Статистичні методи в біології / Л.О.</w:t>
      </w:r>
      <w:r w:rsidR="006E7416"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xml:space="preserve">Атраментова, </w:t>
      </w:r>
      <w:r w:rsidR="006E7416"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О.М.</w:t>
      </w:r>
      <w:r w:rsidR="0099056E"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xml:space="preserve">Утевська.- Горлівка: ПП «Видавництво Ліхтар», 2008. – 248с. </w:t>
      </w:r>
    </w:p>
    <w:p w:rsidR="006C0EE6" w:rsidRPr="004E3FE9" w:rsidRDefault="006E741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Ахминеева А.</w:t>
      </w:r>
      <w:r w:rsidR="006C0EE6" w:rsidRPr="004E3FE9">
        <w:rPr>
          <w:rFonts w:ascii="Times New Roman" w:hAnsi="Times New Roman" w:cs="Times New Roman"/>
          <w:bCs/>
          <w:color w:val="000000" w:themeColor="text1"/>
          <w:sz w:val="28"/>
          <w:szCs w:val="28"/>
          <w:lang w:val="uk-UA"/>
        </w:rPr>
        <w:t>Х. Роль VNTR полиморфизма гена эндотелиальной синтазы оксида азота в развитии респираторно-кардиальной коморбидности /</w:t>
      </w:r>
      <w:r w:rsidRPr="004E3FE9">
        <w:rPr>
          <w:rFonts w:ascii="Times New Roman" w:hAnsi="Times New Roman" w:cs="Times New Roman"/>
          <w:bCs/>
          <w:color w:val="000000" w:themeColor="text1"/>
          <w:sz w:val="28"/>
          <w:szCs w:val="28"/>
          <w:lang w:val="uk-UA"/>
        </w:rPr>
        <w:t xml:space="preserve">   А.</w:t>
      </w:r>
      <w:r w:rsidR="006C0EE6" w:rsidRPr="004E3FE9">
        <w:rPr>
          <w:rFonts w:ascii="Times New Roman" w:hAnsi="Times New Roman" w:cs="Times New Roman"/>
          <w:bCs/>
          <w:color w:val="000000" w:themeColor="text1"/>
          <w:sz w:val="28"/>
          <w:szCs w:val="28"/>
          <w:lang w:val="uk-UA"/>
        </w:rPr>
        <w:t xml:space="preserve">Х. Ахминеева, </w:t>
      </w:r>
      <w:r w:rsidRPr="004E3FE9">
        <w:rPr>
          <w:rFonts w:ascii="Times New Roman" w:hAnsi="Times New Roman" w:cs="Times New Roman"/>
          <w:bCs/>
          <w:color w:val="000000" w:themeColor="text1"/>
          <w:sz w:val="28"/>
          <w:szCs w:val="28"/>
          <w:lang w:val="uk-UA"/>
        </w:rPr>
        <w:t>О.</w:t>
      </w:r>
      <w:r w:rsidR="006C0EE6" w:rsidRPr="004E3FE9">
        <w:rPr>
          <w:rFonts w:ascii="Times New Roman" w:hAnsi="Times New Roman" w:cs="Times New Roman"/>
          <w:bCs/>
          <w:color w:val="000000" w:themeColor="text1"/>
          <w:sz w:val="28"/>
          <w:szCs w:val="28"/>
          <w:lang w:val="uk-UA"/>
        </w:rPr>
        <w:t>С.</w:t>
      </w:r>
      <w:r w:rsidRPr="004E3FE9">
        <w:rPr>
          <w:rFonts w:ascii="Times New Roman" w:hAnsi="Times New Roman" w:cs="Times New Roman"/>
          <w:bCs/>
          <w:color w:val="000000" w:themeColor="text1"/>
          <w:sz w:val="28"/>
          <w:szCs w:val="28"/>
          <w:lang w:val="uk-UA"/>
        </w:rPr>
        <w:t xml:space="preserve"> Полунина, И.В. Севостьянова, Л.</w:t>
      </w:r>
      <w:r w:rsidR="006C0EE6" w:rsidRPr="004E3FE9">
        <w:rPr>
          <w:rFonts w:ascii="Times New Roman" w:hAnsi="Times New Roman" w:cs="Times New Roman"/>
          <w:bCs/>
          <w:color w:val="000000" w:themeColor="text1"/>
          <w:sz w:val="28"/>
          <w:szCs w:val="28"/>
          <w:lang w:val="uk-UA"/>
        </w:rPr>
        <w:t>П. Воронина // Курский научно-практический вестник "Человек и его здоровье". – 2014. – №. 3. – С. 10 – 15</w:t>
      </w:r>
    </w:p>
    <w:p w:rsidR="006C0EE6" w:rsidRPr="004E3FE9" w:rsidRDefault="006C0EE6" w:rsidP="0099056E">
      <w:pPr>
        <w:pStyle w:val="a7"/>
        <w:numPr>
          <w:ilvl w:val="0"/>
          <w:numId w:val="7"/>
        </w:num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Баркаган З.С., Момот А.П. Диагностика  и контролируемая терапия нарушений гемостаза. - М.: "Ньюдиамед-АО", 2008. – 292 с.</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 xml:space="preserve">Беловолова Р.А. Диагностическая значимость иммунологического обследования в определении роли герпесвирусной инфекции при развитии геморрагического васкулита с поражением почек / Р.А. </w:t>
      </w:r>
      <w:r w:rsidR="006E7416" w:rsidRPr="004E3FE9">
        <w:rPr>
          <w:rFonts w:ascii="Times New Roman" w:hAnsi="Times New Roman" w:cs="Times New Roman"/>
          <w:bCs/>
          <w:color w:val="000000" w:themeColor="text1"/>
          <w:sz w:val="28"/>
          <w:szCs w:val="28"/>
          <w:lang w:val="uk-UA"/>
        </w:rPr>
        <w:t>Беловолова,     Л.</w:t>
      </w:r>
      <w:r w:rsidRPr="004E3FE9">
        <w:rPr>
          <w:rFonts w:ascii="Times New Roman" w:hAnsi="Times New Roman" w:cs="Times New Roman"/>
          <w:bCs/>
          <w:color w:val="000000" w:themeColor="text1"/>
          <w:sz w:val="28"/>
          <w:szCs w:val="28"/>
          <w:lang w:val="uk-UA"/>
        </w:rPr>
        <w:t xml:space="preserve">В. </w:t>
      </w:r>
      <w:r w:rsidR="006E7416" w:rsidRPr="004E3FE9">
        <w:rPr>
          <w:rFonts w:ascii="Times New Roman" w:hAnsi="Times New Roman" w:cs="Times New Roman"/>
          <w:bCs/>
          <w:color w:val="000000" w:themeColor="text1"/>
          <w:sz w:val="28"/>
          <w:szCs w:val="28"/>
          <w:lang w:val="uk-UA"/>
        </w:rPr>
        <w:t>Маврина, Г.</w:t>
      </w:r>
      <w:r w:rsidRPr="004E3FE9">
        <w:rPr>
          <w:rFonts w:ascii="Times New Roman" w:hAnsi="Times New Roman" w:cs="Times New Roman"/>
          <w:bCs/>
          <w:color w:val="000000" w:themeColor="text1"/>
          <w:sz w:val="28"/>
          <w:szCs w:val="28"/>
          <w:lang w:val="uk-UA"/>
        </w:rPr>
        <w:t xml:space="preserve">М. </w:t>
      </w:r>
      <w:r w:rsidR="006E7416" w:rsidRPr="004E3FE9">
        <w:rPr>
          <w:rFonts w:ascii="Times New Roman" w:hAnsi="Times New Roman" w:cs="Times New Roman"/>
          <w:bCs/>
          <w:color w:val="000000" w:themeColor="text1"/>
          <w:sz w:val="28"/>
          <w:szCs w:val="28"/>
          <w:lang w:val="uk-UA"/>
        </w:rPr>
        <w:t xml:space="preserve">Летифов и др. </w:t>
      </w:r>
      <w:r w:rsidRPr="004E3FE9">
        <w:rPr>
          <w:rFonts w:ascii="Times New Roman" w:hAnsi="Times New Roman" w:cs="Times New Roman"/>
          <w:bCs/>
          <w:color w:val="000000" w:themeColor="text1"/>
          <w:sz w:val="28"/>
          <w:szCs w:val="28"/>
          <w:lang w:val="uk-UA"/>
        </w:rPr>
        <w:t>// Медицинская иммунология. – 2014. – №. 1. – С. 89 – 94</w:t>
      </w:r>
    </w:p>
    <w:p w:rsidR="006C0EE6" w:rsidRPr="004E3FE9" w:rsidRDefault="006E741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lastRenderedPageBreak/>
        <w:t>Белоцерковцева Л.Д.</w:t>
      </w:r>
      <w:r w:rsidR="006C0EE6" w:rsidRPr="004E3FE9">
        <w:rPr>
          <w:rFonts w:ascii="Times New Roman" w:hAnsi="Times New Roman" w:cs="Times New Roman"/>
          <w:bCs/>
          <w:color w:val="000000" w:themeColor="text1"/>
          <w:sz w:val="28"/>
          <w:szCs w:val="28"/>
          <w:lang w:val="uk-UA"/>
        </w:rPr>
        <w:t xml:space="preserve"> Дисфункция эндотелия как предиктор развития метаболического синдрома у женщин в периоде перименопаузы / </w:t>
      </w:r>
      <w:r w:rsidRPr="004E3FE9">
        <w:rPr>
          <w:rFonts w:ascii="Times New Roman" w:hAnsi="Times New Roman" w:cs="Times New Roman"/>
          <w:bCs/>
          <w:color w:val="000000" w:themeColor="text1"/>
          <w:sz w:val="28"/>
          <w:szCs w:val="28"/>
          <w:lang w:val="uk-UA"/>
        </w:rPr>
        <w:t xml:space="preserve">        Л.</w:t>
      </w:r>
      <w:r w:rsidR="006C0EE6" w:rsidRPr="004E3FE9">
        <w:rPr>
          <w:rFonts w:ascii="Times New Roman" w:hAnsi="Times New Roman" w:cs="Times New Roman"/>
          <w:bCs/>
          <w:color w:val="000000" w:themeColor="text1"/>
          <w:sz w:val="28"/>
          <w:szCs w:val="28"/>
          <w:lang w:val="uk-UA"/>
        </w:rPr>
        <w:t xml:space="preserve">Д. </w:t>
      </w:r>
      <w:r w:rsidRPr="004E3FE9">
        <w:rPr>
          <w:rFonts w:ascii="Times New Roman" w:hAnsi="Times New Roman" w:cs="Times New Roman"/>
          <w:bCs/>
          <w:color w:val="000000" w:themeColor="text1"/>
          <w:sz w:val="28"/>
          <w:szCs w:val="28"/>
          <w:lang w:val="uk-UA"/>
        </w:rPr>
        <w:t>Белоцерковцева, Л.</w:t>
      </w:r>
      <w:r w:rsidR="006C0EE6" w:rsidRPr="004E3FE9">
        <w:rPr>
          <w:rFonts w:ascii="Times New Roman" w:hAnsi="Times New Roman" w:cs="Times New Roman"/>
          <w:bCs/>
          <w:color w:val="000000" w:themeColor="text1"/>
          <w:sz w:val="28"/>
          <w:szCs w:val="28"/>
          <w:lang w:val="uk-UA"/>
        </w:rPr>
        <w:t xml:space="preserve">В. </w:t>
      </w:r>
      <w:r w:rsidRPr="004E3FE9">
        <w:rPr>
          <w:rFonts w:ascii="Times New Roman" w:hAnsi="Times New Roman" w:cs="Times New Roman"/>
          <w:bCs/>
          <w:color w:val="000000" w:themeColor="text1"/>
          <w:sz w:val="28"/>
          <w:szCs w:val="28"/>
          <w:lang w:val="uk-UA"/>
        </w:rPr>
        <w:t>Коваленко, Е.</w:t>
      </w:r>
      <w:r w:rsidR="006C0EE6" w:rsidRPr="004E3FE9">
        <w:rPr>
          <w:rFonts w:ascii="Times New Roman" w:hAnsi="Times New Roman" w:cs="Times New Roman"/>
          <w:bCs/>
          <w:color w:val="000000" w:themeColor="text1"/>
          <w:sz w:val="28"/>
          <w:szCs w:val="28"/>
          <w:lang w:val="uk-UA"/>
        </w:rPr>
        <w:t xml:space="preserve">В. </w:t>
      </w:r>
      <w:r w:rsidRPr="004E3FE9">
        <w:rPr>
          <w:rFonts w:ascii="Times New Roman" w:hAnsi="Times New Roman" w:cs="Times New Roman"/>
          <w:bCs/>
          <w:color w:val="000000" w:themeColor="text1"/>
          <w:sz w:val="28"/>
          <w:szCs w:val="28"/>
          <w:lang w:val="uk-UA"/>
        </w:rPr>
        <w:t>Корнеева, О.</w:t>
      </w:r>
      <w:r w:rsidR="006C0EE6" w:rsidRPr="004E3FE9">
        <w:rPr>
          <w:rFonts w:ascii="Times New Roman" w:hAnsi="Times New Roman" w:cs="Times New Roman"/>
          <w:bCs/>
          <w:color w:val="000000" w:themeColor="text1"/>
          <w:sz w:val="28"/>
          <w:szCs w:val="28"/>
          <w:lang w:val="uk-UA"/>
        </w:rPr>
        <w:t>Ю. Шишанок // Вестник новых медицинских технологий. – 2010. – Т. 17, №. 1. – С. 91 – 93.</w:t>
      </w:r>
    </w:p>
    <w:p w:rsidR="006C0EE6" w:rsidRPr="004E3FE9" w:rsidRDefault="006E741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Боева Н.</w:t>
      </w:r>
      <w:r w:rsidR="006C0EE6" w:rsidRPr="004E3FE9">
        <w:rPr>
          <w:rFonts w:ascii="Times New Roman" w:hAnsi="Times New Roman" w:cs="Times New Roman"/>
          <w:bCs/>
          <w:color w:val="000000" w:themeColor="text1"/>
          <w:sz w:val="28"/>
          <w:szCs w:val="28"/>
          <w:lang w:val="uk-UA"/>
        </w:rPr>
        <w:t xml:space="preserve">А. Дисфункция эндотелия при абдоминальном ожирении в молодом и среднем возрасте / </w:t>
      </w:r>
      <w:r w:rsidRPr="004E3FE9">
        <w:rPr>
          <w:rFonts w:ascii="Times New Roman" w:hAnsi="Times New Roman" w:cs="Times New Roman"/>
          <w:bCs/>
          <w:color w:val="000000" w:themeColor="text1"/>
          <w:sz w:val="28"/>
          <w:szCs w:val="28"/>
          <w:lang w:val="uk-UA"/>
        </w:rPr>
        <w:t>Н.</w:t>
      </w:r>
      <w:r w:rsidR="006C0EE6" w:rsidRPr="004E3FE9">
        <w:rPr>
          <w:rFonts w:ascii="Times New Roman" w:hAnsi="Times New Roman" w:cs="Times New Roman"/>
          <w:bCs/>
          <w:color w:val="000000" w:themeColor="text1"/>
          <w:sz w:val="28"/>
          <w:szCs w:val="28"/>
          <w:lang w:val="uk-UA"/>
        </w:rPr>
        <w:t xml:space="preserve">А. </w:t>
      </w:r>
      <w:r w:rsidRPr="004E3FE9">
        <w:rPr>
          <w:rFonts w:ascii="Times New Roman" w:hAnsi="Times New Roman" w:cs="Times New Roman"/>
          <w:bCs/>
          <w:color w:val="000000" w:themeColor="text1"/>
          <w:sz w:val="28"/>
          <w:szCs w:val="28"/>
          <w:lang w:val="uk-UA"/>
        </w:rPr>
        <w:t>Боева, В.</w:t>
      </w:r>
      <w:r w:rsidR="006C0EE6" w:rsidRPr="004E3FE9">
        <w:rPr>
          <w:rFonts w:ascii="Times New Roman" w:hAnsi="Times New Roman" w:cs="Times New Roman"/>
          <w:bCs/>
          <w:color w:val="000000" w:themeColor="text1"/>
          <w:sz w:val="28"/>
          <w:szCs w:val="28"/>
          <w:lang w:val="uk-UA"/>
        </w:rPr>
        <w:t>Н. Медведева //Вестник Ивановской медицинской академии. – 2009. – Т. 14. – С. 43</w:t>
      </w:r>
    </w:p>
    <w:p w:rsidR="006C0EE6" w:rsidRPr="004E3FE9" w:rsidRDefault="006E741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Борисов А.</w:t>
      </w:r>
      <w:r w:rsidR="006C0EE6" w:rsidRPr="004E3FE9">
        <w:rPr>
          <w:rFonts w:ascii="Times New Roman" w:hAnsi="Times New Roman" w:cs="Times New Roman"/>
          <w:bCs/>
          <w:color w:val="000000" w:themeColor="text1"/>
          <w:sz w:val="28"/>
          <w:szCs w:val="28"/>
          <w:lang w:val="uk-UA"/>
        </w:rPr>
        <w:t xml:space="preserve">Г. К вопросу о классификации нарушений функционального состояния иммунной системы / </w:t>
      </w:r>
      <w:r w:rsidRPr="004E3FE9">
        <w:rPr>
          <w:rFonts w:ascii="Times New Roman" w:hAnsi="Times New Roman" w:cs="Times New Roman"/>
          <w:bCs/>
          <w:color w:val="000000" w:themeColor="text1"/>
          <w:sz w:val="28"/>
          <w:szCs w:val="28"/>
          <w:lang w:val="uk-UA"/>
        </w:rPr>
        <w:t>А.</w:t>
      </w:r>
      <w:r w:rsidR="006C0EE6" w:rsidRPr="004E3FE9">
        <w:rPr>
          <w:rFonts w:ascii="Times New Roman" w:hAnsi="Times New Roman" w:cs="Times New Roman"/>
          <w:bCs/>
          <w:color w:val="000000" w:themeColor="text1"/>
          <w:sz w:val="28"/>
          <w:szCs w:val="28"/>
          <w:lang w:val="uk-UA"/>
        </w:rPr>
        <w:t xml:space="preserve">Г. </w:t>
      </w:r>
      <w:r w:rsidRPr="004E3FE9">
        <w:rPr>
          <w:rFonts w:ascii="Times New Roman" w:hAnsi="Times New Roman" w:cs="Times New Roman"/>
          <w:bCs/>
          <w:color w:val="000000" w:themeColor="text1"/>
          <w:sz w:val="28"/>
          <w:szCs w:val="28"/>
          <w:lang w:val="uk-UA"/>
        </w:rPr>
        <w:t>Борисов, А.</w:t>
      </w:r>
      <w:r w:rsidR="006C0EE6" w:rsidRPr="004E3FE9">
        <w:rPr>
          <w:rFonts w:ascii="Times New Roman" w:hAnsi="Times New Roman" w:cs="Times New Roman"/>
          <w:bCs/>
          <w:color w:val="000000" w:themeColor="text1"/>
          <w:sz w:val="28"/>
          <w:szCs w:val="28"/>
          <w:lang w:val="uk-UA"/>
        </w:rPr>
        <w:t xml:space="preserve">А. Савченко, </w:t>
      </w:r>
      <w:r w:rsidRPr="004E3FE9">
        <w:rPr>
          <w:rFonts w:ascii="Times New Roman" w:hAnsi="Times New Roman" w:cs="Times New Roman"/>
          <w:bCs/>
          <w:color w:val="000000" w:themeColor="text1"/>
          <w:sz w:val="28"/>
          <w:szCs w:val="28"/>
          <w:lang w:val="uk-UA"/>
        </w:rPr>
        <w:t xml:space="preserve">                С.</w:t>
      </w:r>
      <w:r w:rsidR="006C0EE6" w:rsidRPr="004E3FE9">
        <w:rPr>
          <w:rFonts w:ascii="Times New Roman" w:hAnsi="Times New Roman" w:cs="Times New Roman"/>
          <w:bCs/>
          <w:color w:val="000000" w:themeColor="text1"/>
          <w:sz w:val="28"/>
          <w:szCs w:val="28"/>
          <w:lang w:val="uk-UA"/>
        </w:rPr>
        <w:t>В. Смирнова // Сибирский медицинский журнал. – 2008. – №3-1. – С.13-18.</w:t>
      </w:r>
    </w:p>
    <w:p w:rsidR="006C0EE6" w:rsidRPr="004E3FE9" w:rsidRDefault="006E741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Бродская Т.</w:t>
      </w:r>
      <w:r w:rsidR="006C0EE6" w:rsidRPr="004E3FE9">
        <w:rPr>
          <w:rFonts w:ascii="Times New Roman" w:hAnsi="Times New Roman" w:cs="Times New Roman"/>
          <w:bCs/>
          <w:color w:val="000000" w:themeColor="text1"/>
          <w:sz w:val="28"/>
          <w:szCs w:val="28"/>
          <w:lang w:val="uk-UA"/>
        </w:rPr>
        <w:t xml:space="preserve">А. Эндотелиальная дисфункция и болезни органов дыхания / </w:t>
      </w:r>
      <w:r w:rsidRPr="004E3FE9">
        <w:rPr>
          <w:rFonts w:ascii="Times New Roman" w:hAnsi="Times New Roman" w:cs="Times New Roman"/>
          <w:bCs/>
          <w:color w:val="000000" w:themeColor="text1"/>
          <w:sz w:val="28"/>
          <w:szCs w:val="28"/>
          <w:lang w:val="uk-UA"/>
        </w:rPr>
        <w:t>Т.</w:t>
      </w:r>
      <w:r w:rsidR="006C0EE6" w:rsidRPr="004E3FE9">
        <w:rPr>
          <w:rFonts w:ascii="Times New Roman" w:hAnsi="Times New Roman" w:cs="Times New Roman"/>
          <w:bCs/>
          <w:color w:val="000000" w:themeColor="text1"/>
          <w:sz w:val="28"/>
          <w:szCs w:val="28"/>
          <w:lang w:val="uk-UA"/>
        </w:rPr>
        <w:t xml:space="preserve">А. </w:t>
      </w:r>
      <w:r w:rsidRPr="004E3FE9">
        <w:rPr>
          <w:rFonts w:ascii="Times New Roman" w:hAnsi="Times New Roman" w:cs="Times New Roman"/>
          <w:bCs/>
          <w:color w:val="000000" w:themeColor="text1"/>
          <w:sz w:val="28"/>
          <w:szCs w:val="28"/>
          <w:lang w:val="uk-UA"/>
        </w:rPr>
        <w:t>Бродская, В.</w:t>
      </w:r>
      <w:r w:rsidR="006C0EE6" w:rsidRPr="004E3FE9">
        <w:rPr>
          <w:rFonts w:ascii="Times New Roman" w:hAnsi="Times New Roman" w:cs="Times New Roman"/>
          <w:bCs/>
          <w:color w:val="000000" w:themeColor="text1"/>
          <w:sz w:val="28"/>
          <w:szCs w:val="28"/>
          <w:lang w:val="uk-UA"/>
        </w:rPr>
        <w:t xml:space="preserve">А. </w:t>
      </w:r>
      <w:r w:rsidRPr="004E3FE9">
        <w:rPr>
          <w:rFonts w:ascii="Times New Roman" w:hAnsi="Times New Roman" w:cs="Times New Roman"/>
          <w:bCs/>
          <w:color w:val="000000" w:themeColor="text1"/>
          <w:sz w:val="28"/>
          <w:szCs w:val="28"/>
          <w:lang w:val="uk-UA"/>
        </w:rPr>
        <w:t>Невзорова, Б.</w:t>
      </w:r>
      <w:r w:rsidR="006C0EE6" w:rsidRPr="004E3FE9">
        <w:rPr>
          <w:rFonts w:ascii="Times New Roman" w:hAnsi="Times New Roman" w:cs="Times New Roman"/>
          <w:bCs/>
          <w:color w:val="000000" w:themeColor="text1"/>
          <w:sz w:val="28"/>
          <w:szCs w:val="28"/>
          <w:lang w:val="uk-UA"/>
        </w:rPr>
        <w:t xml:space="preserve">И. </w:t>
      </w:r>
      <w:r w:rsidRPr="004E3FE9">
        <w:rPr>
          <w:rFonts w:ascii="Times New Roman" w:hAnsi="Times New Roman" w:cs="Times New Roman"/>
          <w:bCs/>
          <w:color w:val="000000" w:themeColor="text1"/>
          <w:sz w:val="28"/>
          <w:szCs w:val="28"/>
          <w:lang w:val="uk-UA"/>
        </w:rPr>
        <w:t>Гельцер, Е.</w:t>
      </w:r>
      <w:r w:rsidR="006C0EE6" w:rsidRPr="004E3FE9">
        <w:rPr>
          <w:rFonts w:ascii="Times New Roman" w:hAnsi="Times New Roman" w:cs="Times New Roman"/>
          <w:bCs/>
          <w:color w:val="000000" w:themeColor="text1"/>
          <w:sz w:val="28"/>
          <w:szCs w:val="28"/>
          <w:lang w:val="uk-UA"/>
        </w:rPr>
        <w:t>В. Моткина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Терапевтический архив. – 2007. – Т. 79. – №. 3. – С. 76-84.</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Вериго Я.И. Фактор Виллебранда и его роль в дисфункции эндотелия при ишемической болезни сердца / Я.И. Вериго, И.В. Демко, М.М. Петрова, Е.А. Собко, М</w:t>
      </w:r>
      <w:r w:rsidR="006E7416" w:rsidRPr="004E3FE9">
        <w:rPr>
          <w:rFonts w:ascii="Times New Roman" w:hAnsi="Times New Roman" w:cs="Times New Roman"/>
          <w:bCs/>
          <w:color w:val="000000" w:themeColor="text1"/>
          <w:sz w:val="28"/>
          <w:szCs w:val="28"/>
          <w:lang w:val="uk-UA"/>
        </w:rPr>
        <w:t>.</w:t>
      </w:r>
      <w:r w:rsidRPr="004E3FE9">
        <w:rPr>
          <w:rFonts w:ascii="Times New Roman" w:hAnsi="Times New Roman" w:cs="Times New Roman"/>
          <w:bCs/>
          <w:color w:val="000000" w:themeColor="text1"/>
          <w:sz w:val="28"/>
          <w:szCs w:val="28"/>
          <w:lang w:val="uk-UA"/>
        </w:rPr>
        <w:t>Г. Мамаева // Сибирское медицинское обозрение . – 2014. – Т. 89, №5. – С. 23-28</w:t>
      </w:r>
      <w:r w:rsidRPr="004E3FE9">
        <w:rPr>
          <w:rFonts w:ascii="Times New Roman" w:hAnsi="Times New Roman" w:cs="Times New Roman"/>
          <w:bCs/>
          <w:sz w:val="28"/>
          <w:szCs w:val="28"/>
          <w:lang w:val="uk-UA"/>
        </w:rPr>
        <w:t>.</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Волков</w:t>
      </w:r>
      <w:r w:rsidR="006E7416" w:rsidRPr="004E3FE9">
        <w:rPr>
          <w:rFonts w:ascii="Times New Roman" w:hAnsi="Times New Roman" w:cs="Times New Roman"/>
          <w:bCs/>
          <w:color w:val="000000" w:themeColor="text1"/>
          <w:sz w:val="28"/>
          <w:szCs w:val="28"/>
          <w:lang w:val="uk-UA"/>
        </w:rPr>
        <w:t xml:space="preserve"> А.</w:t>
      </w:r>
      <w:r w:rsidRPr="004E3FE9">
        <w:rPr>
          <w:rFonts w:ascii="Times New Roman" w:hAnsi="Times New Roman" w:cs="Times New Roman"/>
          <w:bCs/>
          <w:color w:val="000000" w:themeColor="text1"/>
          <w:sz w:val="28"/>
          <w:szCs w:val="28"/>
          <w:lang w:val="uk-UA"/>
        </w:rPr>
        <w:t xml:space="preserve">В. Дисфункция эндотелия при системной склеродермии—клинико-патогенетические корреляции / </w:t>
      </w:r>
      <w:r w:rsidR="006E7416" w:rsidRPr="004E3FE9">
        <w:rPr>
          <w:rFonts w:ascii="Times New Roman" w:hAnsi="Times New Roman" w:cs="Times New Roman"/>
          <w:bCs/>
          <w:color w:val="000000" w:themeColor="text1"/>
          <w:sz w:val="28"/>
          <w:szCs w:val="28"/>
          <w:lang w:val="uk-UA"/>
        </w:rPr>
        <w:t>А.</w:t>
      </w:r>
      <w:r w:rsidRPr="004E3FE9">
        <w:rPr>
          <w:rFonts w:ascii="Times New Roman" w:hAnsi="Times New Roman" w:cs="Times New Roman"/>
          <w:bCs/>
          <w:color w:val="000000" w:themeColor="text1"/>
          <w:sz w:val="28"/>
          <w:szCs w:val="28"/>
          <w:lang w:val="uk-UA"/>
        </w:rPr>
        <w:t xml:space="preserve">В. </w:t>
      </w:r>
      <w:r w:rsidR="006E7416" w:rsidRPr="004E3FE9">
        <w:rPr>
          <w:rFonts w:ascii="Times New Roman" w:hAnsi="Times New Roman" w:cs="Times New Roman"/>
          <w:bCs/>
          <w:color w:val="000000" w:themeColor="text1"/>
          <w:sz w:val="28"/>
          <w:szCs w:val="28"/>
          <w:lang w:val="uk-UA"/>
        </w:rPr>
        <w:t>Волков, Э.</w:t>
      </w:r>
      <w:r w:rsidRPr="004E3FE9">
        <w:rPr>
          <w:rFonts w:ascii="Times New Roman" w:hAnsi="Times New Roman" w:cs="Times New Roman"/>
          <w:bCs/>
          <w:color w:val="000000" w:themeColor="text1"/>
          <w:sz w:val="28"/>
          <w:szCs w:val="28"/>
          <w:lang w:val="uk-UA"/>
        </w:rPr>
        <w:t xml:space="preserve">С. </w:t>
      </w:r>
      <w:r w:rsidR="006E7416" w:rsidRPr="004E3FE9">
        <w:rPr>
          <w:rFonts w:ascii="Times New Roman" w:hAnsi="Times New Roman" w:cs="Times New Roman"/>
          <w:bCs/>
          <w:color w:val="000000" w:themeColor="text1"/>
          <w:sz w:val="28"/>
          <w:szCs w:val="28"/>
          <w:lang w:val="uk-UA"/>
        </w:rPr>
        <w:t>Мач,            Н.</w:t>
      </w:r>
      <w:r w:rsidRPr="004E3FE9">
        <w:rPr>
          <w:rFonts w:ascii="Times New Roman" w:hAnsi="Times New Roman" w:cs="Times New Roman"/>
          <w:bCs/>
          <w:color w:val="000000" w:themeColor="text1"/>
          <w:sz w:val="28"/>
          <w:szCs w:val="28"/>
          <w:lang w:val="uk-UA"/>
        </w:rPr>
        <w:t>Г. Гусева // Терапевтический архив. – 2008. – №. 10. – С. 68-72.</w:t>
      </w:r>
    </w:p>
    <w:p w:rsidR="006C0EE6" w:rsidRPr="004E3FE9" w:rsidRDefault="006E741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Воробьев Е.</w:t>
      </w:r>
      <w:r w:rsidR="006C0EE6" w:rsidRPr="004E3FE9">
        <w:rPr>
          <w:rFonts w:ascii="Times New Roman" w:hAnsi="Times New Roman" w:cs="Times New Roman"/>
          <w:bCs/>
          <w:color w:val="000000" w:themeColor="text1"/>
          <w:sz w:val="28"/>
          <w:szCs w:val="28"/>
          <w:lang w:val="uk-UA"/>
        </w:rPr>
        <w:t xml:space="preserve">Н. Дисфунк ция эндотелия–ключевое звено в патогенезе атеросклероза / </w:t>
      </w:r>
      <w:r w:rsidRPr="004E3FE9">
        <w:rPr>
          <w:rFonts w:ascii="Times New Roman" w:hAnsi="Times New Roman" w:cs="Times New Roman"/>
          <w:bCs/>
          <w:color w:val="000000" w:themeColor="text1"/>
          <w:sz w:val="28"/>
          <w:szCs w:val="28"/>
          <w:lang w:val="uk-UA"/>
        </w:rPr>
        <w:t>Е.</w:t>
      </w:r>
      <w:r w:rsidR="006C0EE6" w:rsidRPr="004E3FE9">
        <w:rPr>
          <w:rFonts w:ascii="Times New Roman" w:hAnsi="Times New Roman" w:cs="Times New Roman"/>
          <w:bCs/>
          <w:color w:val="000000" w:themeColor="text1"/>
          <w:sz w:val="28"/>
          <w:szCs w:val="28"/>
          <w:lang w:val="uk-UA"/>
        </w:rPr>
        <w:t xml:space="preserve">Н. </w:t>
      </w:r>
      <w:r w:rsidRPr="004E3FE9">
        <w:rPr>
          <w:rFonts w:ascii="Times New Roman" w:hAnsi="Times New Roman" w:cs="Times New Roman"/>
          <w:bCs/>
          <w:color w:val="000000" w:themeColor="text1"/>
          <w:sz w:val="28"/>
          <w:szCs w:val="28"/>
          <w:lang w:val="uk-UA"/>
        </w:rPr>
        <w:t>Воробьев, Г.</w:t>
      </w:r>
      <w:r w:rsidR="006C0EE6" w:rsidRPr="004E3FE9">
        <w:rPr>
          <w:rFonts w:ascii="Times New Roman" w:hAnsi="Times New Roman" w:cs="Times New Roman"/>
          <w:bCs/>
          <w:color w:val="000000" w:themeColor="text1"/>
          <w:sz w:val="28"/>
          <w:szCs w:val="28"/>
          <w:lang w:val="uk-UA"/>
        </w:rPr>
        <w:t xml:space="preserve">И. </w:t>
      </w:r>
      <w:r w:rsidRPr="004E3FE9">
        <w:rPr>
          <w:rFonts w:ascii="Times New Roman" w:hAnsi="Times New Roman" w:cs="Times New Roman"/>
          <w:bCs/>
          <w:color w:val="000000" w:themeColor="text1"/>
          <w:sz w:val="28"/>
          <w:szCs w:val="28"/>
          <w:lang w:val="uk-UA"/>
        </w:rPr>
        <w:t>Шумахер, М.</w:t>
      </w:r>
      <w:r w:rsidR="006C0EE6" w:rsidRPr="004E3FE9">
        <w:rPr>
          <w:rFonts w:ascii="Times New Roman" w:hAnsi="Times New Roman" w:cs="Times New Roman"/>
          <w:bCs/>
          <w:color w:val="000000" w:themeColor="text1"/>
          <w:sz w:val="28"/>
          <w:szCs w:val="28"/>
          <w:lang w:val="uk-UA"/>
        </w:rPr>
        <w:t xml:space="preserve">А. </w:t>
      </w:r>
      <w:r w:rsidRPr="004E3FE9">
        <w:rPr>
          <w:rFonts w:ascii="Times New Roman" w:hAnsi="Times New Roman" w:cs="Times New Roman"/>
          <w:bCs/>
          <w:color w:val="000000" w:themeColor="text1"/>
          <w:sz w:val="28"/>
          <w:szCs w:val="28"/>
          <w:lang w:val="uk-UA"/>
        </w:rPr>
        <w:t>Хорева, И.</w:t>
      </w:r>
      <w:r w:rsidR="006C0EE6" w:rsidRPr="004E3FE9">
        <w:rPr>
          <w:rFonts w:ascii="Times New Roman" w:hAnsi="Times New Roman" w:cs="Times New Roman"/>
          <w:bCs/>
          <w:color w:val="000000" w:themeColor="text1"/>
          <w:sz w:val="28"/>
          <w:szCs w:val="28"/>
          <w:lang w:val="uk-UA"/>
        </w:rPr>
        <w:t>В. Осипова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Российский кардиологичес кий журнал. – 2010. – №. 2. – С. 84-91.</w:t>
      </w:r>
    </w:p>
    <w:p w:rsidR="006C0EE6" w:rsidRPr="004E3FE9" w:rsidRDefault="006E741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sz w:val="28"/>
          <w:szCs w:val="28"/>
          <w:lang w:val="uk-UA"/>
        </w:rPr>
        <w:t>Габбасова Э.</w:t>
      </w:r>
      <w:r w:rsidR="006C0EE6" w:rsidRPr="004E3FE9">
        <w:rPr>
          <w:rFonts w:ascii="Times New Roman" w:hAnsi="Times New Roman" w:cs="Times New Roman"/>
          <w:sz w:val="28"/>
          <w:szCs w:val="28"/>
          <w:lang w:val="uk-UA"/>
        </w:rPr>
        <w:t>З. Некоторые особенности клинической картины пурпуры Шенлейна-Геноха у больных подросткового возраста / Э.</w:t>
      </w:r>
      <w:r w:rsidRPr="004E3FE9">
        <w:rPr>
          <w:rFonts w:ascii="Times New Roman" w:hAnsi="Times New Roman" w:cs="Times New Roman"/>
          <w:sz w:val="28"/>
          <w:szCs w:val="28"/>
          <w:lang w:val="uk-UA"/>
        </w:rPr>
        <w:t xml:space="preserve">З. </w:t>
      </w:r>
      <w:r w:rsidR="006C0EE6" w:rsidRPr="004E3FE9">
        <w:rPr>
          <w:rFonts w:ascii="Times New Roman" w:hAnsi="Times New Roman" w:cs="Times New Roman"/>
          <w:sz w:val="28"/>
          <w:szCs w:val="28"/>
          <w:lang w:val="uk-UA"/>
        </w:rPr>
        <w:t xml:space="preserve">Габбасова, </w:t>
      </w:r>
      <w:r w:rsidRPr="004E3FE9">
        <w:rPr>
          <w:rFonts w:ascii="Times New Roman" w:hAnsi="Times New Roman" w:cs="Times New Roman"/>
          <w:sz w:val="28"/>
          <w:szCs w:val="28"/>
          <w:lang w:val="uk-UA"/>
        </w:rPr>
        <w:t xml:space="preserve">   </w:t>
      </w:r>
      <w:r w:rsidR="006C0EE6" w:rsidRPr="004E3FE9">
        <w:rPr>
          <w:rFonts w:ascii="Times New Roman" w:hAnsi="Times New Roman" w:cs="Times New Roman"/>
          <w:sz w:val="28"/>
          <w:szCs w:val="28"/>
          <w:lang w:val="uk-UA"/>
        </w:rPr>
        <w:t>А. Косанова, Г. Сабырбаева и др. //</w:t>
      </w:r>
      <w:r w:rsidRPr="004E3FE9">
        <w:rPr>
          <w:rFonts w:ascii="Times New Roman" w:hAnsi="Times New Roman" w:cs="Times New Roman"/>
          <w:sz w:val="28"/>
          <w:szCs w:val="28"/>
          <w:lang w:val="uk-UA"/>
        </w:rPr>
        <w:t xml:space="preserve"> </w:t>
      </w:r>
      <w:r w:rsidR="006C0EE6" w:rsidRPr="004E3FE9">
        <w:rPr>
          <w:rFonts w:ascii="Times New Roman" w:hAnsi="Times New Roman" w:cs="Times New Roman"/>
          <w:sz w:val="28"/>
          <w:szCs w:val="28"/>
          <w:lang w:val="uk-UA"/>
        </w:rPr>
        <w:t>Вестник Казахского Национального медицинского университета. – 2015. – №. 1. – С. 117-119.</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lastRenderedPageBreak/>
        <w:t xml:space="preserve">Геморрагический васкулит у детей: Учебно – методическое пособие/ </w:t>
      </w:r>
      <w:r w:rsidR="006E7416"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Т.И. Козарезова, Н.Н. Климкович, В.А. Кувшинников, С.Н. Козарезов. – Мн.: БелМАПО, 2007. –39 с.</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Гусев Е.Ю. Системное воспаление с позиции теории типового патологического процесса / Е.Ю. Гусев, В.А. Черешнев, Л.Н. Юрченко // Цитокины и воспаление. — 2007. — Т. 6, № 4. — С. 9-21.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Детская нефрология: Руководство для врачей / Под ред. М.С. Игнатовой. – 3-е изд., перераб. и доп. – М.: ООО «Медицинское информационное агентство», 2011. – 696 с.</w:t>
      </w:r>
    </w:p>
    <w:p w:rsidR="006C0EE6" w:rsidRPr="004E3FE9" w:rsidRDefault="006E741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Дзугкоев С.</w:t>
      </w:r>
      <w:r w:rsidR="006C0EE6" w:rsidRPr="004E3FE9">
        <w:rPr>
          <w:rFonts w:ascii="Times New Roman" w:hAnsi="Times New Roman" w:cs="Times New Roman"/>
          <w:bCs/>
          <w:color w:val="000000" w:themeColor="text1"/>
          <w:sz w:val="28"/>
          <w:szCs w:val="28"/>
          <w:lang w:val="uk-UA"/>
        </w:rPr>
        <w:t xml:space="preserve">Г. Механизмы развития эндотелиальной дисфункции и перспективы коррекции / </w:t>
      </w:r>
      <w:r w:rsidRPr="004E3FE9">
        <w:rPr>
          <w:rFonts w:ascii="Times New Roman" w:hAnsi="Times New Roman" w:cs="Times New Roman"/>
          <w:bCs/>
          <w:color w:val="000000" w:themeColor="text1"/>
          <w:sz w:val="28"/>
          <w:szCs w:val="28"/>
          <w:lang w:val="uk-UA"/>
        </w:rPr>
        <w:t>С.</w:t>
      </w:r>
      <w:r w:rsidR="006C0EE6" w:rsidRPr="004E3FE9">
        <w:rPr>
          <w:rFonts w:ascii="Times New Roman" w:hAnsi="Times New Roman" w:cs="Times New Roman"/>
          <w:bCs/>
          <w:color w:val="000000" w:themeColor="text1"/>
          <w:sz w:val="28"/>
          <w:szCs w:val="28"/>
          <w:lang w:val="uk-UA"/>
        </w:rPr>
        <w:t xml:space="preserve">Г. </w:t>
      </w:r>
      <w:r w:rsidRPr="004E3FE9">
        <w:rPr>
          <w:rFonts w:ascii="Times New Roman" w:hAnsi="Times New Roman" w:cs="Times New Roman"/>
          <w:bCs/>
          <w:color w:val="000000" w:themeColor="text1"/>
          <w:sz w:val="28"/>
          <w:szCs w:val="28"/>
          <w:lang w:val="uk-UA"/>
        </w:rPr>
        <w:t>Дзугкоев, И.</w:t>
      </w:r>
      <w:r w:rsidR="006C0EE6" w:rsidRPr="004E3FE9">
        <w:rPr>
          <w:rFonts w:ascii="Times New Roman" w:hAnsi="Times New Roman" w:cs="Times New Roman"/>
          <w:bCs/>
          <w:color w:val="000000" w:themeColor="text1"/>
          <w:sz w:val="28"/>
          <w:szCs w:val="28"/>
          <w:lang w:val="uk-UA"/>
        </w:rPr>
        <w:t xml:space="preserve">В. </w:t>
      </w:r>
      <w:r w:rsidRPr="004E3FE9">
        <w:rPr>
          <w:rFonts w:ascii="Times New Roman" w:hAnsi="Times New Roman" w:cs="Times New Roman"/>
          <w:bCs/>
          <w:color w:val="000000" w:themeColor="text1"/>
          <w:sz w:val="28"/>
          <w:szCs w:val="28"/>
          <w:lang w:val="uk-UA"/>
        </w:rPr>
        <w:t>Можаева, Е.</w:t>
      </w:r>
      <w:r w:rsidR="006C0EE6" w:rsidRPr="004E3FE9">
        <w:rPr>
          <w:rFonts w:ascii="Times New Roman" w:hAnsi="Times New Roman" w:cs="Times New Roman"/>
          <w:bCs/>
          <w:color w:val="000000" w:themeColor="text1"/>
          <w:sz w:val="28"/>
          <w:szCs w:val="28"/>
          <w:lang w:val="uk-UA"/>
        </w:rPr>
        <w:t>А. Т</w:t>
      </w:r>
      <w:r w:rsidRPr="004E3FE9">
        <w:rPr>
          <w:rFonts w:ascii="Times New Roman" w:hAnsi="Times New Roman" w:cs="Times New Roman"/>
          <w:bCs/>
          <w:color w:val="000000" w:themeColor="text1"/>
          <w:sz w:val="28"/>
          <w:szCs w:val="28"/>
          <w:lang w:val="uk-UA"/>
        </w:rPr>
        <w:t>акоева,  Ф.</w:t>
      </w:r>
      <w:r w:rsidR="006C0EE6" w:rsidRPr="004E3FE9">
        <w:rPr>
          <w:rFonts w:ascii="Times New Roman" w:hAnsi="Times New Roman" w:cs="Times New Roman"/>
          <w:bCs/>
          <w:color w:val="000000" w:themeColor="text1"/>
          <w:sz w:val="28"/>
          <w:szCs w:val="28"/>
          <w:lang w:val="uk-UA"/>
        </w:rPr>
        <w:t>С. Дзугкое</w:t>
      </w:r>
      <w:r w:rsidRPr="004E3FE9">
        <w:rPr>
          <w:rFonts w:ascii="Times New Roman" w:hAnsi="Times New Roman" w:cs="Times New Roman"/>
          <w:bCs/>
          <w:color w:val="000000" w:themeColor="text1"/>
          <w:sz w:val="28"/>
          <w:szCs w:val="28"/>
          <w:lang w:val="uk-UA"/>
        </w:rPr>
        <w:t>ва, О.</w:t>
      </w:r>
      <w:r w:rsidR="006C0EE6" w:rsidRPr="004E3FE9">
        <w:rPr>
          <w:rFonts w:ascii="Times New Roman" w:hAnsi="Times New Roman" w:cs="Times New Roman"/>
          <w:bCs/>
          <w:color w:val="000000" w:themeColor="text1"/>
          <w:sz w:val="28"/>
          <w:szCs w:val="28"/>
          <w:lang w:val="uk-UA"/>
        </w:rPr>
        <w:t>И. Маргиева // Фундаментальные исследования. – 2014. – № 4. – С. 198-204.</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 xml:space="preserve">Дитяча імунологія: підручник для лікарів-інтернів і лікарів-курсантів / </w:t>
      </w:r>
      <w:r w:rsidR="006E7416"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 xml:space="preserve">Л.І. Чернишова, А.П. Волоха, Л.В. Костюченко та ін.; за ред. </w:t>
      </w:r>
      <w:r w:rsidR="006E7416"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Л.І Чернишової, А.П. Волохи. - К.: Медицина, 2013. - 720 с</w:t>
      </w:r>
      <w:r w:rsidRPr="004E3FE9">
        <w:rPr>
          <w:rFonts w:ascii="Times New Roman" w:hAnsi="Times New Roman" w:cs="Times New Roman"/>
          <w:bCs/>
          <w:sz w:val="28"/>
          <w:szCs w:val="28"/>
          <w:lang w:val="uk-UA"/>
        </w:rPr>
        <w:t>.</w:t>
      </w:r>
    </w:p>
    <w:p w:rsidR="006C0EE6" w:rsidRPr="004E3FE9" w:rsidRDefault="006C0EE6" w:rsidP="0099056E">
      <w:pPr>
        <w:pStyle w:val="a7"/>
        <w:numPr>
          <w:ilvl w:val="0"/>
          <w:numId w:val="7"/>
        </w:num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Діагностика ендотеліальної функції – оцінка вазоактивного пулу оксиду азота: метод.рекомендації/ уклад. О.М. Ковальова, Г.В. Демиденко, Т.В. Горбач; Міністерство охорони здоров’я України, Український центр наукової медичної інформації та патентно-ліцензійної роботи. – К.: 2007. – 16с.</w:t>
      </w:r>
    </w:p>
    <w:p w:rsidR="006C0EE6" w:rsidRPr="004E3FE9" w:rsidRDefault="006E7416" w:rsidP="006E7416">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Егорова Т.</w:t>
      </w:r>
      <w:r w:rsidR="006C0EE6" w:rsidRPr="004E3FE9">
        <w:rPr>
          <w:rFonts w:ascii="Times New Roman" w:hAnsi="Times New Roman" w:cs="Times New Roman"/>
          <w:bCs/>
          <w:color w:val="000000" w:themeColor="text1"/>
          <w:sz w:val="28"/>
          <w:szCs w:val="28"/>
          <w:lang w:val="uk-UA"/>
        </w:rPr>
        <w:t>В. Распространенность, клиническое течение посткапилляротоксического гломерулонефрита в Прибайкалье</w:t>
      </w:r>
      <w:r w:rsidRPr="004E3FE9">
        <w:rPr>
          <w:rFonts w:ascii="Times New Roman" w:hAnsi="Times New Roman" w:cs="Times New Roman"/>
          <w:bCs/>
          <w:color w:val="000000" w:themeColor="text1"/>
          <w:sz w:val="28"/>
          <w:szCs w:val="28"/>
          <w:lang w:val="uk-UA"/>
        </w:rPr>
        <w:t xml:space="preserve"> / Т.В. Егорова</w:t>
      </w:r>
      <w:r w:rsidR="006C0EE6"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Сибирский медицинский журнал (Иркутск). – 2011. – Т. 105, №. 6. – С. 297-299.</w:t>
      </w:r>
    </w:p>
    <w:p w:rsidR="006C0EE6" w:rsidRPr="004E3FE9" w:rsidRDefault="006E741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Ефремова О.</w:t>
      </w:r>
      <w:r w:rsidR="006C0EE6" w:rsidRPr="004E3FE9">
        <w:rPr>
          <w:rFonts w:ascii="Times New Roman" w:hAnsi="Times New Roman" w:cs="Times New Roman"/>
          <w:bCs/>
          <w:color w:val="000000" w:themeColor="text1"/>
          <w:sz w:val="28"/>
          <w:szCs w:val="28"/>
          <w:lang w:val="uk-UA"/>
        </w:rPr>
        <w:t>А., Эффективность применения свежезамороженной плазмы при лечении геморраги</w:t>
      </w:r>
      <w:r w:rsidRPr="004E3FE9">
        <w:rPr>
          <w:rFonts w:ascii="Times New Roman" w:hAnsi="Times New Roman" w:cs="Times New Roman"/>
          <w:bCs/>
          <w:color w:val="000000" w:themeColor="text1"/>
          <w:sz w:val="28"/>
          <w:szCs w:val="28"/>
          <w:lang w:val="uk-UA"/>
        </w:rPr>
        <w:t>ческого васкулита / О.А. Ефремова,                     Л.С. Придатчина, Г.А. Расторгуева</w:t>
      </w:r>
      <w:r w:rsidR="006C0EE6"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 xml:space="preserve">М.А. </w:t>
      </w:r>
      <w:r w:rsidR="006C0EE6" w:rsidRPr="004E3FE9">
        <w:rPr>
          <w:rFonts w:ascii="Times New Roman" w:hAnsi="Times New Roman" w:cs="Times New Roman"/>
          <w:bCs/>
          <w:color w:val="000000" w:themeColor="text1"/>
          <w:sz w:val="28"/>
          <w:szCs w:val="28"/>
          <w:lang w:val="uk-UA"/>
        </w:rPr>
        <w:t>Данкова</w:t>
      </w:r>
      <w:r w:rsidRPr="004E3FE9">
        <w:rPr>
          <w:rFonts w:ascii="Times New Roman" w:hAnsi="Times New Roman" w:cs="Times New Roman"/>
          <w:bCs/>
          <w:color w:val="000000" w:themeColor="text1"/>
          <w:sz w:val="28"/>
          <w:szCs w:val="28"/>
          <w:lang w:val="uk-UA"/>
        </w:rPr>
        <w:t xml:space="preserve">, Н.А. Губарева </w:t>
      </w:r>
      <w:r w:rsidR="006C0EE6" w:rsidRPr="004E3FE9">
        <w:rPr>
          <w:rFonts w:ascii="Times New Roman" w:hAnsi="Times New Roman" w:cs="Times New Roman"/>
          <w:bCs/>
          <w:color w:val="000000" w:themeColor="text1"/>
          <w:sz w:val="28"/>
          <w:szCs w:val="28"/>
          <w:lang w:val="uk-UA"/>
        </w:rPr>
        <w:t>// Научные ведомости Белгородского государственного университета. Серия: Медицина. Фармация. – 2011. – №13, Том 4 – С.209-213.</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lastRenderedPageBreak/>
        <w:t xml:space="preserve">Жданова Л.В. Вклад полиморфизма генов тромбофилий в клиническое многообразие геморрагического васкулита / Л.В. Жданова, </w:t>
      </w:r>
      <w:r w:rsidR="006E7416"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Л.И. Патрушев, В.В. Долгих, А.Б. Бимбаев, О.Ч. Хойкова // Вестник РАМН. – 2014. – №3-4. – С.61-64.</w:t>
      </w:r>
    </w:p>
    <w:p w:rsidR="006C0EE6" w:rsidRPr="004E3FE9" w:rsidRDefault="006E741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Закирова Н.</w:t>
      </w:r>
      <w:r w:rsidR="006C0EE6" w:rsidRPr="004E3FE9">
        <w:rPr>
          <w:rFonts w:ascii="Times New Roman" w:hAnsi="Times New Roman" w:cs="Times New Roman"/>
          <w:bCs/>
          <w:color w:val="000000" w:themeColor="text1"/>
          <w:sz w:val="28"/>
          <w:szCs w:val="28"/>
          <w:lang w:val="uk-UA"/>
        </w:rPr>
        <w:t xml:space="preserve">Э. Дисфункция эндотелия при ишемической болезни сердца / </w:t>
      </w:r>
      <w:r w:rsidRPr="004E3FE9">
        <w:rPr>
          <w:rFonts w:ascii="Times New Roman" w:hAnsi="Times New Roman" w:cs="Times New Roman"/>
          <w:bCs/>
          <w:color w:val="000000" w:themeColor="text1"/>
          <w:sz w:val="28"/>
          <w:szCs w:val="28"/>
          <w:lang w:val="uk-UA"/>
        </w:rPr>
        <w:t>Н.</w:t>
      </w:r>
      <w:r w:rsidR="006C0EE6" w:rsidRPr="004E3FE9">
        <w:rPr>
          <w:rFonts w:ascii="Times New Roman" w:hAnsi="Times New Roman" w:cs="Times New Roman"/>
          <w:bCs/>
          <w:color w:val="000000" w:themeColor="text1"/>
          <w:sz w:val="28"/>
          <w:szCs w:val="28"/>
          <w:lang w:val="uk-UA"/>
        </w:rPr>
        <w:t xml:space="preserve">Э. </w:t>
      </w:r>
      <w:r w:rsidRPr="004E3FE9">
        <w:rPr>
          <w:rFonts w:ascii="Times New Roman" w:hAnsi="Times New Roman" w:cs="Times New Roman"/>
          <w:bCs/>
          <w:color w:val="000000" w:themeColor="text1"/>
          <w:sz w:val="28"/>
          <w:szCs w:val="28"/>
          <w:lang w:val="uk-UA"/>
        </w:rPr>
        <w:t>Закирова, Р.</w:t>
      </w:r>
      <w:r w:rsidR="006C0EE6" w:rsidRPr="004E3FE9">
        <w:rPr>
          <w:rFonts w:ascii="Times New Roman" w:hAnsi="Times New Roman" w:cs="Times New Roman"/>
          <w:bCs/>
          <w:color w:val="000000" w:themeColor="text1"/>
          <w:sz w:val="28"/>
          <w:szCs w:val="28"/>
          <w:lang w:val="uk-UA"/>
        </w:rPr>
        <w:t xml:space="preserve">Г. </w:t>
      </w:r>
      <w:r w:rsidRPr="004E3FE9">
        <w:rPr>
          <w:rFonts w:ascii="Times New Roman" w:hAnsi="Times New Roman" w:cs="Times New Roman"/>
          <w:bCs/>
          <w:color w:val="000000" w:themeColor="text1"/>
          <w:sz w:val="28"/>
          <w:szCs w:val="28"/>
          <w:lang w:val="uk-UA"/>
        </w:rPr>
        <w:t>Оганов, А.</w:t>
      </w:r>
      <w:r w:rsidR="006C0EE6" w:rsidRPr="004E3FE9">
        <w:rPr>
          <w:rFonts w:ascii="Times New Roman" w:hAnsi="Times New Roman" w:cs="Times New Roman"/>
          <w:bCs/>
          <w:color w:val="000000" w:themeColor="text1"/>
          <w:sz w:val="28"/>
          <w:szCs w:val="28"/>
          <w:lang w:val="uk-UA"/>
        </w:rPr>
        <w:t xml:space="preserve">Н. </w:t>
      </w:r>
      <w:r w:rsidRPr="004E3FE9">
        <w:rPr>
          <w:rFonts w:ascii="Times New Roman" w:hAnsi="Times New Roman" w:cs="Times New Roman"/>
          <w:bCs/>
          <w:color w:val="000000" w:themeColor="text1"/>
          <w:sz w:val="28"/>
          <w:szCs w:val="28"/>
          <w:lang w:val="uk-UA"/>
        </w:rPr>
        <w:t>Закирова, М.</w:t>
      </w:r>
      <w:r w:rsidR="006C0EE6" w:rsidRPr="004E3FE9">
        <w:rPr>
          <w:rFonts w:ascii="Times New Roman" w:hAnsi="Times New Roman" w:cs="Times New Roman"/>
          <w:bCs/>
          <w:color w:val="000000" w:themeColor="text1"/>
          <w:sz w:val="28"/>
          <w:szCs w:val="28"/>
          <w:lang w:val="uk-UA"/>
        </w:rPr>
        <w:t xml:space="preserve">Р. </w:t>
      </w:r>
      <w:r w:rsidRPr="004E3FE9">
        <w:rPr>
          <w:rFonts w:ascii="Times New Roman" w:hAnsi="Times New Roman" w:cs="Times New Roman"/>
          <w:bCs/>
          <w:color w:val="000000" w:themeColor="text1"/>
          <w:sz w:val="28"/>
          <w:szCs w:val="28"/>
          <w:lang w:val="uk-UA"/>
        </w:rPr>
        <w:t>Плотникова,                 Г.</w:t>
      </w:r>
      <w:r w:rsidR="006C0EE6" w:rsidRPr="004E3FE9">
        <w:rPr>
          <w:rFonts w:ascii="Times New Roman" w:hAnsi="Times New Roman" w:cs="Times New Roman"/>
          <w:bCs/>
          <w:color w:val="000000" w:themeColor="text1"/>
          <w:sz w:val="28"/>
          <w:szCs w:val="28"/>
          <w:lang w:val="uk-UA"/>
        </w:rPr>
        <w:t>М. Салахова //Рациональная фармакотерапия в кардиологии. – 2008. – Т. 4, №. 4. – С 23-27</w:t>
      </w:r>
    </w:p>
    <w:p w:rsidR="006C0EE6" w:rsidRPr="004E3FE9" w:rsidRDefault="00FF1BA0"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Кадушкин А.</w:t>
      </w:r>
      <w:r w:rsidR="006C0EE6" w:rsidRPr="004E3FE9">
        <w:rPr>
          <w:rFonts w:ascii="Times New Roman" w:hAnsi="Times New Roman" w:cs="Times New Roman"/>
          <w:bCs/>
          <w:color w:val="000000" w:themeColor="text1"/>
          <w:sz w:val="28"/>
          <w:szCs w:val="28"/>
          <w:lang w:val="uk-UA"/>
        </w:rPr>
        <w:t>Г.</w:t>
      </w:r>
      <w:r w:rsidR="004A1130"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Роль хемокинов в патогенезе хронической обструктивной болезни легких</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А.Г. Кадушкин, А.</w:t>
      </w:r>
      <w:r w:rsidR="006C0EE6" w:rsidRPr="004E3FE9">
        <w:rPr>
          <w:rFonts w:ascii="Times New Roman" w:hAnsi="Times New Roman" w:cs="Times New Roman"/>
          <w:bCs/>
          <w:color w:val="000000" w:themeColor="text1"/>
          <w:sz w:val="28"/>
          <w:szCs w:val="28"/>
          <w:lang w:val="uk-UA"/>
        </w:rPr>
        <w:t>Д. Таганович. // Медицинский журнал. – 2012. – Т. 40, №2. – С.139-144.</w:t>
      </w:r>
    </w:p>
    <w:p w:rsidR="006C0EE6" w:rsidRPr="004E3FE9" w:rsidRDefault="00FF1BA0" w:rsidP="0099056E">
      <w:pPr>
        <w:pStyle w:val="a7"/>
        <w:numPr>
          <w:ilvl w:val="0"/>
          <w:numId w:val="7"/>
        </w:num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Кальметьева Л.</w:t>
      </w:r>
      <w:r w:rsidR="006C0EE6" w:rsidRPr="004E3FE9">
        <w:rPr>
          <w:rFonts w:ascii="Times New Roman" w:hAnsi="Times New Roman" w:cs="Times New Roman"/>
          <w:sz w:val="28"/>
          <w:szCs w:val="28"/>
          <w:lang w:val="uk-UA"/>
        </w:rPr>
        <w:t xml:space="preserve">Р. Клинико-лабораторные маркеры прогрессирования хронических гломерулонефритов у детей / </w:t>
      </w:r>
      <w:r w:rsidRPr="004E3FE9">
        <w:rPr>
          <w:rFonts w:ascii="Times New Roman" w:hAnsi="Times New Roman" w:cs="Times New Roman"/>
          <w:sz w:val="28"/>
          <w:szCs w:val="28"/>
          <w:lang w:val="uk-UA"/>
        </w:rPr>
        <w:t>Л.</w:t>
      </w:r>
      <w:r w:rsidR="006C0EE6" w:rsidRPr="004E3FE9">
        <w:rPr>
          <w:rFonts w:ascii="Times New Roman" w:hAnsi="Times New Roman" w:cs="Times New Roman"/>
          <w:sz w:val="28"/>
          <w:szCs w:val="28"/>
          <w:lang w:val="uk-UA"/>
        </w:rPr>
        <w:t xml:space="preserve">Р. </w:t>
      </w:r>
      <w:r w:rsidRPr="004E3FE9">
        <w:rPr>
          <w:rFonts w:ascii="Times New Roman" w:hAnsi="Times New Roman" w:cs="Times New Roman"/>
          <w:sz w:val="28"/>
          <w:szCs w:val="28"/>
          <w:lang w:val="uk-UA"/>
        </w:rPr>
        <w:t>Кальметьева,                 Р.</w:t>
      </w:r>
      <w:r w:rsidR="006C0EE6" w:rsidRPr="004E3FE9">
        <w:rPr>
          <w:rFonts w:ascii="Times New Roman" w:hAnsi="Times New Roman" w:cs="Times New Roman"/>
          <w:sz w:val="28"/>
          <w:szCs w:val="28"/>
          <w:lang w:val="uk-UA"/>
        </w:rPr>
        <w:t xml:space="preserve">М. </w:t>
      </w:r>
      <w:r w:rsidRPr="004E3FE9">
        <w:rPr>
          <w:rFonts w:ascii="Times New Roman" w:hAnsi="Times New Roman" w:cs="Times New Roman"/>
          <w:sz w:val="28"/>
          <w:szCs w:val="28"/>
          <w:lang w:val="uk-UA"/>
        </w:rPr>
        <w:t>Хайруллина, Т.</w:t>
      </w:r>
      <w:r w:rsidR="006C0EE6" w:rsidRPr="004E3FE9">
        <w:rPr>
          <w:rFonts w:ascii="Times New Roman" w:hAnsi="Times New Roman" w:cs="Times New Roman"/>
          <w:sz w:val="28"/>
          <w:szCs w:val="28"/>
          <w:lang w:val="uk-UA"/>
        </w:rPr>
        <w:t>А</w:t>
      </w:r>
      <w:r w:rsidRPr="004E3FE9">
        <w:rPr>
          <w:rFonts w:ascii="Times New Roman" w:hAnsi="Times New Roman" w:cs="Times New Roman"/>
          <w:sz w:val="28"/>
          <w:szCs w:val="28"/>
          <w:lang w:val="uk-UA"/>
        </w:rPr>
        <w:t>.</w:t>
      </w:r>
      <w:r w:rsidR="006C0EE6" w:rsidRPr="004E3FE9">
        <w:rPr>
          <w:rFonts w:ascii="Times New Roman" w:hAnsi="Times New Roman" w:cs="Times New Roman"/>
          <w:sz w:val="28"/>
          <w:szCs w:val="28"/>
          <w:lang w:val="uk-UA"/>
        </w:rPr>
        <w:t xml:space="preserve"> Сираева // Медицинский вестник Башкортостана. – 2011. – Т. 6, №. 2. – С. 392-397.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 xml:space="preserve">Кальметьева Л.Р. Роль молекулярных медиаторов в патогенезе патологии почек у детей / </w:t>
      </w:r>
      <w:r w:rsidR="00FF1BA0" w:rsidRPr="004E3FE9">
        <w:rPr>
          <w:rFonts w:ascii="Times New Roman" w:hAnsi="Times New Roman" w:cs="Times New Roman"/>
          <w:bCs/>
          <w:color w:val="000000" w:themeColor="text1"/>
          <w:sz w:val="28"/>
          <w:szCs w:val="28"/>
          <w:lang w:val="uk-UA"/>
        </w:rPr>
        <w:t>Л.</w:t>
      </w:r>
      <w:r w:rsidRPr="004E3FE9">
        <w:rPr>
          <w:rFonts w:ascii="Times New Roman" w:hAnsi="Times New Roman" w:cs="Times New Roman"/>
          <w:bCs/>
          <w:color w:val="000000" w:themeColor="text1"/>
          <w:sz w:val="28"/>
          <w:szCs w:val="28"/>
          <w:lang w:val="uk-UA"/>
        </w:rPr>
        <w:t>Р. Кальметьева // Цитокины и воспаление. – 2011. – Т. 10, №. 4. – С. 130-135.</w:t>
      </w:r>
    </w:p>
    <w:p w:rsidR="006C0EE6" w:rsidRPr="004E3FE9" w:rsidRDefault="00FF1BA0"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Киричук В.</w:t>
      </w:r>
      <w:r w:rsidR="006C0EE6" w:rsidRPr="004E3FE9">
        <w:rPr>
          <w:rFonts w:ascii="Times New Roman" w:hAnsi="Times New Roman" w:cs="Times New Roman"/>
          <w:bCs/>
          <w:sz w:val="28"/>
          <w:szCs w:val="28"/>
          <w:lang w:val="uk-UA"/>
        </w:rPr>
        <w:t xml:space="preserve">Ф. Дисфункция эндотелия / </w:t>
      </w:r>
      <w:r w:rsidRPr="004E3FE9">
        <w:rPr>
          <w:rFonts w:ascii="Times New Roman" w:hAnsi="Times New Roman" w:cs="Times New Roman"/>
          <w:bCs/>
          <w:sz w:val="28"/>
          <w:szCs w:val="28"/>
          <w:lang w:val="uk-UA"/>
        </w:rPr>
        <w:t xml:space="preserve">П.В. </w:t>
      </w:r>
      <w:r w:rsidR="006C0EE6" w:rsidRPr="004E3FE9">
        <w:rPr>
          <w:rFonts w:ascii="Times New Roman" w:hAnsi="Times New Roman" w:cs="Times New Roman"/>
          <w:bCs/>
          <w:sz w:val="28"/>
          <w:szCs w:val="28"/>
          <w:lang w:val="uk-UA"/>
        </w:rPr>
        <w:t xml:space="preserve">Глыбочко, </w:t>
      </w:r>
      <w:r w:rsidRPr="004E3FE9">
        <w:rPr>
          <w:rFonts w:ascii="Times New Roman" w:hAnsi="Times New Roman" w:cs="Times New Roman"/>
          <w:bCs/>
          <w:sz w:val="28"/>
          <w:szCs w:val="28"/>
          <w:lang w:val="uk-UA"/>
        </w:rPr>
        <w:t xml:space="preserve">А.И. </w:t>
      </w:r>
      <w:r w:rsidR="006C0EE6" w:rsidRPr="004E3FE9">
        <w:rPr>
          <w:rFonts w:ascii="Times New Roman" w:hAnsi="Times New Roman" w:cs="Times New Roman"/>
          <w:bCs/>
          <w:sz w:val="28"/>
          <w:szCs w:val="28"/>
          <w:lang w:val="uk-UA"/>
        </w:rPr>
        <w:t>Пономарева // Саратов: Изд-во Саратовского мед. ун-та. – 2008. – 129 с.</w:t>
      </w:r>
    </w:p>
    <w:p w:rsidR="006C0EE6" w:rsidRPr="004E3FE9" w:rsidRDefault="00FF1BA0"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Колесникова О.</w:t>
      </w:r>
      <w:r w:rsidR="006C0EE6" w:rsidRPr="004E3FE9">
        <w:rPr>
          <w:rFonts w:ascii="Times New Roman" w:hAnsi="Times New Roman" w:cs="Times New Roman"/>
          <w:bCs/>
          <w:sz w:val="28"/>
          <w:szCs w:val="28"/>
          <w:lang w:val="uk-UA"/>
        </w:rPr>
        <w:t xml:space="preserve">И. Валеологические аспекты геморрагического васкулита у детей / </w:t>
      </w:r>
      <w:r w:rsidRPr="004E3FE9">
        <w:rPr>
          <w:rFonts w:ascii="Times New Roman" w:hAnsi="Times New Roman" w:cs="Times New Roman"/>
          <w:bCs/>
          <w:sz w:val="28"/>
          <w:szCs w:val="28"/>
          <w:lang w:val="uk-UA"/>
        </w:rPr>
        <w:t>О.</w:t>
      </w:r>
      <w:r w:rsidR="006C0EE6" w:rsidRPr="004E3FE9">
        <w:rPr>
          <w:rFonts w:ascii="Times New Roman" w:hAnsi="Times New Roman" w:cs="Times New Roman"/>
          <w:bCs/>
          <w:sz w:val="28"/>
          <w:szCs w:val="28"/>
          <w:lang w:val="uk-UA"/>
        </w:rPr>
        <w:t>И. Колесникова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Международный журнал прикладных и фундаментальных исследований. – 2014. – №. 1-2. – С. 286-287</w:t>
      </w:r>
    </w:p>
    <w:p w:rsidR="006C0EE6" w:rsidRPr="004E3FE9" w:rsidRDefault="00FF1BA0"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Коркушко О.</w:t>
      </w:r>
      <w:r w:rsidR="006C0EE6" w:rsidRPr="004E3FE9">
        <w:rPr>
          <w:rFonts w:ascii="Times New Roman" w:hAnsi="Times New Roman" w:cs="Times New Roman"/>
          <w:bCs/>
          <w:sz w:val="28"/>
          <w:szCs w:val="28"/>
          <w:lang w:val="uk-UA"/>
        </w:rPr>
        <w:t>В. Нарушения углеводного обмена и их роль в изменении гемоваскулярного гемостаза и функции эндотелия на уровне микроциркуляторного сосудистого русла у практически здоров</w:t>
      </w:r>
      <w:r w:rsidRPr="004E3FE9">
        <w:rPr>
          <w:rFonts w:ascii="Times New Roman" w:hAnsi="Times New Roman" w:cs="Times New Roman"/>
          <w:bCs/>
          <w:sz w:val="28"/>
          <w:szCs w:val="28"/>
          <w:lang w:val="uk-UA"/>
        </w:rPr>
        <w:t>ых людей пожилого возраста / О.</w:t>
      </w:r>
      <w:r w:rsidR="006C0EE6" w:rsidRPr="004E3FE9">
        <w:rPr>
          <w:rFonts w:ascii="Times New Roman" w:hAnsi="Times New Roman" w:cs="Times New Roman"/>
          <w:bCs/>
          <w:sz w:val="28"/>
          <w:szCs w:val="28"/>
          <w:lang w:val="uk-UA"/>
        </w:rPr>
        <w:t>В</w:t>
      </w:r>
      <w:r w:rsidRPr="004E3FE9">
        <w:rPr>
          <w:rFonts w:ascii="Times New Roman" w:hAnsi="Times New Roman" w:cs="Times New Roman"/>
          <w:bCs/>
          <w:sz w:val="28"/>
          <w:szCs w:val="28"/>
          <w:lang w:val="uk-UA"/>
        </w:rPr>
        <w:t xml:space="preserve">. Коркушко, </w:t>
      </w:r>
      <w:r w:rsidR="006C0EE6" w:rsidRPr="004E3FE9">
        <w:rPr>
          <w:rFonts w:ascii="Times New Roman" w:hAnsi="Times New Roman" w:cs="Times New Roman"/>
          <w:bCs/>
          <w:sz w:val="28"/>
          <w:szCs w:val="28"/>
          <w:lang w:val="uk-UA"/>
        </w:rPr>
        <w:t xml:space="preserve">В.П. Чижова, В.Б. Шатило,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Е.В. Бондаренко та ін.</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 Кровообіг та гемостаз. – 2014. – №. 1-2. – С. 5-15.</w:t>
      </w:r>
    </w:p>
    <w:p w:rsidR="006C0EE6" w:rsidRPr="004E3FE9" w:rsidRDefault="00FF1BA0"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lastRenderedPageBreak/>
        <w:t>Король Т.</w:t>
      </w:r>
      <w:r w:rsidR="006C0EE6" w:rsidRPr="004E3FE9">
        <w:rPr>
          <w:rFonts w:ascii="Times New Roman" w:hAnsi="Times New Roman" w:cs="Times New Roman"/>
          <w:bCs/>
          <w:color w:val="000000" w:themeColor="text1"/>
          <w:sz w:val="28"/>
          <w:szCs w:val="28"/>
          <w:lang w:val="uk-UA"/>
        </w:rPr>
        <w:t>Г. Клінічні особливості перебігу пурпури Шенле</w:t>
      </w:r>
      <w:r w:rsidRPr="004E3FE9">
        <w:rPr>
          <w:rFonts w:ascii="Times New Roman" w:hAnsi="Times New Roman" w:cs="Times New Roman"/>
          <w:bCs/>
          <w:color w:val="000000" w:themeColor="text1"/>
          <w:sz w:val="28"/>
          <w:szCs w:val="28"/>
          <w:lang w:val="uk-UA"/>
        </w:rPr>
        <w:t>йн-Геноха у дітей / Т.</w:t>
      </w:r>
      <w:r w:rsidR="006C0EE6" w:rsidRPr="004E3FE9">
        <w:rPr>
          <w:rFonts w:ascii="Times New Roman" w:hAnsi="Times New Roman" w:cs="Times New Roman"/>
          <w:bCs/>
          <w:color w:val="000000" w:themeColor="text1"/>
          <w:sz w:val="28"/>
          <w:szCs w:val="28"/>
          <w:lang w:val="uk-UA"/>
        </w:rPr>
        <w:t>Г. Король // Вісник Вінницького національного медичного університету. – 2014. – Т. 18, № 2. – С. 554-557.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Литвицкий П.Ф. Патология системы гемостаза / П.Ф. Литвицкий // Вестник современной педиатрии. – 2014. – Т. 13, №2 – С.65-76.</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Лыскина Г.А. Некоторые аспекты развития, течения и лечения болезни Шенлейна-Геноха у детей / Г.А. Лыскина, Г.А. Зиновьева // Педиатрия. – 2010. – Т. 89, №6. – С. 131-136.</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Майданник В.Г. Клінічна діагностика в педіатрії : навч. посіб.для студ. вищ. мед.</w:t>
      </w:r>
      <w:r w:rsidR="00FF1BA0" w:rsidRPr="004E3FE9">
        <w:rPr>
          <w:rFonts w:ascii="Times New Roman" w:hAnsi="Times New Roman" w:cs="Times New Roman"/>
          <w:bCs/>
          <w:sz w:val="28"/>
          <w:szCs w:val="28"/>
          <w:lang w:val="uk-UA"/>
        </w:rPr>
        <w:t xml:space="preserve"> навч. закл. / В.Г. Майданник, О.</w:t>
      </w:r>
      <w:r w:rsidRPr="004E3FE9">
        <w:rPr>
          <w:rFonts w:ascii="Times New Roman" w:hAnsi="Times New Roman" w:cs="Times New Roman"/>
          <w:bCs/>
          <w:sz w:val="28"/>
          <w:szCs w:val="28"/>
          <w:lang w:val="uk-UA"/>
        </w:rPr>
        <w:t>В. Бутиліна. - К. : ООО “Дорадо-Друк”, 2012. - 286 с.</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Мак</w:t>
      </w:r>
      <w:r w:rsidR="00FF1BA0" w:rsidRPr="004E3FE9">
        <w:rPr>
          <w:rFonts w:ascii="Times New Roman" w:hAnsi="Times New Roman" w:cs="Times New Roman"/>
          <w:bCs/>
          <w:color w:val="000000" w:themeColor="text1"/>
          <w:sz w:val="28"/>
          <w:szCs w:val="28"/>
          <w:lang w:val="uk-UA"/>
        </w:rPr>
        <w:t>арова Т.</w:t>
      </w:r>
      <w:r w:rsidRPr="004E3FE9">
        <w:rPr>
          <w:rFonts w:ascii="Times New Roman" w:hAnsi="Times New Roman" w:cs="Times New Roman"/>
          <w:bCs/>
          <w:color w:val="000000" w:themeColor="text1"/>
          <w:sz w:val="28"/>
          <w:szCs w:val="28"/>
          <w:lang w:val="uk-UA"/>
        </w:rPr>
        <w:t xml:space="preserve">П. Системные васкулиты у детей / </w:t>
      </w:r>
      <w:r w:rsidR="00FF1BA0" w:rsidRPr="004E3FE9">
        <w:rPr>
          <w:rFonts w:ascii="Times New Roman" w:hAnsi="Times New Roman" w:cs="Times New Roman"/>
          <w:bCs/>
          <w:color w:val="000000" w:themeColor="text1"/>
          <w:sz w:val="28"/>
          <w:szCs w:val="28"/>
          <w:lang w:val="uk-UA"/>
        </w:rPr>
        <w:t>Т.</w:t>
      </w:r>
      <w:r w:rsidRPr="004E3FE9">
        <w:rPr>
          <w:rFonts w:ascii="Times New Roman" w:hAnsi="Times New Roman" w:cs="Times New Roman"/>
          <w:bCs/>
          <w:color w:val="000000" w:themeColor="text1"/>
          <w:sz w:val="28"/>
          <w:szCs w:val="28"/>
          <w:lang w:val="uk-UA"/>
        </w:rPr>
        <w:t xml:space="preserve">П. Макарова, С.А. </w:t>
      </w:r>
      <w:r w:rsidR="00FF1BA0" w:rsidRPr="004E3FE9">
        <w:rPr>
          <w:rFonts w:ascii="Times New Roman" w:hAnsi="Times New Roman" w:cs="Times New Roman"/>
          <w:bCs/>
          <w:color w:val="000000" w:themeColor="text1"/>
          <w:sz w:val="28"/>
          <w:szCs w:val="28"/>
          <w:lang w:val="uk-UA"/>
        </w:rPr>
        <w:t>Сенек, Н.</w:t>
      </w:r>
      <w:r w:rsidRPr="004E3FE9">
        <w:rPr>
          <w:rFonts w:ascii="Times New Roman" w:hAnsi="Times New Roman" w:cs="Times New Roman"/>
          <w:bCs/>
          <w:color w:val="000000" w:themeColor="text1"/>
          <w:sz w:val="28"/>
          <w:szCs w:val="28"/>
          <w:lang w:val="uk-UA"/>
        </w:rPr>
        <w:t xml:space="preserve">В. </w:t>
      </w:r>
      <w:r w:rsidR="00FF1BA0" w:rsidRPr="004E3FE9">
        <w:rPr>
          <w:rFonts w:ascii="Times New Roman" w:hAnsi="Times New Roman" w:cs="Times New Roman"/>
          <w:bCs/>
          <w:color w:val="000000" w:themeColor="text1"/>
          <w:sz w:val="28"/>
          <w:szCs w:val="28"/>
          <w:lang w:val="uk-UA"/>
        </w:rPr>
        <w:t>Осипова, Д.</w:t>
      </w:r>
      <w:r w:rsidRPr="004E3FE9">
        <w:rPr>
          <w:rFonts w:ascii="Times New Roman" w:hAnsi="Times New Roman" w:cs="Times New Roman"/>
          <w:bCs/>
          <w:color w:val="000000" w:themeColor="text1"/>
          <w:sz w:val="28"/>
          <w:szCs w:val="28"/>
          <w:lang w:val="uk-UA"/>
        </w:rPr>
        <w:t xml:space="preserve">И. </w:t>
      </w:r>
      <w:r w:rsidR="00FF1BA0" w:rsidRPr="004E3FE9">
        <w:rPr>
          <w:rFonts w:ascii="Times New Roman" w:hAnsi="Times New Roman" w:cs="Times New Roman"/>
          <w:bCs/>
          <w:color w:val="000000" w:themeColor="text1"/>
          <w:sz w:val="28"/>
          <w:szCs w:val="28"/>
          <w:lang w:val="uk-UA"/>
        </w:rPr>
        <w:t>Садыкова, Н.</w:t>
      </w:r>
      <w:r w:rsidRPr="004E3FE9">
        <w:rPr>
          <w:rFonts w:ascii="Times New Roman" w:hAnsi="Times New Roman" w:cs="Times New Roman"/>
          <w:bCs/>
          <w:color w:val="000000" w:themeColor="text1"/>
          <w:sz w:val="28"/>
          <w:szCs w:val="28"/>
          <w:lang w:val="uk-UA"/>
        </w:rPr>
        <w:t>Н. Фирсова // Практичекская медицина. – 2010. – №45. – С.29-33.</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Маргиева Т.В. Эндотелиальная дисфункция при хронических гломерулонефритах у детей / </w:t>
      </w:r>
      <w:r w:rsidR="00FF1BA0" w:rsidRPr="004E3FE9">
        <w:rPr>
          <w:rFonts w:ascii="Times New Roman" w:hAnsi="Times New Roman" w:cs="Times New Roman"/>
          <w:bCs/>
          <w:sz w:val="28"/>
          <w:szCs w:val="28"/>
          <w:lang w:val="uk-UA"/>
        </w:rPr>
        <w:t xml:space="preserve">Т.В. </w:t>
      </w:r>
      <w:r w:rsidRPr="004E3FE9">
        <w:rPr>
          <w:rFonts w:ascii="Times New Roman" w:hAnsi="Times New Roman" w:cs="Times New Roman"/>
          <w:bCs/>
          <w:sz w:val="28"/>
          <w:szCs w:val="28"/>
          <w:lang w:val="uk-UA"/>
        </w:rPr>
        <w:t xml:space="preserve">Сергеева, </w:t>
      </w:r>
      <w:r w:rsidR="00FF1BA0" w:rsidRPr="004E3FE9">
        <w:rPr>
          <w:rFonts w:ascii="Times New Roman" w:hAnsi="Times New Roman" w:cs="Times New Roman"/>
          <w:bCs/>
          <w:sz w:val="28"/>
          <w:szCs w:val="28"/>
          <w:lang w:val="uk-UA"/>
        </w:rPr>
        <w:t xml:space="preserve">И.Е. </w:t>
      </w:r>
      <w:r w:rsidRPr="004E3FE9">
        <w:rPr>
          <w:rFonts w:ascii="Times New Roman" w:hAnsi="Times New Roman" w:cs="Times New Roman"/>
          <w:bCs/>
          <w:sz w:val="28"/>
          <w:szCs w:val="28"/>
          <w:lang w:val="uk-UA"/>
        </w:rPr>
        <w:t>Смирнов // Вестник Российской академии медицинских наук</w:t>
      </w:r>
      <w:r w:rsidRPr="004E3FE9">
        <w:rPr>
          <w:rFonts w:ascii="Times New Roman" w:hAnsi="Times New Roman" w:cs="Times New Roman"/>
          <w:bCs/>
          <w:color w:val="000000" w:themeColor="text1"/>
          <w:sz w:val="28"/>
          <w:szCs w:val="28"/>
          <w:lang w:val="uk-UA"/>
        </w:rPr>
        <w:t xml:space="preserve">. – </w:t>
      </w:r>
      <w:r w:rsidRPr="004E3FE9">
        <w:rPr>
          <w:rFonts w:ascii="Times New Roman" w:hAnsi="Times New Roman" w:cs="Times New Roman"/>
          <w:bCs/>
          <w:sz w:val="28"/>
          <w:szCs w:val="28"/>
          <w:lang w:val="uk-UA"/>
        </w:rPr>
        <w:t>2008</w:t>
      </w:r>
      <w:r w:rsidRPr="004E3FE9">
        <w:rPr>
          <w:rFonts w:ascii="Times New Roman" w:hAnsi="Times New Roman" w:cs="Times New Roman"/>
          <w:bCs/>
          <w:color w:val="000000" w:themeColor="text1"/>
          <w:sz w:val="28"/>
          <w:szCs w:val="28"/>
          <w:lang w:val="uk-UA"/>
        </w:rPr>
        <w:t xml:space="preserve">. –Т. </w:t>
      </w:r>
      <w:r w:rsidRPr="004E3FE9">
        <w:rPr>
          <w:rFonts w:ascii="Times New Roman" w:hAnsi="Times New Roman" w:cs="Times New Roman"/>
          <w:bCs/>
          <w:sz w:val="28"/>
          <w:szCs w:val="28"/>
          <w:lang w:val="uk-UA"/>
        </w:rPr>
        <w:t>12</w:t>
      </w:r>
      <w:r w:rsidRPr="004E3FE9">
        <w:rPr>
          <w:rFonts w:ascii="Times New Roman" w:hAnsi="Times New Roman" w:cs="Times New Roman"/>
          <w:bCs/>
          <w:color w:val="000000" w:themeColor="text1"/>
          <w:sz w:val="28"/>
          <w:szCs w:val="28"/>
          <w:lang w:val="uk-UA"/>
        </w:rPr>
        <w:t xml:space="preserve">. – С. </w:t>
      </w:r>
      <w:r w:rsidRPr="004E3FE9">
        <w:rPr>
          <w:rFonts w:ascii="Times New Roman" w:hAnsi="Times New Roman" w:cs="Times New Roman"/>
          <w:bCs/>
          <w:sz w:val="28"/>
          <w:szCs w:val="28"/>
          <w:lang w:val="uk-UA"/>
        </w:rPr>
        <w:t>10.</w:t>
      </w:r>
    </w:p>
    <w:p w:rsidR="006C0EE6" w:rsidRPr="004E3FE9" w:rsidRDefault="00FF1BA0"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Мацюк Т.</w:t>
      </w:r>
      <w:r w:rsidR="006C0EE6" w:rsidRPr="004E3FE9">
        <w:rPr>
          <w:rFonts w:ascii="Times New Roman" w:hAnsi="Times New Roman" w:cs="Times New Roman"/>
          <w:bCs/>
          <w:color w:val="000000" w:themeColor="text1"/>
          <w:sz w:val="28"/>
          <w:szCs w:val="28"/>
          <w:lang w:val="uk-UA"/>
        </w:rPr>
        <w:t xml:space="preserve">В. Особенности клинического течения хронической гастродуоденальной патологии у детей c NO-зависимой дисфункцией эндотелия / </w:t>
      </w:r>
      <w:r w:rsidRPr="004E3FE9">
        <w:rPr>
          <w:rFonts w:ascii="Times New Roman" w:hAnsi="Times New Roman" w:cs="Times New Roman"/>
          <w:bCs/>
          <w:color w:val="000000" w:themeColor="text1"/>
          <w:sz w:val="28"/>
          <w:szCs w:val="28"/>
          <w:lang w:val="uk-UA"/>
        </w:rPr>
        <w:t>Т.</w:t>
      </w:r>
      <w:r w:rsidR="006C0EE6" w:rsidRPr="004E3FE9">
        <w:rPr>
          <w:rFonts w:ascii="Times New Roman" w:hAnsi="Times New Roman" w:cs="Times New Roman"/>
          <w:bCs/>
          <w:color w:val="000000" w:themeColor="text1"/>
          <w:sz w:val="28"/>
          <w:szCs w:val="28"/>
          <w:lang w:val="uk-UA"/>
        </w:rPr>
        <w:t>В. Мацюк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Журнал Гродненского государственного медицинского университета. – 2007. – Т. 19, №. 3. – С. 51-54.</w:t>
      </w:r>
    </w:p>
    <w:p w:rsidR="006C0EE6" w:rsidRPr="004E3FE9" w:rsidRDefault="00FF1BA0"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Медична статистика </w:t>
      </w:r>
      <w:r w:rsidR="006C0EE6" w:rsidRPr="004E3FE9">
        <w:rPr>
          <w:rFonts w:ascii="Times New Roman" w:hAnsi="Times New Roman" w:cs="Times New Roman"/>
          <w:bCs/>
          <w:sz w:val="28"/>
          <w:szCs w:val="28"/>
          <w:lang w:val="uk-UA"/>
        </w:rPr>
        <w:t>/ [О.</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Приходський, А.</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Голяченко, Л.</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Мораль, В.</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Мєзенцев ]. – Тернопіль: ЛІЛЕЯ. 2000. – 140с.</w:t>
      </w:r>
    </w:p>
    <w:p w:rsidR="006C0EE6" w:rsidRPr="004E3FE9" w:rsidRDefault="00FF1BA0"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Методы </w:t>
      </w:r>
      <w:r w:rsidR="006C0EE6" w:rsidRPr="004E3FE9">
        <w:rPr>
          <w:rFonts w:ascii="Times New Roman" w:hAnsi="Times New Roman" w:cs="Times New Roman"/>
          <w:bCs/>
          <w:sz w:val="28"/>
          <w:szCs w:val="28"/>
          <w:lang w:val="uk-UA"/>
        </w:rPr>
        <w:t>системного анализа в медицинских исследованиях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Славин М.Б. - М.: Медицина, 1989. – 304 с.</w:t>
      </w:r>
    </w:p>
    <w:p w:rsidR="006C0EE6" w:rsidRPr="004E3FE9" w:rsidRDefault="00FF1BA0"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Михно В.</w:t>
      </w:r>
      <w:r w:rsidR="006C0EE6" w:rsidRPr="004E3FE9">
        <w:rPr>
          <w:rFonts w:ascii="Times New Roman" w:hAnsi="Times New Roman" w:cs="Times New Roman"/>
          <w:bCs/>
          <w:color w:val="000000" w:themeColor="text1"/>
          <w:sz w:val="28"/>
          <w:szCs w:val="28"/>
          <w:lang w:val="uk-UA"/>
        </w:rPr>
        <w:t xml:space="preserve">А. Дисфункция эндотелия как фактор риска сахарного диабета и сердечнососудистой патологии / </w:t>
      </w:r>
      <w:r w:rsidRPr="004E3FE9">
        <w:rPr>
          <w:rFonts w:ascii="Times New Roman" w:hAnsi="Times New Roman" w:cs="Times New Roman"/>
          <w:bCs/>
          <w:color w:val="000000" w:themeColor="text1"/>
          <w:sz w:val="28"/>
          <w:szCs w:val="28"/>
          <w:lang w:val="uk-UA"/>
        </w:rPr>
        <w:t>В.</w:t>
      </w:r>
      <w:r w:rsidR="006C0EE6" w:rsidRPr="004E3FE9">
        <w:rPr>
          <w:rFonts w:ascii="Times New Roman" w:hAnsi="Times New Roman" w:cs="Times New Roman"/>
          <w:bCs/>
          <w:color w:val="000000" w:themeColor="text1"/>
          <w:sz w:val="28"/>
          <w:szCs w:val="28"/>
          <w:lang w:val="uk-UA"/>
        </w:rPr>
        <w:t xml:space="preserve">А. </w:t>
      </w:r>
      <w:r w:rsidRPr="004E3FE9">
        <w:rPr>
          <w:rFonts w:ascii="Times New Roman" w:hAnsi="Times New Roman" w:cs="Times New Roman"/>
          <w:bCs/>
          <w:color w:val="000000" w:themeColor="text1"/>
          <w:sz w:val="28"/>
          <w:szCs w:val="28"/>
          <w:lang w:val="uk-UA"/>
        </w:rPr>
        <w:t>Михно, И.</w:t>
      </w:r>
      <w:r w:rsidR="006C0EE6" w:rsidRPr="004E3FE9">
        <w:rPr>
          <w:rFonts w:ascii="Times New Roman" w:hAnsi="Times New Roman" w:cs="Times New Roman"/>
          <w:bCs/>
          <w:color w:val="000000" w:themeColor="text1"/>
          <w:sz w:val="28"/>
          <w:szCs w:val="28"/>
          <w:lang w:val="uk-UA"/>
        </w:rPr>
        <w:t>Л. Никитина // Забайкальский медицинский вестник. – 2009. – №. 15. – С 92-97.</w:t>
      </w:r>
    </w:p>
    <w:p w:rsidR="006C0EE6" w:rsidRPr="004E3FE9" w:rsidRDefault="006C0EE6" w:rsidP="0099056E">
      <w:pPr>
        <w:pStyle w:val="a7"/>
        <w:numPr>
          <w:ilvl w:val="0"/>
          <w:numId w:val="7"/>
        </w:num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Момот А.П. Патология гемостаза. Принципы и алгоритмы клинико-лабораторной диагностики. – СПб.: ФормаТ, 2006. 208 с.</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lastRenderedPageBreak/>
        <w:t xml:space="preserve">Муравлёва, Л.Е. Гемостаз при хронической болезни почек / </w:t>
      </w:r>
      <w:r w:rsidR="00FF1BA0"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Л.Е. Муравлева, В.Б. Молотов-Лучанский, Д.А. Клюев // Современные проблемы науки и образования – 2010. – №4. – С.36-42.</w:t>
      </w:r>
    </w:p>
    <w:p w:rsidR="006C0EE6" w:rsidRPr="004E3FE9" w:rsidRDefault="00FF1BA0"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Мухин Н.</w:t>
      </w:r>
      <w:r w:rsidR="006C0EE6" w:rsidRPr="004E3FE9">
        <w:rPr>
          <w:rFonts w:ascii="Times New Roman" w:hAnsi="Times New Roman" w:cs="Times New Roman"/>
          <w:bCs/>
          <w:sz w:val="28"/>
          <w:szCs w:val="28"/>
          <w:lang w:val="uk-UA"/>
        </w:rPr>
        <w:t xml:space="preserve">А. Индуцируемые протеинурией механизмы ремоделирования тубулоинтерстиция и возможности нефропротекции при гломерулонефрите / </w:t>
      </w:r>
      <w:r w:rsidRPr="004E3FE9">
        <w:rPr>
          <w:rFonts w:ascii="Times New Roman" w:hAnsi="Times New Roman" w:cs="Times New Roman"/>
          <w:bCs/>
          <w:sz w:val="28"/>
          <w:szCs w:val="28"/>
          <w:lang w:val="uk-UA"/>
        </w:rPr>
        <w:t>Н.</w:t>
      </w:r>
      <w:r w:rsidR="006C0EE6" w:rsidRPr="004E3FE9">
        <w:rPr>
          <w:rFonts w:ascii="Times New Roman" w:hAnsi="Times New Roman" w:cs="Times New Roman"/>
          <w:bCs/>
          <w:sz w:val="28"/>
          <w:szCs w:val="28"/>
          <w:lang w:val="uk-UA"/>
        </w:rPr>
        <w:t xml:space="preserve">А. Мухин, </w:t>
      </w:r>
      <w:r w:rsidRPr="004E3FE9">
        <w:rPr>
          <w:rFonts w:ascii="Times New Roman" w:hAnsi="Times New Roman" w:cs="Times New Roman"/>
          <w:bCs/>
          <w:sz w:val="28"/>
          <w:szCs w:val="28"/>
          <w:lang w:val="uk-UA"/>
        </w:rPr>
        <w:t>Л.</w:t>
      </w:r>
      <w:r w:rsidR="006C0EE6" w:rsidRPr="004E3FE9">
        <w:rPr>
          <w:rFonts w:ascii="Times New Roman" w:hAnsi="Times New Roman" w:cs="Times New Roman"/>
          <w:bCs/>
          <w:sz w:val="28"/>
          <w:szCs w:val="28"/>
          <w:lang w:val="uk-UA"/>
        </w:rPr>
        <w:t xml:space="preserve">В. Козловская, </w:t>
      </w:r>
      <w:r w:rsidRPr="004E3FE9">
        <w:rPr>
          <w:rFonts w:ascii="Times New Roman" w:hAnsi="Times New Roman" w:cs="Times New Roman"/>
          <w:bCs/>
          <w:sz w:val="28"/>
          <w:szCs w:val="28"/>
          <w:lang w:val="uk-UA"/>
        </w:rPr>
        <w:t>И.</w:t>
      </w:r>
      <w:r w:rsidR="006C0EE6" w:rsidRPr="004E3FE9">
        <w:rPr>
          <w:rFonts w:ascii="Times New Roman" w:hAnsi="Times New Roman" w:cs="Times New Roman"/>
          <w:bCs/>
          <w:sz w:val="28"/>
          <w:szCs w:val="28"/>
          <w:lang w:val="uk-UA"/>
        </w:rPr>
        <w:t xml:space="preserve">Н. Бобкова, </w:t>
      </w:r>
      <w:r w:rsidRPr="004E3FE9">
        <w:rPr>
          <w:rFonts w:ascii="Times New Roman" w:hAnsi="Times New Roman" w:cs="Times New Roman"/>
          <w:bCs/>
          <w:sz w:val="28"/>
          <w:szCs w:val="28"/>
          <w:lang w:val="uk-UA"/>
        </w:rPr>
        <w:t xml:space="preserve">         О.К. Плиева, Н.</w:t>
      </w:r>
      <w:r w:rsidR="006C0EE6" w:rsidRPr="004E3FE9">
        <w:rPr>
          <w:rFonts w:ascii="Times New Roman" w:hAnsi="Times New Roman" w:cs="Times New Roman"/>
          <w:bCs/>
          <w:sz w:val="28"/>
          <w:szCs w:val="28"/>
          <w:lang w:val="uk-UA"/>
        </w:rPr>
        <w:t xml:space="preserve">В. Чеботарёва, </w:t>
      </w:r>
      <w:r w:rsidRPr="004E3FE9">
        <w:rPr>
          <w:rFonts w:ascii="Times New Roman" w:hAnsi="Times New Roman" w:cs="Times New Roman"/>
          <w:bCs/>
          <w:sz w:val="28"/>
          <w:szCs w:val="28"/>
          <w:lang w:val="uk-UA"/>
        </w:rPr>
        <w:t>А.</w:t>
      </w:r>
      <w:r w:rsidR="006C0EE6" w:rsidRPr="004E3FE9">
        <w:rPr>
          <w:rFonts w:ascii="Times New Roman" w:hAnsi="Times New Roman" w:cs="Times New Roman"/>
          <w:bCs/>
          <w:sz w:val="28"/>
          <w:szCs w:val="28"/>
          <w:lang w:val="uk-UA"/>
        </w:rPr>
        <w:t>В. Щербак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Вестник РАМН. – 2005. – Т. 1. – С. 3-8.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Никитина В.В. Значение МСР-1 как предиктора сосудистых нарушений / В.В. Никитина, Н.Б. Захарова // Саратовский научно-медицинский журнал. –2010. – №4. – С.786-790.</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Остроумова О.Д. Дисфункция эндотелия при сердечно-сосудистых заболеваниях (по материалам XIII Европейской конференции по артериальной гипертензии) / О.Д. Остроумова, Р.Э. Дубинская // Кардиология. – 2005. – № 2. – С. 59 - 61.</w:t>
      </w:r>
    </w:p>
    <w:p w:rsidR="006C0EE6" w:rsidRPr="004E3FE9" w:rsidRDefault="00FF1BA0"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Попова А.</w:t>
      </w:r>
      <w:r w:rsidR="006C0EE6" w:rsidRPr="004E3FE9">
        <w:rPr>
          <w:rFonts w:ascii="Times New Roman" w:hAnsi="Times New Roman" w:cs="Times New Roman"/>
          <w:bCs/>
          <w:color w:val="000000" w:themeColor="text1"/>
          <w:sz w:val="28"/>
          <w:szCs w:val="28"/>
          <w:lang w:val="uk-UA"/>
        </w:rPr>
        <w:t xml:space="preserve">А. Эндотелиальная дисфункция и механизмы ее формирования / </w:t>
      </w:r>
      <w:r w:rsidRPr="004E3FE9">
        <w:rPr>
          <w:rFonts w:ascii="Times New Roman" w:hAnsi="Times New Roman" w:cs="Times New Roman"/>
          <w:bCs/>
          <w:color w:val="000000" w:themeColor="text1"/>
          <w:sz w:val="28"/>
          <w:szCs w:val="28"/>
          <w:lang w:val="uk-UA"/>
        </w:rPr>
        <w:t>А.</w:t>
      </w:r>
      <w:r w:rsidR="006C0EE6" w:rsidRPr="004E3FE9">
        <w:rPr>
          <w:rFonts w:ascii="Times New Roman" w:hAnsi="Times New Roman" w:cs="Times New Roman"/>
          <w:bCs/>
          <w:color w:val="000000" w:themeColor="text1"/>
          <w:sz w:val="28"/>
          <w:szCs w:val="28"/>
          <w:lang w:val="uk-UA"/>
        </w:rPr>
        <w:t xml:space="preserve">А. </w:t>
      </w:r>
      <w:r w:rsidRPr="004E3FE9">
        <w:rPr>
          <w:rFonts w:ascii="Times New Roman" w:hAnsi="Times New Roman" w:cs="Times New Roman"/>
          <w:bCs/>
          <w:color w:val="000000" w:themeColor="text1"/>
          <w:sz w:val="28"/>
          <w:szCs w:val="28"/>
          <w:lang w:val="uk-UA"/>
        </w:rPr>
        <w:t>Попова, Е.</w:t>
      </w:r>
      <w:r w:rsidR="006C0EE6" w:rsidRPr="004E3FE9">
        <w:rPr>
          <w:rFonts w:ascii="Times New Roman" w:hAnsi="Times New Roman" w:cs="Times New Roman"/>
          <w:bCs/>
          <w:color w:val="000000" w:themeColor="text1"/>
          <w:sz w:val="28"/>
          <w:szCs w:val="28"/>
          <w:lang w:val="uk-UA"/>
        </w:rPr>
        <w:t xml:space="preserve">Н. Березикова, </w:t>
      </w:r>
      <w:r w:rsidRPr="004E3FE9">
        <w:rPr>
          <w:rFonts w:ascii="Times New Roman" w:hAnsi="Times New Roman" w:cs="Times New Roman"/>
          <w:bCs/>
          <w:color w:val="000000" w:themeColor="text1"/>
          <w:sz w:val="28"/>
          <w:szCs w:val="28"/>
          <w:lang w:val="uk-UA"/>
        </w:rPr>
        <w:t>С.</w:t>
      </w:r>
      <w:r w:rsidR="006C0EE6" w:rsidRPr="004E3FE9">
        <w:rPr>
          <w:rFonts w:ascii="Times New Roman" w:hAnsi="Times New Roman" w:cs="Times New Roman"/>
          <w:bCs/>
          <w:color w:val="000000" w:themeColor="text1"/>
          <w:sz w:val="28"/>
          <w:szCs w:val="28"/>
          <w:lang w:val="uk-UA"/>
        </w:rPr>
        <w:t>Д. Маянская // Сибирское медицинское обозрение. –2010. – №4. – С.7-11.</w:t>
      </w:r>
    </w:p>
    <w:p w:rsidR="006C0EE6" w:rsidRPr="004E3FE9" w:rsidRDefault="00FD3221"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Рябоконь Ю.</w:t>
      </w:r>
      <w:r w:rsidR="006C0EE6" w:rsidRPr="004E3FE9">
        <w:rPr>
          <w:rFonts w:ascii="Times New Roman" w:hAnsi="Times New Roman" w:cs="Times New Roman"/>
          <w:bCs/>
          <w:sz w:val="28"/>
          <w:szCs w:val="28"/>
          <w:lang w:val="uk-UA"/>
        </w:rPr>
        <w:t>Ю. Стан ендотелійзалежної функції ендотелію у хворих на хронічну hcv-інфекцію з позапечінковими проявами /</w:t>
      </w:r>
      <w:r w:rsidRPr="004E3FE9">
        <w:rPr>
          <w:rFonts w:ascii="Times New Roman" w:hAnsi="Times New Roman" w:cs="Times New Roman"/>
          <w:bCs/>
          <w:sz w:val="28"/>
          <w:szCs w:val="28"/>
          <w:lang w:val="uk-UA"/>
        </w:rPr>
        <w:t xml:space="preserve"> Ю.</w:t>
      </w:r>
      <w:r w:rsidR="006C0EE6" w:rsidRPr="004E3FE9">
        <w:rPr>
          <w:rFonts w:ascii="Times New Roman" w:hAnsi="Times New Roman" w:cs="Times New Roman"/>
          <w:bCs/>
          <w:sz w:val="28"/>
          <w:szCs w:val="28"/>
          <w:lang w:val="uk-UA"/>
        </w:rPr>
        <w:t>Ю. Рябоконь // Інфекційні хвороби. – 2013. – №. 4. – С. 26-33.</w:t>
      </w:r>
    </w:p>
    <w:p w:rsidR="006C0EE6" w:rsidRPr="004E3FE9" w:rsidRDefault="00FD3221"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Сеидова Г.</w:t>
      </w:r>
      <w:r w:rsidR="006C0EE6" w:rsidRPr="004E3FE9">
        <w:rPr>
          <w:rFonts w:ascii="Times New Roman" w:hAnsi="Times New Roman" w:cs="Times New Roman"/>
          <w:bCs/>
          <w:color w:val="000000" w:themeColor="text1"/>
          <w:sz w:val="28"/>
          <w:szCs w:val="28"/>
          <w:lang w:val="uk-UA"/>
        </w:rPr>
        <w:t xml:space="preserve">Б. Дисфункция эндотелия и развитие ИБС у женщин в пре-и постменопаузе / </w:t>
      </w:r>
      <w:r w:rsidRPr="004E3FE9">
        <w:rPr>
          <w:rFonts w:ascii="Times New Roman" w:hAnsi="Times New Roman" w:cs="Times New Roman"/>
          <w:bCs/>
          <w:color w:val="000000" w:themeColor="text1"/>
          <w:sz w:val="28"/>
          <w:szCs w:val="28"/>
          <w:lang w:val="uk-UA"/>
        </w:rPr>
        <w:t>Г.</w:t>
      </w:r>
      <w:r w:rsidR="006C0EE6" w:rsidRPr="004E3FE9">
        <w:rPr>
          <w:rFonts w:ascii="Times New Roman" w:hAnsi="Times New Roman" w:cs="Times New Roman"/>
          <w:bCs/>
          <w:color w:val="000000" w:themeColor="text1"/>
          <w:sz w:val="28"/>
          <w:szCs w:val="28"/>
          <w:lang w:val="uk-UA"/>
        </w:rPr>
        <w:t>Б. Сеидова // Регионарное кровообращение и микроциркуляция. – 2005. – Т. 4, №. 16. – С. 13-19.</w:t>
      </w:r>
    </w:p>
    <w:p w:rsidR="006C0EE6" w:rsidRPr="004E3FE9" w:rsidRDefault="00FD3221" w:rsidP="0099056E">
      <w:pPr>
        <w:pStyle w:val="a7"/>
        <w:numPr>
          <w:ilvl w:val="0"/>
          <w:numId w:val="7"/>
        </w:num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 xml:space="preserve">Сенаторова Г.С. </w:t>
      </w:r>
      <w:r w:rsidR="006C0EE6" w:rsidRPr="004E3FE9">
        <w:rPr>
          <w:rFonts w:ascii="Times New Roman" w:hAnsi="Times New Roman" w:cs="Times New Roman"/>
          <w:sz w:val="28"/>
          <w:szCs w:val="28"/>
          <w:lang w:val="uk-UA"/>
        </w:rPr>
        <w:t xml:space="preserve">Порівняльна характеристика фізичного розвитку дітей шкільного віку, що мешкають у місті та у сільській місцевості </w:t>
      </w:r>
      <w:r w:rsidRPr="004E3FE9">
        <w:rPr>
          <w:rFonts w:ascii="Times New Roman" w:hAnsi="Times New Roman" w:cs="Times New Roman"/>
          <w:sz w:val="28"/>
          <w:szCs w:val="28"/>
          <w:lang w:val="uk-UA"/>
        </w:rPr>
        <w:t xml:space="preserve">/ Г.С. Сенаторова, Л.Г. Тельнова, І.С. Дриль </w:t>
      </w:r>
      <w:r w:rsidR="006C0EE6" w:rsidRPr="004E3FE9">
        <w:rPr>
          <w:rFonts w:ascii="Times New Roman" w:hAnsi="Times New Roman" w:cs="Times New Roman"/>
          <w:sz w:val="28"/>
          <w:szCs w:val="28"/>
          <w:lang w:val="uk-UA"/>
        </w:rPr>
        <w:t>//Современная педиатрия. – 2013. – №. 8. – С. 154-158.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Сірчак </w:t>
      </w:r>
      <w:r w:rsidR="00FD3221" w:rsidRPr="004E3FE9">
        <w:rPr>
          <w:rFonts w:ascii="Times New Roman" w:hAnsi="Times New Roman" w:cs="Times New Roman"/>
          <w:bCs/>
          <w:sz w:val="28"/>
          <w:szCs w:val="28"/>
          <w:lang w:val="uk-UA"/>
        </w:rPr>
        <w:t>Є.</w:t>
      </w:r>
      <w:r w:rsidRPr="004E3FE9">
        <w:rPr>
          <w:rFonts w:ascii="Times New Roman" w:hAnsi="Times New Roman" w:cs="Times New Roman"/>
          <w:bCs/>
          <w:sz w:val="28"/>
          <w:szCs w:val="28"/>
          <w:lang w:val="uk-UA"/>
        </w:rPr>
        <w:t>С. Визначення ендотеліальної дисфункції судин у хворих на цироз печінки з портальною гіпертензією та гепатор</w:t>
      </w:r>
      <w:r w:rsidR="00FD3221" w:rsidRPr="004E3FE9">
        <w:rPr>
          <w:rFonts w:ascii="Times New Roman" w:hAnsi="Times New Roman" w:cs="Times New Roman"/>
          <w:bCs/>
          <w:sz w:val="28"/>
          <w:szCs w:val="28"/>
          <w:lang w:val="uk-UA"/>
        </w:rPr>
        <w:t xml:space="preserve">енальним синдромом </w:t>
      </w:r>
      <w:r w:rsidR="00FD3221" w:rsidRPr="004E3FE9">
        <w:rPr>
          <w:rFonts w:ascii="Times New Roman" w:hAnsi="Times New Roman" w:cs="Times New Roman"/>
          <w:bCs/>
          <w:sz w:val="28"/>
          <w:szCs w:val="28"/>
          <w:lang w:val="uk-UA"/>
        </w:rPr>
        <w:lastRenderedPageBreak/>
        <w:t>ІІ типу / Є.С. Сірчак, Х.В. Футько, В.І. Русин, Е.</w:t>
      </w:r>
      <w:r w:rsidRPr="004E3FE9">
        <w:rPr>
          <w:rFonts w:ascii="Times New Roman" w:hAnsi="Times New Roman" w:cs="Times New Roman"/>
          <w:bCs/>
          <w:sz w:val="28"/>
          <w:szCs w:val="28"/>
          <w:lang w:val="uk-UA"/>
        </w:rPr>
        <w:t>Й. Архій // Світ медицини та біології. - 2010. - №2. - С. 155-158.</w:t>
      </w:r>
    </w:p>
    <w:p w:rsidR="006C0EE6" w:rsidRPr="004E3FE9" w:rsidRDefault="00FD3221"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Скольская О.</w:t>
      </w:r>
      <w:r w:rsidR="006C0EE6" w:rsidRPr="004E3FE9">
        <w:rPr>
          <w:rFonts w:ascii="Times New Roman" w:hAnsi="Times New Roman" w:cs="Times New Roman"/>
          <w:bCs/>
          <w:color w:val="000000" w:themeColor="text1"/>
          <w:sz w:val="28"/>
          <w:szCs w:val="28"/>
          <w:lang w:val="uk-UA"/>
        </w:rPr>
        <w:t xml:space="preserve">Ю. Дисфункция эндотелия и нарушение гемостаза в дебюте острого лимфобластного лейкоза у взрослых больных / </w:t>
      </w:r>
      <w:r w:rsidRPr="004E3FE9">
        <w:rPr>
          <w:rFonts w:ascii="Times New Roman" w:hAnsi="Times New Roman" w:cs="Times New Roman"/>
          <w:bCs/>
          <w:color w:val="000000" w:themeColor="text1"/>
          <w:sz w:val="28"/>
          <w:szCs w:val="28"/>
          <w:lang w:val="uk-UA"/>
        </w:rPr>
        <w:t>О.</w:t>
      </w:r>
      <w:r w:rsidR="006C0EE6" w:rsidRPr="004E3FE9">
        <w:rPr>
          <w:rFonts w:ascii="Times New Roman" w:hAnsi="Times New Roman" w:cs="Times New Roman"/>
          <w:bCs/>
          <w:color w:val="000000" w:themeColor="text1"/>
          <w:sz w:val="28"/>
          <w:szCs w:val="28"/>
          <w:lang w:val="uk-UA"/>
        </w:rPr>
        <w:t xml:space="preserve">Ю. </w:t>
      </w:r>
      <w:r w:rsidRPr="004E3FE9">
        <w:rPr>
          <w:rFonts w:ascii="Times New Roman" w:hAnsi="Times New Roman" w:cs="Times New Roman"/>
          <w:bCs/>
          <w:color w:val="000000" w:themeColor="text1"/>
          <w:sz w:val="28"/>
          <w:szCs w:val="28"/>
          <w:lang w:val="uk-UA"/>
        </w:rPr>
        <w:t>Скольская, Л.</w:t>
      </w:r>
      <w:r w:rsidR="006C0EE6" w:rsidRPr="004E3FE9">
        <w:rPr>
          <w:rFonts w:ascii="Times New Roman" w:hAnsi="Times New Roman" w:cs="Times New Roman"/>
          <w:bCs/>
          <w:color w:val="000000" w:themeColor="text1"/>
          <w:sz w:val="28"/>
          <w:szCs w:val="28"/>
          <w:lang w:val="uk-UA"/>
        </w:rPr>
        <w:t xml:space="preserve">Н. Тарасова, С.Г. </w:t>
      </w:r>
      <w:r w:rsidRPr="004E3FE9">
        <w:rPr>
          <w:rFonts w:ascii="Times New Roman" w:hAnsi="Times New Roman" w:cs="Times New Roman"/>
          <w:bCs/>
          <w:color w:val="000000" w:themeColor="text1"/>
          <w:sz w:val="28"/>
          <w:szCs w:val="28"/>
          <w:lang w:val="uk-UA"/>
        </w:rPr>
        <w:t>Владимирова, В.</w:t>
      </w:r>
      <w:r w:rsidR="006C0EE6" w:rsidRPr="004E3FE9">
        <w:rPr>
          <w:rFonts w:ascii="Times New Roman" w:hAnsi="Times New Roman" w:cs="Times New Roman"/>
          <w:bCs/>
          <w:color w:val="000000" w:themeColor="text1"/>
          <w:sz w:val="28"/>
          <w:szCs w:val="28"/>
          <w:lang w:val="uk-UA"/>
        </w:rPr>
        <w:t>В. Черепанова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Гематология и трансфузиология. – 2013. – Т. 58, №. 1. – С. 28-31.</w:t>
      </w:r>
    </w:p>
    <w:p w:rsidR="006C0EE6" w:rsidRPr="004E3FE9" w:rsidRDefault="00FD3221"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Смертина Е.</w:t>
      </w:r>
      <w:r w:rsidR="006C0EE6" w:rsidRPr="004E3FE9">
        <w:rPr>
          <w:rFonts w:ascii="Times New Roman" w:hAnsi="Times New Roman" w:cs="Times New Roman"/>
          <w:bCs/>
          <w:color w:val="000000" w:themeColor="text1"/>
          <w:sz w:val="28"/>
          <w:szCs w:val="28"/>
          <w:lang w:val="uk-UA"/>
        </w:rPr>
        <w:t xml:space="preserve">Г. Состояние системы гемостаза и функции эндотелия при различных подтипах ишемического инсульта в остром и восстановительном периодах / </w:t>
      </w:r>
      <w:r w:rsidRPr="004E3FE9">
        <w:rPr>
          <w:rFonts w:ascii="Times New Roman" w:hAnsi="Times New Roman" w:cs="Times New Roman"/>
          <w:bCs/>
          <w:color w:val="000000" w:themeColor="text1"/>
          <w:sz w:val="28"/>
          <w:szCs w:val="28"/>
          <w:lang w:val="uk-UA"/>
        </w:rPr>
        <w:t>Е.</w:t>
      </w:r>
      <w:r w:rsidR="006C0EE6" w:rsidRPr="004E3FE9">
        <w:rPr>
          <w:rFonts w:ascii="Times New Roman" w:hAnsi="Times New Roman" w:cs="Times New Roman"/>
          <w:bCs/>
          <w:color w:val="000000" w:themeColor="text1"/>
          <w:sz w:val="28"/>
          <w:szCs w:val="28"/>
          <w:lang w:val="uk-UA"/>
        </w:rPr>
        <w:t xml:space="preserve">Г. </w:t>
      </w:r>
      <w:r w:rsidRPr="004E3FE9">
        <w:rPr>
          <w:rFonts w:ascii="Times New Roman" w:hAnsi="Times New Roman" w:cs="Times New Roman"/>
          <w:bCs/>
          <w:color w:val="000000" w:themeColor="text1"/>
          <w:sz w:val="28"/>
          <w:szCs w:val="28"/>
          <w:lang w:val="uk-UA"/>
        </w:rPr>
        <w:t>Смертина, С.</w:t>
      </w:r>
      <w:r w:rsidR="006C0EE6" w:rsidRPr="004E3FE9">
        <w:rPr>
          <w:rFonts w:ascii="Times New Roman" w:hAnsi="Times New Roman" w:cs="Times New Roman"/>
          <w:bCs/>
          <w:color w:val="000000" w:themeColor="text1"/>
          <w:sz w:val="28"/>
          <w:szCs w:val="28"/>
          <w:lang w:val="uk-UA"/>
        </w:rPr>
        <w:t xml:space="preserve">В. </w:t>
      </w:r>
      <w:r w:rsidRPr="004E3FE9">
        <w:rPr>
          <w:rFonts w:ascii="Times New Roman" w:hAnsi="Times New Roman" w:cs="Times New Roman"/>
          <w:bCs/>
          <w:color w:val="000000" w:themeColor="text1"/>
          <w:sz w:val="28"/>
          <w:szCs w:val="28"/>
          <w:lang w:val="uk-UA"/>
        </w:rPr>
        <w:t>Прокопенко,            В.</w:t>
      </w:r>
      <w:r w:rsidR="006C0EE6" w:rsidRPr="004E3FE9">
        <w:rPr>
          <w:rFonts w:ascii="Times New Roman" w:hAnsi="Times New Roman" w:cs="Times New Roman"/>
          <w:bCs/>
          <w:color w:val="000000" w:themeColor="text1"/>
          <w:sz w:val="28"/>
          <w:szCs w:val="28"/>
          <w:lang w:val="uk-UA"/>
        </w:rPr>
        <w:t xml:space="preserve">Г. </w:t>
      </w:r>
      <w:r w:rsidRPr="004E3FE9">
        <w:rPr>
          <w:rFonts w:ascii="Times New Roman" w:hAnsi="Times New Roman" w:cs="Times New Roman"/>
          <w:bCs/>
          <w:color w:val="000000" w:themeColor="text1"/>
          <w:sz w:val="28"/>
          <w:szCs w:val="28"/>
          <w:lang w:val="uk-UA"/>
        </w:rPr>
        <w:t>Ионова, М.</w:t>
      </w:r>
      <w:r w:rsidR="006C0EE6" w:rsidRPr="004E3FE9">
        <w:rPr>
          <w:rFonts w:ascii="Times New Roman" w:hAnsi="Times New Roman" w:cs="Times New Roman"/>
          <w:bCs/>
          <w:color w:val="000000" w:themeColor="text1"/>
          <w:sz w:val="28"/>
          <w:szCs w:val="28"/>
          <w:lang w:val="uk-UA"/>
        </w:rPr>
        <w:t xml:space="preserve">М. </w:t>
      </w:r>
      <w:r w:rsidRPr="004E3FE9">
        <w:rPr>
          <w:rFonts w:ascii="Times New Roman" w:hAnsi="Times New Roman" w:cs="Times New Roman"/>
          <w:bCs/>
          <w:color w:val="000000" w:themeColor="text1"/>
          <w:sz w:val="28"/>
          <w:szCs w:val="28"/>
          <w:lang w:val="uk-UA"/>
        </w:rPr>
        <w:t>Танашян, В.</w:t>
      </w:r>
      <w:r w:rsidR="006C0EE6" w:rsidRPr="004E3FE9">
        <w:rPr>
          <w:rFonts w:ascii="Times New Roman" w:hAnsi="Times New Roman" w:cs="Times New Roman"/>
          <w:bCs/>
          <w:color w:val="000000" w:themeColor="text1"/>
          <w:sz w:val="28"/>
          <w:szCs w:val="28"/>
          <w:lang w:val="uk-UA"/>
        </w:rPr>
        <w:t>В. Потылицина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Бюллетень сибирской медицины. – 2009. – Т. 8, №. 1-2. – С. 72-77.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Стрижаков Л.А. Признаки гиперкоагуляции и активации фибриноли</w:t>
      </w:r>
      <w:r w:rsidR="00FD3221"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 xml:space="preserve">за у больных гранулематозом Вегенера и пурпурой Шенлейна-Геноха / </w:t>
      </w:r>
      <w:r w:rsidR="00FD3221"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 xml:space="preserve">Л.А. Стрижаков, Е.П. Чегаева, </w:t>
      </w:r>
      <w:r w:rsidR="00FD3221" w:rsidRPr="004E3FE9">
        <w:rPr>
          <w:rFonts w:ascii="Times New Roman" w:hAnsi="Times New Roman" w:cs="Times New Roman"/>
          <w:bCs/>
          <w:color w:val="000000" w:themeColor="text1"/>
          <w:sz w:val="28"/>
          <w:szCs w:val="28"/>
          <w:lang w:val="uk-UA"/>
        </w:rPr>
        <w:t>О.</w:t>
      </w:r>
      <w:r w:rsidRPr="004E3FE9">
        <w:rPr>
          <w:rFonts w:ascii="Times New Roman" w:hAnsi="Times New Roman" w:cs="Times New Roman"/>
          <w:bCs/>
          <w:color w:val="000000" w:themeColor="text1"/>
          <w:sz w:val="28"/>
          <w:szCs w:val="28"/>
          <w:lang w:val="uk-UA"/>
        </w:rPr>
        <w:t xml:space="preserve">Г. Кривошеев, Е.Н. Семенкова, </w:t>
      </w:r>
      <w:r w:rsidR="00FD3221"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С.М. Баймурадова // Клиническая медицина. – 2012. – №5. – С.43-45.</w:t>
      </w:r>
    </w:p>
    <w:p w:rsidR="006C0EE6" w:rsidRPr="004E3FE9" w:rsidRDefault="00FD3221"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Строгий В.</w:t>
      </w:r>
      <w:r w:rsidR="006C0EE6" w:rsidRPr="004E3FE9">
        <w:rPr>
          <w:rFonts w:ascii="Times New Roman" w:hAnsi="Times New Roman" w:cs="Times New Roman"/>
          <w:bCs/>
          <w:color w:val="000000" w:themeColor="text1"/>
          <w:sz w:val="28"/>
          <w:szCs w:val="28"/>
          <w:lang w:val="uk-UA"/>
        </w:rPr>
        <w:t xml:space="preserve">В. Состояние артериального кровотока у подростков из групп </w:t>
      </w:r>
      <w:r w:rsidRPr="004E3FE9">
        <w:rPr>
          <w:rFonts w:ascii="Times New Roman" w:hAnsi="Times New Roman" w:cs="Times New Roman"/>
          <w:bCs/>
          <w:color w:val="000000" w:themeColor="text1"/>
          <w:sz w:val="28"/>
          <w:szCs w:val="28"/>
          <w:lang w:val="uk-UA"/>
        </w:rPr>
        <w:t>сердечно-сосудистого риска / В.</w:t>
      </w:r>
      <w:r w:rsidR="006C0EE6" w:rsidRPr="004E3FE9">
        <w:rPr>
          <w:rFonts w:ascii="Times New Roman" w:hAnsi="Times New Roman" w:cs="Times New Roman"/>
          <w:bCs/>
          <w:color w:val="000000" w:themeColor="text1"/>
          <w:sz w:val="28"/>
          <w:szCs w:val="28"/>
          <w:lang w:val="uk-UA"/>
        </w:rPr>
        <w:t>В</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.Строгий // Медицинская панорама. – 2008. – № 6. – С. 33-36.</w:t>
      </w:r>
    </w:p>
    <w:p w:rsidR="006C0EE6" w:rsidRPr="004E3FE9" w:rsidRDefault="006C0EE6" w:rsidP="0099056E">
      <w:pPr>
        <w:pStyle w:val="a7"/>
        <w:numPr>
          <w:ilvl w:val="0"/>
          <w:numId w:val="7"/>
        </w:numPr>
        <w:spacing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Титов В.Н. Диагностическое значение эндотелийзависимой вазодилатации. Функциональное единение эндотелина, оксида азота и становление функции в филогенезе / В.Н. Титов // Клиническая лабораторная диагностика. – 2009. – Т. 2. – С. 3-16.</w:t>
      </w:r>
    </w:p>
    <w:p w:rsidR="006C0EE6" w:rsidRPr="004E3FE9" w:rsidRDefault="00833243"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color w:val="000000" w:themeColor="text1"/>
          <w:sz w:val="28"/>
          <w:szCs w:val="28"/>
          <w:shd w:val="clear" w:color="auto" w:fill="FFFFFF"/>
          <w:lang w:val="uk-UA"/>
        </w:rPr>
        <w:t>Третьякова О.</w:t>
      </w:r>
      <w:r w:rsidR="006C0EE6" w:rsidRPr="004E3FE9">
        <w:rPr>
          <w:rFonts w:ascii="Times New Roman" w:hAnsi="Times New Roman" w:cs="Times New Roman"/>
          <w:color w:val="000000" w:themeColor="text1"/>
          <w:sz w:val="28"/>
          <w:szCs w:val="28"/>
          <w:shd w:val="clear" w:color="auto" w:fill="FFFFFF"/>
          <w:lang w:val="uk-UA"/>
        </w:rPr>
        <w:t xml:space="preserve">С. Пурпура Шенлейн–Геноха у детей: клинико-диагностические подходы / </w:t>
      </w:r>
      <w:r w:rsidRPr="004E3FE9">
        <w:rPr>
          <w:rFonts w:ascii="Times New Roman" w:hAnsi="Times New Roman" w:cs="Times New Roman"/>
          <w:color w:val="000000" w:themeColor="text1"/>
          <w:sz w:val="28"/>
          <w:szCs w:val="28"/>
          <w:shd w:val="clear" w:color="auto" w:fill="FFFFFF"/>
          <w:lang w:val="uk-UA"/>
        </w:rPr>
        <w:t>О.</w:t>
      </w:r>
      <w:r w:rsidR="006C0EE6" w:rsidRPr="004E3FE9">
        <w:rPr>
          <w:rFonts w:ascii="Times New Roman" w:hAnsi="Times New Roman" w:cs="Times New Roman"/>
          <w:color w:val="000000" w:themeColor="text1"/>
          <w:sz w:val="28"/>
          <w:szCs w:val="28"/>
          <w:shd w:val="clear" w:color="auto" w:fill="FFFFFF"/>
          <w:lang w:val="uk-UA"/>
        </w:rPr>
        <w:t>С. Третьякова //</w:t>
      </w:r>
      <w:r w:rsidRPr="004E3FE9">
        <w:rPr>
          <w:rFonts w:ascii="Times New Roman" w:hAnsi="Times New Roman" w:cs="Times New Roman"/>
          <w:color w:val="000000" w:themeColor="text1"/>
          <w:sz w:val="28"/>
          <w:szCs w:val="28"/>
          <w:shd w:val="clear" w:color="auto" w:fill="FFFFFF"/>
          <w:lang w:val="uk-UA"/>
        </w:rPr>
        <w:t xml:space="preserve"> Дитячий лікар. – 2011. – № </w:t>
      </w:r>
      <w:r w:rsidR="006C0EE6" w:rsidRPr="004E3FE9">
        <w:rPr>
          <w:rFonts w:ascii="Times New Roman" w:hAnsi="Times New Roman" w:cs="Times New Roman"/>
          <w:color w:val="000000" w:themeColor="text1"/>
          <w:sz w:val="28"/>
          <w:szCs w:val="28"/>
          <w:shd w:val="clear" w:color="auto" w:fill="FFFFFF"/>
          <w:lang w:val="uk-UA"/>
        </w:rPr>
        <w:t>5. – С. 8-15.</w:t>
      </w:r>
    </w:p>
    <w:p w:rsidR="006C0EE6" w:rsidRPr="004E3FE9" w:rsidRDefault="00833243"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Третьякова О.</w:t>
      </w:r>
      <w:r w:rsidR="006C0EE6" w:rsidRPr="004E3FE9">
        <w:rPr>
          <w:rFonts w:ascii="Times New Roman" w:hAnsi="Times New Roman" w:cs="Times New Roman"/>
          <w:bCs/>
          <w:color w:val="000000" w:themeColor="text1"/>
          <w:sz w:val="28"/>
          <w:szCs w:val="28"/>
          <w:lang w:val="uk-UA"/>
        </w:rPr>
        <w:t xml:space="preserve">С. Современные подходы к лечению пурпуры Шенлейна–Геноха и его перспективы / </w:t>
      </w:r>
      <w:r w:rsidRPr="004E3FE9">
        <w:rPr>
          <w:rFonts w:ascii="Times New Roman" w:hAnsi="Times New Roman" w:cs="Times New Roman"/>
          <w:color w:val="000000" w:themeColor="text1"/>
          <w:sz w:val="28"/>
          <w:szCs w:val="28"/>
          <w:shd w:val="clear" w:color="auto" w:fill="FFFFFF"/>
          <w:lang w:val="uk-UA"/>
        </w:rPr>
        <w:t>О.</w:t>
      </w:r>
      <w:r w:rsidR="006C0EE6" w:rsidRPr="004E3FE9">
        <w:rPr>
          <w:rFonts w:ascii="Times New Roman" w:hAnsi="Times New Roman" w:cs="Times New Roman"/>
          <w:color w:val="000000" w:themeColor="text1"/>
          <w:sz w:val="28"/>
          <w:szCs w:val="28"/>
          <w:shd w:val="clear" w:color="auto" w:fill="FFFFFF"/>
          <w:lang w:val="uk-UA"/>
        </w:rPr>
        <w:t xml:space="preserve">С. Третьякова </w:t>
      </w:r>
      <w:r w:rsidR="006C0EE6" w:rsidRPr="004E3FE9">
        <w:rPr>
          <w:rFonts w:ascii="Times New Roman" w:hAnsi="Times New Roman" w:cs="Times New Roman"/>
          <w:bCs/>
          <w:color w:val="000000" w:themeColor="text1"/>
          <w:sz w:val="28"/>
          <w:szCs w:val="28"/>
          <w:lang w:val="uk-UA"/>
        </w:rPr>
        <w:t>//</w:t>
      </w:r>
      <w:r w:rsidRPr="004E3FE9">
        <w:rPr>
          <w:rFonts w:ascii="Times New Roman" w:hAnsi="Times New Roman" w:cs="Times New Roman"/>
          <w:bCs/>
          <w:color w:val="000000" w:themeColor="text1"/>
          <w:sz w:val="28"/>
          <w:szCs w:val="28"/>
          <w:lang w:val="uk-UA"/>
        </w:rPr>
        <w:t xml:space="preserve"> Дитячий лікар. – 2012. – № </w:t>
      </w:r>
      <w:r w:rsidR="006C0EE6" w:rsidRPr="004E3FE9">
        <w:rPr>
          <w:rFonts w:ascii="Times New Roman" w:hAnsi="Times New Roman" w:cs="Times New Roman"/>
          <w:bCs/>
          <w:color w:val="000000" w:themeColor="text1"/>
          <w:sz w:val="28"/>
          <w:szCs w:val="28"/>
          <w:lang w:val="uk-UA"/>
        </w:rPr>
        <w:t>1-2. – С. 6-12.</w:t>
      </w:r>
    </w:p>
    <w:p w:rsidR="006C0EE6" w:rsidRPr="004E3FE9" w:rsidRDefault="00833243"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lastRenderedPageBreak/>
        <w:t>Федорович А.</w:t>
      </w:r>
      <w:r w:rsidR="006C0EE6" w:rsidRPr="004E3FE9">
        <w:rPr>
          <w:rFonts w:ascii="Times New Roman" w:hAnsi="Times New Roman" w:cs="Times New Roman"/>
          <w:bCs/>
          <w:color w:val="000000" w:themeColor="text1"/>
          <w:sz w:val="28"/>
          <w:szCs w:val="28"/>
          <w:lang w:val="uk-UA"/>
        </w:rPr>
        <w:t xml:space="preserve">А. Эндотелий микрососудов и возможности медикаментозной коррекции нарушений его функции / </w:t>
      </w:r>
      <w:r w:rsidRPr="004E3FE9">
        <w:rPr>
          <w:rFonts w:ascii="Times New Roman" w:hAnsi="Times New Roman" w:cs="Times New Roman"/>
          <w:bCs/>
          <w:color w:val="000000" w:themeColor="text1"/>
          <w:sz w:val="28"/>
          <w:szCs w:val="28"/>
          <w:lang w:val="uk-UA"/>
        </w:rPr>
        <w:t>А.</w:t>
      </w:r>
      <w:r w:rsidR="006C0EE6" w:rsidRPr="004E3FE9">
        <w:rPr>
          <w:rFonts w:ascii="Times New Roman" w:hAnsi="Times New Roman" w:cs="Times New Roman"/>
          <w:bCs/>
          <w:color w:val="000000" w:themeColor="text1"/>
          <w:sz w:val="28"/>
          <w:szCs w:val="28"/>
          <w:lang w:val="uk-UA"/>
        </w:rPr>
        <w:t>А.Федорович // Лечащий врач. – 2013. – № 11. – С. 1-8.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Хейретдинов Р.К. Популяционное исследование, оптимизация диагностики диссертация кандидата медицинских наук: 14.00.29 / Хайретдинов Раис Кэтдусович. – С, 2005. – 152 с.</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Ходулева С.А. Состояние вторичного гемостаза при геморрагическом васкулите у детей / С.А. Ходулева, И.П. Ромашевская, А.Н. Демиденко, Д.К. Новик, Г.Ю. Бородина, Т.И. Киреева, О.В. Жук // Проблемы здоровья и экологии. – 2010. – Т. 24, №2. – С.11-16.</w:t>
      </w:r>
    </w:p>
    <w:p w:rsidR="006C0EE6" w:rsidRPr="004E3FE9" w:rsidRDefault="00833243" w:rsidP="0099056E">
      <w:pPr>
        <w:pStyle w:val="a7"/>
        <w:numPr>
          <w:ilvl w:val="0"/>
          <w:numId w:val="7"/>
        </w:numPr>
        <w:spacing w:line="360" w:lineRule="auto"/>
        <w:jc w:val="both"/>
        <w:rPr>
          <w:rFonts w:ascii="Times New Roman" w:hAnsi="Times New Roman" w:cs="Times New Roman"/>
          <w:sz w:val="28"/>
          <w:szCs w:val="28"/>
          <w:lang w:val="uk-UA"/>
        </w:rPr>
      </w:pPr>
      <w:r w:rsidRPr="004E3FE9">
        <w:rPr>
          <w:rFonts w:ascii="Times New Roman" w:hAnsi="Times New Roman" w:cs="Times New Roman"/>
          <w:sz w:val="28"/>
          <w:szCs w:val="28"/>
          <w:lang w:val="uk-UA"/>
        </w:rPr>
        <w:t>Чеботарева Н.</w:t>
      </w:r>
      <w:r w:rsidR="006C0EE6" w:rsidRPr="004E3FE9">
        <w:rPr>
          <w:rFonts w:ascii="Times New Roman" w:hAnsi="Times New Roman" w:cs="Times New Roman"/>
          <w:sz w:val="28"/>
          <w:szCs w:val="28"/>
          <w:lang w:val="uk-UA"/>
        </w:rPr>
        <w:t>В. Молекулярные механизмы интерстициального фиброза при прогрессирующих заболеваниях почек (Обзор литературы)/</w:t>
      </w:r>
      <w:r w:rsidRPr="004E3FE9">
        <w:rPr>
          <w:rFonts w:ascii="Times New Roman" w:hAnsi="Times New Roman" w:cs="Times New Roman"/>
          <w:sz w:val="28"/>
          <w:szCs w:val="28"/>
          <w:lang w:val="uk-UA"/>
        </w:rPr>
        <w:t xml:space="preserve">            Н.</w:t>
      </w:r>
      <w:r w:rsidR="006C0EE6" w:rsidRPr="004E3FE9">
        <w:rPr>
          <w:rFonts w:ascii="Times New Roman" w:hAnsi="Times New Roman" w:cs="Times New Roman"/>
          <w:sz w:val="28"/>
          <w:szCs w:val="28"/>
          <w:lang w:val="uk-UA"/>
        </w:rPr>
        <w:t xml:space="preserve">В. </w:t>
      </w:r>
      <w:r w:rsidRPr="004E3FE9">
        <w:rPr>
          <w:rFonts w:ascii="Times New Roman" w:hAnsi="Times New Roman" w:cs="Times New Roman"/>
          <w:sz w:val="28"/>
          <w:szCs w:val="28"/>
          <w:lang w:val="uk-UA"/>
        </w:rPr>
        <w:t>Чеботарева, И.</w:t>
      </w:r>
      <w:r w:rsidR="006C0EE6" w:rsidRPr="004E3FE9">
        <w:rPr>
          <w:rFonts w:ascii="Times New Roman" w:hAnsi="Times New Roman" w:cs="Times New Roman"/>
          <w:sz w:val="28"/>
          <w:szCs w:val="28"/>
          <w:lang w:val="uk-UA"/>
        </w:rPr>
        <w:t xml:space="preserve">Н. </w:t>
      </w:r>
      <w:r w:rsidRPr="004E3FE9">
        <w:rPr>
          <w:rFonts w:ascii="Times New Roman" w:hAnsi="Times New Roman" w:cs="Times New Roman"/>
          <w:sz w:val="28"/>
          <w:szCs w:val="28"/>
          <w:lang w:val="uk-UA"/>
        </w:rPr>
        <w:t>Бобкова, Л.</w:t>
      </w:r>
      <w:r w:rsidR="006C0EE6" w:rsidRPr="004E3FE9">
        <w:rPr>
          <w:rFonts w:ascii="Times New Roman" w:hAnsi="Times New Roman" w:cs="Times New Roman"/>
          <w:sz w:val="28"/>
          <w:szCs w:val="28"/>
          <w:lang w:val="uk-UA"/>
        </w:rPr>
        <w:t>В. Козловская //Нефрология и диализ. – 2006. – Т. 8, №. 1. – С. 26-35.</w:t>
      </w:r>
    </w:p>
    <w:p w:rsidR="006C0EE6" w:rsidRPr="004E3FE9" w:rsidRDefault="00833243"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Челпан Л.</w:t>
      </w:r>
      <w:r w:rsidR="006C0EE6" w:rsidRPr="004E3FE9">
        <w:rPr>
          <w:rFonts w:ascii="Times New Roman" w:hAnsi="Times New Roman" w:cs="Times New Roman"/>
          <w:bCs/>
          <w:color w:val="000000" w:themeColor="text1"/>
          <w:sz w:val="28"/>
          <w:szCs w:val="28"/>
          <w:lang w:val="uk-UA"/>
        </w:rPr>
        <w:t>Л. Особенности терапии геморрагического васкулита, ассоциированного со стрептококковой инфекц</w:t>
      </w:r>
      <w:r w:rsidRPr="004E3FE9">
        <w:rPr>
          <w:rFonts w:ascii="Times New Roman" w:hAnsi="Times New Roman" w:cs="Times New Roman"/>
          <w:bCs/>
          <w:color w:val="000000" w:themeColor="text1"/>
          <w:sz w:val="28"/>
          <w:szCs w:val="28"/>
          <w:lang w:val="uk-UA"/>
        </w:rPr>
        <w:t>ией / Л.</w:t>
      </w:r>
      <w:r w:rsidR="006C0EE6" w:rsidRPr="004E3FE9">
        <w:rPr>
          <w:rFonts w:ascii="Times New Roman" w:hAnsi="Times New Roman" w:cs="Times New Roman"/>
          <w:bCs/>
          <w:color w:val="000000" w:themeColor="text1"/>
          <w:sz w:val="28"/>
          <w:szCs w:val="28"/>
          <w:lang w:val="uk-UA"/>
        </w:rPr>
        <w:t>Л Челпан // Буковинський медичний вісник. – 2011. – Т.15. – С 107-109.</w:t>
      </w:r>
    </w:p>
    <w:p w:rsidR="006C0EE6" w:rsidRPr="004E3FE9" w:rsidRDefault="00833243"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Шевченко Ю.</w:t>
      </w:r>
      <w:r w:rsidR="006C0EE6" w:rsidRPr="004E3FE9">
        <w:rPr>
          <w:rFonts w:ascii="Times New Roman" w:hAnsi="Times New Roman" w:cs="Times New Roman"/>
          <w:bCs/>
          <w:color w:val="000000" w:themeColor="text1"/>
          <w:sz w:val="28"/>
          <w:szCs w:val="28"/>
          <w:lang w:val="uk-UA"/>
        </w:rPr>
        <w:t xml:space="preserve">Л. Эндотелий–структурная основа системы кровообращения: история проблемы / </w:t>
      </w:r>
      <w:r w:rsidRPr="004E3FE9">
        <w:rPr>
          <w:rFonts w:ascii="Times New Roman" w:hAnsi="Times New Roman" w:cs="Times New Roman"/>
          <w:bCs/>
          <w:color w:val="000000" w:themeColor="text1"/>
          <w:sz w:val="28"/>
          <w:szCs w:val="28"/>
          <w:lang w:val="uk-UA"/>
        </w:rPr>
        <w:t>Ю.</w:t>
      </w:r>
      <w:r w:rsidR="006C0EE6" w:rsidRPr="004E3FE9">
        <w:rPr>
          <w:rFonts w:ascii="Times New Roman" w:hAnsi="Times New Roman" w:cs="Times New Roman"/>
          <w:bCs/>
          <w:color w:val="000000" w:themeColor="text1"/>
          <w:sz w:val="28"/>
          <w:szCs w:val="28"/>
          <w:lang w:val="uk-UA"/>
        </w:rPr>
        <w:t>Л. Шевченко,</w:t>
      </w:r>
      <w:r w:rsidRPr="004E3FE9">
        <w:rPr>
          <w:rFonts w:ascii="Times New Roman" w:hAnsi="Times New Roman" w:cs="Times New Roman"/>
          <w:bCs/>
          <w:color w:val="000000" w:themeColor="text1"/>
          <w:sz w:val="28"/>
          <w:szCs w:val="28"/>
          <w:lang w:val="uk-UA"/>
        </w:rPr>
        <w:t xml:space="preserve"> П.</w:t>
      </w:r>
      <w:r w:rsidR="006C0EE6" w:rsidRPr="004E3FE9">
        <w:rPr>
          <w:rFonts w:ascii="Times New Roman" w:hAnsi="Times New Roman" w:cs="Times New Roman"/>
          <w:bCs/>
          <w:color w:val="000000" w:themeColor="text1"/>
          <w:sz w:val="28"/>
          <w:szCs w:val="28"/>
          <w:lang w:val="uk-UA"/>
        </w:rPr>
        <w:t>Е. Асташов,</w:t>
      </w:r>
      <w:r w:rsidRPr="004E3FE9">
        <w:rPr>
          <w:rFonts w:ascii="Times New Roman" w:hAnsi="Times New Roman" w:cs="Times New Roman"/>
          <w:bCs/>
          <w:color w:val="000000" w:themeColor="text1"/>
          <w:sz w:val="28"/>
          <w:szCs w:val="28"/>
          <w:lang w:val="uk-UA"/>
        </w:rPr>
        <w:t xml:space="preserve">  С.</w:t>
      </w:r>
      <w:r w:rsidR="006C0EE6" w:rsidRPr="004E3FE9">
        <w:rPr>
          <w:rFonts w:ascii="Times New Roman" w:hAnsi="Times New Roman" w:cs="Times New Roman"/>
          <w:bCs/>
          <w:color w:val="000000" w:themeColor="text1"/>
          <w:sz w:val="28"/>
          <w:szCs w:val="28"/>
          <w:lang w:val="uk-UA"/>
        </w:rPr>
        <w:t xml:space="preserve">А. Матвеев, </w:t>
      </w:r>
      <w:r w:rsidRPr="004E3FE9">
        <w:rPr>
          <w:rFonts w:ascii="Times New Roman" w:hAnsi="Times New Roman" w:cs="Times New Roman"/>
          <w:bCs/>
          <w:color w:val="000000" w:themeColor="text1"/>
          <w:sz w:val="28"/>
          <w:szCs w:val="28"/>
          <w:lang w:val="uk-UA"/>
        </w:rPr>
        <w:t>В.</w:t>
      </w:r>
      <w:r w:rsidR="006C0EE6" w:rsidRPr="004E3FE9">
        <w:rPr>
          <w:rFonts w:ascii="Times New Roman" w:hAnsi="Times New Roman" w:cs="Times New Roman"/>
          <w:bCs/>
          <w:color w:val="000000" w:themeColor="text1"/>
          <w:sz w:val="28"/>
          <w:szCs w:val="28"/>
          <w:lang w:val="uk-UA"/>
        </w:rPr>
        <w:t>Г. Гудымович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Вестник Национального медико-хирургического центра им. Н.И. Пирогова. – 2011. – Т. 6, №. 2. – С. 9-15.</w:t>
      </w:r>
    </w:p>
    <w:p w:rsidR="006C0EE6" w:rsidRPr="004E3FE9" w:rsidRDefault="00833243"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Шилкина Н.</w:t>
      </w:r>
      <w:r w:rsidR="006C0EE6" w:rsidRPr="004E3FE9">
        <w:rPr>
          <w:rFonts w:ascii="Times New Roman" w:hAnsi="Times New Roman" w:cs="Times New Roman"/>
          <w:bCs/>
          <w:color w:val="000000" w:themeColor="text1"/>
          <w:sz w:val="28"/>
          <w:szCs w:val="28"/>
          <w:lang w:val="uk-UA"/>
        </w:rPr>
        <w:t>П. Изменения сосудистого русла и функционального состояния эндотели</w:t>
      </w:r>
      <w:r w:rsidRPr="004E3FE9">
        <w:rPr>
          <w:rFonts w:ascii="Times New Roman" w:hAnsi="Times New Roman" w:cs="Times New Roman"/>
          <w:bCs/>
          <w:color w:val="000000" w:themeColor="text1"/>
          <w:sz w:val="28"/>
          <w:szCs w:val="28"/>
          <w:lang w:val="uk-UA"/>
        </w:rPr>
        <w:t>я при системных васкулитах / Н.П. Шилкина,          О.А. Молодкина, А.</w:t>
      </w:r>
      <w:r w:rsidR="006C0EE6" w:rsidRPr="004E3FE9">
        <w:rPr>
          <w:rFonts w:ascii="Times New Roman" w:hAnsi="Times New Roman" w:cs="Times New Roman"/>
          <w:bCs/>
          <w:color w:val="000000" w:themeColor="text1"/>
          <w:sz w:val="28"/>
          <w:szCs w:val="28"/>
          <w:lang w:val="uk-UA"/>
        </w:rPr>
        <w:t>А. Виноградов // Научно-практическая ревматология. – 2007. – № 2. – С. 19-23.</w:t>
      </w:r>
    </w:p>
    <w:p w:rsidR="006C0EE6" w:rsidRPr="004E3FE9" w:rsidRDefault="00833243"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Шилов Е.</w:t>
      </w:r>
      <w:r w:rsidR="006C0EE6" w:rsidRPr="004E3FE9">
        <w:rPr>
          <w:rFonts w:ascii="Times New Roman" w:hAnsi="Times New Roman" w:cs="Times New Roman"/>
          <w:bCs/>
          <w:sz w:val="28"/>
          <w:szCs w:val="28"/>
          <w:lang w:val="uk-UA"/>
        </w:rPr>
        <w:t xml:space="preserve">М. Хроническая болезнь почек / Е.М. Шилов, В.В. Фомин,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М.Ю. Швецов // Терапевтический архив. – 2007. – Т. 79,№. 6. – С. 75-78.</w:t>
      </w:r>
    </w:p>
    <w:p w:rsidR="006C0EE6" w:rsidRPr="004E3FE9" w:rsidRDefault="00833243"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Шишкин А.</w:t>
      </w:r>
      <w:r w:rsidR="006C0EE6" w:rsidRPr="004E3FE9">
        <w:rPr>
          <w:rFonts w:ascii="Times New Roman" w:hAnsi="Times New Roman" w:cs="Times New Roman"/>
          <w:bCs/>
          <w:color w:val="000000" w:themeColor="text1"/>
          <w:sz w:val="28"/>
          <w:szCs w:val="28"/>
          <w:lang w:val="uk-UA"/>
        </w:rPr>
        <w:t xml:space="preserve">Н. Дисфункция эндотелия у пациентов с прогрессирующими заболеваниями почек / </w:t>
      </w:r>
      <w:r w:rsidRPr="004E3FE9">
        <w:rPr>
          <w:rFonts w:ascii="Times New Roman" w:hAnsi="Times New Roman" w:cs="Times New Roman"/>
          <w:bCs/>
          <w:color w:val="000000" w:themeColor="text1"/>
          <w:sz w:val="28"/>
          <w:szCs w:val="28"/>
          <w:lang w:val="uk-UA"/>
        </w:rPr>
        <w:t>А.</w:t>
      </w:r>
      <w:r w:rsidR="006C0EE6" w:rsidRPr="004E3FE9">
        <w:rPr>
          <w:rFonts w:ascii="Times New Roman" w:hAnsi="Times New Roman" w:cs="Times New Roman"/>
          <w:bCs/>
          <w:color w:val="000000" w:themeColor="text1"/>
          <w:sz w:val="28"/>
          <w:szCs w:val="28"/>
          <w:lang w:val="uk-UA"/>
        </w:rPr>
        <w:t xml:space="preserve">Н. </w:t>
      </w:r>
      <w:r w:rsidRPr="004E3FE9">
        <w:rPr>
          <w:rFonts w:ascii="Times New Roman" w:hAnsi="Times New Roman" w:cs="Times New Roman"/>
          <w:bCs/>
          <w:color w:val="000000" w:themeColor="text1"/>
          <w:sz w:val="28"/>
          <w:szCs w:val="28"/>
          <w:lang w:val="uk-UA"/>
        </w:rPr>
        <w:t>Шишкин, Д.</w:t>
      </w:r>
      <w:r w:rsidR="006C0EE6" w:rsidRPr="004E3FE9">
        <w:rPr>
          <w:rFonts w:ascii="Times New Roman" w:hAnsi="Times New Roman" w:cs="Times New Roman"/>
          <w:bCs/>
          <w:color w:val="000000" w:themeColor="text1"/>
          <w:sz w:val="28"/>
          <w:szCs w:val="28"/>
          <w:lang w:val="uk-UA"/>
        </w:rPr>
        <w:t>В. Кирилюк // Нефрология. – 2005. – Т. 9, №. 2. – С. 16-22.</w:t>
      </w:r>
    </w:p>
    <w:p w:rsidR="006C0EE6" w:rsidRPr="004E3FE9" w:rsidRDefault="00833243"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lastRenderedPageBreak/>
        <w:t>Щеплягина Л.</w:t>
      </w:r>
      <w:r w:rsidR="006C0EE6" w:rsidRPr="004E3FE9">
        <w:rPr>
          <w:rFonts w:ascii="Times New Roman" w:hAnsi="Times New Roman" w:cs="Times New Roman"/>
          <w:bCs/>
          <w:sz w:val="28"/>
          <w:szCs w:val="28"/>
          <w:lang w:val="uk-UA"/>
        </w:rPr>
        <w:t>А. Рациональное вскармливание детей первого года жизни /</w:t>
      </w:r>
      <w:r w:rsidR="006C0EE6" w:rsidRPr="004E3FE9">
        <w:rPr>
          <w:lang w:val="uk-UA"/>
        </w:rPr>
        <w:t xml:space="preserve"> </w:t>
      </w:r>
      <w:r w:rsidRPr="004E3FE9">
        <w:rPr>
          <w:rFonts w:ascii="Times New Roman" w:hAnsi="Times New Roman" w:cs="Times New Roman"/>
          <w:bCs/>
          <w:sz w:val="28"/>
          <w:szCs w:val="28"/>
          <w:lang w:val="uk-UA"/>
        </w:rPr>
        <w:t>Л.</w:t>
      </w:r>
      <w:r w:rsidR="006C0EE6" w:rsidRPr="004E3FE9">
        <w:rPr>
          <w:rFonts w:ascii="Times New Roman" w:hAnsi="Times New Roman" w:cs="Times New Roman"/>
          <w:bCs/>
          <w:sz w:val="28"/>
          <w:szCs w:val="28"/>
          <w:lang w:val="uk-UA"/>
        </w:rPr>
        <w:t xml:space="preserve">А. Щеплягина, </w:t>
      </w:r>
      <w:r w:rsidRPr="004E3FE9">
        <w:rPr>
          <w:rFonts w:ascii="Times New Roman" w:hAnsi="Times New Roman" w:cs="Times New Roman"/>
          <w:bCs/>
          <w:sz w:val="28"/>
          <w:szCs w:val="28"/>
          <w:lang w:val="uk-UA"/>
        </w:rPr>
        <w:t>О.</w:t>
      </w:r>
      <w:r w:rsidR="006C0EE6" w:rsidRPr="004E3FE9">
        <w:rPr>
          <w:rFonts w:ascii="Times New Roman" w:hAnsi="Times New Roman" w:cs="Times New Roman"/>
          <w:bCs/>
          <w:sz w:val="28"/>
          <w:szCs w:val="28"/>
          <w:lang w:val="uk-UA"/>
        </w:rPr>
        <w:t xml:space="preserve">Я. Дейнеко, </w:t>
      </w:r>
      <w:r w:rsidRPr="004E3FE9">
        <w:rPr>
          <w:rFonts w:ascii="Times New Roman" w:hAnsi="Times New Roman" w:cs="Times New Roman"/>
          <w:bCs/>
          <w:sz w:val="28"/>
          <w:szCs w:val="28"/>
          <w:lang w:val="uk-UA"/>
        </w:rPr>
        <w:t>Т.</w:t>
      </w:r>
      <w:r w:rsidR="006C0EE6" w:rsidRPr="004E3FE9">
        <w:rPr>
          <w:rFonts w:ascii="Times New Roman" w:hAnsi="Times New Roman" w:cs="Times New Roman"/>
          <w:bCs/>
          <w:sz w:val="28"/>
          <w:szCs w:val="28"/>
          <w:lang w:val="uk-UA"/>
        </w:rPr>
        <w:t xml:space="preserve">И. Легонькова, </w:t>
      </w:r>
      <w:r w:rsidRPr="004E3FE9">
        <w:rPr>
          <w:rFonts w:ascii="Times New Roman" w:hAnsi="Times New Roman" w:cs="Times New Roman"/>
          <w:bCs/>
          <w:sz w:val="28"/>
          <w:szCs w:val="28"/>
          <w:lang w:val="uk-UA"/>
        </w:rPr>
        <w:t>И.</w:t>
      </w:r>
      <w:r w:rsidR="006C0EE6" w:rsidRPr="004E3FE9">
        <w:rPr>
          <w:rFonts w:ascii="Times New Roman" w:hAnsi="Times New Roman" w:cs="Times New Roman"/>
          <w:bCs/>
          <w:sz w:val="28"/>
          <w:szCs w:val="28"/>
          <w:lang w:val="uk-UA"/>
        </w:rPr>
        <w:t>В. Вахлова //</w:t>
      </w:r>
      <w:r w:rsidR="00A75E08"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Педиатрия. – 2006. – Т. 6. – С. 46-52.</w:t>
      </w:r>
    </w:p>
    <w:p w:rsidR="006C0EE6" w:rsidRPr="004E3FE9" w:rsidRDefault="00833243"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Ahluwalia T.</w:t>
      </w:r>
      <w:r w:rsidR="006C0EE6" w:rsidRPr="004E3FE9">
        <w:rPr>
          <w:rFonts w:ascii="Times New Roman" w:hAnsi="Times New Roman" w:cs="Times New Roman"/>
          <w:bCs/>
          <w:color w:val="000000" w:themeColor="text1"/>
          <w:sz w:val="28"/>
          <w:szCs w:val="28"/>
          <w:lang w:val="uk-UA"/>
        </w:rPr>
        <w:t>S. Common variants of inflammatory cytokine genes are associated with risk of nephropathy in type 2 di</w:t>
      </w:r>
      <w:r w:rsidR="00A75E08" w:rsidRPr="004E3FE9">
        <w:rPr>
          <w:rFonts w:ascii="Times New Roman" w:hAnsi="Times New Roman" w:cs="Times New Roman"/>
          <w:bCs/>
          <w:color w:val="000000" w:themeColor="text1"/>
          <w:sz w:val="28"/>
          <w:szCs w:val="28"/>
          <w:lang w:val="uk-UA"/>
        </w:rPr>
        <w:t>abetes among Asian Indians / T.</w:t>
      </w:r>
      <w:r w:rsidR="006C0EE6" w:rsidRPr="004E3FE9">
        <w:rPr>
          <w:rFonts w:ascii="Times New Roman" w:hAnsi="Times New Roman" w:cs="Times New Roman"/>
          <w:bCs/>
          <w:color w:val="000000" w:themeColor="text1"/>
          <w:sz w:val="28"/>
          <w:szCs w:val="28"/>
          <w:lang w:val="uk-UA"/>
        </w:rPr>
        <w:t>S. Ahlu</w:t>
      </w:r>
      <w:r w:rsidR="00A75E08" w:rsidRPr="004E3FE9">
        <w:rPr>
          <w:rFonts w:ascii="Times New Roman" w:hAnsi="Times New Roman" w:cs="Times New Roman"/>
          <w:bCs/>
          <w:color w:val="000000" w:themeColor="text1"/>
          <w:sz w:val="28"/>
          <w:szCs w:val="28"/>
          <w:lang w:val="uk-UA"/>
        </w:rPr>
        <w:t>walia, M. Khullar, M. Ahuja, H.</w:t>
      </w:r>
      <w:r w:rsidR="006C0EE6" w:rsidRPr="004E3FE9">
        <w:rPr>
          <w:rFonts w:ascii="Times New Roman" w:hAnsi="Times New Roman" w:cs="Times New Roman"/>
          <w:bCs/>
          <w:color w:val="000000" w:themeColor="text1"/>
          <w:sz w:val="28"/>
          <w:szCs w:val="28"/>
          <w:lang w:val="uk-UA"/>
        </w:rPr>
        <w:t>S. K</w:t>
      </w:r>
      <w:r w:rsidR="00A75E08" w:rsidRPr="004E3FE9">
        <w:rPr>
          <w:rFonts w:ascii="Times New Roman" w:hAnsi="Times New Roman" w:cs="Times New Roman"/>
          <w:bCs/>
          <w:color w:val="000000" w:themeColor="text1"/>
          <w:sz w:val="28"/>
          <w:szCs w:val="28"/>
          <w:lang w:val="uk-UA"/>
        </w:rPr>
        <w:t>ohli, A. Bhansali, V. Mohan, P.</w:t>
      </w:r>
      <w:r w:rsidR="006C0EE6" w:rsidRPr="004E3FE9">
        <w:rPr>
          <w:rFonts w:ascii="Times New Roman" w:hAnsi="Times New Roman" w:cs="Times New Roman"/>
          <w:bCs/>
          <w:color w:val="000000" w:themeColor="text1"/>
          <w:sz w:val="28"/>
          <w:szCs w:val="28"/>
          <w:lang w:val="uk-UA"/>
        </w:rPr>
        <w:t>K. Singal //</w:t>
      </w:r>
      <w:r w:rsidR="00A75E08"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PLoS One. – 2009. – Vol. 4, №. 4. – Р. 51-68.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Ali Y.S. Prediction of major adverse cardiovascular events by agenormalized carotid intimal medial thickness / Y.S. Ali, K.E. Rembold, B. Weaver et al. // Atherosclerosis. </w:t>
      </w:r>
      <w:r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sz w:val="28"/>
          <w:szCs w:val="28"/>
          <w:lang w:val="uk-UA"/>
        </w:rPr>
        <w:t xml:space="preserve">2006. </w:t>
      </w:r>
      <w:r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sz w:val="28"/>
          <w:szCs w:val="28"/>
          <w:lang w:val="uk-UA"/>
        </w:rPr>
        <w:t xml:space="preserve">Vol. 187. </w:t>
      </w:r>
      <w:r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sz w:val="28"/>
          <w:szCs w:val="28"/>
          <w:lang w:val="uk-UA"/>
        </w:rPr>
        <w:t>P. 186-190.</w:t>
      </w:r>
    </w:p>
    <w:p w:rsidR="006C0EE6" w:rsidRPr="004E3FE9" w:rsidRDefault="00A75E08"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Ansari A.</w:t>
      </w:r>
      <w:r w:rsidR="006C0EE6" w:rsidRPr="004E3FE9">
        <w:rPr>
          <w:rFonts w:ascii="Times New Roman" w:hAnsi="Times New Roman" w:cs="Times New Roman"/>
          <w:bCs/>
          <w:color w:val="000000" w:themeColor="text1"/>
          <w:sz w:val="28"/>
          <w:szCs w:val="28"/>
          <w:lang w:val="uk-UA"/>
        </w:rPr>
        <w:t>W. Immuno-pathomechanism of liver fibrosis: targeting chemokine CC</w:t>
      </w:r>
      <w:r w:rsidRPr="004E3FE9">
        <w:rPr>
          <w:rFonts w:ascii="Times New Roman" w:hAnsi="Times New Roman" w:cs="Times New Roman"/>
          <w:bCs/>
          <w:color w:val="000000" w:themeColor="text1"/>
          <w:sz w:val="28"/>
          <w:szCs w:val="28"/>
          <w:lang w:val="uk-UA"/>
        </w:rPr>
        <w:t>L2-mediated HIV: HCV nexus / A.W. Ansari, R.E. Schmidt, E.</w:t>
      </w:r>
      <w:r w:rsidR="006C0EE6" w:rsidRPr="004E3FE9">
        <w:rPr>
          <w:rFonts w:ascii="Times New Roman" w:hAnsi="Times New Roman" w:cs="Times New Roman"/>
          <w:bCs/>
          <w:color w:val="000000" w:themeColor="text1"/>
          <w:sz w:val="28"/>
          <w:szCs w:val="28"/>
          <w:lang w:val="uk-UA"/>
        </w:rPr>
        <w:t>M. Shankar, A. Kamarulzaman // Journal of translational medicine. – 2014. – Vol. 12, №. 1. – Р. 341.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Barton M. Obesity and risk of vascular disease: importance of endothelium</w:t>
      </w:r>
      <w:r w:rsidRPr="004E3FE9">
        <w:rPr>
          <w:rFonts w:ascii="Cambria Math" w:hAnsi="Cambria Math" w:cs="Cambria Math"/>
          <w:bCs/>
          <w:color w:val="000000" w:themeColor="text1"/>
          <w:sz w:val="28"/>
          <w:szCs w:val="28"/>
          <w:lang w:val="uk-UA"/>
        </w:rPr>
        <w:t>‐</w:t>
      </w:r>
      <w:r w:rsidRPr="004E3FE9">
        <w:rPr>
          <w:rFonts w:ascii="Times New Roman" w:hAnsi="Times New Roman" w:cs="Times New Roman"/>
          <w:bCs/>
          <w:color w:val="000000" w:themeColor="text1"/>
          <w:sz w:val="28"/>
          <w:szCs w:val="28"/>
          <w:lang w:val="uk-UA"/>
        </w:rPr>
        <w:t>dependent vasoconstrictio</w:t>
      </w:r>
      <w:r w:rsidR="00A75E08" w:rsidRPr="004E3FE9">
        <w:rPr>
          <w:rFonts w:ascii="Times New Roman" w:hAnsi="Times New Roman" w:cs="Times New Roman"/>
          <w:bCs/>
          <w:color w:val="000000" w:themeColor="text1"/>
          <w:sz w:val="28"/>
          <w:szCs w:val="28"/>
          <w:lang w:val="uk-UA"/>
        </w:rPr>
        <w:t>n / M. Barton, O. Baretella, M.</w:t>
      </w:r>
      <w:r w:rsidRPr="004E3FE9">
        <w:rPr>
          <w:rFonts w:ascii="Times New Roman" w:hAnsi="Times New Roman" w:cs="Times New Roman"/>
          <w:bCs/>
          <w:color w:val="000000" w:themeColor="text1"/>
          <w:sz w:val="28"/>
          <w:szCs w:val="28"/>
          <w:lang w:val="uk-UA"/>
        </w:rPr>
        <w:t>R. Meyer //</w:t>
      </w:r>
      <w:r w:rsidR="00A75E08"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British journal of pharmacology. – 2012. – Vol. 165, №. 3. – Р. 591-602.</w:t>
      </w:r>
      <w:r w:rsidRPr="004E3FE9">
        <w:rPr>
          <w:rFonts w:ascii="Times New Roman" w:hAnsi="Times New Roman" w:cs="Times New Roman"/>
          <w:bCs/>
          <w:sz w:val="28"/>
          <w:szCs w:val="28"/>
          <w:lang w:val="uk-UA"/>
        </w:rPr>
        <w:t>.</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Barut Kenan Pediatric vasculitis / Barut Kenan, Sezgin Sahin, Ozgur Kasapcopur // Current opinion in rheumatology. – 2016. – Vol. 28., №1. – Р. 29-38.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 xml:space="preserve">Breslin W.L. Obese Mexican American children have elevated MCP-1, TNF-α, monocyte concentration, and dyslipidemia </w:t>
      </w:r>
      <w:r w:rsidR="00A75E08" w:rsidRPr="004E3FE9">
        <w:rPr>
          <w:rFonts w:ascii="Times New Roman" w:hAnsi="Times New Roman" w:cs="Times New Roman"/>
          <w:bCs/>
          <w:color w:val="000000" w:themeColor="text1"/>
          <w:sz w:val="28"/>
          <w:szCs w:val="28"/>
          <w:lang w:val="uk-UA"/>
        </w:rPr>
        <w:t xml:space="preserve">/ W.L. Breslin </w:t>
      </w:r>
      <w:r w:rsidRPr="004E3FE9">
        <w:rPr>
          <w:rFonts w:ascii="Times New Roman" w:hAnsi="Times New Roman" w:cs="Times New Roman"/>
          <w:bCs/>
          <w:color w:val="000000" w:themeColor="text1"/>
          <w:sz w:val="28"/>
          <w:szCs w:val="28"/>
          <w:lang w:val="uk-UA"/>
        </w:rPr>
        <w:t>//</w:t>
      </w:r>
      <w:r w:rsidR="00A75E08"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Pediatrics. – 2012. – Vol. 129, №. 5. – Р. 1180-1186.</w:t>
      </w:r>
    </w:p>
    <w:p w:rsidR="006C0EE6" w:rsidRPr="004E3FE9" w:rsidRDefault="00A75E08"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Brown G.</w:t>
      </w:r>
      <w:r w:rsidR="006C0EE6" w:rsidRPr="004E3FE9">
        <w:rPr>
          <w:rFonts w:ascii="Times New Roman" w:hAnsi="Times New Roman" w:cs="Times New Roman"/>
          <w:bCs/>
          <w:color w:val="000000" w:themeColor="text1"/>
          <w:sz w:val="28"/>
          <w:szCs w:val="28"/>
          <w:lang w:val="uk-UA"/>
        </w:rPr>
        <w:t>C. Inflammatory neurodegeneration and mechanisms of mic</w:t>
      </w:r>
      <w:r w:rsidRPr="004E3FE9">
        <w:rPr>
          <w:rFonts w:ascii="Times New Roman" w:hAnsi="Times New Roman" w:cs="Times New Roman"/>
          <w:bCs/>
          <w:color w:val="000000" w:themeColor="text1"/>
          <w:sz w:val="28"/>
          <w:szCs w:val="28"/>
          <w:lang w:val="uk-UA"/>
        </w:rPr>
        <w:t>roglial killing of neurons / G.C. Brown, J.</w:t>
      </w:r>
      <w:r w:rsidR="006C0EE6" w:rsidRPr="004E3FE9">
        <w:rPr>
          <w:rFonts w:ascii="Times New Roman" w:hAnsi="Times New Roman" w:cs="Times New Roman"/>
          <w:bCs/>
          <w:color w:val="000000" w:themeColor="text1"/>
          <w:sz w:val="28"/>
          <w:szCs w:val="28"/>
          <w:lang w:val="uk-UA"/>
        </w:rPr>
        <w:t>J. Neher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Molecular neurobiology. – 2010. – Vol. 41, №. 2-3. – Р. 242-247.</w:t>
      </w:r>
    </w:p>
    <w:p w:rsidR="006C0EE6" w:rsidRPr="004E3FE9" w:rsidRDefault="00A75E08"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Buerk D.</w:t>
      </w:r>
      <w:r w:rsidR="006C0EE6" w:rsidRPr="004E3FE9">
        <w:rPr>
          <w:rFonts w:ascii="Times New Roman" w:hAnsi="Times New Roman" w:cs="Times New Roman"/>
          <w:bCs/>
          <w:color w:val="000000" w:themeColor="text1"/>
          <w:sz w:val="28"/>
          <w:szCs w:val="28"/>
          <w:lang w:val="uk-UA"/>
        </w:rPr>
        <w:t>G. Nitric oxide signali</w:t>
      </w:r>
      <w:r w:rsidRPr="004E3FE9">
        <w:rPr>
          <w:rFonts w:ascii="Times New Roman" w:hAnsi="Times New Roman" w:cs="Times New Roman"/>
          <w:bCs/>
          <w:color w:val="000000" w:themeColor="text1"/>
          <w:sz w:val="28"/>
          <w:szCs w:val="28"/>
          <w:lang w:val="uk-UA"/>
        </w:rPr>
        <w:t>ng in the microcirculation / D.</w:t>
      </w:r>
      <w:r w:rsidR="006C0EE6" w:rsidRPr="004E3FE9">
        <w:rPr>
          <w:rFonts w:ascii="Times New Roman" w:hAnsi="Times New Roman" w:cs="Times New Roman"/>
          <w:bCs/>
          <w:color w:val="000000" w:themeColor="text1"/>
          <w:sz w:val="28"/>
          <w:szCs w:val="28"/>
          <w:lang w:val="uk-UA"/>
        </w:rPr>
        <w:t>G.</w:t>
      </w:r>
      <w:r w:rsidRPr="004E3FE9">
        <w:rPr>
          <w:rFonts w:ascii="Times New Roman" w:hAnsi="Times New Roman" w:cs="Times New Roman"/>
          <w:bCs/>
          <w:color w:val="000000" w:themeColor="text1"/>
          <w:sz w:val="28"/>
          <w:szCs w:val="28"/>
          <w:lang w:val="uk-UA"/>
        </w:rPr>
        <w:t xml:space="preserve"> Buerk,       K.</w:t>
      </w:r>
      <w:r w:rsidR="006C0EE6" w:rsidRPr="004E3FE9">
        <w:rPr>
          <w:rFonts w:ascii="Times New Roman" w:hAnsi="Times New Roman" w:cs="Times New Roman"/>
          <w:bCs/>
          <w:color w:val="000000" w:themeColor="text1"/>
          <w:sz w:val="28"/>
          <w:szCs w:val="28"/>
          <w:lang w:val="uk-UA"/>
        </w:rPr>
        <w:t>A. Barbee, D. Jaron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Critical Reviews™ in Biomedical Engineering. – 2011. – Vol. 39, №. 5. – Р. 397–433.</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lastRenderedPageBreak/>
        <w:t>Calvo-Río V. Henoch-Schönlein Purpura in Northern Spain / V. Calvo-Rı´o, J. Loricera, C. Mata //</w:t>
      </w:r>
      <w:r w:rsidR="00A75E08"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Medicine. – 2014. – Vol. 93, №. 2. – Р. 106-113.</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Carnicer R. Nitric oxide synthases in heart failure / R.</w:t>
      </w:r>
      <w:r w:rsidRPr="004E3FE9">
        <w:rPr>
          <w:lang w:val="uk-UA"/>
        </w:rPr>
        <w:t xml:space="preserve"> </w:t>
      </w:r>
      <w:r w:rsidR="00A75E08" w:rsidRPr="004E3FE9">
        <w:rPr>
          <w:rFonts w:ascii="Times New Roman" w:hAnsi="Times New Roman" w:cs="Times New Roman"/>
          <w:bCs/>
          <w:color w:val="000000" w:themeColor="text1"/>
          <w:sz w:val="28"/>
          <w:szCs w:val="28"/>
          <w:lang w:val="uk-UA"/>
        </w:rPr>
        <w:t>Carnicer, M.</w:t>
      </w:r>
      <w:r w:rsidRPr="004E3FE9">
        <w:rPr>
          <w:rFonts w:ascii="Times New Roman" w:hAnsi="Times New Roman" w:cs="Times New Roman"/>
          <w:bCs/>
          <w:color w:val="000000" w:themeColor="text1"/>
          <w:sz w:val="28"/>
          <w:szCs w:val="28"/>
          <w:lang w:val="uk-UA"/>
        </w:rPr>
        <w:t>J.Crabtree, V. Sivakumaran, B.</w:t>
      </w:r>
      <w:r w:rsidR="00A75E08" w:rsidRPr="004E3FE9">
        <w:rPr>
          <w:rFonts w:ascii="Times New Roman" w:hAnsi="Times New Roman" w:cs="Times New Roman"/>
          <w:bCs/>
          <w:color w:val="000000" w:themeColor="text1"/>
          <w:sz w:val="28"/>
          <w:szCs w:val="28"/>
          <w:lang w:val="uk-UA"/>
        </w:rPr>
        <w:t xml:space="preserve"> Casadei, D.</w:t>
      </w:r>
      <w:r w:rsidRPr="004E3FE9">
        <w:rPr>
          <w:rFonts w:ascii="Times New Roman" w:hAnsi="Times New Roman" w:cs="Times New Roman"/>
          <w:bCs/>
          <w:color w:val="000000" w:themeColor="text1"/>
          <w:sz w:val="28"/>
          <w:szCs w:val="28"/>
          <w:lang w:val="uk-UA"/>
        </w:rPr>
        <w:t>A. Kass //</w:t>
      </w:r>
      <w:r w:rsidR="00A75E08"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Antioxidants &amp; redox signaling. – 2013. – Vol. 18, №. 9. – Р. 1078-1099.</w:t>
      </w:r>
    </w:p>
    <w:p w:rsidR="006C0EE6" w:rsidRPr="004E3FE9" w:rsidRDefault="00A75E08"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Celermajer D.</w:t>
      </w:r>
      <w:r w:rsidR="006C0EE6" w:rsidRPr="004E3FE9">
        <w:rPr>
          <w:rFonts w:ascii="Times New Roman" w:hAnsi="Times New Roman" w:cs="Times New Roman"/>
          <w:bCs/>
          <w:color w:val="000000" w:themeColor="text1"/>
          <w:sz w:val="28"/>
          <w:szCs w:val="28"/>
          <w:lang w:val="uk-UA"/>
        </w:rPr>
        <w:t xml:space="preserve">S. Non-invasive detection of endothelial dysfunction in children and adults </w:t>
      </w:r>
      <w:r w:rsidRPr="004E3FE9">
        <w:rPr>
          <w:rFonts w:ascii="Times New Roman" w:hAnsi="Times New Roman" w:cs="Times New Roman"/>
          <w:bCs/>
          <w:color w:val="000000" w:themeColor="text1"/>
          <w:sz w:val="28"/>
          <w:szCs w:val="28"/>
          <w:lang w:val="uk-UA"/>
        </w:rPr>
        <w:t>at risk of atherosclerosis / D.S. Celermajer, K.E. Sorensen,         V.M. Gooch, I.D. Sullivan, J.K. Lloyd, J.E. Deanfield, D.</w:t>
      </w:r>
      <w:r w:rsidR="006C0EE6" w:rsidRPr="004E3FE9">
        <w:rPr>
          <w:rFonts w:ascii="Times New Roman" w:hAnsi="Times New Roman" w:cs="Times New Roman"/>
          <w:bCs/>
          <w:color w:val="000000" w:themeColor="text1"/>
          <w:sz w:val="28"/>
          <w:szCs w:val="28"/>
          <w:lang w:val="uk-UA"/>
        </w:rPr>
        <w:t>J. Spiegelhalter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The lancet. – 1992. – Vol. 340, №. 8828. – Р. 1111-1115.</w:t>
      </w:r>
    </w:p>
    <w:p w:rsidR="006C0EE6" w:rsidRPr="004E3FE9" w:rsidRDefault="00A75E08"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Chang H.</w:t>
      </w:r>
      <w:r w:rsidR="006C0EE6" w:rsidRPr="004E3FE9">
        <w:rPr>
          <w:rFonts w:ascii="Times New Roman" w:hAnsi="Times New Roman" w:cs="Times New Roman"/>
          <w:bCs/>
          <w:color w:val="000000" w:themeColor="text1"/>
          <w:sz w:val="28"/>
          <w:szCs w:val="28"/>
          <w:lang w:val="uk-UA"/>
        </w:rPr>
        <w:t>W. In rat renal fibroblasts, mycophenolic acid inhibits proliferation and production of the chemokine CCL2, stimulated by tumour necrosis factor</w:t>
      </w:r>
      <w:r w:rsidR="006C0EE6" w:rsidRPr="004E3FE9">
        <w:rPr>
          <w:rFonts w:ascii="Cambria Math" w:hAnsi="Cambria Math" w:cs="Cambria Math"/>
          <w:bCs/>
          <w:color w:val="000000" w:themeColor="text1"/>
          <w:sz w:val="28"/>
          <w:szCs w:val="28"/>
          <w:lang w:val="uk-UA"/>
        </w:rPr>
        <w:t>‐</w:t>
      </w:r>
      <w:r w:rsidR="006C0EE6" w:rsidRPr="004E3FE9">
        <w:rPr>
          <w:rFonts w:ascii="Times New Roman" w:hAnsi="Times New Roman" w:cs="Times New Roman"/>
          <w:bCs/>
          <w:color w:val="000000" w:themeColor="text1"/>
          <w:sz w:val="28"/>
          <w:szCs w:val="28"/>
          <w:lang w:val="uk-UA"/>
        </w:rPr>
        <w:t>α</w:t>
      </w:r>
      <w:r w:rsidRPr="004E3FE9">
        <w:rPr>
          <w:rFonts w:ascii="Times New Roman" w:hAnsi="Times New Roman" w:cs="Times New Roman"/>
          <w:bCs/>
          <w:color w:val="000000" w:themeColor="text1"/>
          <w:sz w:val="28"/>
          <w:szCs w:val="28"/>
          <w:lang w:val="uk-UA"/>
        </w:rPr>
        <w:t xml:space="preserve"> / H.W. Chang, V.C. Wu, K.D. Wu, H.Y. Huang, B.S. Hsieh, Y.</w:t>
      </w:r>
      <w:r w:rsidR="006C0EE6" w:rsidRPr="004E3FE9">
        <w:rPr>
          <w:rFonts w:ascii="Times New Roman" w:hAnsi="Times New Roman" w:cs="Times New Roman"/>
          <w:bCs/>
          <w:color w:val="000000" w:themeColor="text1"/>
          <w:sz w:val="28"/>
          <w:szCs w:val="28"/>
          <w:lang w:val="uk-UA"/>
        </w:rPr>
        <w:t>M. Chen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British journal of pharmacology. – 2010. – Vol. 160, №. 7. – Р. 1611-1620.</w:t>
      </w:r>
    </w:p>
    <w:p w:rsidR="006C0EE6" w:rsidRPr="004E3FE9" w:rsidRDefault="00A75E08"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Chiu J.</w:t>
      </w:r>
      <w:r w:rsidR="006C0EE6" w:rsidRPr="004E3FE9">
        <w:rPr>
          <w:rFonts w:ascii="Times New Roman" w:hAnsi="Times New Roman" w:cs="Times New Roman"/>
          <w:bCs/>
          <w:color w:val="000000" w:themeColor="text1"/>
          <w:sz w:val="28"/>
          <w:szCs w:val="28"/>
          <w:lang w:val="uk-UA"/>
        </w:rPr>
        <w:t>J. Effects of disturbed flow on vascular endothelium: pathophysiological basis</w:t>
      </w:r>
      <w:r w:rsidRPr="004E3FE9">
        <w:rPr>
          <w:rFonts w:ascii="Times New Roman" w:hAnsi="Times New Roman" w:cs="Times New Roman"/>
          <w:bCs/>
          <w:color w:val="000000" w:themeColor="text1"/>
          <w:sz w:val="28"/>
          <w:szCs w:val="28"/>
          <w:lang w:val="uk-UA"/>
        </w:rPr>
        <w:t xml:space="preserve"> and clinical perspectives / J.</w:t>
      </w:r>
      <w:r w:rsidR="006C0EE6" w:rsidRPr="004E3FE9">
        <w:rPr>
          <w:rFonts w:ascii="Times New Roman" w:hAnsi="Times New Roman" w:cs="Times New Roman"/>
          <w:bCs/>
          <w:color w:val="000000" w:themeColor="text1"/>
          <w:sz w:val="28"/>
          <w:szCs w:val="28"/>
          <w:lang w:val="uk-UA"/>
        </w:rPr>
        <w:t>J. Chiu, S. Chien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Physiological reviews. – 2011. – Vol. 91, №. 1. – Р. 327-387.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 xml:space="preserve">Costanzo P. Does carotid intima-media thickness regression predict reduction of cardiovascular events?/ P. Costanzo, P. Perrone-Filardi, E. Vassallo, </w:t>
      </w:r>
      <w:r w:rsidR="00A75E08"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S. Paolillo, P. Cesarano, G. Brevetti, M. Chiariello // J. Am. Coll. Cardiol. –2010. – Vol. 56 –Р. 2006-2020.</w:t>
      </w:r>
    </w:p>
    <w:p w:rsidR="006C0EE6" w:rsidRPr="004E3FE9" w:rsidRDefault="00A75E08"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Cox C.</w:t>
      </w:r>
      <w:r w:rsidR="006C0EE6" w:rsidRPr="004E3FE9">
        <w:rPr>
          <w:rFonts w:ascii="Times New Roman" w:hAnsi="Times New Roman" w:cs="Times New Roman"/>
          <w:bCs/>
          <w:color w:val="000000" w:themeColor="text1"/>
          <w:sz w:val="28"/>
          <w:szCs w:val="28"/>
          <w:lang w:val="uk-UA"/>
        </w:rPr>
        <w:t>L. Circulating concentrations of monocyte chemoattractant protein-1, plasminogen activator inhibitor-1, and soluble leukocyte adhesion molecule-1 in overweight/obese men and women consuming fructose-or glucose-sweetened beverages for 10 weeks / Chad L. Cox, Kimber L. Stanhope, Jean Marc Schwarz, James L. Graham, Bonnie Hatcher, Steven C. Griffen, Andrew A. Bremer, Lars Berglund, John P. McGahan, Nancy L. Keim, Peter J. Havel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The Journal of Clinical Endocrinology &amp; Metabolism. – 2011. – Vol. 96, №. 12. – Р. 2034-2038.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Cuomo S. Increase carotid intima-media thuckness in children-adolescents, and young adults with a parental history of premature myocardial infarction</w:t>
      </w:r>
      <w:r w:rsidR="00A75E08"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 xml:space="preserve">/ </w:t>
      </w:r>
      <w:r w:rsidR="00A75E08"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lastRenderedPageBreak/>
        <w:t>S. Cuomo, P. Guarini, G. Gaeta // Eur. Heart J. –2002. – Vol. 23, №17. – Р. 1345-1350.</w:t>
      </w:r>
    </w:p>
    <w:p w:rsidR="006C0EE6" w:rsidRPr="004E3FE9" w:rsidRDefault="00A75E08"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Darisipudi M.</w:t>
      </w:r>
      <w:r w:rsidR="006C0EE6" w:rsidRPr="004E3FE9">
        <w:rPr>
          <w:rFonts w:ascii="Times New Roman" w:hAnsi="Times New Roman" w:cs="Times New Roman"/>
          <w:bCs/>
          <w:color w:val="000000" w:themeColor="text1"/>
          <w:sz w:val="28"/>
          <w:szCs w:val="28"/>
          <w:lang w:val="uk-UA"/>
        </w:rPr>
        <w:t xml:space="preserve">N. Dual blockade of the homeostatic chemokine CXCL12 and the proinflammatory chemokine CCL2 has additive protective effects </w:t>
      </w:r>
      <w:r w:rsidRPr="004E3FE9">
        <w:rPr>
          <w:rFonts w:ascii="Times New Roman" w:hAnsi="Times New Roman" w:cs="Times New Roman"/>
          <w:bCs/>
          <w:color w:val="000000" w:themeColor="text1"/>
          <w:sz w:val="28"/>
          <w:szCs w:val="28"/>
          <w:lang w:val="uk-UA"/>
        </w:rPr>
        <w:t>on diabetic kidney disease / M.N. Darisipudi, O.P. Kulkarni, S.</w:t>
      </w:r>
      <w:r w:rsidR="006C0EE6" w:rsidRPr="004E3FE9">
        <w:rPr>
          <w:rFonts w:ascii="Times New Roman" w:hAnsi="Times New Roman" w:cs="Times New Roman"/>
          <w:bCs/>
          <w:color w:val="000000" w:themeColor="text1"/>
          <w:sz w:val="28"/>
          <w:szCs w:val="28"/>
          <w:lang w:val="uk-UA"/>
        </w:rPr>
        <w:t>G. Sayyed, M. Ryu, A. Migliorini, C. Sagrinati, E. Parente, A. Vater, D. Eulberg, S. Klussmann, P. Romagnani, H.-J. Anders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The American journal of pathology. – 2011. – Vol. 179, №. 1. – Р. 116-124.</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Denis C.V. von Willebrand factor: At the crossroads of bleeding and thrombosis / C.V. Denis, P.J. Lenting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Int J Hematol. –2012. – Vol. 95, №4. – Р. 353–361.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Derhasching U. Assesment of plateles and the endothelium in patients presenting with acute coronary syndromes - is there a future? / U. Derhasching, B. Jilma // Thrombosis and Haemostasis. – 2009. – Vol. 102, № 6. – P. 1141-1148.</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Deshmane S.</w:t>
      </w:r>
      <w:r w:rsidR="006C0EE6" w:rsidRPr="004E3FE9">
        <w:rPr>
          <w:rFonts w:ascii="Times New Roman" w:hAnsi="Times New Roman" w:cs="Times New Roman"/>
          <w:bCs/>
          <w:color w:val="000000" w:themeColor="text1"/>
          <w:sz w:val="28"/>
          <w:szCs w:val="28"/>
          <w:lang w:val="uk-UA"/>
        </w:rPr>
        <w:t xml:space="preserve">L. Monocyte chemoattractant protein-1 (MCP-1): an overview / </w:t>
      </w:r>
      <w:r w:rsidRPr="004E3FE9">
        <w:rPr>
          <w:rFonts w:ascii="Times New Roman" w:hAnsi="Times New Roman" w:cs="Times New Roman"/>
          <w:bCs/>
          <w:color w:val="000000" w:themeColor="text1"/>
          <w:sz w:val="28"/>
          <w:szCs w:val="28"/>
          <w:lang w:val="uk-UA"/>
        </w:rPr>
        <w:t xml:space="preserve">   S.</w:t>
      </w:r>
      <w:r w:rsidR="006C0EE6" w:rsidRPr="004E3FE9">
        <w:rPr>
          <w:rFonts w:ascii="Times New Roman" w:hAnsi="Times New Roman" w:cs="Times New Roman"/>
          <w:bCs/>
          <w:color w:val="000000" w:themeColor="text1"/>
          <w:sz w:val="28"/>
          <w:szCs w:val="28"/>
          <w:lang w:val="uk-UA"/>
        </w:rPr>
        <w:t>L. Deshmane, S. Kremlev, S. Amini, B. E. Sawaya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Journal of interferon &amp; cytokine research. – 2009. – Vol. 29, №. 6. – Р. 313-326.</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Donnithorne K.</w:t>
      </w:r>
      <w:r w:rsidR="006C0EE6" w:rsidRPr="004E3FE9">
        <w:rPr>
          <w:rFonts w:ascii="Times New Roman" w:hAnsi="Times New Roman" w:cs="Times New Roman"/>
          <w:bCs/>
          <w:color w:val="000000" w:themeColor="text1"/>
          <w:sz w:val="28"/>
          <w:szCs w:val="28"/>
          <w:lang w:val="uk-UA"/>
        </w:rPr>
        <w:t>J. Rituximab therapy for severe refractory chroni</w:t>
      </w:r>
      <w:r w:rsidRPr="004E3FE9">
        <w:rPr>
          <w:rFonts w:ascii="Times New Roman" w:hAnsi="Times New Roman" w:cs="Times New Roman"/>
          <w:bCs/>
          <w:color w:val="000000" w:themeColor="text1"/>
          <w:sz w:val="28"/>
          <w:szCs w:val="28"/>
          <w:lang w:val="uk-UA"/>
        </w:rPr>
        <w:t>c Henoch-Schönlein purpura / K.J. Donnithorne, T.P. Atkinson, C.H. Hinze,                 J.B. Nogueira, S.A. Saeed, D.J. Askenazi, T. Beukelman, R.</w:t>
      </w:r>
      <w:r w:rsidR="006C0EE6" w:rsidRPr="004E3FE9">
        <w:rPr>
          <w:rFonts w:ascii="Times New Roman" w:hAnsi="Times New Roman" w:cs="Times New Roman"/>
          <w:bCs/>
          <w:color w:val="000000" w:themeColor="text1"/>
          <w:sz w:val="28"/>
          <w:szCs w:val="28"/>
          <w:lang w:val="uk-UA"/>
        </w:rPr>
        <w:t>Q. Cron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The Journal of pediatrics. – 2009. – Vol. 155, №. 1. – Р. 136-139.</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Du Y. Treatment of children with Henoch-Schönlein purpura nephritis with mycophenolate mofetil / Y. Du, L. Hou, C. Zhao, M. Han, Y. Wu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Pediatric Nephrology. – 2012. – Vol. 27, №. 5. – Р. 765-771.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Félétou M. Endothelium</w:t>
      </w:r>
      <w:r w:rsidRPr="004E3FE9">
        <w:rPr>
          <w:rFonts w:ascii="Cambria Math" w:hAnsi="Cambria Math" w:cs="Cambria Math"/>
          <w:bCs/>
          <w:color w:val="000000" w:themeColor="text1"/>
          <w:sz w:val="28"/>
          <w:szCs w:val="28"/>
          <w:lang w:val="uk-UA"/>
        </w:rPr>
        <w:t>‐</w:t>
      </w:r>
      <w:r w:rsidRPr="004E3FE9">
        <w:rPr>
          <w:rFonts w:ascii="Times New Roman" w:hAnsi="Times New Roman" w:cs="Times New Roman"/>
          <w:bCs/>
          <w:color w:val="000000" w:themeColor="text1"/>
          <w:sz w:val="28"/>
          <w:szCs w:val="28"/>
          <w:lang w:val="uk-UA"/>
        </w:rPr>
        <w:t>dependent contractions in SHR: a tale of prostanoid TP an</w:t>
      </w:r>
      <w:r w:rsidR="00980F27" w:rsidRPr="004E3FE9">
        <w:rPr>
          <w:rFonts w:ascii="Times New Roman" w:hAnsi="Times New Roman" w:cs="Times New Roman"/>
          <w:bCs/>
          <w:color w:val="000000" w:themeColor="text1"/>
          <w:sz w:val="28"/>
          <w:szCs w:val="28"/>
          <w:lang w:val="uk-UA"/>
        </w:rPr>
        <w:t>d IP receptors / M. Félétou, T.J. Verbeuren, P.</w:t>
      </w:r>
      <w:r w:rsidRPr="004E3FE9">
        <w:rPr>
          <w:rFonts w:ascii="Times New Roman" w:hAnsi="Times New Roman" w:cs="Times New Roman"/>
          <w:bCs/>
          <w:color w:val="000000" w:themeColor="text1"/>
          <w:sz w:val="28"/>
          <w:szCs w:val="28"/>
          <w:lang w:val="uk-UA"/>
        </w:rPr>
        <w:t>M. Vanhoutte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British journal of pharmacology. – 2009. – Vol. 156, №. 4. – Р. 563-574.</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lastRenderedPageBreak/>
        <w:t>Förstermann U. Nitric oxide synthases: regulation an</w:t>
      </w:r>
      <w:r w:rsidR="00980F27" w:rsidRPr="004E3FE9">
        <w:rPr>
          <w:rFonts w:ascii="Times New Roman" w:hAnsi="Times New Roman" w:cs="Times New Roman"/>
          <w:bCs/>
          <w:color w:val="000000" w:themeColor="text1"/>
          <w:sz w:val="28"/>
          <w:szCs w:val="28"/>
          <w:lang w:val="uk-UA"/>
        </w:rPr>
        <w:t>d function /                      U. Förstermann, W.</w:t>
      </w:r>
      <w:r w:rsidRPr="004E3FE9">
        <w:rPr>
          <w:rFonts w:ascii="Times New Roman" w:hAnsi="Times New Roman" w:cs="Times New Roman"/>
          <w:bCs/>
          <w:color w:val="000000" w:themeColor="text1"/>
          <w:sz w:val="28"/>
          <w:szCs w:val="28"/>
          <w:lang w:val="uk-UA"/>
        </w:rPr>
        <w:t>C. Sessa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European heart journal. – 2012. – Vol. 33, №. 7. – Р. 829-837.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Gao D. 1, 25-Dihydroxyvitamin D3 inhibits the cytokine-induced secretion of MCP-1 and reduces monocyte recruitment by human preadipocytes / D. Gao, P. Trayhurn, C. Bing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International journal of obesity. – 2013. – Vol. 37, №. 3. – Р. 357-365.</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Gipson D. Management of Childhood Onset Nephrotic Syndrome / D. Gipson, S. Massengill, L. Yao, S. Nagaraj, W. Smoyer, J. Mahan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Pediatrics. – 2009. – Vol.124. – P. 747 - 757.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Gluais P. Acetylcholine</w:t>
      </w:r>
      <w:r w:rsidRPr="004E3FE9">
        <w:rPr>
          <w:rFonts w:ascii="Cambria Math" w:hAnsi="Cambria Math" w:cs="Cambria Math"/>
          <w:bCs/>
          <w:color w:val="000000" w:themeColor="text1"/>
          <w:sz w:val="28"/>
          <w:szCs w:val="28"/>
          <w:lang w:val="uk-UA"/>
        </w:rPr>
        <w:t>‐</w:t>
      </w:r>
      <w:r w:rsidRPr="004E3FE9">
        <w:rPr>
          <w:rFonts w:ascii="Times New Roman" w:hAnsi="Times New Roman" w:cs="Times New Roman"/>
          <w:bCs/>
          <w:color w:val="000000" w:themeColor="text1"/>
          <w:sz w:val="28"/>
          <w:szCs w:val="28"/>
          <w:lang w:val="uk-UA"/>
        </w:rPr>
        <w:t>induced endothelium</w:t>
      </w:r>
      <w:r w:rsidRPr="004E3FE9">
        <w:rPr>
          <w:rFonts w:ascii="Cambria Math" w:hAnsi="Cambria Math" w:cs="Cambria Math"/>
          <w:bCs/>
          <w:color w:val="000000" w:themeColor="text1"/>
          <w:sz w:val="28"/>
          <w:szCs w:val="28"/>
          <w:lang w:val="uk-UA"/>
        </w:rPr>
        <w:t>‐</w:t>
      </w:r>
      <w:r w:rsidRPr="004E3FE9">
        <w:rPr>
          <w:rFonts w:ascii="Times New Roman" w:hAnsi="Times New Roman" w:cs="Times New Roman"/>
          <w:bCs/>
          <w:color w:val="000000" w:themeColor="text1"/>
          <w:sz w:val="28"/>
          <w:szCs w:val="28"/>
          <w:lang w:val="uk-UA"/>
        </w:rPr>
        <w:t>dependent contractions in the SHR aorta: the Janus face of prostacyclin / P. Gluais, M. Lonchampt, J. D. Morrow, P. M. Vanhoutte, M. Feletou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British journal of pharmacology. – 2005. – Vol. 146, №. 6. – Р. 834-845.</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Gonzalez-Quesada C. Monocyte chemoattractant protein-1/CCL2 as a biomarker in acute coronary syndromes / C. Gonzalez-Quesada, N. G. Frangogiannis // Current atherosclerosis reports. – 2009. – Vol. 11, №. 2. – Р. 131-138.</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Green D.</w:t>
      </w:r>
      <w:r w:rsidR="006C0EE6" w:rsidRPr="004E3FE9">
        <w:rPr>
          <w:rFonts w:ascii="Times New Roman" w:hAnsi="Times New Roman" w:cs="Times New Roman"/>
          <w:bCs/>
          <w:color w:val="000000" w:themeColor="text1"/>
          <w:sz w:val="28"/>
          <w:szCs w:val="28"/>
          <w:lang w:val="uk-UA"/>
        </w:rPr>
        <w:t>J. Is flow-mediated dilation nitric oxide</w:t>
      </w:r>
      <w:r w:rsidRPr="004E3FE9">
        <w:rPr>
          <w:rFonts w:ascii="Times New Roman" w:hAnsi="Times New Roman" w:cs="Times New Roman"/>
          <w:bCs/>
          <w:color w:val="000000" w:themeColor="text1"/>
          <w:sz w:val="28"/>
          <w:szCs w:val="28"/>
          <w:lang w:val="uk-UA"/>
        </w:rPr>
        <w:t xml:space="preserve"> mediated? A meta-analysis / D.J. Green, E.A. Dawson, H.M. Groenewoud, H. Jones, D.</w:t>
      </w:r>
      <w:r w:rsidR="006C0EE6" w:rsidRPr="004E3FE9">
        <w:rPr>
          <w:rFonts w:ascii="Times New Roman" w:hAnsi="Times New Roman" w:cs="Times New Roman"/>
          <w:bCs/>
          <w:color w:val="000000" w:themeColor="text1"/>
          <w:sz w:val="28"/>
          <w:szCs w:val="28"/>
          <w:lang w:val="uk-UA"/>
        </w:rPr>
        <w:t>H. Thijssen // Hypertension. – 2014. – Vol. 63, №. 2. – Р. 376-382.</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Guan Q. Expression of transforming growth factor-β1 limits renal ischemia-r</w:t>
      </w:r>
      <w:r w:rsidR="00980F27" w:rsidRPr="004E3FE9">
        <w:rPr>
          <w:rFonts w:ascii="Times New Roman" w:hAnsi="Times New Roman" w:cs="Times New Roman"/>
          <w:bCs/>
          <w:color w:val="000000" w:themeColor="text1"/>
          <w:sz w:val="28"/>
          <w:szCs w:val="28"/>
          <w:lang w:val="uk-UA"/>
        </w:rPr>
        <w:t>eperfusion injury / Q. Guan, C.Y.</w:t>
      </w:r>
      <w:r w:rsidRPr="004E3FE9">
        <w:rPr>
          <w:rFonts w:ascii="Times New Roman" w:hAnsi="Times New Roman" w:cs="Times New Roman"/>
          <w:bCs/>
          <w:color w:val="000000" w:themeColor="text1"/>
          <w:sz w:val="28"/>
          <w:szCs w:val="28"/>
          <w:lang w:val="uk-UA"/>
        </w:rPr>
        <w:t>C. Nguan, C. Du //Transplantation. – 2010. – Vol. 89, №. 11. – Р. 1320-1327.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Guan R. Chemokine (CC motif) ligand 2 (CCL2) in sera of patients with type 1 diabetes and diabetic complications /</w:t>
      </w:r>
      <w:r w:rsidRPr="004E3FE9">
        <w:rPr>
          <w:lang w:val="uk-UA"/>
        </w:rPr>
        <w:t xml:space="preserve"> </w:t>
      </w:r>
      <w:r w:rsidR="00980F27" w:rsidRPr="004E3FE9">
        <w:rPr>
          <w:rFonts w:ascii="Times New Roman" w:hAnsi="Times New Roman" w:cs="Times New Roman"/>
          <w:bCs/>
          <w:color w:val="000000" w:themeColor="text1"/>
          <w:sz w:val="28"/>
          <w:szCs w:val="28"/>
          <w:lang w:val="uk-UA"/>
        </w:rPr>
        <w:t>R. Guan, S. Purohit, H. Wan</w:t>
      </w:r>
      <w:r w:rsidRPr="004E3FE9">
        <w:rPr>
          <w:rFonts w:ascii="Times New Roman" w:hAnsi="Times New Roman" w:cs="Times New Roman"/>
          <w:bCs/>
          <w:color w:val="000000" w:themeColor="text1"/>
          <w:sz w:val="28"/>
          <w:szCs w:val="28"/>
          <w:lang w:val="uk-UA"/>
        </w:rPr>
        <w:t xml:space="preserve">g, B. Bode, </w:t>
      </w:r>
      <w:r w:rsidR="00980F27" w:rsidRPr="004E3FE9">
        <w:rPr>
          <w:rFonts w:ascii="Times New Roman" w:hAnsi="Times New Roman" w:cs="Times New Roman"/>
          <w:bCs/>
          <w:color w:val="000000" w:themeColor="text1"/>
          <w:sz w:val="28"/>
          <w:szCs w:val="28"/>
          <w:lang w:val="uk-UA"/>
        </w:rPr>
        <w:t xml:space="preserve"> J.C. Reed, R.D. Steed, J.</w:t>
      </w:r>
      <w:r w:rsidRPr="004E3FE9">
        <w:rPr>
          <w:rFonts w:ascii="Times New Roman" w:hAnsi="Times New Roman" w:cs="Times New Roman"/>
          <w:bCs/>
          <w:color w:val="000000" w:themeColor="text1"/>
          <w:sz w:val="28"/>
          <w:szCs w:val="28"/>
          <w:lang w:val="uk-UA"/>
        </w:rPr>
        <w:t>X. She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PloS one. – 2011. – Vol. 6, №. 4. – Р. e17822.</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Guo Z. A dynamic dual role of IL-2 signaling in the two-step differentiation process of adaptive regulatory T cells /</w:t>
      </w:r>
      <w:r w:rsidRPr="004E3FE9">
        <w:rPr>
          <w:lang w:val="uk-UA"/>
        </w:rPr>
        <w:t xml:space="preserve"> </w:t>
      </w:r>
      <w:r w:rsidR="00980F27" w:rsidRPr="004E3FE9">
        <w:rPr>
          <w:rFonts w:ascii="Times New Roman" w:hAnsi="Times New Roman" w:cs="Times New Roman"/>
          <w:bCs/>
          <w:color w:val="000000" w:themeColor="text1"/>
          <w:sz w:val="28"/>
          <w:szCs w:val="28"/>
          <w:lang w:val="uk-UA"/>
        </w:rPr>
        <w:t>Z. Guo, M. Khattar, P.</w:t>
      </w:r>
      <w:r w:rsidRPr="004E3FE9">
        <w:rPr>
          <w:rFonts w:ascii="Times New Roman" w:hAnsi="Times New Roman" w:cs="Times New Roman"/>
          <w:bCs/>
          <w:color w:val="000000" w:themeColor="text1"/>
          <w:sz w:val="28"/>
          <w:szCs w:val="28"/>
          <w:lang w:val="uk-UA"/>
        </w:rPr>
        <w:t xml:space="preserve">M. Schroder, </w:t>
      </w:r>
      <w:r w:rsidR="00980F27" w:rsidRPr="004E3FE9">
        <w:rPr>
          <w:rFonts w:ascii="Times New Roman" w:hAnsi="Times New Roman" w:cs="Times New Roman"/>
          <w:bCs/>
          <w:color w:val="000000" w:themeColor="text1"/>
          <w:sz w:val="28"/>
          <w:szCs w:val="28"/>
          <w:lang w:val="uk-UA"/>
        </w:rPr>
        <w:t xml:space="preserve">     </w:t>
      </w:r>
      <w:r w:rsidR="00980F27" w:rsidRPr="004E3FE9">
        <w:rPr>
          <w:rFonts w:ascii="Times New Roman" w:hAnsi="Times New Roman" w:cs="Times New Roman"/>
          <w:bCs/>
          <w:color w:val="000000" w:themeColor="text1"/>
          <w:sz w:val="28"/>
          <w:szCs w:val="28"/>
          <w:lang w:val="uk-UA"/>
        </w:rPr>
        <w:lastRenderedPageBreak/>
        <w:t>Y. Miyahara, G. Wang, X. He, S.</w:t>
      </w:r>
      <w:r w:rsidRPr="004E3FE9">
        <w:rPr>
          <w:rFonts w:ascii="Times New Roman" w:hAnsi="Times New Roman" w:cs="Times New Roman"/>
          <w:bCs/>
          <w:color w:val="000000" w:themeColor="text1"/>
          <w:sz w:val="28"/>
          <w:szCs w:val="28"/>
          <w:lang w:val="uk-UA"/>
        </w:rPr>
        <w:t>M. Stepkowski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The Journal of Immunology. – 2013. – Vol. 190, №. 7. – Р. 3153-3162.</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Gutiérrez E. Endothelial dysfunction over the course of coronary ar</w:t>
      </w:r>
      <w:r w:rsidR="00980F27" w:rsidRPr="004E3FE9">
        <w:rPr>
          <w:rFonts w:ascii="Times New Roman" w:hAnsi="Times New Roman" w:cs="Times New Roman"/>
          <w:bCs/>
          <w:color w:val="000000" w:themeColor="text1"/>
          <w:sz w:val="28"/>
          <w:szCs w:val="28"/>
          <w:lang w:val="uk-UA"/>
        </w:rPr>
        <w:t>tery disease / E. Gutiérrez, A.J. Flammer, L.</w:t>
      </w:r>
      <w:r w:rsidRPr="004E3FE9">
        <w:rPr>
          <w:rFonts w:ascii="Times New Roman" w:hAnsi="Times New Roman" w:cs="Times New Roman"/>
          <w:bCs/>
          <w:color w:val="000000" w:themeColor="text1"/>
          <w:sz w:val="28"/>
          <w:szCs w:val="28"/>
          <w:lang w:val="uk-UA"/>
        </w:rPr>
        <w:t xml:space="preserve">O. Lerman, J. Elízaga, A. Lerman,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F. Fernández-Avilés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European heart journal. – 2013. – Vol. 34, №. 41. – Р. 3175-3181.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Hahn D. Interventions for preventing and treating kidney disease in Henoch</w:t>
      </w:r>
      <w:r w:rsidRPr="004E3FE9">
        <w:rPr>
          <w:rFonts w:ascii="Cambria Math" w:hAnsi="Cambria Math" w:cs="Cambria Math"/>
          <w:bCs/>
          <w:color w:val="000000" w:themeColor="text1"/>
          <w:sz w:val="28"/>
          <w:szCs w:val="28"/>
          <w:lang w:val="uk-UA"/>
        </w:rPr>
        <w:t>‐</w:t>
      </w:r>
      <w:r w:rsidRPr="004E3FE9">
        <w:rPr>
          <w:rFonts w:ascii="Times New Roman" w:hAnsi="Times New Roman" w:cs="Times New Roman"/>
          <w:bCs/>
          <w:color w:val="000000" w:themeColor="text1"/>
          <w:sz w:val="28"/>
          <w:szCs w:val="28"/>
          <w:lang w:val="uk-UA"/>
        </w:rPr>
        <w:t>Schönl</w:t>
      </w:r>
      <w:r w:rsidR="00980F27" w:rsidRPr="004E3FE9">
        <w:rPr>
          <w:rFonts w:ascii="Times New Roman" w:hAnsi="Times New Roman" w:cs="Times New Roman"/>
          <w:bCs/>
          <w:color w:val="000000" w:themeColor="text1"/>
          <w:sz w:val="28"/>
          <w:szCs w:val="28"/>
          <w:lang w:val="uk-UA"/>
        </w:rPr>
        <w:t>ein Purpura (HSP) / D. Hahn, E.M. Hodson, N.S. Willis,       J.</w:t>
      </w:r>
      <w:r w:rsidRPr="004E3FE9">
        <w:rPr>
          <w:rFonts w:ascii="Times New Roman" w:hAnsi="Times New Roman" w:cs="Times New Roman"/>
          <w:bCs/>
          <w:color w:val="000000" w:themeColor="text1"/>
          <w:sz w:val="28"/>
          <w:szCs w:val="28"/>
          <w:lang w:val="uk-UA"/>
        </w:rPr>
        <w:t>C. Craig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The Cochrane Library. – 2015, DOI: 10.1002/14651858.CD005128.pub3.</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Halli</w:t>
      </w:r>
      <w:r w:rsidR="00980F27" w:rsidRPr="004E3FE9">
        <w:rPr>
          <w:rFonts w:ascii="Times New Roman" w:hAnsi="Times New Roman" w:cs="Times New Roman"/>
          <w:bCs/>
          <w:color w:val="000000" w:themeColor="text1"/>
          <w:sz w:val="28"/>
          <w:szCs w:val="28"/>
          <w:lang w:val="uk-UA"/>
        </w:rPr>
        <w:t>ng S.F.</w:t>
      </w:r>
      <w:r w:rsidRPr="004E3FE9">
        <w:rPr>
          <w:rFonts w:ascii="Times New Roman" w:hAnsi="Times New Roman" w:cs="Times New Roman"/>
          <w:bCs/>
          <w:color w:val="000000" w:themeColor="text1"/>
          <w:sz w:val="28"/>
          <w:szCs w:val="28"/>
          <w:lang w:val="uk-UA"/>
        </w:rPr>
        <w:t>E. Henoch Schönlein nephritis: clinical findings related to ren</w:t>
      </w:r>
      <w:r w:rsidR="00980F27" w:rsidRPr="004E3FE9">
        <w:rPr>
          <w:rFonts w:ascii="Times New Roman" w:hAnsi="Times New Roman" w:cs="Times New Roman"/>
          <w:bCs/>
          <w:color w:val="000000" w:themeColor="text1"/>
          <w:sz w:val="28"/>
          <w:szCs w:val="28"/>
          <w:lang w:val="uk-UA"/>
        </w:rPr>
        <w:t>al function and morphology / S.F.E. Halling, M.P. Söderberg, U.</w:t>
      </w:r>
      <w:r w:rsidRPr="004E3FE9">
        <w:rPr>
          <w:rFonts w:ascii="Times New Roman" w:hAnsi="Times New Roman" w:cs="Times New Roman"/>
          <w:bCs/>
          <w:color w:val="000000" w:themeColor="text1"/>
          <w:sz w:val="28"/>
          <w:szCs w:val="28"/>
          <w:lang w:val="uk-UA"/>
        </w:rPr>
        <w:t>B. Berg // Pediatric Nephrology. – 2005. – Vol. 20, №. 1. – Р. 46-51.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 xml:space="preserve">Hara T. Platelets control leukocyte recruitment in a murine model of cutaneous arthus reaction / T. Hara, K. Shimizu, F. Ogawa, K. Yanaba,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Y. Iwata, E. Muroi, S. Sato // The American journal of pathology. – 2010. – Vol. 176, №. 1. – Р. 259-269.</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Harris R.</w:t>
      </w:r>
      <w:r w:rsidR="006C0EE6" w:rsidRPr="004E3FE9">
        <w:rPr>
          <w:rFonts w:ascii="Times New Roman" w:hAnsi="Times New Roman" w:cs="Times New Roman"/>
          <w:bCs/>
          <w:color w:val="000000" w:themeColor="text1"/>
          <w:sz w:val="28"/>
          <w:szCs w:val="28"/>
          <w:lang w:val="uk-UA"/>
        </w:rPr>
        <w:t>A. Ultrasound assessment of flow-mediated dilation /</w:t>
      </w:r>
      <w:r w:rsidR="006C0EE6" w:rsidRPr="004E3FE9">
        <w:rPr>
          <w:lang w:val="uk-UA"/>
        </w:rPr>
        <w:t xml:space="preserve"> </w:t>
      </w:r>
      <w:r w:rsidR="006C0EE6" w:rsidRPr="004E3FE9">
        <w:rPr>
          <w:rFonts w:ascii="Times New Roman" w:hAnsi="Times New Roman" w:cs="Times New Roman"/>
          <w:bCs/>
          <w:color w:val="000000" w:themeColor="text1"/>
          <w:sz w:val="28"/>
          <w:szCs w:val="28"/>
          <w:lang w:val="uk-UA"/>
        </w:rPr>
        <w:t>R.</w:t>
      </w:r>
      <w:r w:rsidRPr="004E3FE9">
        <w:rPr>
          <w:rFonts w:ascii="Times New Roman" w:hAnsi="Times New Roman" w:cs="Times New Roman"/>
          <w:bCs/>
          <w:color w:val="000000" w:themeColor="text1"/>
          <w:sz w:val="28"/>
          <w:szCs w:val="28"/>
          <w:lang w:val="uk-UA"/>
        </w:rPr>
        <w:t>A. Harris, S.K. Nishiyama, D.W. Wray, R.</w:t>
      </w:r>
      <w:r w:rsidR="006C0EE6" w:rsidRPr="004E3FE9">
        <w:rPr>
          <w:rFonts w:ascii="Times New Roman" w:hAnsi="Times New Roman" w:cs="Times New Roman"/>
          <w:bCs/>
          <w:color w:val="000000" w:themeColor="text1"/>
          <w:sz w:val="28"/>
          <w:szCs w:val="28"/>
          <w:lang w:val="uk-UA"/>
        </w:rPr>
        <w:t>S. Richardson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Hypertension. – 2010. – Vol. 55, №. 5. – Р. 1075-1085.</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Haudek S.</w:t>
      </w:r>
      <w:r w:rsidR="006C0EE6" w:rsidRPr="004E3FE9">
        <w:rPr>
          <w:rFonts w:ascii="Times New Roman" w:hAnsi="Times New Roman" w:cs="Times New Roman"/>
          <w:bCs/>
          <w:color w:val="000000" w:themeColor="text1"/>
          <w:sz w:val="28"/>
          <w:szCs w:val="28"/>
          <w:lang w:val="uk-UA"/>
        </w:rPr>
        <w:t>B. Monocytic fibroblast precursors mediate fibrosis in angiotensin-II-i</w:t>
      </w:r>
      <w:r w:rsidRPr="004E3FE9">
        <w:rPr>
          <w:rFonts w:ascii="Times New Roman" w:hAnsi="Times New Roman" w:cs="Times New Roman"/>
          <w:bCs/>
          <w:color w:val="000000" w:themeColor="text1"/>
          <w:sz w:val="28"/>
          <w:szCs w:val="28"/>
          <w:lang w:val="uk-UA"/>
        </w:rPr>
        <w:t>nduced cardiac hypertrophy / S.</w:t>
      </w:r>
      <w:r w:rsidR="006C0EE6" w:rsidRPr="004E3FE9">
        <w:rPr>
          <w:rFonts w:ascii="Times New Roman" w:hAnsi="Times New Roman" w:cs="Times New Roman"/>
          <w:bCs/>
          <w:color w:val="000000" w:themeColor="text1"/>
          <w:sz w:val="28"/>
          <w:szCs w:val="28"/>
          <w:lang w:val="uk-UA"/>
        </w:rPr>
        <w:t xml:space="preserve">B. Haudek, J. Cheng, J. Du,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Y. Wang, J. Her</w:t>
      </w:r>
      <w:r w:rsidRPr="004E3FE9">
        <w:rPr>
          <w:rFonts w:ascii="Times New Roman" w:hAnsi="Times New Roman" w:cs="Times New Roman"/>
          <w:bCs/>
          <w:color w:val="000000" w:themeColor="text1"/>
          <w:sz w:val="28"/>
          <w:szCs w:val="28"/>
          <w:lang w:val="uk-UA"/>
        </w:rPr>
        <w:t>mosillo-Rodriguez, J. Trial, M.</w:t>
      </w:r>
      <w:r w:rsidR="006C0EE6" w:rsidRPr="004E3FE9">
        <w:rPr>
          <w:rFonts w:ascii="Times New Roman" w:hAnsi="Times New Roman" w:cs="Times New Roman"/>
          <w:bCs/>
          <w:color w:val="000000" w:themeColor="text1"/>
          <w:sz w:val="28"/>
          <w:szCs w:val="28"/>
          <w:lang w:val="uk-UA"/>
        </w:rPr>
        <w:t>L. Entman // Journal of molecular and cellular cardiology. – 2010. – Vol. 49, №. 3. – Р. 499-507.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He M. Endothelial dysfunction in rheumatoid arthritis the role of monocyte chemotactic protein-1–induced protein / M. He, X. Liang, L. He, W. Wen, S. Zhao, L. Wen, Z. Yuan //Arteriosclerosis, thrombosis, and vascular biology. – 2013. – Vol. 33, №. 6. – Р. 1384-1391.</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lastRenderedPageBreak/>
        <w:t>Hickey M.</w:t>
      </w:r>
      <w:r w:rsidR="006C0EE6" w:rsidRPr="004E3FE9">
        <w:rPr>
          <w:rFonts w:ascii="Times New Roman" w:hAnsi="Times New Roman" w:cs="Times New Roman"/>
          <w:bCs/>
          <w:color w:val="000000" w:themeColor="text1"/>
          <w:sz w:val="28"/>
          <w:szCs w:val="28"/>
          <w:lang w:val="uk-UA"/>
        </w:rPr>
        <w:t xml:space="preserve">J. Intravascular immunity: the host–pathogen </w:t>
      </w:r>
      <w:r w:rsidRPr="004E3FE9">
        <w:rPr>
          <w:rFonts w:ascii="Times New Roman" w:hAnsi="Times New Roman" w:cs="Times New Roman"/>
          <w:bCs/>
          <w:color w:val="000000" w:themeColor="text1"/>
          <w:sz w:val="28"/>
          <w:szCs w:val="28"/>
          <w:lang w:val="uk-UA"/>
        </w:rPr>
        <w:t>encounter in blood vessels / M.</w:t>
      </w:r>
      <w:r w:rsidR="006C0EE6" w:rsidRPr="004E3FE9">
        <w:rPr>
          <w:rFonts w:ascii="Times New Roman" w:hAnsi="Times New Roman" w:cs="Times New Roman"/>
          <w:bCs/>
          <w:color w:val="000000" w:themeColor="text1"/>
          <w:sz w:val="28"/>
          <w:szCs w:val="28"/>
          <w:lang w:val="uk-UA"/>
        </w:rPr>
        <w:t>J. Hickey, P. Kubes // Nature reviews immunology. – 2009. – Vol. 9, №. 5. – Р. 364-375.</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Hu P. Henoch–Schönlein purpura triggered by Mycoplasma pneumoniae in a female infant / P. Hu, Y. Guan, L. Lu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The Kaohsiung journal of medical sciences. – 2015. – Vol. 31, №. 3. – Р. 163-164.</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 xml:space="preserve">Huber J. CC chemokine and CC chemokine receptor profiles in visceral and subcutaneous adipose tissue are altered </w:t>
      </w:r>
      <w:r w:rsidR="00980F27" w:rsidRPr="004E3FE9">
        <w:rPr>
          <w:rFonts w:ascii="Times New Roman" w:hAnsi="Times New Roman" w:cs="Times New Roman"/>
          <w:bCs/>
          <w:color w:val="000000" w:themeColor="text1"/>
          <w:sz w:val="28"/>
          <w:szCs w:val="28"/>
          <w:lang w:val="uk-UA"/>
        </w:rPr>
        <w:t>in human obesity / J. Huber,            F.</w:t>
      </w:r>
      <w:r w:rsidRPr="004E3FE9">
        <w:rPr>
          <w:rFonts w:ascii="Times New Roman" w:hAnsi="Times New Roman" w:cs="Times New Roman"/>
          <w:bCs/>
          <w:color w:val="000000" w:themeColor="text1"/>
          <w:sz w:val="28"/>
          <w:szCs w:val="28"/>
          <w:lang w:val="uk-UA"/>
        </w:rPr>
        <w:t xml:space="preserve">W. </w:t>
      </w:r>
      <w:r w:rsidR="00980F27" w:rsidRPr="004E3FE9">
        <w:rPr>
          <w:rFonts w:ascii="Times New Roman" w:hAnsi="Times New Roman" w:cs="Times New Roman"/>
          <w:bCs/>
          <w:color w:val="000000" w:themeColor="text1"/>
          <w:sz w:val="28"/>
          <w:szCs w:val="28"/>
          <w:lang w:val="uk-UA"/>
        </w:rPr>
        <w:t>Kiefer, M. Zeyda, B. Ludvik, G.R. Silberhumer, G. Prager, T.</w:t>
      </w:r>
      <w:r w:rsidRPr="004E3FE9">
        <w:rPr>
          <w:rFonts w:ascii="Times New Roman" w:hAnsi="Times New Roman" w:cs="Times New Roman"/>
          <w:bCs/>
          <w:color w:val="000000" w:themeColor="text1"/>
          <w:sz w:val="28"/>
          <w:szCs w:val="28"/>
          <w:lang w:val="uk-UA"/>
        </w:rPr>
        <w:t>M. Stulnig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The Journal of Clinical Endocrinology &amp; Metabolism. – 2008. – Vol. 93, №. 8. – Р. 3215-3221.</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Hung S.</w:t>
      </w:r>
      <w:r w:rsidR="006C0EE6" w:rsidRPr="004E3FE9">
        <w:rPr>
          <w:rFonts w:ascii="Times New Roman" w:hAnsi="Times New Roman" w:cs="Times New Roman"/>
          <w:bCs/>
          <w:color w:val="000000" w:themeColor="text1"/>
          <w:sz w:val="28"/>
          <w:szCs w:val="28"/>
          <w:lang w:val="uk-UA"/>
        </w:rPr>
        <w:t>P. Clinical manifestations and outcomes of Henoch-Schönlein purpura: comparison b</w:t>
      </w:r>
      <w:r w:rsidRPr="004E3FE9">
        <w:rPr>
          <w:rFonts w:ascii="Times New Roman" w:hAnsi="Times New Roman" w:cs="Times New Roman"/>
          <w:bCs/>
          <w:color w:val="000000" w:themeColor="text1"/>
          <w:sz w:val="28"/>
          <w:szCs w:val="28"/>
          <w:lang w:val="uk-UA"/>
        </w:rPr>
        <w:t>etween adults and children / S.P. Hung, Y.H. Yang,   Y.T. Lin, L.C. Wang, J.</w:t>
      </w:r>
      <w:r w:rsidR="006C0EE6" w:rsidRPr="004E3FE9">
        <w:rPr>
          <w:rFonts w:ascii="Times New Roman" w:hAnsi="Times New Roman" w:cs="Times New Roman"/>
          <w:bCs/>
          <w:color w:val="000000" w:themeColor="text1"/>
          <w:sz w:val="28"/>
          <w:szCs w:val="28"/>
          <w:lang w:val="uk-UA"/>
        </w:rPr>
        <w:t>H. Lee, B</w:t>
      </w:r>
      <w:r w:rsidRPr="004E3FE9">
        <w:rPr>
          <w:rFonts w:ascii="Times New Roman" w:hAnsi="Times New Roman" w:cs="Times New Roman"/>
          <w:bCs/>
          <w:color w:val="000000" w:themeColor="text1"/>
          <w:sz w:val="28"/>
          <w:szCs w:val="28"/>
          <w:lang w:val="uk-UA"/>
        </w:rPr>
        <w:t>.</w:t>
      </w:r>
      <w:r w:rsidR="006C0EE6" w:rsidRPr="004E3FE9">
        <w:rPr>
          <w:rFonts w:ascii="Times New Roman" w:hAnsi="Times New Roman" w:cs="Times New Roman"/>
          <w:bCs/>
          <w:color w:val="000000" w:themeColor="text1"/>
          <w:sz w:val="28"/>
          <w:szCs w:val="28"/>
          <w:lang w:val="uk-UA"/>
        </w:rPr>
        <w:t>L. Chiang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Pediatrics &amp; Neonatology. – 2009. – Vol. 50, №. 4. – Р. 162-168.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Iijima K. Multiple combined therapy for severe Henoch-Schönlein nephritis in children / K. Iijima, S. Ito-Kariya, H. Nakamura, N. Yoshikawa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Pediatric Nephrology. – 1998. – Vol. 12, №. 3. – Р. 244-248.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 xml:space="preserve">Ilan Y Henoch Schonlein purpura in children and adults: Is it one entity? /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Y. Ilan, Y. Naparstek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Seminars in arthritis and rheumatism. – Elsevier, 2002. – Vol. 32, №. 3. – Р. 139-140.</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Inaba Y. Prediction of future cardiovascular outcomes by flow-mediated vasodilatation of brachial artery: a meta-ana</w:t>
      </w:r>
      <w:r w:rsidR="00980F27" w:rsidRPr="004E3FE9">
        <w:rPr>
          <w:rFonts w:ascii="Times New Roman" w:hAnsi="Times New Roman" w:cs="Times New Roman"/>
          <w:bCs/>
          <w:color w:val="000000" w:themeColor="text1"/>
          <w:sz w:val="28"/>
          <w:szCs w:val="28"/>
          <w:lang w:val="uk-UA"/>
        </w:rPr>
        <w:t>lysis / Y. Inaba, J.</w:t>
      </w:r>
      <w:r w:rsidRPr="004E3FE9">
        <w:rPr>
          <w:rFonts w:ascii="Times New Roman" w:hAnsi="Times New Roman" w:cs="Times New Roman"/>
          <w:bCs/>
          <w:color w:val="000000" w:themeColor="text1"/>
          <w:sz w:val="28"/>
          <w:szCs w:val="28"/>
          <w:lang w:val="uk-UA"/>
        </w:rPr>
        <w:t xml:space="preserve">A. Chen,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S.R. Bergmann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The international journal of cardiovascular imaging. – 2010. – Vol. 26, №. 6. – Р. 631-640.</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Jauhola O. Cyclosporine A vs. methylprednisolone for Henoch–Schönlein nephritis: a randomized trial / O. Jauhola, J. Ronkainen, H. Autio-Harmainen, O. Koskimies, M. Ala-Houhala, P. Arikoski, M. Nuutinen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Pediatric nephrology. – 2011. – Vol. 26, №. 12. – Р. 2159-2166.</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lastRenderedPageBreak/>
        <w:t>Jing Y. Monocyte chemoattractant protein 1–2518 A/G polymorphism and susceptibility to type 2 diabetes in a Chinese population /</w:t>
      </w:r>
      <w:r w:rsidRPr="004E3FE9">
        <w:rPr>
          <w:lang w:val="uk-UA"/>
        </w:rPr>
        <w:t xml:space="preserve"> </w:t>
      </w:r>
      <w:r w:rsidRPr="004E3FE9">
        <w:rPr>
          <w:rFonts w:ascii="Times New Roman" w:hAnsi="Times New Roman" w:cs="Times New Roman"/>
          <w:bCs/>
          <w:color w:val="000000" w:themeColor="text1"/>
          <w:sz w:val="28"/>
          <w:szCs w:val="28"/>
          <w:lang w:val="uk-UA"/>
        </w:rPr>
        <w:t xml:space="preserve">Y. Jing, D. Zhu,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Y. Bi, D. Yang, Y. Hu, S. Shen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Clinica Chimica Acta. – 2011. – Vol. 412, №. 5. – Р. 466-469.</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 xml:space="preserve">Kanai H. Early treatment with methylprednisolone pulse therapy combined with tonsillectomy for heavy proteinuric henoch-schönlein purpura nephritis in children / H. Kanai, E. Sawanobori, A. Kobayashi, K. Matsushita, K. Sugita,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K. Higashida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Nephron extra. – 2011. – Vol. 1, №. 1. – Р. 101-111.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Kang Y. Differences in clinical manifestations and outcomes between adult and child patients with Henoch-</w:t>
      </w:r>
      <w:r w:rsidR="00980F27" w:rsidRPr="004E3FE9">
        <w:rPr>
          <w:rFonts w:ascii="Times New Roman" w:hAnsi="Times New Roman" w:cs="Times New Roman"/>
          <w:bCs/>
          <w:color w:val="000000" w:themeColor="text1"/>
          <w:sz w:val="28"/>
          <w:szCs w:val="28"/>
          <w:lang w:val="uk-UA"/>
        </w:rPr>
        <w:t>Schönlein purpura / Y. Kang, J.S. Park, Y.J. Ha, M.I. Kang, H.J. Park, S.W. Lee, Y.</w:t>
      </w:r>
      <w:r w:rsidRPr="004E3FE9">
        <w:rPr>
          <w:rFonts w:ascii="Times New Roman" w:hAnsi="Times New Roman" w:cs="Times New Roman"/>
          <w:bCs/>
          <w:color w:val="000000" w:themeColor="text1"/>
          <w:sz w:val="28"/>
          <w:szCs w:val="28"/>
          <w:lang w:val="uk-UA"/>
        </w:rPr>
        <w:t>B. Park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Journal of Korean medical science. – 2014. – Vol. 29, №. 2. – Р. 198-203.</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Kawakami T. Elevated serum IgA anticardiolipin antibody levels in adult Henoch–Schönlein purpura / T. Kawakami, H.</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 xml:space="preserve">Watabe, M. Mizoguchi,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Y. Soma // British Journal of Dermatology. – 2006. – Vol. 155, №. 5. – Р. 983-987.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 xml:space="preserve">Kouyama K. Association of serum MCP-1 concentration and MCP-1 polymorphism with insulin resistance in Japanese individuals with obese type 2 diabetes / K. Kouyama, K. Miyake, M. Zenibayashi, Y. Hirota, T. Teranishi,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Y. Tamori, M. Kasuga // Kobe J Med Sci. – 2008. – Vol. 53, №. 6. – Р. 345-354.</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 xml:space="preserve">Lange M. Role of nitric oxide in shock: the large animal perspective /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M. Lang</w:t>
      </w:r>
      <w:r w:rsidR="00980F27" w:rsidRPr="004E3FE9">
        <w:rPr>
          <w:rFonts w:ascii="Times New Roman" w:hAnsi="Times New Roman" w:cs="Times New Roman"/>
          <w:bCs/>
          <w:color w:val="000000" w:themeColor="text1"/>
          <w:sz w:val="28"/>
          <w:szCs w:val="28"/>
          <w:lang w:val="uk-UA"/>
        </w:rPr>
        <w:t>e, P. Enkhbaatar, Y. Nakano, D.</w:t>
      </w:r>
      <w:r w:rsidRPr="004E3FE9">
        <w:rPr>
          <w:rFonts w:ascii="Times New Roman" w:hAnsi="Times New Roman" w:cs="Times New Roman"/>
          <w:bCs/>
          <w:color w:val="000000" w:themeColor="text1"/>
          <w:sz w:val="28"/>
          <w:szCs w:val="28"/>
          <w:lang w:val="uk-UA"/>
        </w:rPr>
        <w:t>L. Traber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Frontiers in bioscience (Landmark edition). – 2008. – Vol. 14. – Р. 1979-1989.</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Lardhi A.</w:t>
      </w:r>
      <w:r w:rsidR="006C0EE6" w:rsidRPr="004E3FE9">
        <w:rPr>
          <w:rFonts w:ascii="Times New Roman" w:hAnsi="Times New Roman" w:cs="Times New Roman"/>
          <w:bCs/>
          <w:color w:val="000000" w:themeColor="text1"/>
          <w:sz w:val="28"/>
          <w:szCs w:val="28"/>
          <w:lang w:val="uk-UA"/>
        </w:rPr>
        <w:t>A. Henoch-Schonlein purpura in children from the easter</w:t>
      </w:r>
      <w:r w:rsidRPr="004E3FE9">
        <w:rPr>
          <w:rFonts w:ascii="Times New Roman" w:hAnsi="Times New Roman" w:cs="Times New Roman"/>
          <w:bCs/>
          <w:color w:val="000000" w:themeColor="text1"/>
          <w:sz w:val="28"/>
          <w:szCs w:val="28"/>
          <w:lang w:val="uk-UA"/>
        </w:rPr>
        <w:t>n province of Saudi Arabia / A.</w:t>
      </w:r>
      <w:r w:rsidR="006C0EE6" w:rsidRPr="004E3FE9">
        <w:rPr>
          <w:rFonts w:ascii="Times New Roman" w:hAnsi="Times New Roman" w:cs="Times New Roman"/>
          <w:bCs/>
          <w:color w:val="000000" w:themeColor="text1"/>
          <w:sz w:val="28"/>
          <w:szCs w:val="28"/>
          <w:lang w:val="uk-UA"/>
        </w:rPr>
        <w:t>A. Lardhi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Saudi medical journal. – 2012. – Vol. 33, №. 9. – Р. 973-978.</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Lau K.</w:t>
      </w:r>
      <w:r w:rsidR="006C0EE6" w:rsidRPr="004E3FE9">
        <w:rPr>
          <w:rFonts w:ascii="Times New Roman" w:hAnsi="Times New Roman" w:cs="Times New Roman"/>
          <w:bCs/>
          <w:color w:val="000000" w:themeColor="text1"/>
          <w:sz w:val="28"/>
          <w:szCs w:val="28"/>
          <w:lang w:val="uk-UA"/>
        </w:rPr>
        <w:t>K. Pathogenesis of Henoch-Schönlein purpura nephritis /</w:t>
      </w:r>
      <w:r w:rsidR="006C0EE6" w:rsidRPr="004E3FE9">
        <w:rPr>
          <w:lang w:val="uk-UA"/>
        </w:rPr>
        <w:t xml:space="preserve"> </w:t>
      </w:r>
      <w:r w:rsidRPr="004E3FE9">
        <w:rPr>
          <w:rFonts w:ascii="Times New Roman" w:hAnsi="Times New Roman" w:cs="Times New Roman"/>
          <w:bCs/>
          <w:color w:val="000000" w:themeColor="text1"/>
          <w:sz w:val="28"/>
          <w:szCs w:val="28"/>
          <w:lang w:val="uk-UA"/>
        </w:rPr>
        <w:t>K.K. Lau, H. Suzuki, J. Novak, R.</w:t>
      </w:r>
      <w:r w:rsidR="006C0EE6" w:rsidRPr="004E3FE9">
        <w:rPr>
          <w:rFonts w:ascii="Times New Roman" w:hAnsi="Times New Roman" w:cs="Times New Roman"/>
          <w:bCs/>
          <w:color w:val="000000" w:themeColor="text1"/>
          <w:sz w:val="28"/>
          <w:szCs w:val="28"/>
          <w:lang w:val="uk-UA"/>
        </w:rPr>
        <w:t>J. Wyatt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Pediatric nephrology. – 2010. – Vol. 25, №. 1. – Р. 19-26.</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lastRenderedPageBreak/>
        <w:t xml:space="preserve">Lebel-Haziv Y. Breast cancer: Coordinated regulation of CCL2 secretion by intracellular glycosaminoglycans and chemokine motifs / Y. Lebel-Haziv,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T. Meshel, G. Soria, A. Yeheskel, E. Mamon, A. Ben-Baruch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Neoplasia. – 2014. – Vol. 16, №. 9. – Р. 723-740.</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4E3FE9">
        <w:rPr>
          <w:rFonts w:ascii="Times New Roman" w:hAnsi="Times New Roman" w:cs="Times New Roman"/>
          <w:bCs/>
          <w:color w:val="000000" w:themeColor="text1"/>
          <w:sz w:val="28"/>
          <w:szCs w:val="28"/>
          <w:lang w:val="uk-UA"/>
        </w:rPr>
        <w:t>Lee Y.</w:t>
      </w:r>
      <w:r w:rsidR="006C0EE6" w:rsidRPr="004E3FE9">
        <w:rPr>
          <w:rFonts w:ascii="Times New Roman" w:hAnsi="Times New Roman" w:cs="Times New Roman"/>
          <w:bCs/>
          <w:color w:val="000000" w:themeColor="text1"/>
          <w:sz w:val="28"/>
          <w:szCs w:val="28"/>
          <w:lang w:val="uk-UA"/>
        </w:rPr>
        <w:t>G. Recruited alveolar macrophages, in response to airway epithelial–derived monocyte chemoattractant protein 1/CCL2, regulate airway inflammation and rem</w:t>
      </w:r>
      <w:r w:rsidRPr="004E3FE9">
        <w:rPr>
          <w:rFonts w:ascii="Times New Roman" w:hAnsi="Times New Roman" w:cs="Times New Roman"/>
          <w:bCs/>
          <w:color w:val="000000" w:themeColor="text1"/>
          <w:sz w:val="28"/>
          <w:szCs w:val="28"/>
          <w:lang w:val="uk-UA"/>
        </w:rPr>
        <w:t>odeling in allergic asthma / Y.G. Lee, J.</w:t>
      </w:r>
      <w:r w:rsidR="006C0EE6" w:rsidRPr="004E3FE9">
        <w:rPr>
          <w:rFonts w:ascii="Times New Roman" w:hAnsi="Times New Roman" w:cs="Times New Roman"/>
          <w:bCs/>
          <w:color w:val="000000" w:themeColor="text1"/>
          <w:sz w:val="28"/>
          <w:szCs w:val="28"/>
          <w:lang w:val="uk-UA"/>
        </w:rPr>
        <w:t xml:space="preserve">J. Jeong,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S. Nyenhuis, E. Ber</w:t>
      </w:r>
      <w:r w:rsidRPr="004E3FE9">
        <w:rPr>
          <w:rFonts w:ascii="Times New Roman" w:hAnsi="Times New Roman" w:cs="Times New Roman"/>
          <w:bCs/>
          <w:color w:val="000000" w:themeColor="text1"/>
          <w:sz w:val="28"/>
          <w:szCs w:val="28"/>
          <w:lang w:val="uk-UA"/>
        </w:rPr>
        <w:t>dyshev, S. Chung, R. Ranjan, N.</w:t>
      </w:r>
      <w:r w:rsidR="006C0EE6" w:rsidRPr="004E3FE9">
        <w:rPr>
          <w:rFonts w:ascii="Times New Roman" w:hAnsi="Times New Roman" w:cs="Times New Roman"/>
          <w:bCs/>
          <w:color w:val="000000" w:themeColor="text1"/>
          <w:sz w:val="28"/>
          <w:szCs w:val="28"/>
          <w:lang w:val="uk-UA"/>
        </w:rPr>
        <w:t>N. Jarjour //</w:t>
      </w:r>
      <w:r w:rsidRPr="004E3FE9">
        <w:rPr>
          <w:rFonts w:ascii="Times New Roman" w:hAnsi="Times New Roman" w:cs="Times New Roman"/>
          <w:bCs/>
          <w:color w:val="000000" w:themeColor="text1"/>
          <w:sz w:val="28"/>
          <w:szCs w:val="28"/>
          <w:lang w:val="uk-UA"/>
        </w:rPr>
        <w:t xml:space="preserve"> </w:t>
      </w:r>
      <w:r w:rsidR="006C0EE6" w:rsidRPr="004E3FE9">
        <w:rPr>
          <w:rFonts w:ascii="Times New Roman" w:hAnsi="Times New Roman" w:cs="Times New Roman"/>
          <w:bCs/>
          <w:color w:val="000000" w:themeColor="text1"/>
          <w:sz w:val="28"/>
          <w:szCs w:val="28"/>
          <w:lang w:val="uk-UA"/>
        </w:rPr>
        <w:t>American journal of respiratory cell and molecular biology. – 2015. – Vol. 52, №. 6. – Р. 772-784.</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color w:val="000000" w:themeColor="text1"/>
          <w:sz w:val="28"/>
          <w:szCs w:val="28"/>
          <w:lang w:val="uk-UA"/>
        </w:rPr>
        <w:t>Li X. Activation of thromboxane A 2 receptor (TP) increases the expression of monocyte chemoattractant protein-1 (MCP-1)/chemokine (CC motif) ligand 2 (CCL2) and recruits macrophages to promote invasion o</w:t>
      </w:r>
      <w:r w:rsidR="00980F27" w:rsidRPr="004E3FE9">
        <w:rPr>
          <w:rFonts w:ascii="Times New Roman" w:hAnsi="Times New Roman" w:cs="Times New Roman"/>
          <w:bCs/>
          <w:color w:val="000000" w:themeColor="text1"/>
          <w:sz w:val="28"/>
          <w:szCs w:val="28"/>
          <w:lang w:val="uk-UA"/>
        </w:rPr>
        <w:t>f lung cancer cells / X. Li, H.</w:t>
      </w:r>
      <w:r w:rsidRPr="004E3FE9">
        <w:rPr>
          <w:rFonts w:ascii="Times New Roman" w:hAnsi="Times New Roman" w:cs="Times New Roman"/>
          <w:bCs/>
          <w:color w:val="000000" w:themeColor="text1"/>
          <w:sz w:val="28"/>
          <w:szCs w:val="28"/>
          <w:lang w:val="uk-UA"/>
        </w:rPr>
        <w:t>H. Tai //</w:t>
      </w:r>
      <w:r w:rsidR="00980F27" w:rsidRPr="004E3FE9">
        <w:rPr>
          <w:rFonts w:ascii="Times New Roman" w:hAnsi="Times New Roman" w:cs="Times New Roman"/>
          <w:bCs/>
          <w:color w:val="000000" w:themeColor="text1"/>
          <w:sz w:val="28"/>
          <w:szCs w:val="28"/>
          <w:lang w:val="uk-UA"/>
        </w:rPr>
        <w:t xml:space="preserve"> </w:t>
      </w:r>
      <w:r w:rsidRPr="004E3FE9">
        <w:rPr>
          <w:rFonts w:ascii="Times New Roman" w:hAnsi="Times New Roman" w:cs="Times New Roman"/>
          <w:bCs/>
          <w:color w:val="000000" w:themeColor="text1"/>
          <w:sz w:val="28"/>
          <w:szCs w:val="28"/>
          <w:lang w:val="uk-UA"/>
        </w:rPr>
        <w:t>PloS one. – 2013. – Vol. 8, №. 1. – Р. 540-573.</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Lin Q. Henoch–Schönlein purpura with hypocomplementemia / Q. Lin, Y. Min, Y. Li, et al. // Pediatric Nephrology. – 2012.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xml:space="preserve"> 27, №. 5. – Р. 801-806.</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Litwin M. Evolution of large-vessel arteriopathy in pediatric patients with chronic kidney disease/ M. Litwin, E. Wuhl, C. Jourdan et al. // Nephrology Dialysis Transplantation. – 2008.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xml:space="preserve"> 23, №. 8. – Р. 2552-2557. </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Michel B.A. Hypersensitivity vasculitis and Henoch–Schönlein purpura: a comparison between the 2 disorders/ B.A. Michel, G.G. Hunder, D.A. Bloch, L.H. Calabrese // The Journal of rheumatology. – 1992.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xml:space="preserve"> 19, №. 5. – Р. 721-728. </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Montero D. Endothelial dysfunction, inflammation, and oxidative stress in obese children and adolescents: markers and effect of lifestyle intervention / </w:t>
      </w:r>
      <w:r w:rsidR="00980F27"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D. Montero, G. Walther, A. Perez</w:t>
      </w:r>
      <w:r w:rsidRPr="004E3FE9">
        <w:rPr>
          <w:rFonts w:ascii="Cambria Math" w:hAnsi="Cambria Math" w:cs="Cambria Math"/>
          <w:bCs/>
          <w:sz w:val="28"/>
          <w:szCs w:val="28"/>
          <w:lang w:val="uk-UA"/>
        </w:rPr>
        <w:t>‐</w:t>
      </w:r>
      <w:r w:rsidRPr="004E3FE9">
        <w:rPr>
          <w:rFonts w:ascii="Times New Roman" w:hAnsi="Times New Roman" w:cs="Times New Roman"/>
          <w:bCs/>
          <w:sz w:val="28"/>
          <w:szCs w:val="28"/>
          <w:lang w:val="uk-UA"/>
        </w:rPr>
        <w:t>Martin, E. Roche, A. Vinet //</w:t>
      </w:r>
      <w:r w:rsidR="00980F27"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xml:space="preserve">Obesity Reviews. – 2012.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xml:space="preserve"> 13, №. 5. – Р. 441-455.</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lastRenderedPageBreak/>
        <w:t>Morris Jr S.</w:t>
      </w:r>
      <w:r w:rsidR="006C0EE6" w:rsidRPr="004E3FE9">
        <w:rPr>
          <w:rFonts w:ascii="Times New Roman" w:hAnsi="Times New Roman" w:cs="Times New Roman"/>
          <w:bCs/>
          <w:sz w:val="28"/>
          <w:szCs w:val="28"/>
          <w:lang w:val="uk-UA"/>
        </w:rPr>
        <w:t>M. Recent advances in arginine metabolism: roles and r</w:t>
      </w:r>
      <w:r w:rsidRPr="004E3FE9">
        <w:rPr>
          <w:rFonts w:ascii="Times New Roman" w:hAnsi="Times New Roman" w:cs="Times New Roman"/>
          <w:bCs/>
          <w:sz w:val="28"/>
          <w:szCs w:val="28"/>
          <w:lang w:val="uk-UA"/>
        </w:rPr>
        <w:t>egulation of the arginases / S.</w:t>
      </w:r>
      <w:r w:rsidR="006C0EE6" w:rsidRPr="004E3FE9">
        <w:rPr>
          <w:rFonts w:ascii="Times New Roman" w:hAnsi="Times New Roman" w:cs="Times New Roman"/>
          <w:bCs/>
          <w:sz w:val="28"/>
          <w:szCs w:val="28"/>
          <w:lang w:val="uk-UA"/>
        </w:rPr>
        <w:t>M. Morris Jr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 xml:space="preserve">British journal of pharmacology. – 2009. – </w:t>
      </w:r>
      <w:r w:rsidR="006C0EE6" w:rsidRPr="004E3FE9">
        <w:rPr>
          <w:rFonts w:ascii="Times New Roman" w:hAnsi="Times New Roman" w:cs="Times New Roman"/>
          <w:bCs/>
          <w:color w:val="000000" w:themeColor="text1"/>
          <w:sz w:val="28"/>
          <w:szCs w:val="28"/>
          <w:lang w:val="uk-UA"/>
        </w:rPr>
        <w:t>Vol.</w:t>
      </w:r>
      <w:r w:rsidR="006C0EE6" w:rsidRPr="004E3FE9">
        <w:rPr>
          <w:rFonts w:ascii="Times New Roman" w:hAnsi="Times New Roman" w:cs="Times New Roman"/>
          <w:bCs/>
          <w:sz w:val="28"/>
          <w:szCs w:val="28"/>
          <w:lang w:val="uk-UA"/>
        </w:rPr>
        <w:t xml:space="preserve"> 157, №. 6. – Р. 922-930.</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Motoyama O. Henoch</w:t>
      </w:r>
      <w:r w:rsidRPr="004E3FE9">
        <w:rPr>
          <w:rFonts w:ascii="Cambria Math" w:hAnsi="Cambria Math" w:cs="Cambria Math"/>
          <w:bCs/>
          <w:sz w:val="28"/>
          <w:szCs w:val="28"/>
          <w:lang w:val="uk-UA"/>
        </w:rPr>
        <w:t>‐</w:t>
      </w:r>
      <w:r w:rsidRPr="004E3FE9">
        <w:rPr>
          <w:rFonts w:ascii="Times New Roman" w:hAnsi="Times New Roman" w:cs="Times New Roman"/>
          <w:bCs/>
          <w:sz w:val="28"/>
          <w:szCs w:val="28"/>
          <w:lang w:val="uk-UA"/>
        </w:rPr>
        <w:t>Schönlein purpura with hypocomplementemia in children / O. Motoyama, K. Iitaka //</w:t>
      </w:r>
      <w:r w:rsidR="00980F27"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xml:space="preserve">Pediatrics international. – 2005.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xml:space="preserve"> 47, №. 1. – Р. 39-42.</w:t>
      </w:r>
    </w:p>
    <w:p w:rsidR="006C0EE6" w:rsidRPr="004E3FE9" w:rsidRDefault="006C0EE6" w:rsidP="0099056E">
      <w:pPr>
        <w:pStyle w:val="a7"/>
        <w:numPr>
          <w:ilvl w:val="0"/>
          <w:numId w:val="7"/>
        </w:numPr>
        <w:spacing w:line="360" w:lineRule="auto"/>
        <w:jc w:val="both"/>
        <w:rPr>
          <w:rFonts w:ascii="Times New Roman" w:hAnsi="Times New Roman" w:cs="Times New Roman"/>
          <w:sz w:val="28"/>
          <w:szCs w:val="28"/>
          <w:lang w:val="uk-UA"/>
        </w:rPr>
      </w:pPr>
      <w:r w:rsidRPr="004E3FE9">
        <w:rPr>
          <w:rFonts w:ascii="Times New Roman" w:hAnsi="Times New Roman" w:cs="Times New Roman"/>
          <w:bCs/>
          <w:sz w:val="28"/>
          <w:szCs w:val="28"/>
          <w:lang w:val="uk-UA"/>
        </w:rPr>
        <w:t xml:space="preserve">Mudau M. Endothelial dysfunction: the early predictor of atherosclerosis/ M. Mudau, A. Genis, A. Lochner, H. Strijdom // Cardiovascular journal of Africa. – 2012.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xml:space="preserve"> 23, №. 4. – Р. 222-231.</w:t>
      </w:r>
    </w:p>
    <w:p w:rsidR="006C0EE6" w:rsidRPr="004E3FE9" w:rsidRDefault="00980F27"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Nagy J.</w:t>
      </w:r>
      <w:r w:rsidR="006C0EE6" w:rsidRPr="004E3FE9">
        <w:rPr>
          <w:rFonts w:ascii="Times New Roman" w:hAnsi="Times New Roman" w:cs="Times New Roman"/>
          <w:bCs/>
          <w:sz w:val="28"/>
          <w:szCs w:val="28"/>
          <w:lang w:val="uk-UA"/>
        </w:rPr>
        <w:t>A. Vascular permeability, vascular hyperper</w:t>
      </w:r>
      <w:r w:rsidRPr="004E3FE9">
        <w:rPr>
          <w:rFonts w:ascii="Times New Roman" w:hAnsi="Times New Roman" w:cs="Times New Roman"/>
          <w:bCs/>
          <w:sz w:val="28"/>
          <w:szCs w:val="28"/>
          <w:lang w:val="uk-UA"/>
        </w:rPr>
        <w:t>meability and angiogenesis / J.</w:t>
      </w:r>
      <w:r w:rsidR="006C0EE6" w:rsidRPr="004E3FE9">
        <w:rPr>
          <w:rFonts w:ascii="Times New Roman" w:hAnsi="Times New Roman" w:cs="Times New Roman"/>
          <w:bCs/>
          <w:sz w:val="28"/>
          <w:szCs w:val="28"/>
          <w:lang w:val="uk-UA"/>
        </w:rPr>
        <w:t xml:space="preserve">A. Nagy, L. Benjamin, H. Zeng et al. // Angiogenesis. – 2008. – </w:t>
      </w:r>
      <w:r w:rsidR="006C0EE6" w:rsidRPr="004E3FE9">
        <w:rPr>
          <w:rFonts w:ascii="Times New Roman" w:hAnsi="Times New Roman" w:cs="Times New Roman"/>
          <w:bCs/>
          <w:color w:val="000000" w:themeColor="text1"/>
          <w:sz w:val="28"/>
          <w:szCs w:val="28"/>
          <w:lang w:val="uk-UA"/>
        </w:rPr>
        <w:t>Vol.</w:t>
      </w:r>
      <w:r w:rsidR="006C0EE6" w:rsidRPr="004E3FE9">
        <w:rPr>
          <w:rFonts w:ascii="Times New Roman" w:hAnsi="Times New Roman" w:cs="Times New Roman"/>
          <w:bCs/>
          <w:sz w:val="28"/>
          <w:szCs w:val="28"/>
          <w:lang w:val="uk-UA"/>
        </w:rPr>
        <w:t xml:space="preserve"> 11, №. 2. – Р. 109-119.</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Ohlsson S. Monocyte chemoattractant protein 1 is a prognostic marker in ANCA-associated small vessel vasculitis / S. Ohlsson, O. Bakoush, J. Tencer et al. // Mediators of inflammation. – 2009.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2009. – Р. 584916-584916.</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Ozen S. EULAR/PRINTO/PRES criteria for Henoch–Schönlein purpura, childhood polyarteritis nodosa, childhood Wegener granulomatosis and childhood Takayasu arteritis: Ankara 2008. Part II: final classification crit</w:t>
      </w:r>
      <w:r w:rsidR="00D964AA" w:rsidRPr="004E3FE9">
        <w:rPr>
          <w:rFonts w:ascii="Times New Roman" w:hAnsi="Times New Roman" w:cs="Times New Roman"/>
          <w:bCs/>
          <w:sz w:val="28"/>
          <w:szCs w:val="28"/>
          <w:lang w:val="uk-UA"/>
        </w:rPr>
        <w:t>eria / S. Ozen, A. Pistorio, S.</w:t>
      </w:r>
      <w:r w:rsidRPr="004E3FE9">
        <w:rPr>
          <w:rFonts w:ascii="Times New Roman" w:hAnsi="Times New Roman" w:cs="Times New Roman"/>
          <w:bCs/>
          <w:sz w:val="28"/>
          <w:szCs w:val="28"/>
          <w:lang w:val="uk-UA"/>
        </w:rPr>
        <w:t>M. Iusan et al.//</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xml:space="preserve">Annals of the Rheumatic Diseases. – 2010.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xml:space="preserve"> 69, №. 5. – Р. 798-806.</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Pan Y. Relationship between immune parameters and organ involvement in children wit</w:t>
      </w:r>
      <w:r w:rsidR="00D964AA" w:rsidRPr="004E3FE9">
        <w:rPr>
          <w:rFonts w:ascii="Times New Roman" w:hAnsi="Times New Roman" w:cs="Times New Roman"/>
          <w:bCs/>
          <w:sz w:val="28"/>
          <w:szCs w:val="28"/>
          <w:lang w:val="uk-UA"/>
        </w:rPr>
        <w:t>h Henoch-Schonlein purpura / Y.X. Pan, Q.Ye, W.</w:t>
      </w:r>
      <w:r w:rsidRPr="004E3FE9">
        <w:rPr>
          <w:rFonts w:ascii="Times New Roman" w:hAnsi="Times New Roman" w:cs="Times New Roman"/>
          <w:bCs/>
          <w:sz w:val="28"/>
          <w:szCs w:val="28"/>
          <w:lang w:val="uk-UA"/>
        </w:rPr>
        <w:t xml:space="preserve">X. Shao et al. // PloS one. – 2014.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xml:space="preserve"> 9, №. 12. – Р. e115261.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Par</w:t>
      </w:r>
      <w:r w:rsidR="00D964AA" w:rsidRPr="004E3FE9">
        <w:rPr>
          <w:rFonts w:ascii="Times New Roman" w:hAnsi="Times New Roman" w:cs="Times New Roman"/>
          <w:bCs/>
          <w:sz w:val="28"/>
          <w:szCs w:val="28"/>
          <w:lang w:val="uk-UA"/>
        </w:rPr>
        <w:t>k J.</w:t>
      </w:r>
      <w:r w:rsidRPr="004E3FE9">
        <w:rPr>
          <w:rFonts w:ascii="Times New Roman" w:hAnsi="Times New Roman" w:cs="Times New Roman"/>
          <w:bCs/>
          <w:sz w:val="28"/>
          <w:szCs w:val="28"/>
          <w:lang w:val="uk-UA"/>
        </w:rPr>
        <w:t>M. Cyclosporin A therapy for Henoch–Schönlein nephritis with n</w:t>
      </w:r>
      <w:r w:rsidR="00D964AA" w:rsidRPr="004E3FE9">
        <w:rPr>
          <w:rFonts w:ascii="Times New Roman" w:hAnsi="Times New Roman" w:cs="Times New Roman"/>
          <w:bCs/>
          <w:sz w:val="28"/>
          <w:szCs w:val="28"/>
          <w:lang w:val="uk-UA"/>
        </w:rPr>
        <w:t>ephrotic-range proteinuria / J.M. Park, S.C. Won, J.</w:t>
      </w:r>
      <w:r w:rsidRPr="004E3FE9">
        <w:rPr>
          <w:rFonts w:ascii="Times New Roman" w:hAnsi="Times New Roman" w:cs="Times New Roman"/>
          <w:bCs/>
          <w:sz w:val="28"/>
          <w:szCs w:val="28"/>
          <w:lang w:val="uk-UA"/>
        </w:rPr>
        <w:t xml:space="preserve">I. Shin et al. // Pediatric Nephrology. – 2011.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xml:space="preserve"> 26, №. 3. – Р. 411-417.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Penny K. An epidemiological study of Henoch-Schönlein purpura /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xml:space="preserve">K. Penny, M. Fleming, D. Kazmierczak, A. Thomas // Paediatric nursing. – 2010.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xml:space="preserve"> 22, №. 10. – Р. 30.</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lastRenderedPageBreak/>
        <w:t xml:space="preserve">Pillebout E. Henoch-Schönlein purpura in adults: outcome and prognostic factors / </w:t>
      </w:r>
      <w:r w:rsidRPr="004E3FE9">
        <w:rPr>
          <w:rFonts w:ascii="Times New Roman" w:hAnsi="Times New Roman" w:cs="Times New Roman"/>
          <w:sz w:val="28"/>
          <w:szCs w:val="28"/>
          <w:lang w:val="uk-UA"/>
        </w:rPr>
        <w:t xml:space="preserve">E. Pillebout, J. Verine </w:t>
      </w:r>
      <w:r w:rsidRPr="004E3FE9">
        <w:rPr>
          <w:rFonts w:ascii="Times New Roman" w:hAnsi="Times New Roman" w:cs="Times New Roman"/>
          <w:bCs/>
          <w:sz w:val="28"/>
          <w:szCs w:val="28"/>
          <w:lang w:val="uk-UA"/>
        </w:rPr>
        <w:t>//</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xml:space="preserve">Journal of the American Society of Nephrology. – 2002. – </w:t>
      </w:r>
      <w:r w:rsidRPr="004E3FE9">
        <w:rPr>
          <w:rFonts w:ascii="Times New Roman" w:hAnsi="Times New Roman" w:cs="Times New Roman"/>
          <w:bCs/>
          <w:color w:val="000000" w:themeColor="text1"/>
          <w:sz w:val="28"/>
          <w:szCs w:val="28"/>
          <w:lang w:val="uk-UA"/>
        </w:rPr>
        <w:t>Vol.</w:t>
      </w:r>
      <w:r w:rsidRPr="004E3FE9">
        <w:rPr>
          <w:rFonts w:ascii="Times New Roman" w:hAnsi="Times New Roman" w:cs="Times New Roman"/>
          <w:bCs/>
          <w:sz w:val="28"/>
          <w:szCs w:val="28"/>
          <w:lang w:val="uk-UA"/>
        </w:rPr>
        <w:t xml:space="preserve"> 13, №. 5. – Р. 1271-1278.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Piram M. Epidemiology of immunoglobulin A vasculitis (Henoch–Schönlein): current state of knowledge / M. Piram, A. Mahr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Current opinion in rheumatology. – 2013. – Vol. 25, №. 2. – Р. 171-178.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Rajendran P. The vascular endothelium and human diseases / P. Rajendran, T. Rengarajan, J. Thangavel, Y. Nishigaki et al.//</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Int J Biol Sci. – 2013. – Vol. 9, №. 10. – Р. 1057-1069.</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Reamy B.V. Henoch-Schönlein purpura</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B.V. Reamy, P.M. Williams, T.J. Lindsay</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Am Fam Physician. – 2009. – Vol. 80, №. 7. – Р 697-704.</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Reid-Adam J. Henoch-schonlein purpura.</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Pediatrics in review/ J. Reid-Adam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xml:space="preserve">American Academy of Pediatrics. – 2014. – Vol. 35, №. 10. – Р 447-449. </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Rigante D. Is there a crossroad between infections, genetics, and Henoch–Schönlein purpura? / D. Rigante, L. Castellazzi, A. Bosco et al.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Autoimmunity reviews. – 2013. – Vol. 12, №. 10. – Р. 1016-1021.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Role of mesangial fibrinogen deposition in the pathogenesis of crescentic Henoch-Schonlein nephritis in chi</w:t>
      </w:r>
      <w:r w:rsidR="00D964AA" w:rsidRPr="004E3FE9">
        <w:rPr>
          <w:rFonts w:ascii="Times New Roman" w:hAnsi="Times New Roman" w:cs="Times New Roman"/>
          <w:bCs/>
          <w:sz w:val="28"/>
          <w:szCs w:val="28"/>
          <w:lang w:val="uk-UA"/>
        </w:rPr>
        <w:t>ldren / J.</w:t>
      </w:r>
      <w:r w:rsidRPr="004E3FE9">
        <w:rPr>
          <w:rFonts w:ascii="Times New Roman" w:hAnsi="Times New Roman" w:cs="Times New Roman"/>
          <w:bCs/>
          <w:sz w:val="28"/>
          <w:szCs w:val="28"/>
          <w:lang w:val="uk-UA"/>
        </w:rPr>
        <w:t>I. Shin [et al.] // Journal of Clinical Pathology. — 2005. — Vol. 58. — Р. 1147-1151.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Ronkainen J. Early prednisone therapy in Henoch-Schönlein purpura: a randomized, double-blind, placebo-controlled trial / J. Ronkainen,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O. Koskimies, M. Ala-Houhala et al.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The Journal of pediatrics. – 2006. – Vol. 149, №. 2. – Р. 241-247.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Rosadzy-Malaczynska A. Arterial distensibility, intima media thickness and pulse wave velocity after renal transplantation and in dialysis normotensive patients/ A. Rosadzy-Malaczynska, M. Kosch, M. Hausberg et al. // International Angiology. – 2005. – Vol.24, №. 1. – Р. 89.</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Sabbatucci M. Endogenous CCL2 neutralization restricts HIV-1 replication in primary human macrophages by inhibiting viral DNA accumulation / </w:t>
      </w:r>
      <w:r w:rsidRPr="004E3FE9">
        <w:rPr>
          <w:rFonts w:ascii="Times New Roman" w:hAnsi="Times New Roman" w:cs="Times New Roman"/>
          <w:bCs/>
          <w:sz w:val="28"/>
          <w:szCs w:val="28"/>
          <w:lang w:val="uk-UA"/>
        </w:rPr>
        <w:lastRenderedPageBreak/>
        <w:t xml:space="preserve">M.Sabbatucci, </w:t>
      </w:r>
      <w:r w:rsidR="00D964AA" w:rsidRPr="004E3FE9">
        <w:rPr>
          <w:rFonts w:ascii="Times New Roman" w:hAnsi="Times New Roman" w:cs="Times New Roman"/>
          <w:bCs/>
          <w:sz w:val="28"/>
          <w:szCs w:val="28"/>
          <w:lang w:val="uk-UA"/>
        </w:rPr>
        <w:t>D.</w:t>
      </w:r>
      <w:r w:rsidRPr="004E3FE9">
        <w:rPr>
          <w:rFonts w:ascii="Times New Roman" w:hAnsi="Times New Roman" w:cs="Times New Roman"/>
          <w:bCs/>
          <w:sz w:val="28"/>
          <w:szCs w:val="28"/>
          <w:lang w:val="uk-UA"/>
        </w:rPr>
        <w:t>A. Covino, C. Purificato et al.</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Retrovirology. – 2015. – Vol. 12, №. 1. – Р. 1.</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Saulsbury F.</w:t>
      </w:r>
      <w:r w:rsidR="006C0EE6" w:rsidRPr="004E3FE9">
        <w:rPr>
          <w:rFonts w:ascii="Times New Roman" w:hAnsi="Times New Roman" w:cs="Times New Roman"/>
          <w:bCs/>
          <w:sz w:val="28"/>
          <w:szCs w:val="28"/>
          <w:lang w:val="uk-UA"/>
        </w:rPr>
        <w:t>T. Clinical update: Henoch-Schönlein purpura /</w:t>
      </w:r>
      <w:r w:rsidRPr="004E3FE9">
        <w:rPr>
          <w:rFonts w:ascii="Times New Roman" w:hAnsi="Times New Roman" w:cs="Times New Roman"/>
          <w:bCs/>
          <w:sz w:val="28"/>
          <w:szCs w:val="28"/>
          <w:lang w:val="uk-UA"/>
        </w:rPr>
        <w:t xml:space="preserve"> F.</w:t>
      </w:r>
      <w:r w:rsidR="006C0EE6" w:rsidRPr="004E3FE9">
        <w:rPr>
          <w:rFonts w:ascii="Times New Roman" w:hAnsi="Times New Roman" w:cs="Times New Roman"/>
          <w:bCs/>
          <w:sz w:val="28"/>
          <w:szCs w:val="28"/>
          <w:lang w:val="uk-UA"/>
        </w:rPr>
        <w:t>T. Saulsbury</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 The Lancet. – 2007. – Vol.369, №. 9566. – Р. 976-978.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Schmitt R. Tissue deposits of IgA-binding streptococcal M proteins in IgA nephropathy and Henoch-Schönlein purpura /</w:t>
      </w:r>
      <w:r w:rsidRPr="004E3FE9">
        <w:rPr>
          <w:lang w:val="uk-UA"/>
        </w:rPr>
        <w:t xml:space="preserve"> </w:t>
      </w:r>
      <w:r w:rsidRPr="004E3FE9">
        <w:rPr>
          <w:rFonts w:ascii="Times New Roman" w:hAnsi="Times New Roman" w:cs="Times New Roman"/>
          <w:bCs/>
          <w:sz w:val="28"/>
          <w:szCs w:val="28"/>
          <w:lang w:val="uk-UA"/>
        </w:rPr>
        <w:t xml:space="preserve">R. Schmitt, F. Carlsson,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M. Mörgelin et al.//The American journal of pathology. – 2010. – Vol. 176,№. 2. – Р. 608-618.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Shechter M. Long-term association of brachial artery flow-mediated vasodilation and cardiovascular events in middle-aged subjects with no apparent heart disease /</w:t>
      </w:r>
      <w:r w:rsidRPr="004E3FE9">
        <w:rPr>
          <w:lang w:val="uk-UA"/>
        </w:rPr>
        <w:t xml:space="preserve"> </w:t>
      </w:r>
      <w:r w:rsidRPr="004E3FE9">
        <w:rPr>
          <w:rFonts w:ascii="Times New Roman" w:hAnsi="Times New Roman" w:cs="Times New Roman"/>
          <w:bCs/>
          <w:sz w:val="28"/>
          <w:szCs w:val="28"/>
          <w:lang w:val="uk-UA"/>
        </w:rPr>
        <w:t>M. Shechter, A. Issachar, I. Marai et al.//International journal of cardiology. – 2009. – Vol.134, №. 1. – Р. 52-58.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Shenoy M. Treating severe Henoch-Schönlein and IgA nephritis with plasmapheresis alone / M. </w:t>
      </w:r>
      <w:r w:rsidR="00D964AA" w:rsidRPr="004E3FE9">
        <w:rPr>
          <w:rFonts w:ascii="Times New Roman" w:hAnsi="Times New Roman" w:cs="Times New Roman"/>
          <w:bCs/>
          <w:sz w:val="28"/>
          <w:szCs w:val="28"/>
          <w:lang w:val="uk-UA"/>
        </w:rPr>
        <w:t>Shenoy, M.</w:t>
      </w:r>
      <w:r w:rsidRPr="004E3FE9">
        <w:rPr>
          <w:rFonts w:ascii="Times New Roman" w:hAnsi="Times New Roman" w:cs="Times New Roman"/>
          <w:bCs/>
          <w:sz w:val="28"/>
          <w:szCs w:val="28"/>
          <w:lang w:val="uk-UA"/>
        </w:rPr>
        <w:t xml:space="preserve">V. </w:t>
      </w:r>
      <w:r w:rsidR="00D964AA" w:rsidRPr="004E3FE9">
        <w:rPr>
          <w:rFonts w:ascii="Times New Roman" w:hAnsi="Times New Roman" w:cs="Times New Roman"/>
          <w:bCs/>
          <w:sz w:val="28"/>
          <w:szCs w:val="28"/>
          <w:lang w:val="uk-UA"/>
        </w:rPr>
        <w:t>Ognjanovic, M.</w:t>
      </w:r>
      <w:r w:rsidRPr="004E3FE9">
        <w:rPr>
          <w:rFonts w:ascii="Times New Roman" w:hAnsi="Times New Roman" w:cs="Times New Roman"/>
          <w:bCs/>
          <w:sz w:val="28"/>
          <w:szCs w:val="28"/>
          <w:lang w:val="uk-UA"/>
        </w:rPr>
        <w:t>G. Coulthard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Pediatric Nephrology. – 2007. – Vol.22, №. 8. – Р. 1167-1171.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Shrestha S. Henoch Schönlein purpura with nephritis in adults: adverse prognostic indicators in a UK population / S. Shrestha, N. Sumingan, J. Tan et al.</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Qjm. – 2006. – Vol. 99, №. 4. – Р. 253-265.</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Singh S.</w:t>
      </w:r>
      <w:r w:rsidR="006C0EE6" w:rsidRPr="004E3FE9">
        <w:rPr>
          <w:rFonts w:ascii="Times New Roman" w:hAnsi="Times New Roman" w:cs="Times New Roman"/>
          <w:bCs/>
          <w:sz w:val="28"/>
          <w:szCs w:val="28"/>
          <w:lang w:val="uk-UA"/>
        </w:rPr>
        <w:t>R. CCL2 release by airway smooth muscle is increased in asthma and promotes fibrocyte migration /</w:t>
      </w:r>
      <w:r w:rsidRPr="004E3FE9">
        <w:rPr>
          <w:rFonts w:ascii="Times New Roman" w:hAnsi="Times New Roman" w:cs="Times New Roman"/>
          <w:bCs/>
          <w:sz w:val="28"/>
          <w:szCs w:val="28"/>
          <w:lang w:val="uk-UA"/>
        </w:rPr>
        <w:t xml:space="preserve"> S.</w:t>
      </w:r>
      <w:r w:rsidR="006C0EE6" w:rsidRPr="004E3FE9">
        <w:rPr>
          <w:rFonts w:ascii="Times New Roman" w:hAnsi="Times New Roman" w:cs="Times New Roman"/>
          <w:bCs/>
          <w:sz w:val="28"/>
          <w:szCs w:val="28"/>
          <w:lang w:val="uk-UA"/>
        </w:rPr>
        <w:t>R. Singh, A. Sutcliffe, D. Kaur et al.</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Allergy. – 2014. – Vol. 69, №. 9. – Р. 1189-1197.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Stroo I. Deficiency for the chemokine monocyte chemoattractant protein-1 aggravates tubular damage after renal ischemia/reperfusion injury / I. Stroo,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xml:space="preserve">N. Claessen, </w:t>
      </w:r>
      <w:r w:rsidR="00D964AA" w:rsidRPr="004E3FE9">
        <w:rPr>
          <w:rFonts w:ascii="Times New Roman" w:hAnsi="Times New Roman" w:cs="Times New Roman"/>
          <w:bCs/>
          <w:sz w:val="28"/>
          <w:szCs w:val="28"/>
          <w:lang w:val="uk-UA"/>
        </w:rPr>
        <w:t>G.</w:t>
      </w:r>
      <w:r w:rsidRPr="004E3FE9">
        <w:rPr>
          <w:rFonts w:ascii="Times New Roman" w:hAnsi="Times New Roman" w:cs="Times New Roman"/>
          <w:bCs/>
          <w:sz w:val="28"/>
          <w:szCs w:val="28"/>
          <w:lang w:val="uk-UA"/>
        </w:rPr>
        <w:t>J. Teske et al.</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PloS one. – 2015. – Vol.10, №. 4. – Р. 123-203.</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Szemenyei C. Prevention of nephritis in Henoch–Schönlein purpura /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C. Szemenyei, D. Hahn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Journal of paediatrics and child health. – 2015. – Vol.51, №. 2. – Р. 236-239.</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Tateya S. An increase in the circulating concentration of monocyte chemoattractant protein-1 elicits systemic insulin resistance irrespective of </w:t>
      </w:r>
      <w:r w:rsidRPr="004E3FE9">
        <w:rPr>
          <w:rFonts w:ascii="Times New Roman" w:hAnsi="Times New Roman" w:cs="Times New Roman"/>
          <w:bCs/>
          <w:sz w:val="28"/>
          <w:szCs w:val="28"/>
          <w:lang w:val="uk-UA"/>
        </w:rPr>
        <w:lastRenderedPageBreak/>
        <w:t>adipose tissue inflammation in mice / S. Tateya, Y. Tamori, T. Kawaguchi et al.</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Endocrinology. – 2010. – Vol.151, №. 3. – Р. 971-979.</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Tereshchenko S.N. Comparative characteristics of angiotensin inhibitors converting enzyme ramipril and enalapril in the treatment of chronic heart failure in women / S.N. Tereshchenko, I.V. Zhirov, E.V. Malichenko, E.E. Kazantseva // Cardiology. -2010. - № 4. - P. 64-68.</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Tizard E.</w:t>
      </w:r>
      <w:r w:rsidR="006C0EE6" w:rsidRPr="004E3FE9">
        <w:rPr>
          <w:rFonts w:ascii="Times New Roman" w:hAnsi="Times New Roman" w:cs="Times New Roman"/>
          <w:bCs/>
          <w:sz w:val="28"/>
          <w:szCs w:val="28"/>
          <w:lang w:val="uk-UA"/>
        </w:rPr>
        <w:t xml:space="preserve">J. Henoch–Schönlein purpura / </w:t>
      </w:r>
      <w:r w:rsidRPr="004E3FE9">
        <w:rPr>
          <w:rFonts w:ascii="Times New Roman" w:hAnsi="Times New Roman" w:cs="Times New Roman"/>
          <w:bCs/>
          <w:sz w:val="28"/>
          <w:szCs w:val="28"/>
          <w:lang w:val="uk-UA"/>
        </w:rPr>
        <w:t>E.</w:t>
      </w:r>
      <w:r w:rsidR="006C0EE6" w:rsidRPr="004E3FE9">
        <w:rPr>
          <w:rFonts w:ascii="Times New Roman" w:hAnsi="Times New Roman" w:cs="Times New Roman"/>
          <w:bCs/>
          <w:sz w:val="28"/>
          <w:szCs w:val="28"/>
          <w:lang w:val="uk-UA"/>
        </w:rPr>
        <w:t xml:space="preserve">J. </w:t>
      </w:r>
      <w:r w:rsidRPr="004E3FE9">
        <w:rPr>
          <w:rFonts w:ascii="Times New Roman" w:hAnsi="Times New Roman" w:cs="Times New Roman"/>
          <w:bCs/>
          <w:sz w:val="28"/>
          <w:szCs w:val="28"/>
          <w:lang w:val="uk-UA"/>
        </w:rPr>
        <w:t>Tizard, M. J.</w:t>
      </w:r>
      <w:r w:rsidR="006C0EE6" w:rsidRPr="004E3FE9">
        <w:rPr>
          <w:rFonts w:ascii="Times New Roman" w:hAnsi="Times New Roman" w:cs="Times New Roman"/>
          <w:bCs/>
          <w:sz w:val="28"/>
          <w:szCs w:val="28"/>
          <w:lang w:val="uk-UA"/>
        </w:rPr>
        <w:t>J. Hamilton-Ayres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Archives of disease in childhood-Education &amp; practice edition. – 2008. – Vol. 93, №. 1. – Р. 1-8.</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Traves S.</w:t>
      </w:r>
      <w:r w:rsidR="006C0EE6" w:rsidRPr="004E3FE9">
        <w:rPr>
          <w:rFonts w:ascii="Times New Roman" w:hAnsi="Times New Roman" w:cs="Times New Roman"/>
          <w:bCs/>
          <w:sz w:val="28"/>
          <w:szCs w:val="28"/>
          <w:lang w:val="uk-UA"/>
        </w:rPr>
        <w:t xml:space="preserve">L. Specific CXC but not CC chemokines cause elevated monocyte migration in COPD: a role for CXCR2 / </w:t>
      </w:r>
      <w:r w:rsidRPr="004E3FE9">
        <w:rPr>
          <w:rFonts w:ascii="Times New Roman" w:hAnsi="Times New Roman" w:cs="Times New Roman"/>
          <w:bCs/>
          <w:sz w:val="28"/>
          <w:szCs w:val="28"/>
          <w:lang w:val="uk-UA"/>
        </w:rPr>
        <w:t>S.</w:t>
      </w:r>
      <w:r w:rsidR="006C0EE6" w:rsidRPr="004E3FE9">
        <w:rPr>
          <w:rFonts w:ascii="Times New Roman" w:hAnsi="Times New Roman" w:cs="Times New Roman"/>
          <w:bCs/>
          <w:sz w:val="28"/>
          <w:szCs w:val="28"/>
          <w:lang w:val="uk-UA"/>
        </w:rPr>
        <w:t>L. Traves,</w:t>
      </w:r>
      <w:r w:rsidRPr="004E3FE9">
        <w:rPr>
          <w:rFonts w:ascii="Times New Roman" w:hAnsi="Times New Roman" w:cs="Times New Roman"/>
          <w:bCs/>
          <w:sz w:val="28"/>
          <w:szCs w:val="28"/>
          <w:lang w:val="uk-UA"/>
        </w:rPr>
        <w:t xml:space="preserve"> S.</w:t>
      </w:r>
      <w:r w:rsidR="006C0EE6" w:rsidRPr="004E3FE9">
        <w:rPr>
          <w:rFonts w:ascii="Times New Roman" w:hAnsi="Times New Roman" w:cs="Times New Roman"/>
          <w:bCs/>
          <w:sz w:val="28"/>
          <w:szCs w:val="28"/>
          <w:lang w:val="uk-UA"/>
        </w:rPr>
        <w:t>J. Smith</w:t>
      </w:r>
      <w:r w:rsidRPr="004E3FE9">
        <w:rPr>
          <w:rFonts w:ascii="Times New Roman" w:hAnsi="Times New Roman" w:cs="Times New Roman"/>
          <w:bCs/>
          <w:sz w:val="28"/>
          <w:szCs w:val="28"/>
          <w:lang w:val="uk-UA"/>
        </w:rPr>
        <w:t>, P.</w:t>
      </w:r>
      <w:r w:rsidR="006C0EE6" w:rsidRPr="004E3FE9">
        <w:rPr>
          <w:rFonts w:ascii="Times New Roman" w:hAnsi="Times New Roman" w:cs="Times New Roman"/>
          <w:bCs/>
          <w:sz w:val="28"/>
          <w:szCs w:val="28"/>
          <w:lang w:val="uk-UA"/>
        </w:rPr>
        <w:t>J. Barnes et al.</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Journal of leukocyte biology. – 2004. – Vol.76, №. 2. – Р. 441-450.</w:t>
      </w:r>
    </w:p>
    <w:p w:rsidR="006C0EE6" w:rsidRPr="004E3FE9" w:rsidRDefault="006C0EE6" w:rsidP="0099056E">
      <w:pPr>
        <w:pStyle w:val="a7"/>
        <w:numPr>
          <w:ilvl w:val="0"/>
          <w:numId w:val="7"/>
        </w:numPr>
        <w:spacing w:line="360" w:lineRule="auto"/>
        <w:jc w:val="both"/>
        <w:rPr>
          <w:rFonts w:ascii="Times New Roman" w:hAnsi="Times New Roman" w:cs="Times New Roman"/>
          <w:sz w:val="28"/>
          <w:szCs w:val="28"/>
          <w:shd w:val="clear" w:color="auto" w:fill="FFFFFF"/>
          <w:lang w:val="uk-UA"/>
        </w:rPr>
      </w:pPr>
      <w:r w:rsidRPr="004E3FE9">
        <w:rPr>
          <w:rFonts w:ascii="Times New Roman" w:hAnsi="Times New Roman" w:cs="Times New Roman"/>
          <w:sz w:val="28"/>
          <w:szCs w:val="28"/>
          <w:shd w:val="clear" w:color="auto" w:fill="FFFFFF"/>
          <w:lang w:val="uk-UA"/>
        </w:rPr>
        <w:t>Trnka P. Henoch–Schönlein purpura in children / P. Trnka //</w:t>
      </w:r>
      <w:r w:rsidR="00D964AA" w:rsidRPr="004E3FE9">
        <w:rPr>
          <w:rFonts w:ascii="Times New Roman" w:hAnsi="Times New Roman" w:cs="Times New Roman"/>
          <w:sz w:val="28"/>
          <w:szCs w:val="28"/>
          <w:shd w:val="clear" w:color="auto" w:fill="FFFFFF"/>
          <w:lang w:val="uk-UA"/>
        </w:rPr>
        <w:t xml:space="preserve"> </w:t>
      </w:r>
      <w:r w:rsidRPr="004E3FE9">
        <w:rPr>
          <w:rFonts w:ascii="Times New Roman" w:hAnsi="Times New Roman" w:cs="Times New Roman"/>
          <w:sz w:val="28"/>
          <w:szCs w:val="28"/>
          <w:shd w:val="clear" w:color="auto" w:fill="FFFFFF"/>
          <w:lang w:val="uk-UA"/>
        </w:rPr>
        <w:t xml:space="preserve">Journal of paediatrics and child health. – 2013. – </w:t>
      </w:r>
      <w:r w:rsidRPr="004E3FE9">
        <w:rPr>
          <w:rFonts w:ascii="Times New Roman" w:hAnsi="Times New Roman" w:cs="Times New Roman"/>
          <w:bCs/>
          <w:sz w:val="28"/>
          <w:szCs w:val="28"/>
          <w:lang w:val="uk-UA"/>
        </w:rPr>
        <w:t>Vol.</w:t>
      </w:r>
      <w:r w:rsidRPr="004E3FE9">
        <w:rPr>
          <w:rFonts w:ascii="Times New Roman" w:hAnsi="Times New Roman" w:cs="Times New Roman"/>
          <w:sz w:val="28"/>
          <w:szCs w:val="28"/>
          <w:shd w:val="clear" w:color="auto" w:fill="FFFFFF"/>
          <w:lang w:val="uk-UA"/>
        </w:rPr>
        <w:t>49, №. 12. – Р. 995-1003.</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Urbina E.</w:t>
      </w:r>
      <w:r w:rsidR="006C0EE6" w:rsidRPr="004E3FE9">
        <w:rPr>
          <w:rFonts w:ascii="Times New Roman" w:hAnsi="Times New Roman" w:cs="Times New Roman"/>
          <w:bCs/>
          <w:sz w:val="28"/>
          <w:szCs w:val="28"/>
          <w:lang w:val="uk-UA"/>
        </w:rPr>
        <w:t>M. Cardiac and vascular consequences of pre</w:t>
      </w:r>
      <w:r w:rsidR="006C0EE6" w:rsidRPr="004E3FE9">
        <w:rPr>
          <w:rFonts w:ascii="Cambria Math" w:hAnsi="Cambria Math" w:cs="Cambria Math"/>
          <w:bCs/>
          <w:sz w:val="28"/>
          <w:szCs w:val="28"/>
          <w:lang w:val="uk-UA"/>
        </w:rPr>
        <w:t>‐</w:t>
      </w:r>
      <w:r w:rsidR="006C0EE6" w:rsidRPr="004E3FE9">
        <w:rPr>
          <w:rFonts w:ascii="Times New Roman" w:hAnsi="Times New Roman" w:cs="Times New Roman"/>
          <w:bCs/>
          <w:sz w:val="28"/>
          <w:szCs w:val="28"/>
          <w:lang w:val="uk-UA"/>
        </w:rPr>
        <w:t xml:space="preserve">hypertension in youth / </w:t>
      </w:r>
      <w:r w:rsidRPr="004E3FE9">
        <w:rPr>
          <w:rFonts w:ascii="Times New Roman" w:hAnsi="Times New Roman" w:cs="Times New Roman"/>
          <w:bCs/>
          <w:sz w:val="28"/>
          <w:szCs w:val="28"/>
          <w:lang w:val="uk-UA"/>
        </w:rPr>
        <w:t>E.</w:t>
      </w:r>
      <w:r w:rsidR="006C0EE6" w:rsidRPr="004E3FE9">
        <w:rPr>
          <w:rFonts w:ascii="Times New Roman" w:hAnsi="Times New Roman" w:cs="Times New Roman"/>
          <w:bCs/>
          <w:sz w:val="28"/>
          <w:szCs w:val="28"/>
          <w:lang w:val="uk-UA"/>
        </w:rPr>
        <w:t>M.Urbina,</w:t>
      </w:r>
      <w:r w:rsidRPr="004E3FE9">
        <w:rPr>
          <w:rFonts w:ascii="Times New Roman" w:hAnsi="Times New Roman" w:cs="Times New Roman"/>
          <w:bCs/>
          <w:sz w:val="28"/>
          <w:szCs w:val="28"/>
          <w:lang w:val="uk-UA"/>
        </w:rPr>
        <w:t xml:space="preserve"> P.</w:t>
      </w:r>
      <w:r w:rsidR="006C0EE6" w:rsidRPr="004E3FE9">
        <w:rPr>
          <w:rFonts w:ascii="Times New Roman" w:hAnsi="Times New Roman" w:cs="Times New Roman"/>
          <w:bCs/>
          <w:sz w:val="28"/>
          <w:szCs w:val="28"/>
          <w:lang w:val="uk-UA"/>
        </w:rPr>
        <w:t>R. Khoury, C. McCoy et al.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The Journal of Clinical Hypertension. – 2011. – Vol.13, №. 5. – Р. 332-342.</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van Hinsbergh V.W.</w:t>
      </w:r>
      <w:r w:rsidR="006C0EE6" w:rsidRPr="004E3FE9">
        <w:rPr>
          <w:rFonts w:ascii="Times New Roman" w:hAnsi="Times New Roman" w:cs="Times New Roman"/>
          <w:bCs/>
          <w:sz w:val="28"/>
          <w:szCs w:val="28"/>
          <w:lang w:val="uk-UA"/>
        </w:rPr>
        <w:t xml:space="preserve">M. Endothelium—role in regulation of coagulation and inflammation / </w:t>
      </w:r>
      <w:r w:rsidRPr="004E3FE9">
        <w:rPr>
          <w:rFonts w:ascii="Times New Roman" w:hAnsi="Times New Roman" w:cs="Times New Roman"/>
          <w:bCs/>
          <w:sz w:val="28"/>
          <w:szCs w:val="28"/>
          <w:lang w:val="uk-UA"/>
        </w:rPr>
        <w:t>V.W.</w:t>
      </w:r>
      <w:r w:rsidR="006C0EE6" w:rsidRPr="004E3FE9">
        <w:rPr>
          <w:rFonts w:ascii="Times New Roman" w:hAnsi="Times New Roman" w:cs="Times New Roman"/>
          <w:bCs/>
          <w:sz w:val="28"/>
          <w:szCs w:val="28"/>
          <w:lang w:val="uk-UA"/>
        </w:rPr>
        <w:t>M. van Hinsbergh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Seminars in immunopathology. – Springer-Verlag. – 2012. – Vol.34, №. 1. – Р. 93-106.</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van Wijk D.</w:t>
      </w:r>
      <w:r w:rsidR="006C0EE6" w:rsidRPr="004E3FE9">
        <w:rPr>
          <w:rFonts w:ascii="Times New Roman" w:hAnsi="Times New Roman" w:cs="Times New Roman"/>
          <w:bCs/>
          <w:sz w:val="28"/>
          <w:szCs w:val="28"/>
          <w:lang w:val="uk-UA"/>
        </w:rPr>
        <w:t xml:space="preserve">F. Chemokine ligand 2 genetic variants, serum monocyte chemoattractant protein-1 levels, and the risk of coronary artery disease / </w:t>
      </w:r>
      <w:r w:rsidRPr="004E3FE9">
        <w:rPr>
          <w:rFonts w:ascii="Times New Roman" w:hAnsi="Times New Roman" w:cs="Times New Roman"/>
          <w:bCs/>
          <w:sz w:val="28"/>
          <w:szCs w:val="28"/>
          <w:lang w:val="uk-UA"/>
        </w:rPr>
        <w:t xml:space="preserve">     D.</w:t>
      </w:r>
      <w:r w:rsidR="006C0EE6" w:rsidRPr="004E3FE9">
        <w:rPr>
          <w:rFonts w:ascii="Times New Roman" w:hAnsi="Times New Roman" w:cs="Times New Roman"/>
          <w:bCs/>
          <w:sz w:val="28"/>
          <w:szCs w:val="28"/>
          <w:lang w:val="uk-UA"/>
        </w:rPr>
        <w:t xml:space="preserve">F. van Wijk, </w:t>
      </w:r>
      <w:r w:rsidRPr="004E3FE9">
        <w:rPr>
          <w:rFonts w:ascii="Times New Roman" w:hAnsi="Times New Roman" w:cs="Times New Roman"/>
          <w:bCs/>
          <w:sz w:val="28"/>
          <w:szCs w:val="28"/>
          <w:lang w:val="uk-UA"/>
        </w:rPr>
        <w:t>S.</w:t>
      </w:r>
      <w:r w:rsidR="006C0EE6" w:rsidRPr="004E3FE9">
        <w:rPr>
          <w:rFonts w:ascii="Times New Roman" w:hAnsi="Times New Roman" w:cs="Times New Roman"/>
          <w:bCs/>
          <w:sz w:val="28"/>
          <w:szCs w:val="28"/>
          <w:lang w:val="uk-UA"/>
        </w:rPr>
        <w:t xml:space="preserve">I. van Leuven, </w:t>
      </w:r>
      <w:r w:rsidRPr="004E3FE9">
        <w:rPr>
          <w:rFonts w:ascii="Times New Roman" w:hAnsi="Times New Roman" w:cs="Times New Roman"/>
          <w:bCs/>
          <w:sz w:val="28"/>
          <w:szCs w:val="28"/>
          <w:lang w:val="uk-UA"/>
        </w:rPr>
        <w:t>M.</w:t>
      </w:r>
      <w:r w:rsidR="006C0EE6" w:rsidRPr="004E3FE9">
        <w:rPr>
          <w:rFonts w:ascii="Times New Roman" w:hAnsi="Times New Roman" w:cs="Times New Roman"/>
          <w:bCs/>
          <w:sz w:val="28"/>
          <w:szCs w:val="28"/>
          <w:lang w:val="uk-UA"/>
        </w:rPr>
        <w:t>S. Sandhu et al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Arteriosclerosis, thrombosis, and vascular biology. – 2010. – Vol. 30, №. 7. – Р. 1460-1466.</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Versteeg H.</w:t>
      </w:r>
      <w:r w:rsidR="006C0EE6" w:rsidRPr="004E3FE9">
        <w:rPr>
          <w:rFonts w:ascii="Times New Roman" w:hAnsi="Times New Roman" w:cs="Times New Roman"/>
          <w:bCs/>
          <w:sz w:val="28"/>
          <w:szCs w:val="28"/>
          <w:lang w:val="uk-UA"/>
        </w:rPr>
        <w:t xml:space="preserve">H. New fundamentals in hemostasis / </w:t>
      </w:r>
      <w:r w:rsidRPr="004E3FE9">
        <w:rPr>
          <w:rFonts w:ascii="Times New Roman" w:hAnsi="Times New Roman" w:cs="Times New Roman"/>
          <w:bCs/>
          <w:sz w:val="28"/>
          <w:szCs w:val="28"/>
          <w:lang w:val="uk-UA"/>
        </w:rPr>
        <w:t>H.</w:t>
      </w:r>
      <w:r w:rsidR="006C0EE6" w:rsidRPr="004E3FE9">
        <w:rPr>
          <w:rFonts w:ascii="Times New Roman" w:hAnsi="Times New Roman" w:cs="Times New Roman"/>
          <w:bCs/>
          <w:sz w:val="28"/>
          <w:szCs w:val="28"/>
          <w:lang w:val="uk-UA"/>
        </w:rPr>
        <w:t xml:space="preserve">H. Versteeg, </w:t>
      </w:r>
      <w:r w:rsidRPr="004E3FE9">
        <w:rPr>
          <w:rFonts w:ascii="Times New Roman" w:hAnsi="Times New Roman" w:cs="Times New Roman"/>
          <w:bCs/>
          <w:sz w:val="28"/>
          <w:szCs w:val="28"/>
          <w:lang w:val="uk-UA"/>
        </w:rPr>
        <w:t xml:space="preserve">            J.</w:t>
      </w:r>
      <w:r w:rsidR="006C0EE6" w:rsidRPr="004E3FE9">
        <w:rPr>
          <w:rFonts w:ascii="Times New Roman" w:hAnsi="Times New Roman" w:cs="Times New Roman"/>
          <w:bCs/>
          <w:sz w:val="28"/>
          <w:szCs w:val="28"/>
          <w:lang w:val="uk-UA"/>
        </w:rPr>
        <w:t>W. Heemskerk, M. Levi et al.</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Physiological reviews. – 2013. – Vol. 93, №. 1. – Р. 327-358.</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Wagner W. Molecular and secretory profiles of human mesenchymal stromal cells and their abilities to maintain primitive hematopoietic progenitors </w:t>
      </w:r>
      <w:r w:rsidRPr="004E3FE9">
        <w:rPr>
          <w:rFonts w:ascii="Times New Roman" w:hAnsi="Times New Roman" w:cs="Times New Roman"/>
          <w:bCs/>
          <w:sz w:val="28"/>
          <w:szCs w:val="28"/>
          <w:lang w:val="uk-UA"/>
        </w:rPr>
        <w:lastRenderedPageBreak/>
        <w:t>/ W. Wagner, C. Roderburg, F. Wein et al.</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Stem cells. – 2007. – Vol. 25, №. 10. – Р. 2638-2647.</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Weiss P.</w:t>
      </w:r>
      <w:r w:rsidR="006C0EE6" w:rsidRPr="004E3FE9">
        <w:rPr>
          <w:rFonts w:ascii="Times New Roman" w:hAnsi="Times New Roman" w:cs="Times New Roman"/>
          <w:bCs/>
          <w:sz w:val="28"/>
          <w:szCs w:val="28"/>
          <w:lang w:val="uk-UA"/>
        </w:rPr>
        <w:t xml:space="preserve">F. Corticosteroids may improve clinical outcomes during hospitalization for Henoch-Schönlein purpura / </w:t>
      </w:r>
      <w:r w:rsidRPr="004E3FE9">
        <w:rPr>
          <w:rFonts w:ascii="Times New Roman" w:hAnsi="Times New Roman" w:cs="Times New Roman"/>
          <w:bCs/>
          <w:sz w:val="28"/>
          <w:szCs w:val="28"/>
          <w:lang w:val="uk-UA"/>
        </w:rPr>
        <w:t>P.</w:t>
      </w:r>
      <w:r w:rsidR="006C0EE6" w:rsidRPr="004E3FE9">
        <w:rPr>
          <w:rFonts w:ascii="Times New Roman" w:hAnsi="Times New Roman" w:cs="Times New Roman"/>
          <w:bCs/>
          <w:sz w:val="28"/>
          <w:szCs w:val="28"/>
          <w:lang w:val="uk-UA"/>
        </w:rPr>
        <w:t xml:space="preserve">F. Weiss, </w:t>
      </w:r>
      <w:r w:rsidRPr="004E3FE9">
        <w:rPr>
          <w:rFonts w:ascii="Times New Roman" w:hAnsi="Times New Roman" w:cs="Times New Roman"/>
          <w:bCs/>
          <w:sz w:val="28"/>
          <w:szCs w:val="28"/>
          <w:lang w:val="uk-UA"/>
        </w:rPr>
        <w:t>A.</w:t>
      </w:r>
      <w:r w:rsidR="006C0EE6" w:rsidRPr="004E3FE9">
        <w:rPr>
          <w:rFonts w:ascii="Times New Roman" w:hAnsi="Times New Roman" w:cs="Times New Roman"/>
          <w:bCs/>
          <w:sz w:val="28"/>
          <w:szCs w:val="28"/>
          <w:lang w:val="uk-UA"/>
        </w:rPr>
        <w:t xml:space="preserve">J. Klink,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R. Localio et al.</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 xml:space="preserve">Pediatrics. – 2010. – Vol. 126, №. 4. – Р. 674-681. </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Weiss P. FEffects of corticosteroid on Henoch-Schönlein purpura: a systematic review</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w:t>
      </w:r>
      <w:r w:rsidRPr="004E3FE9">
        <w:rPr>
          <w:lang w:val="uk-UA"/>
        </w:rPr>
        <w:t xml:space="preserve"> </w:t>
      </w:r>
      <w:r w:rsidR="00D964AA" w:rsidRPr="004E3FE9">
        <w:rPr>
          <w:rFonts w:ascii="Times New Roman" w:hAnsi="Times New Roman" w:cs="Times New Roman"/>
          <w:bCs/>
          <w:sz w:val="28"/>
          <w:szCs w:val="28"/>
          <w:lang w:val="uk-UA"/>
        </w:rPr>
        <w:t>P.</w:t>
      </w:r>
      <w:r w:rsidRPr="004E3FE9">
        <w:rPr>
          <w:rFonts w:ascii="Times New Roman" w:hAnsi="Times New Roman" w:cs="Times New Roman"/>
          <w:bCs/>
          <w:sz w:val="28"/>
          <w:szCs w:val="28"/>
          <w:lang w:val="uk-UA"/>
        </w:rPr>
        <w:t xml:space="preserve">F. Weiss, </w:t>
      </w:r>
      <w:r w:rsidR="00D964AA" w:rsidRPr="004E3FE9">
        <w:rPr>
          <w:rFonts w:ascii="Times New Roman" w:hAnsi="Times New Roman" w:cs="Times New Roman"/>
          <w:bCs/>
          <w:sz w:val="28"/>
          <w:szCs w:val="28"/>
          <w:lang w:val="uk-UA"/>
        </w:rPr>
        <w:t>J.</w:t>
      </w:r>
      <w:r w:rsidRPr="004E3FE9">
        <w:rPr>
          <w:rFonts w:ascii="Times New Roman" w:hAnsi="Times New Roman" w:cs="Times New Roman"/>
          <w:bCs/>
          <w:sz w:val="28"/>
          <w:szCs w:val="28"/>
          <w:lang w:val="uk-UA"/>
        </w:rPr>
        <w:t>A. Feinstein, X. Luan . et al.</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Pediatrics. – 2007. – Vol. 120, №. 5. – Р. 1079-1087.</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Williams D.</w:t>
      </w:r>
      <w:r w:rsidR="006C0EE6" w:rsidRPr="004E3FE9">
        <w:rPr>
          <w:rFonts w:ascii="Times New Roman" w:hAnsi="Times New Roman" w:cs="Times New Roman"/>
          <w:bCs/>
          <w:sz w:val="28"/>
          <w:szCs w:val="28"/>
          <w:lang w:val="uk-UA"/>
        </w:rPr>
        <w:t xml:space="preserve">W. Mechanisms of HIV entry into the CNS: increased sensitivity of HIV infected CD14+ CD16+ monocytes to CCL2 and key roles of CCR2, JAM-A, and ALCAM in diapedesis / </w:t>
      </w:r>
      <w:r w:rsidRPr="004E3FE9">
        <w:rPr>
          <w:rFonts w:ascii="Times New Roman" w:hAnsi="Times New Roman" w:cs="Times New Roman"/>
          <w:bCs/>
          <w:sz w:val="28"/>
          <w:szCs w:val="28"/>
          <w:lang w:val="uk-UA"/>
        </w:rPr>
        <w:t>D.</w:t>
      </w:r>
      <w:r w:rsidR="006C0EE6" w:rsidRPr="004E3FE9">
        <w:rPr>
          <w:rFonts w:ascii="Times New Roman" w:hAnsi="Times New Roman" w:cs="Times New Roman"/>
          <w:bCs/>
          <w:sz w:val="28"/>
          <w:szCs w:val="28"/>
          <w:lang w:val="uk-UA"/>
        </w:rPr>
        <w:t xml:space="preserve">W. Williams, </w:t>
      </w:r>
      <w:r w:rsidRPr="004E3FE9">
        <w:rPr>
          <w:rFonts w:ascii="Times New Roman" w:hAnsi="Times New Roman" w:cs="Times New Roman"/>
          <w:bCs/>
          <w:sz w:val="28"/>
          <w:szCs w:val="28"/>
          <w:lang w:val="uk-UA"/>
        </w:rPr>
        <w:t>T.</w:t>
      </w:r>
      <w:r w:rsidR="006C0EE6" w:rsidRPr="004E3FE9">
        <w:rPr>
          <w:rFonts w:ascii="Times New Roman" w:hAnsi="Times New Roman" w:cs="Times New Roman"/>
          <w:bCs/>
          <w:sz w:val="28"/>
          <w:szCs w:val="28"/>
          <w:lang w:val="uk-UA"/>
        </w:rPr>
        <w:t>M. Calderon,</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 xml:space="preserve"> L. Lopez et al.</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PloS one. – 2013. – Vol. 8, №. 7. – Р. 692-670.</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Xiong L.</w:t>
      </w:r>
      <w:r w:rsidR="006C0EE6" w:rsidRPr="004E3FE9">
        <w:rPr>
          <w:rFonts w:ascii="Times New Roman" w:hAnsi="Times New Roman" w:cs="Times New Roman"/>
          <w:bCs/>
          <w:sz w:val="28"/>
          <w:szCs w:val="28"/>
          <w:lang w:val="uk-UA"/>
        </w:rPr>
        <w:t xml:space="preserve">J. Current views of the relationship between Helicobacter pylori and Henoch-Schonlein purpura in children / </w:t>
      </w:r>
      <w:r w:rsidRPr="004E3FE9">
        <w:rPr>
          <w:rFonts w:ascii="Times New Roman" w:hAnsi="Times New Roman" w:cs="Times New Roman"/>
          <w:bCs/>
          <w:sz w:val="28"/>
          <w:szCs w:val="28"/>
          <w:lang w:val="uk-UA"/>
        </w:rPr>
        <w:t>L.</w:t>
      </w:r>
      <w:r w:rsidR="006C0EE6" w:rsidRPr="004E3FE9">
        <w:rPr>
          <w:rFonts w:ascii="Times New Roman" w:hAnsi="Times New Roman" w:cs="Times New Roman"/>
          <w:bCs/>
          <w:sz w:val="28"/>
          <w:szCs w:val="28"/>
          <w:lang w:val="uk-UA"/>
        </w:rPr>
        <w:t>J. Xiong, M. Mao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World journal of clinical pediatrics. – 2016. – Vol. 5, №. 1. – Р. 82.</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Yang Y.</w:t>
      </w:r>
      <w:r w:rsidR="006C0EE6" w:rsidRPr="004E3FE9">
        <w:rPr>
          <w:rFonts w:ascii="Times New Roman" w:hAnsi="Times New Roman" w:cs="Times New Roman"/>
          <w:bCs/>
          <w:sz w:val="28"/>
          <w:szCs w:val="28"/>
          <w:lang w:val="uk-UA"/>
        </w:rPr>
        <w:t>H. Increased transforming growth factor</w:t>
      </w:r>
      <w:r w:rsidR="006C0EE6" w:rsidRPr="004E3FE9">
        <w:rPr>
          <w:rFonts w:ascii="Cambria Math" w:hAnsi="Cambria Math" w:cs="Cambria Math"/>
          <w:bCs/>
          <w:sz w:val="28"/>
          <w:szCs w:val="28"/>
          <w:lang w:val="uk-UA"/>
        </w:rPr>
        <w:t>‐</w:t>
      </w:r>
      <w:r w:rsidR="006C0EE6" w:rsidRPr="004E3FE9">
        <w:rPr>
          <w:rFonts w:ascii="Times New Roman" w:hAnsi="Times New Roman" w:cs="Times New Roman"/>
          <w:bCs/>
          <w:sz w:val="28"/>
          <w:szCs w:val="28"/>
          <w:lang w:val="uk-UA"/>
        </w:rPr>
        <w:t>beta (TGF</w:t>
      </w:r>
      <w:r w:rsidR="006C0EE6" w:rsidRPr="004E3FE9">
        <w:rPr>
          <w:rFonts w:ascii="Cambria Math" w:hAnsi="Cambria Math" w:cs="Cambria Math"/>
          <w:bCs/>
          <w:sz w:val="28"/>
          <w:szCs w:val="28"/>
          <w:lang w:val="uk-UA"/>
        </w:rPr>
        <w:t>‐</w:t>
      </w:r>
      <w:r w:rsidR="006C0EE6" w:rsidRPr="004E3FE9">
        <w:rPr>
          <w:rFonts w:ascii="Times New Roman" w:hAnsi="Times New Roman" w:cs="Times New Roman"/>
          <w:bCs/>
          <w:sz w:val="28"/>
          <w:szCs w:val="28"/>
          <w:lang w:val="uk-UA"/>
        </w:rPr>
        <w:t>β)</w:t>
      </w:r>
      <w:r w:rsidR="006C0EE6" w:rsidRPr="004E3FE9">
        <w:rPr>
          <w:rFonts w:ascii="Cambria Math" w:hAnsi="Cambria Math" w:cs="Cambria Math"/>
          <w:bCs/>
          <w:sz w:val="28"/>
          <w:szCs w:val="28"/>
          <w:lang w:val="uk-UA"/>
        </w:rPr>
        <w:t>‐</w:t>
      </w:r>
      <w:r w:rsidR="006C0EE6" w:rsidRPr="004E3FE9">
        <w:rPr>
          <w:rFonts w:ascii="Times New Roman" w:hAnsi="Times New Roman" w:cs="Times New Roman"/>
          <w:bCs/>
          <w:sz w:val="28"/>
          <w:szCs w:val="28"/>
          <w:lang w:val="uk-UA"/>
        </w:rPr>
        <w:t>secreting T cells and IgA anti</w:t>
      </w:r>
      <w:r w:rsidR="006C0EE6" w:rsidRPr="004E3FE9">
        <w:rPr>
          <w:rFonts w:ascii="Cambria Math" w:hAnsi="Cambria Math" w:cs="Cambria Math"/>
          <w:bCs/>
          <w:sz w:val="28"/>
          <w:szCs w:val="28"/>
          <w:lang w:val="uk-UA"/>
        </w:rPr>
        <w:t>‐</w:t>
      </w:r>
      <w:r w:rsidR="006C0EE6" w:rsidRPr="004E3FE9">
        <w:rPr>
          <w:rFonts w:ascii="Times New Roman" w:hAnsi="Times New Roman" w:cs="Times New Roman"/>
          <w:bCs/>
          <w:sz w:val="28"/>
          <w:szCs w:val="28"/>
          <w:lang w:val="uk-UA"/>
        </w:rPr>
        <w:t>cardiolipin antibody levels during acute stage of childhood Henoch–Schönlein purpura / Y. H.Yang,</w:t>
      </w:r>
      <w:r w:rsidRPr="004E3FE9">
        <w:rPr>
          <w:rFonts w:ascii="Times New Roman" w:hAnsi="Times New Roman" w:cs="Times New Roman"/>
          <w:bCs/>
          <w:sz w:val="28"/>
          <w:szCs w:val="28"/>
          <w:lang w:val="uk-UA"/>
        </w:rPr>
        <w:t xml:space="preserve"> M.</w:t>
      </w:r>
      <w:r w:rsidR="006C0EE6" w:rsidRPr="004E3FE9">
        <w:rPr>
          <w:rFonts w:ascii="Times New Roman" w:hAnsi="Times New Roman" w:cs="Times New Roman"/>
          <w:bCs/>
          <w:sz w:val="28"/>
          <w:szCs w:val="28"/>
          <w:lang w:val="uk-UA"/>
        </w:rPr>
        <w:t xml:space="preserve">T. Huang, </w:t>
      </w:r>
      <w:r w:rsidRPr="004E3FE9">
        <w:rPr>
          <w:rFonts w:ascii="Times New Roman" w:hAnsi="Times New Roman" w:cs="Times New Roman"/>
          <w:bCs/>
          <w:sz w:val="28"/>
          <w:szCs w:val="28"/>
          <w:lang w:val="uk-UA"/>
        </w:rPr>
        <w:t>S.</w:t>
      </w:r>
      <w:r w:rsidR="006C0EE6" w:rsidRPr="004E3FE9">
        <w:rPr>
          <w:rFonts w:ascii="Times New Roman" w:hAnsi="Times New Roman" w:cs="Times New Roman"/>
          <w:bCs/>
          <w:sz w:val="28"/>
          <w:szCs w:val="28"/>
          <w:lang w:val="uk-UA"/>
        </w:rPr>
        <w:t>C. Lin et al. //</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Clinical &amp; Experimental Immunology. – 2000. – Vol. 122, №. 2. – Р. 285-290.</w:t>
      </w:r>
    </w:p>
    <w:p w:rsidR="006C0EE6" w:rsidRPr="004E3FE9" w:rsidRDefault="00D964AA"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Yang Y.</w:t>
      </w:r>
      <w:r w:rsidR="006C0EE6" w:rsidRPr="004E3FE9">
        <w:rPr>
          <w:rFonts w:ascii="Times New Roman" w:hAnsi="Times New Roman" w:cs="Times New Roman"/>
          <w:bCs/>
          <w:sz w:val="28"/>
          <w:szCs w:val="28"/>
          <w:lang w:val="uk-UA"/>
        </w:rPr>
        <w:t xml:space="preserve">H. The interaction between circulating complement proteins and cutaneous microvascular endothelial cells in the development of childhood Henoch-Schönlein purpura / </w:t>
      </w:r>
      <w:r w:rsidRPr="004E3FE9">
        <w:rPr>
          <w:rFonts w:ascii="Times New Roman" w:hAnsi="Times New Roman" w:cs="Times New Roman"/>
          <w:bCs/>
          <w:sz w:val="28"/>
          <w:szCs w:val="28"/>
          <w:lang w:val="uk-UA"/>
        </w:rPr>
        <w:t>Y.</w:t>
      </w:r>
      <w:r w:rsidR="006C0EE6" w:rsidRPr="004E3FE9">
        <w:rPr>
          <w:rFonts w:ascii="Times New Roman" w:hAnsi="Times New Roman" w:cs="Times New Roman"/>
          <w:bCs/>
          <w:sz w:val="28"/>
          <w:szCs w:val="28"/>
          <w:lang w:val="uk-UA"/>
        </w:rPr>
        <w:t xml:space="preserve">H. Yang, </w:t>
      </w:r>
      <w:r w:rsidRPr="004E3FE9">
        <w:rPr>
          <w:rFonts w:ascii="Times New Roman" w:hAnsi="Times New Roman" w:cs="Times New Roman"/>
          <w:bCs/>
          <w:sz w:val="28"/>
          <w:szCs w:val="28"/>
          <w:lang w:val="uk-UA"/>
        </w:rPr>
        <w:t>I.</w:t>
      </w:r>
      <w:r w:rsidR="006C0EE6" w:rsidRPr="004E3FE9">
        <w:rPr>
          <w:rFonts w:ascii="Times New Roman" w:hAnsi="Times New Roman" w:cs="Times New Roman"/>
          <w:bCs/>
          <w:sz w:val="28"/>
          <w:szCs w:val="28"/>
          <w:lang w:val="uk-UA"/>
        </w:rPr>
        <w:t xml:space="preserve">J. Tsai, </w:t>
      </w:r>
      <w:r w:rsidRPr="004E3FE9">
        <w:rPr>
          <w:rFonts w:ascii="Times New Roman" w:hAnsi="Times New Roman" w:cs="Times New Roman"/>
          <w:bCs/>
          <w:sz w:val="28"/>
          <w:szCs w:val="28"/>
          <w:lang w:val="uk-UA"/>
        </w:rPr>
        <w:t>C.</w:t>
      </w:r>
      <w:r w:rsidR="006C0EE6" w:rsidRPr="004E3FE9">
        <w:rPr>
          <w:rFonts w:ascii="Times New Roman" w:hAnsi="Times New Roman" w:cs="Times New Roman"/>
          <w:bCs/>
          <w:sz w:val="28"/>
          <w:szCs w:val="28"/>
          <w:lang w:val="uk-UA"/>
        </w:rPr>
        <w:t>J. Chang et al.</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w:t>
      </w:r>
      <w:r w:rsidRPr="004E3FE9">
        <w:rPr>
          <w:rFonts w:ascii="Times New Roman" w:hAnsi="Times New Roman" w:cs="Times New Roman"/>
          <w:bCs/>
          <w:sz w:val="28"/>
          <w:szCs w:val="28"/>
          <w:lang w:val="uk-UA"/>
        </w:rPr>
        <w:t xml:space="preserve"> </w:t>
      </w:r>
      <w:r w:rsidR="006C0EE6" w:rsidRPr="004E3FE9">
        <w:rPr>
          <w:rFonts w:ascii="Times New Roman" w:hAnsi="Times New Roman" w:cs="Times New Roman"/>
          <w:bCs/>
          <w:sz w:val="28"/>
          <w:szCs w:val="28"/>
          <w:lang w:val="uk-UA"/>
        </w:rPr>
        <w:t>PloS one. – 2015. – Vol. 10, №. 3. – Р. 120-411.</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Yeboah J. Brachial flow-mediated dilation predicts incident cardiovascular events in older adults the cardiovascular health study / J.</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 xml:space="preserve">Yeboah, </w:t>
      </w:r>
      <w:r w:rsidR="00D964AA" w:rsidRPr="004E3FE9">
        <w:rPr>
          <w:rFonts w:ascii="Times New Roman" w:hAnsi="Times New Roman" w:cs="Times New Roman"/>
          <w:bCs/>
          <w:sz w:val="28"/>
          <w:szCs w:val="28"/>
          <w:lang w:val="uk-UA"/>
        </w:rPr>
        <w:t>J.</w:t>
      </w:r>
      <w:r w:rsidRPr="004E3FE9">
        <w:rPr>
          <w:rFonts w:ascii="Times New Roman" w:hAnsi="Times New Roman" w:cs="Times New Roman"/>
          <w:bCs/>
          <w:sz w:val="28"/>
          <w:szCs w:val="28"/>
          <w:lang w:val="uk-UA"/>
        </w:rPr>
        <w:t xml:space="preserve">R. Crouse, </w:t>
      </w:r>
      <w:r w:rsidR="00D964AA" w:rsidRPr="004E3FE9">
        <w:rPr>
          <w:rFonts w:ascii="Times New Roman" w:hAnsi="Times New Roman" w:cs="Times New Roman"/>
          <w:bCs/>
          <w:sz w:val="28"/>
          <w:szCs w:val="28"/>
          <w:lang w:val="uk-UA"/>
        </w:rPr>
        <w:t>F.</w:t>
      </w:r>
      <w:r w:rsidRPr="004E3FE9">
        <w:rPr>
          <w:rFonts w:ascii="Times New Roman" w:hAnsi="Times New Roman" w:cs="Times New Roman"/>
          <w:bCs/>
          <w:sz w:val="28"/>
          <w:szCs w:val="28"/>
          <w:lang w:val="uk-UA"/>
        </w:rPr>
        <w:t>C. Hsu et al.</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Circulation. – 2007. – Vol. 115, №. 18. – Р. 2390-2397.</w:t>
      </w:r>
    </w:p>
    <w:p w:rsidR="006C0EE6" w:rsidRPr="004E3FE9" w:rsidRDefault="006C0EE6" w:rsidP="0099056E">
      <w:pPr>
        <w:pStyle w:val="a7"/>
        <w:numPr>
          <w:ilvl w:val="0"/>
          <w:numId w:val="7"/>
        </w:numPr>
        <w:autoSpaceDE w:val="0"/>
        <w:autoSpaceDN w:val="0"/>
        <w:adjustRightInd w:val="0"/>
        <w:spacing w:after="0" w:line="360" w:lineRule="auto"/>
        <w:jc w:val="both"/>
        <w:rPr>
          <w:rFonts w:ascii="Times New Roman" w:hAnsi="Times New Roman" w:cs="Times New Roman"/>
          <w:bCs/>
          <w:sz w:val="28"/>
          <w:szCs w:val="28"/>
          <w:lang w:val="uk-UA"/>
        </w:rPr>
      </w:pPr>
      <w:r w:rsidRPr="004E3FE9">
        <w:rPr>
          <w:rFonts w:ascii="Times New Roman" w:hAnsi="Times New Roman" w:cs="Times New Roman"/>
          <w:bCs/>
          <w:sz w:val="28"/>
          <w:szCs w:val="28"/>
          <w:lang w:val="uk-UA"/>
        </w:rPr>
        <w:t xml:space="preserve">Zhou L. Neuronal nitric oxide synthase: structure, subcellular localization, regulation, and clinical implications / L. </w:t>
      </w:r>
      <w:r w:rsidR="00D964AA" w:rsidRPr="004E3FE9">
        <w:rPr>
          <w:rFonts w:ascii="Times New Roman" w:hAnsi="Times New Roman" w:cs="Times New Roman"/>
          <w:bCs/>
          <w:sz w:val="28"/>
          <w:szCs w:val="28"/>
          <w:lang w:val="uk-UA"/>
        </w:rPr>
        <w:t>Zhou, D.</w:t>
      </w:r>
      <w:r w:rsidRPr="004E3FE9">
        <w:rPr>
          <w:rFonts w:ascii="Times New Roman" w:hAnsi="Times New Roman" w:cs="Times New Roman"/>
          <w:bCs/>
          <w:sz w:val="28"/>
          <w:szCs w:val="28"/>
          <w:lang w:val="uk-UA"/>
        </w:rPr>
        <w:t>Y.  Zhu //</w:t>
      </w:r>
      <w:r w:rsidR="00D964AA" w:rsidRPr="004E3FE9">
        <w:rPr>
          <w:rFonts w:ascii="Times New Roman" w:hAnsi="Times New Roman" w:cs="Times New Roman"/>
          <w:bCs/>
          <w:sz w:val="28"/>
          <w:szCs w:val="28"/>
          <w:lang w:val="uk-UA"/>
        </w:rPr>
        <w:t xml:space="preserve"> </w:t>
      </w:r>
      <w:r w:rsidRPr="004E3FE9">
        <w:rPr>
          <w:rFonts w:ascii="Times New Roman" w:hAnsi="Times New Roman" w:cs="Times New Roman"/>
          <w:bCs/>
          <w:sz w:val="28"/>
          <w:szCs w:val="28"/>
          <w:lang w:val="uk-UA"/>
        </w:rPr>
        <w:t>Nitric Oxide. – 2009. – Vol. 20, №. 4. – Р. 223-230.</w:t>
      </w:r>
    </w:p>
    <w:p w:rsidR="00B92A63" w:rsidRPr="004E3FE9" w:rsidRDefault="00B92A63" w:rsidP="00002D22">
      <w:pPr>
        <w:spacing w:line="360" w:lineRule="auto"/>
        <w:jc w:val="both"/>
        <w:rPr>
          <w:rFonts w:ascii="Times New Roman" w:hAnsi="Times New Roman"/>
          <w:bCs/>
          <w:sz w:val="28"/>
          <w:szCs w:val="28"/>
          <w:lang w:val="uk-UA" w:eastAsia="ru-RU"/>
        </w:rPr>
      </w:pPr>
    </w:p>
    <w:sectPr w:rsidR="00B92A63" w:rsidRPr="004E3FE9" w:rsidSect="00226CB5">
      <w:headerReference w:type="default" r:id="rId2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1626" w:rsidRDefault="004F1626" w:rsidP="00BD0BF2">
      <w:pPr>
        <w:spacing w:after="0" w:line="240" w:lineRule="auto"/>
      </w:pPr>
      <w:r>
        <w:separator/>
      </w:r>
    </w:p>
  </w:endnote>
  <w:endnote w:type="continuationSeparator" w:id="0">
    <w:p w:rsidR="004F1626" w:rsidRDefault="004F1626" w:rsidP="00BD0B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1626" w:rsidRDefault="004F1626" w:rsidP="00BD0BF2">
      <w:pPr>
        <w:spacing w:after="0" w:line="240" w:lineRule="auto"/>
      </w:pPr>
      <w:r>
        <w:separator/>
      </w:r>
    </w:p>
  </w:footnote>
  <w:footnote w:type="continuationSeparator" w:id="0">
    <w:p w:rsidR="004F1626" w:rsidRDefault="004F1626" w:rsidP="00BD0BF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4489560"/>
      <w:docPartObj>
        <w:docPartGallery w:val="Page Numbers (Top of Page)"/>
        <w:docPartUnique/>
      </w:docPartObj>
    </w:sdtPr>
    <w:sdtContent>
      <w:p w:rsidR="00EF2692" w:rsidRDefault="001B44D4">
        <w:pPr>
          <w:pStyle w:val="a3"/>
          <w:jc w:val="right"/>
        </w:pPr>
        <w:r>
          <w:fldChar w:fldCharType="begin"/>
        </w:r>
        <w:r w:rsidR="00EF2692">
          <w:instrText>PAGE   \* MERGEFORMAT</w:instrText>
        </w:r>
        <w:r>
          <w:fldChar w:fldCharType="separate"/>
        </w:r>
        <w:r w:rsidR="00BD0FE7">
          <w:rPr>
            <w:noProof/>
          </w:rPr>
          <w:t>188</w:t>
        </w:r>
        <w:r>
          <w:rPr>
            <w:noProof/>
          </w:rPr>
          <w:fldChar w:fldCharType="end"/>
        </w:r>
      </w:p>
    </w:sdtContent>
  </w:sdt>
  <w:p w:rsidR="00EF2692" w:rsidRDefault="00EF2692">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C2713"/>
    <w:multiLevelType w:val="hybridMultilevel"/>
    <w:tmpl w:val="87FEA2D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4F01E87"/>
    <w:multiLevelType w:val="hybridMultilevel"/>
    <w:tmpl w:val="A328B1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7CB165F"/>
    <w:multiLevelType w:val="multilevel"/>
    <w:tmpl w:val="E500D410"/>
    <w:lvl w:ilvl="0">
      <w:start w:val="1"/>
      <w:numFmt w:val="decimal"/>
      <w:lvlText w:val="%1."/>
      <w:lvlJc w:val="left"/>
      <w:pPr>
        <w:tabs>
          <w:tab w:val="num" w:pos="555"/>
        </w:tabs>
        <w:ind w:left="555" w:hanging="555"/>
      </w:pPr>
    </w:lvl>
    <w:lvl w:ilvl="1">
      <w:start w:val="1"/>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nsid w:val="0D3B4FC5"/>
    <w:multiLevelType w:val="hybridMultilevel"/>
    <w:tmpl w:val="223A76E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0D4D6744"/>
    <w:multiLevelType w:val="hybridMultilevel"/>
    <w:tmpl w:val="026E9D86"/>
    <w:lvl w:ilvl="0" w:tplc="9600E606">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5">
    <w:nsid w:val="100410A5"/>
    <w:multiLevelType w:val="hybridMultilevel"/>
    <w:tmpl w:val="6BB44E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26D78E0"/>
    <w:multiLevelType w:val="hybridMultilevel"/>
    <w:tmpl w:val="875A0B68"/>
    <w:lvl w:ilvl="0" w:tplc="3BA234CA">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7">
    <w:nsid w:val="35C57D6B"/>
    <w:multiLevelType w:val="multilevel"/>
    <w:tmpl w:val="81007D3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1BA50B5"/>
    <w:multiLevelType w:val="hybridMultilevel"/>
    <w:tmpl w:val="5C3CECDA"/>
    <w:lvl w:ilvl="0" w:tplc="EA043C9E">
      <w:start w:val="1"/>
      <w:numFmt w:val="decimal"/>
      <w:lvlText w:val="%1."/>
      <w:lvlJc w:val="left"/>
      <w:pPr>
        <w:ind w:left="1494" w:hanging="360"/>
      </w:pPr>
      <w:rPr>
        <w:b w:val="0"/>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9">
    <w:nsid w:val="44D26D8D"/>
    <w:multiLevelType w:val="multilevel"/>
    <w:tmpl w:val="C9FA2964"/>
    <w:lvl w:ilvl="0">
      <w:start w:val="1"/>
      <w:numFmt w:val="decimal"/>
      <w:lvlText w:val="%1."/>
      <w:lvlJc w:val="left"/>
      <w:pPr>
        <w:ind w:left="720" w:hanging="360"/>
      </w:p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47AD7AF6"/>
    <w:multiLevelType w:val="hybridMultilevel"/>
    <w:tmpl w:val="1FECE456"/>
    <w:lvl w:ilvl="0" w:tplc="38F2E57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67D2235"/>
    <w:multiLevelType w:val="hybridMultilevel"/>
    <w:tmpl w:val="17D0EBB2"/>
    <w:lvl w:ilvl="0" w:tplc="38F2E57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88B75D8"/>
    <w:multiLevelType w:val="multilevel"/>
    <w:tmpl w:val="69D6C7E8"/>
    <w:lvl w:ilvl="0">
      <w:start w:val="1"/>
      <w:numFmt w:val="decimal"/>
      <w:lvlText w:val="%1"/>
      <w:lvlJc w:val="left"/>
      <w:pPr>
        <w:ind w:left="375" w:hanging="375"/>
      </w:pPr>
      <w:rPr>
        <w:rFonts w:hint="default"/>
      </w:rPr>
    </w:lvl>
    <w:lvl w:ilvl="1">
      <w:start w:val="2"/>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3">
    <w:nsid w:val="6A34101E"/>
    <w:multiLevelType w:val="hybridMultilevel"/>
    <w:tmpl w:val="8C40ECE2"/>
    <w:lvl w:ilvl="0" w:tplc="A9FCA8AE">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C4B53D2"/>
    <w:multiLevelType w:val="hybridMultilevel"/>
    <w:tmpl w:val="DE14436A"/>
    <w:lvl w:ilvl="0" w:tplc="0419000F">
      <w:start w:val="1"/>
      <w:numFmt w:val="decimal"/>
      <w:lvlText w:val="%1."/>
      <w:lvlJc w:val="left"/>
      <w:pPr>
        <w:ind w:left="1353" w:hanging="360"/>
      </w:p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15">
    <w:nsid w:val="6D0C3012"/>
    <w:multiLevelType w:val="hybridMultilevel"/>
    <w:tmpl w:val="E53834E0"/>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5296AA0"/>
    <w:multiLevelType w:val="hybridMultilevel"/>
    <w:tmpl w:val="AB7C48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9"/>
  </w:num>
  <w:num w:numId="5">
    <w:abstractNumId w:val="0"/>
  </w:num>
  <w:num w:numId="6">
    <w:abstractNumId w:val="1"/>
  </w:num>
  <w:num w:numId="7">
    <w:abstractNumId w:val="15"/>
  </w:num>
  <w:num w:numId="8">
    <w:abstractNumId w:val="6"/>
  </w:num>
  <w:num w:numId="9">
    <w:abstractNumId w:val="4"/>
  </w:num>
  <w:num w:numId="10">
    <w:abstractNumId w:val="7"/>
  </w:num>
  <w:num w:numId="11">
    <w:abstractNumId w:val="13"/>
  </w:num>
  <w:num w:numId="12">
    <w:abstractNumId w:val="14"/>
  </w:num>
  <w:num w:numId="13">
    <w:abstractNumId w:val="3"/>
  </w:num>
  <w:num w:numId="14">
    <w:abstractNumId w:val="16"/>
  </w:num>
  <w:num w:numId="15">
    <w:abstractNumId w:val="11"/>
  </w:num>
  <w:num w:numId="16">
    <w:abstractNumId w:val="10"/>
  </w:num>
  <w:num w:numId="17">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characterSpacingControl w:val="doNotCompress"/>
  <w:footnotePr>
    <w:footnote w:id="-1"/>
    <w:footnote w:id="0"/>
  </w:footnotePr>
  <w:endnotePr>
    <w:endnote w:id="-1"/>
    <w:endnote w:id="0"/>
  </w:endnotePr>
  <w:compat/>
  <w:rsids>
    <w:rsidRoot w:val="00235A28"/>
    <w:rsid w:val="00002D22"/>
    <w:rsid w:val="0003517F"/>
    <w:rsid w:val="00036C4E"/>
    <w:rsid w:val="00042990"/>
    <w:rsid w:val="00045E52"/>
    <w:rsid w:val="000F30AA"/>
    <w:rsid w:val="001056B7"/>
    <w:rsid w:val="001106A0"/>
    <w:rsid w:val="00113493"/>
    <w:rsid w:val="00130371"/>
    <w:rsid w:val="001360B4"/>
    <w:rsid w:val="00144A30"/>
    <w:rsid w:val="0016260A"/>
    <w:rsid w:val="00177F1E"/>
    <w:rsid w:val="00196381"/>
    <w:rsid w:val="001B3443"/>
    <w:rsid w:val="001B44D4"/>
    <w:rsid w:val="001B788D"/>
    <w:rsid w:val="001C5375"/>
    <w:rsid w:val="001C558E"/>
    <w:rsid w:val="00205137"/>
    <w:rsid w:val="00206D4B"/>
    <w:rsid w:val="00226CB5"/>
    <w:rsid w:val="00235A28"/>
    <w:rsid w:val="00237479"/>
    <w:rsid w:val="00237A66"/>
    <w:rsid w:val="00240036"/>
    <w:rsid w:val="002424AF"/>
    <w:rsid w:val="00253A09"/>
    <w:rsid w:val="002837F4"/>
    <w:rsid w:val="00283E39"/>
    <w:rsid w:val="002965AE"/>
    <w:rsid w:val="002A0914"/>
    <w:rsid w:val="002A506C"/>
    <w:rsid w:val="002B3B5B"/>
    <w:rsid w:val="002B6AC1"/>
    <w:rsid w:val="002B72AF"/>
    <w:rsid w:val="002F7F35"/>
    <w:rsid w:val="003066D2"/>
    <w:rsid w:val="00307E31"/>
    <w:rsid w:val="00314598"/>
    <w:rsid w:val="00340C82"/>
    <w:rsid w:val="003471C2"/>
    <w:rsid w:val="00355BDA"/>
    <w:rsid w:val="0035740A"/>
    <w:rsid w:val="0037755D"/>
    <w:rsid w:val="003A3A9E"/>
    <w:rsid w:val="003B4E05"/>
    <w:rsid w:val="003B4E0A"/>
    <w:rsid w:val="003B79E9"/>
    <w:rsid w:val="003C4C8E"/>
    <w:rsid w:val="003C6D87"/>
    <w:rsid w:val="003D2427"/>
    <w:rsid w:val="003E300A"/>
    <w:rsid w:val="004036F3"/>
    <w:rsid w:val="004065BA"/>
    <w:rsid w:val="0042408F"/>
    <w:rsid w:val="00430C4A"/>
    <w:rsid w:val="00452D7B"/>
    <w:rsid w:val="00464ADB"/>
    <w:rsid w:val="004806EB"/>
    <w:rsid w:val="00490C6D"/>
    <w:rsid w:val="00495E22"/>
    <w:rsid w:val="004976A4"/>
    <w:rsid w:val="00497D96"/>
    <w:rsid w:val="004A1130"/>
    <w:rsid w:val="004A4E8C"/>
    <w:rsid w:val="004B41E5"/>
    <w:rsid w:val="004D1003"/>
    <w:rsid w:val="004D36DA"/>
    <w:rsid w:val="004D5257"/>
    <w:rsid w:val="004D6097"/>
    <w:rsid w:val="004E3FE9"/>
    <w:rsid w:val="004E51EA"/>
    <w:rsid w:val="004F1626"/>
    <w:rsid w:val="004F59FF"/>
    <w:rsid w:val="0052291C"/>
    <w:rsid w:val="00523AA5"/>
    <w:rsid w:val="005450D4"/>
    <w:rsid w:val="00582AD2"/>
    <w:rsid w:val="0059777F"/>
    <w:rsid w:val="005E13DB"/>
    <w:rsid w:val="005E15D8"/>
    <w:rsid w:val="005E421B"/>
    <w:rsid w:val="0061729E"/>
    <w:rsid w:val="00626D45"/>
    <w:rsid w:val="00643BEB"/>
    <w:rsid w:val="0065121A"/>
    <w:rsid w:val="00664BF5"/>
    <w:rsid w:val="00671600"/>
    <w:rsid w:val="006A020A"/>
    <w:rsid w:val="006A47BF"/>
    <w:rsid w:val="006C0EE6"/>
    <w:rsid w:val="006C6538"/>
    <w:rsid w:val="006D5434"/>
    <w:rsid w:val="006E489A"/>
    <w:rsid w:val="006E6D2F"/>
    <w:rsid w:val="006E7416"/>
    <w:rsid w:val="006F45F2"/>
    <w:rsid w:val="00706CF6"/>
    <w:rsid w:val="0071552F"/>
    <w:rsid w:val="00717BBE"/>
    <w:rsid w:val="00721EA2"/>
    <w:rsid w:val="00760739"/>
    <w:rsid w:val="0077157A"/>
    <w:rsid w:val="007843F9"/>
    <w:rsid w:val="0078761C"/>
    <w:rsid w:val="007A3677"/>
    <w:rsid w:val="007A79E9"/>
    <w:rsid w:val="007B544C"/>
    <w:rsid w:val="007E3D3D"/>
    <w:rsid w:val="00810999"/>
    <w:rsid w:val="00833243"/>
    <w:rsid w:val="00845C0E"/>
    <w:rsid w:val="008524CA"/>
    <w:rsid w:val="008628D7"/>
    <w:rsid w:val="008728B3"/>
    <w:rsid w:val="0088778C"/>
    <w:rsid w:val="00887B28"/>
    <w:rsid w:val="008A49AC"/>
    <w:rsid w:val="008A5F29"/>
    <w:rsid w:val="008B7A8F"/>
    <w:rsid w:val="008C7C5D"/>
    <w:rsid w:val="008E47CF"/>
    <w:rsid w:val="008E62B0"/>
    <w:rsid w:val="008F0A7F"/>
    <w:rsid w:val="00910D0C"/>
    <w:rsid w:val="009130EC"/>
    <w:rsid w:val="00923E99"/>
    <w:rsid w:val="009267C2"/>
    <w:rsid w:val="00941012"/>
    <w:rsid w:val="00975388"/>
    <w:rsid w:val="00980585"/>
    <w:rsid w:val="00980F27"/>
    <w:rsid w:val="00987C5F"/>
    <w:rsid w:val="0099056E"/>
    <w:rsid w:val="009939D1"/>
    <w:rsid w:val="009A5CE0"/>
    <w:rsid w:val="009A67C0"/>
    <w:rsid w:val="009B0EB4"/>
    <w:rsid w:val="009E5FE9"/>
    <w:rsid w:val="00A02BFF"/>
    <w:rsid w:val="00A51BD1"/>
    <w:rsid w:val="00A74B6C"/>
    <w:rsid w:val="00A75E08"/>
    <w:rsid w:val="00A91B85"/>
    <w:rsid w:val="00AA5451"/>
    <w:rsid w:val="00AB06A4"/>
    <w:rsid w:val="00AC7D92"/>
    <w:rsid w:val="00AD1150"/>
    <w:rsid w:val="00AD3587"/>
    <w:rsid w:val="00AD53C3"/>
    <w:rsid w:val="00AD6AB9"/>
    <w:rsid w:val="00AE5B2B"/>
    <w:rsid w:val="00AF0354"/>
    <w:rsid w:val="00B04014"/>
    <w:rsid w:val="00B2148E"/>
    <w:rsid w:val="00B26C70"/>
    <w:rsid w:val="00B40288"/>
    <w:rsid w:val="00B5561D"/>
    <w:rsid w:val="00B56765"/>
    <w:rsid w:val="00B74E43"/>
    <w:rsid w:val="00B90A47"/>
    <w:rsid w:val="00B92A63"/>
    <w:rsid w:val="00B94A3E"/>
    <w:rsid w:val="00B9544D"/>
    <w:rsid w:val="00BB51E4"/>
    <w:rsid w:val="00BB6CD1"/>
    <w:rsid w:val="00BC65F0"/>
    <w:rsid w:val="00BD0BF2"/>
    <w:rsid w:val="00BD0FE7"/>
    <w:rsid w:val="00BD119A"/>
    <w:rsid w:val="00BD434A"/>
    <w:rsid w:val="00BD4B88"/>
    <w:rsid w:val="00BF5E28"/>
    <w:rsid w:val="00C1256E"/>
    <w:rsid w:val="00C1355A"/>
    <w:rsid w:val="00C27244"/>
    <w:rsid w:val="00C518BC"/>
    <w:rsid w:val="00C5454F"/>
    <w:rsid w:val="00C57227"/>
    <w:rsid w:val="00CB3FD0"/>
    <w:rsid w:val="00CB50BC"/>
    <w:rsid w:val="00CC1596"/>
    <w:rsid w:val="00CD117A"/>
    <w:rsid w:val="00CD5173"/>
    <w:rsid w:val="00CD566B"/>
    <w:rsid w:val="00CF7F76"/>
    <w:rsid w:val="00D04688"/>
    <w:rsid w:val="00D124BE"/>
    <w:rsid w:val="00D275A7"/>
    <w:rsid w:val="00D6233C"/>
    <w:rsid w:val="00D63A51"/>
    <w:rsid w:val="00D8103E"/>
    <w:rsid w:val="00D90B50"/>
    <w:rsid w:val="00D964AA"/>
    <w:rsid w:val="00D96E54"/>
    <w:rsid w:val="00DB1F74"/>
    <w:rsid w:val="00DB3EE5"/>
    <w:rsid w:val="00DB4AD6"/>
    <w:rsid w:val="00DD4FBC"/>
    <w:rsid w:val="00DD7A88"/>
    <w:rsid w:val="00DF64EC"/>
    <w:rsid w:val="00E13A48"/>
    <w:rsid w:val="00E15425"/>
    <w:rsid w:val="00E62C2B"/>
    <w:rsid w:val="00E64508"/>
    <w:rsid w:val="00E92F29"/>
    <w:rsid w:val="00E9561A"/>
    <w:rsid w:val="00EB08AD"/>
    <w:rsid w:val="00ED4259"/>
    <w:rsid w:val="00EF2692"/>
    <w:rsid w:val="00EF4D61"/>
    <w:rsid w:val="00EF6D89"/>
    <w:rsid w:val="00F1221C"/>
    <w:rsid w:val="00F94DCF"/>
    <w:rsid w:val="00FA3570"/>
    <w:rsid w:val="00FB6FD1"/>
    <w:rsid w:val="00FC029C"/>
    <w:rsid w:val="00FC1886"/>
    <w:rsid w:val="00FD08BE"/>
    <w:rsid w:val="00FD232E"/>
    <w:rsid w:val="00FD3221"/>
    <w:rsid w:val="00FE0329"/>
    <w:rsid w:val="00FF1BA0"/>
    <w:rsid w:val="00FF2F9D"/>
    <w:rsid w:val="00FF3DD6"/>
    <w:rsid w:val="00FF53F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2A63"/>
  </w:style>
  <w:style w:type="paragraph" w:styleId="1">
    <w:name w:val="heading 1"/>
    <w:basedOn w:val="a"/>
    <w:next w:val="a"/>
    <w:link w:val="10"/>
    <w:uiPriority w:val="9"/>
    <w:qFormat/>
    <w:rsid w:val="00A51B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A51BD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D0BF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D0BF2"/>
  </w:style>
  <w:style w:type="paragraph" w:styleId="a5">
    <w:name w:val="footer"/>
    <w:basedOn w:val="a"/>
    <w:link w:val="a6"/>
    <w:uiPriority w:val="99"/>
    <w:unhideWhenUsed/>
    <w:rsid w:val="00BD0BF2"/>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D0BF2"/>
  </w:style>
  <w:style w:type="paragraph" w:styleId="a7">
    <w:name w:val="List Paragraph"/>
    <w:basedOn w:val="a"/>
    <w:uiPriority w:val="34"/>
    <w:qFormat/>
    <w:rsid w:val="00BD0BF2"/>
    <w:pPr>
      <w:ind w:left="720"/>
      <w:contextualSpacing/>
    </w:pPr>
  </w:style>
  <w:style w:type="table" w:styleId="a8">
    <w:name w:val="Table Grid"/>
    <w:basedOn w:val="a1"/>
    <w:uiPriority w:val="99"/>
    <w:rsid w:val="00BD0B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BD0BF2"/>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D0BF2"/>
    <w:rPr>
      <w:rFonts w:ascii="Tahoma" w:hAnsi="Tahoma" w:cs="Tahoma"/>
      <w:sz w:val="16"/>
      <w:szCs w:val="16"/>
    </w:rPr>
  </w:style>
  <w:style w:type="table" w:customStyle="1" w:styleId="11">
    <w:name w:val="Сетка таблицы1"/>
    <w:basedOn w:val="a1"/>
    <w:next w:val="a8"/>
    <w:uiPriority w:val="59"/>
    <w:rsid w:val="00BD0B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ody Text"/>
    <w:basedOn w:val="a"/>
    <w:link w:val="ac"/>
    <w:uiPriority w:val="1"/>
    <w:qFormat/>
    <w:rsid w:val="00BD0BF2"/>
    <w:pPr>
      <w:widowControl w:val="0"/>
      <w:spacing w:before="5" w:after="0" w:line="240" w:lineRule="auto"/>
      <w:ind w:left="102"/>
      <w:jc w:val="both"/>
    </w:pPr>
    <w:rPr>
      <w:rFonts w:ascii="Times New Roman" w:eastAsia="Times New Roman" w:hAnsi="Times New Roman" w:cs="Times New Roman"/>
      <w:sz w:val="28"/>
      <w:szCs w:val="28"/>
      <w:lang w:val="en-US"/>
    </w:rPr>
  </w:style>
  <w:style w:type="character" w:customStyle="1" w:styleId="ac">
    <w:name w:val="Основной текст Знак"/>
    <w:basedOn w:val="a0"/>
    <w:link w:val="ab"/>
    <w:uiPriority w:val="1"/>
    <w:rsid w:val="00BD0BF2"/>
    <w:rPr>
      <w:rFonts w:ascii="Times New Roman" w:eastAsia="Times New Roman" w:hAnsi="Times New Roman" w:cs="Times New Roman"/>
      <w:sz w:val="28"/>
      <w:szCs w:val="28"/>
      <w:lang w:val="en-US"/>
    </w:rPr>
  </w:style>
  <w:style w:type="character" w:styleId="ad">
    <w:name w:val="annotation reference"/>
    <w:basedOn w:val="a0"/>
    <w:uiPriority w:val="99"/>
    <w:semiHidden/>
    <w:unhideWhenUsed/>
    <w:rsid w:val="00BD0BF2"/>
    <w:rPr>
      <w:sz w:val="16"/>
      <w:szCs w:val="16"/>
    </w:rPr>
  </w:style>
  <w:style w:type="paragraph" w:styleId="ae">
    <w:name w:val="annotation text"/>
    <w:basedOn w:val="a"/>
    <w:link w:val="af"/>
    <w:uiPriority w:val="99"/>
    <w:semiHidden/>
    <w:unhideWhenUsed/>
    <w:rsid w:val="00BD0BF2"/>
    <w:pPr>
      <w:spacing w:line="240" w:lineRule="auto"/>
    </w:pPr>
    <w:rPr>
      <w:sz w:val="20"/>
      <w:szCs w:val="20"/>
    </w:rPr>
  </w:style>
  <w:style w:type="character" w:customStyle="1" w:styleId="af">
    <w:name w:val="Текст примечания Знак"/>
    <w:basedOn w:val="a0"/>
    <w:link w:val="ae"/>
    <w:uiPriority w:val="99"/>
    <w:semiHidden/>
    <w:rsid w:val="00BD0BF2"/>
    <w:rPr>
      <w:sz w:val="20"/>
      <w:szCs w:val="20"/>
    </w:rPr>
  </w:style>
  <w:style w:type="paragraph" w:styleId="af0">
    <w:name w:val="annotation subject"/>
    <w:basedOn w:val="ae"/>
    <w:next w:val="ae"/>
    <w:link w:val="af1"/>
    <w:uiPriority w:val="99"/>
    <w:semiHidden/>
    <w:unhideWhenUsed/>
    <w:rsid w:val="00BD0BF2"/>
    <w:rPr>
      <w:b/>
      <w:bCs/>
    </w:rPr>
  </w:style>
  <w:style w:type="character" w:customStyle="1" w:styleId="af1">
    <w:name w:val="Тема примечания Знак"/>
    <w:basedOn w:val="af"/>
    <w:link w:val="af0"/>
    <w:uiPriority w:val="99"/>
    <w:semiHidden/>
    <w:rsid w:val="00BD0BF2"/>
    <w:rPr>
      <w:b/>
      <w:bCs/>
      <w:sz w:val="20"/>
      <w:szCs w:val="20"/>
    </w:rPr>
  </w:style>
  <w:style w:type="character" w:customStyle="1" w:styleId="rvts8">
    <w:name w:val="rvts8"/>
    <w:basedOn w:val="a0"/>
    <w:rsid w:val="00B56765"/>
  </w:style>
  <w:style w:type="paragraph" w:styleId="af2">
    <w:name w:val="Normal (Web)"/>
    <w:basedOn w:val="a"/>
    <w:uiPriority w:val="99"/>
    <w:rsid w:val="00F94DC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sult">
    <w:name w:val="result"/>
    <w:basedOn w:val="a0"/>
    <w:rsid w:val="00F94DCF"/>
    <w:rPr>
      <w:rFonts w:cs="Times New Roman"/>
      <w:color w:val="000080"/>
    </w:rPr>
  </w:style>
  <w:style w:type="character" w:customStyle="1" w:styleId="10">
    <w:name w:val="Заголовок 1 Знак"/>
    <w:basedOn w:val="a0"/>
    <w:link w:val="1"/>
    <w:uiPriority w:val="9"/>
    <w:rsid w:val="00A51BD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A51BD1"/>
    <w:rPr>
      <w:rFonts w:asciiTheme="majorHAnsi" w:eastAsiaTheme="majorEastAsia" w:hAnsiTheme="majorHAnsi" w:cstheme="majorBidi"/>
      <w:b/>
      <w:bCs/>
      <w:color w:val="4F81BD" w:themeColor="accent1"/>
      <w:sz w:val="26"/>
      <w:szCs w:val="26"/>
    </w:rPr>
  </w:style>
  <w:style w:type="paragraph" w:styleId="12">
    <w:name w:val="toc 1"/>
    <w:basedOn w:val="a"/>
    <w:next w:val="a"/>
    <w:autoRedefine/>
    <w:uiPriority w:val="39"/>
    <w:unhideWhenUsed/>
    <w:rsid w:val="00B92A63"/>
    <w:pPr>
      <w:spacing w:after="100"/>
    </w:pPr>
  </w:style>
  <w:style w:type="paragraph" w:styleId="21">
    <w:name w:val="toc 2"/>
    <w:basedOn w:val="a"/>
    <w:next w:val="a"/>
    <w:autoRedefine/>
    <w:uiPriority w:val="39"/>
    <w:unhideWhenUsed/>
    <w:rsid w:val="00B92A63"/>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6011919">
      <w:bodyDiv w:val="1"/>
      <w:marLeft w:val="0"/>
      <w:marRight w:val="0"/>
      <w:marTop w:val="0"/>
      <w:marBottom w:val="0"/>
      <w:divBdr>
        <w:top w:val="none" w:sz="0" w:space="0" w:color="auto"/>
        <w:left w:val="none" w:sz="0" w:space="0" w:color="auto"/>
        <w:bottom w:val="none" w:sz="0" w:space="0" w:color="auto"/>
        <w:right w:val="none" w:sz="0" w:space="0" w:color="auto"/>
      </w:divBdr>
    </w:div>
    <w:div w:id="348798036">
      <w:bodyDiv w:val="1"/>
      <w:marLeft w:val="0"/>
      <w:marRight w:val="0"/>
      <w:marTop w:val="0"/>
      <w:marBottom w:val="0"/>
      <w:divBdr>
        <w:top w:val="none" w:sz="0" w:space="0" w:color="auto"/>
        <w:left w:val="none" w:sz="0" w:space="0" w:color="auto"/>
        <w:bottom w:val="none" w:sz="0" w:space="0" w:color="auto"/>
        <w:right w:val="none" w:sz="0" w:space="0" w:color="auto"/>
      </w:divBdr>
    </w:div>
    <w:div w:id="664095505">
      <w:bodyDiv w:val="1"/>
      <w:marLeft w:val="0"/>
      <w:marRight w:val="0"/>
      <w:marTop w:val="0"/>
      <w:marBottom w:val="0"/>
      <w:divBdr>
        <w:top w:val="none" w:sz="0" w:space="0" w:color="auto"/>
        <w:left w:val="none" w:sz="0" w:space="0" w:color="auto"/>
        <w:bottom w:val="none" w:sz="0" w:space="0" w:color="auto"/>
        <w:right w:val="none" w:sz="0" w:space="0" w:color="auto"/>
      </w:divBdr>
    </w:div>
    <w:div w:id="861942159">
      <w:bodyDiv w:val="1"/>
      <w:marLeft w:val="0"/>
      <w:marRight w:val="0"/>
      <w:marTop w:val="0"/>
      <w:marBottom w:val="0"/>
      <w:divBdr>
        <w:top w:val="none" w:sz="0" w:space="0" w:color="auto"/>
        <w:left w:val="none" w:sz="0" w:space="0" w:color="auto"/>
        <w:bottom w:val="none" w:sz="0" w:space="0" w:color="auto"/>
        <w:right w:val="none" w:sz="0" w:space="0" w:color="auto"/>
      </w:divBdr>
    </w:div>
    <w:div w:id="1159224491">
      <w:bodyDiv w:val="1"/>
      <w:marLeft w:val="0"/>
      <w:marRight w:val="0"/>
      <w:marTop w:val="0"/>
      <w:marBottom w:val="0"/>
      <w:divBdr>
        <w:top w:val="none" w:sz="0" w:space="0" w:color="auto"/>
        <w:left w:val="none" w:sz="0" w:space="0" w:color="auto"/>
        <w:bottom w:val="none" w:sz="0" w:space="0" w:color="auto"/>
        <w:right w:val="none" w:sz="0" w:space="0" w:color="auto"/>
      </w:divBdr>
    </w:div>
    <w:div w:id="1475871198">
      <w:bodyDiv w:val="1"/>
      <w:marLeft w:val="0"/>
      <w:marRight w:val="0"/>
      <w:marTop w:val="0"/>
      <w:marBottom w:val="0"/>
      <w:divBdr>
        <w:top w:val="none" w:sz="0" w:space="0" w:color="auto"/>
        <w:left w:val="none" w:sz="0" w:space="0" w:color="auto"/>
        <w:bottom w:val="none" w:sz="0" w:space="0" w:color="auto"/>
        <w:right w:val="none" w:sz="0" w:space="0" w:color="auto"/>
      </w:divBdr>
    </w:div>
    <w:div w:id="1531528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jpeg"/><Relationship Id="rId18" Type="http://schemas.openxmlformats.org/officeDocument/2006/relationships/image" Target="media/image8.jpeg"/><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chart" Target="charts/chart1.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2.jpeg"/><Relationship Id="rId32"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1.jpeg"/><Relationship Id="rId28" Type="http://schemas.openxmlformats.org/officeDocument/2006/relationships/image" Target="media/image16.jpeg"/><Relationship Id="rId10" Type="http://schemas.openxmlformats.org/officeDocument/2006/relationships/oleObject" Target="embeddings/oleObject2.bin"/><Relationship Id="rId19" Type="http://schemas.openxmlformats.org/officeDocument/2006/relationships/image" Target="media/image9.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col"/>
        <c:grouping val="clustered"/>
        <c:ser>
          <c:idx val="0"/>
          <c:order val="0"/>
          <c:tx>
            <c:strRef>
              <c:f>Лист1!$B$1</c:f>
              <c:strCache>
                <c:ptCount val="1"/>
                <c:pt idx="0">
                  <c:v>PI</c:v>
                </c:pt>
              </c:strCache>
            </c:strRef>
          </c:tx>
          <c:dLbls>
            <c:spPr>
              <a:noFill/>
              <a:ln>
                <a:noFill/>
              </a:ln>
              <a:effectLst/>
            </c:spPr>
            <c:showVal val="1"/>
            <c:extLst>
              <c:ext xmlns:c15="http://schemas.microsoft.com/office/drawing/2012/chart" uri="{CE6537A1-D6FC-4f65-9D91-7224C49458BB}">
                <c15:layout/>
                <c15:showLeaderLines val="0"/>
              </c:ext>
            </c:extLst>
          </c:dLbls>
          <c:cat>
            <c:strRef>
              <c:f>Лист1!$A$2:$A$5</c:f>
              <c:strCache>
                <c:ptCount val="4"/>
                <c:pt idx="0">
                  <c:v>І ступінь n=19</c:v>
                </c:pt>
                <c:pt idx="1">
                  <c:v>ІІ ступінь n=22</c:v>
                </c:pt>
                <c:pt idx="2">
                  <c:v>ІІІ ступінь n=19</c:v>
                </c:pt>
                <c:pt idx="3">
                  <c:v>Група контролю n=17</c:v>
                </c:pt>
              </c:strCache>
            </c:strRef>
          </c:cat>
          <c:val>
            <c:numRef>
              <c:f>Лист1!$B$2:$B$5</c:f>
              <c:numCache>
                <c:formatCode>General</c:formatCode>
                <c:ptCount val="4"/>
                <c:pt idx="0">
                  <c:v>1.45</c:v>
                </c:pt>
                <c:pt idx="1">
                  <c:v>1.2</c:v>
                </c:pt>
                <c:pt idx="2">
                  <c:v>1.149999999999999</c:v>
                </c:pt>
                <c:pt idx="3">
                  <c:v>1.4</c:v>
                </c:pt>
              </c:numCache>
            </c:numRef>
          </c:val>
        </c:ser>
        <c:ser>
          <c:idx val="1"/>
          <c:order val="1"/>
          <c:tx>
            <c:strRef>
              <c:f>Лист1!$C$1</c:f>
              <c:strCache>
                <c:ptCount val="1"/>
                <c:pt idx="0">
                  <c:v>PI після оклюзії</c:v>
                </c:pt>
              </c:strCache>
            </c:strRef>
          </c:tx>
          <c:dLbls>
            <c:spPr>
              <a:noFill/>
              <a:ln>
                <a:noFill/>
              </a:ln>
              <a:effectLst/>
            </c:spPr>
            <c:showVal val="1"/>
            <c:extLst>
              <c:ext xmlns:c15="http://schemas.microsoft.com/office/drawing/2012/chart" uri="{CE6537A1-D6FC-4f65-9D91-7224C49458BB}">
                <c15:layout/>
                <c15:showLeaderLines val="0"/>
              </c:ext>
            </c:extLst>
          </c:dLbls>
          <c:cat>
            <c:strRef>
              <c:f>Лист1!$A$2:$A$5</c:f>
              <c:strCache>
                <c:ptCount val="4"/>
                <c:pt idx="0">
                  <c:v>І ступінь n=19</c:v>
                </c:pt>
                <c:pt idx="1">
                  <c:v>ІІ ступінь n=22</c:v>
                </c:pt>
                <c:pt idx="2">
                  <c:v>ІІІ ступінь n=19</c:v>
                </c:pt>
                <c:pt idx="3">
                  <c:v>Група контролю n=17</c:v>
                </c:pt>
              </c:strCache>
            </c:strRef>
          </c:cat>
          <c:val>
            <c:numRef>
              <c:f>Лист1!$C$2:$C$5</c:f>
              <c:numCache>
                <c:formatCode>General</c:formatCode>
                <c:ptCount val="4"/>
                <c:pt idx="0">
                  <c:v>1.3</c:v>
                </c:pt>
                <c:pt idx="1">
                  <c:v>1.2</c:v>
                </c:pt>
                <c:pt idx="2">
                  <c:v>1</c:v>
                </c:pt>
                <c:pt idx="3">
                  <c:v>1.3</c:v>
                </c:pt>
              </c:numCache>
            </c:numRef>
          </c:val>
        </c:ser>
        <c:dLbls>
          <c:showVal val="1"/>
        </c:dLbls>
        <c:gapWidth val="75"/>
        <c:axId val="144638720"/>
        <c:axId val="144640256"/>
      </c:barChart>
      <c:catAx>
        <c:axId val="144638720"/>
        <c:scaling>
          <c:orientation val="minMax"/>
        </c:scaling>
        <c:axPos val="b"/>
        <c:numFmt formatCode="General" sourceLinked="0"/>
        <c:majorTickMark val="none"/>
        <c:tickLblPos val="nextTo"/>
        <c:crossAx val="144640256"/>
        <c:crosses val="autoZero"/>
        <c:auto val="1"/>
        <c:lblAlgn val="ctr"/>
        <c:lblOffset val="100"/>
      </c:catAx>
      <c:valAx>
        <c:axId val="144640256"/>
        <c:scaling>
          <c:orientation val="minMax"/>
        </c:scaling>
        <c:axPos val="l"/>
        <c:numFmt formatCode="General" sourceLinked="1"/>
        <c:majorTickMark val="none"/>
        <c:tickLblPos val="nextTo"/>
        <c:crossAx val="144638720"/>
        <c:crosses val="autoZero"/>
        <c:crossBetween val="between"/>
      </c:valAx>
    </c:plotArea>
    <c:legend>
      <c:legendPos val="b"/>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col"/>
        <c:grouping val="clustered"/>
        <c:ser>
          <c:idx val="0"/>
          <c:order val="0"/>
          <c:tx>
            <c:strRef>
              <c:f>Лист1!$B$1</c:f>
              <c:strCache>
                <c:ptCount val="1"/>
                <c:pt idx="0">
                  <c:v>S/D</c:v>
                </c:pt>
              </c:strCache>
            </c:strRef>
          </c:tx>
          <c:dLbls>
            <c:spPr>
              <a:noFill/>
              <a:ln>
                <a:noFill/>
              </a:ln>
              <a:effectLst/>
            </c:spPr>
            <c:showVal val="1"/>
            <c:extLst>
              <c:ext xmlns:c15="http://schemas.microsoft.com/office/drawing/2012/chart" uri="{CE6537A1-D6FC-4f65-9D91-7224C49458BB}">
                <c15:layout/>
                <c15:showLeaderLines val="0"/>
              </c:ext>
            </c:extLst>
          </c:dLbls>
          <c:cat>
            <c:strRef>
              <c:f>Лист1!$A$2:$A$5</c:f>
              <c:strCache>
                <c:ptCount val="4"/>
                <c:pt idx="0">
                  <c:v>І ступінь n=19</c:v>
                </c:pt>
                <c:pt idx="1">
                  <c:v>ІІ ступінь n=22</c:v>
                </c:pt>
                <c:pt idx="2">
                  <c:v>ІІІ ступінь n=19</c:v>
                </c:pt>
                <c:pt idx="3">
                  <c:v>Група контролю n=17</c:v>
                </c:pt>
              </c:strCache>
            </c:strRef>
          </c:cat>
          <c:val>
            <c:numRef>
              <c:f>Лист1!$B$2:$B$5</c:f>
              <c:numCache>
                <c:formatCode>General</c:formatCode>
                <c:ptCount val="4"/>
                <c:pt idx="0">
                  <c:v>5.5</c:v>
                </c:pt>
                <c:pt idx="1">
                  <c:v>4.9000000000000004</c:v>
                </c:pt>
                <c:pt idx="2">
                  <c:v>3.2</c:v>
                </c:pt>
                <c:pt idx="3">
                  <c:v>6.8599999999999985</c:v>
                </c:pt>
              </c:numCache>
            </c:numRef>
          </c:val>
        </c:ser>
        <c:ser>
          <c:idx val="1"/>
          <c:order val="1"/>
          <c:tx>
            <c:strRef>
              <c:f>Лист1!$C$1</c:f>
              <c:strCache>
                <c:ptCount val="1"/>
                <c:pt idx="0">
                  <c:v>S/D після оклюзії</c:v>
                </c:pt>
              </c:strCache>
            </c:strRef>
          </c:tx>
          <c:dLbls>
            <c:spPr>
              <a:noFill/>
              <a:ln>
                <a:noFill/>
              </a:ln>
              <a:effectLst/>
            </c:spPr>
            <c:showVal val="1"/>
            <c:extLst>
              <c:ext xmlns:c15="http://schemas.microsoft.com/office/drawing/2012/chart" uri="{CE6537A1-D6FC-4f65-9D91-7224C49458BB}">
                <c15:layout/>
                <c15:showLeaderLines val="0"/>
              </c:ext>
            </c:extLst>
          </c:dLbls>
          <c:cat>
            <c:strRef>
              <c:f>Лист1!$A$2:$A$5</c:f>
              <c:strCache>
                <c:ptCount val="4"/>
                <c:pt idx="0">
                  <c:v>І ступінь n=19</c:v>
                </c:pt>
                <c:pt idx="1">
                  <c:v>ІІ ступінь n=22</c:v>
                </c:pt>
                <c:pt idx="2">
                  <c:v>ІІІ ступінь n=19</c:v>
                </c:pt>
                <c:pt idx="3">
                  <c:v>Група контролю n=17</c:v>
                </c:pt>
              </c:strCache>
            </c:strRef>
          </c:cat>
          <c:val>
            <c:numRef>
              <c:f>Лист1!$C$2:$C$5</c:f>
              <c:numCache>
                <c:formatCode>General</c:formatCode>
                <c:ptCount val="4"/>
                <c:pt idx="0">
                  <c:v>5.3</c:v>
                </c:pt>
                <c:pt idx="1">
                  <c:v>4.8</c:v>
                </c:pt>
                <c:pt idx="2">
                  <c:v>2.9</c:v>
                </c:pt>
                <c:pt idx="3">
                  <c:v>5.4</c:v>
                </c:pt>
              </c:numCache>
            </c:numRef>
          </c:val>
        </c:ser>
        <c:dLbls>
          <c:showVal val="1"/>
        </c:dLbls>
        <c:gapWidth val="75"/>
        <c:axId val="144715776"/>
        <c:axId val="144717312"/>
      </c:barChart>
      <c:catAx>
        <c:axId val="144715776"/>
        <c:scaling>
          <c:orientation val="minMax"/>
        </c:scaling>
        <c:axPos val="b"/>
        <c:numFmt formatCode="General" sourceLinked="0"/>
        <c:majorTickMark val="none"/>
        <c:tickLblPos val="nextTo"/>
        <c:crossAx val="144717312"/>
        <c:crosses val="autoZero"/>
        <c:auto val="1"/>
        <c:lblAlgn val="ctr"/>
        <c:lblOffset val="100"/>
      </c:catAx>
      <c:valAx>
        <c:axId val="144717312"/>
        <c:scaling>
          <c:orientation val="minMax"/>
        </c:scaling>
        <c:axPos val="l"/>
        <c:numFmt formatCode="General" sourceLinked="1"/>
        <c:majorTickMark val="none"/>
        <c:tickLblPos val="nextTo"/>
        <c:crossAx val="144715776"/>
        <c:crosses val="autoZero"/>
        <c:crossBetween val="between"/>
      </c:valAx>
    </c:plotArea>
    <c:legend>
      <c:legendPos val="b"/>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DDC9D88C-6345-4193-910B-724956537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9691</TotalTime>
  <Pages>188</Pages>
  <Words>44047</Words>
  <Characters>251071</Characters>
  <Application>Microsoft Office Word</Application>
  <DocSecurity>0</DocSecurity>
  <Lines>2092</Lines>
  <Paragraphs>589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294529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Маша</dc:creator>
  <cp:keywords/>
  <dc:description/>
  <cp:lastModifiedBy>ulia</cp:lastModifiedBy>
  <cp:revision>99</cp:revision>
  <cp:lastPrinted>2017-02-07T18:05:00Z</cp:lastPrinted>
  <dcterms:created xsi:type="dcterms:W3CDTF">2016-08-27T20:37:00Z</dcterms:created>
  <dcterms:modified xsi:type="dcterms:W3CDTF">2017-03-22T11:23:00Z</dcterms:modified>
</cp:coreProperties>
</file>