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FB" w:rsidRPr="00BD3758" w:rsidRDefault="00F36AFB" w:rsidP="00BD3758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BD3758">
        <w:rPr>
          <w:rFonts w:ascii="Times New Roman" w:hAnsi="Times New Roman" w:cs="Times New Roman"/>
          <w:b/>
          <w:sz w:val="20"/>
          <w:szCs w:val="20"/>
          <w:lang w:val="uk-UA"/>
        </w:rPr>
        <w:t>УДК:</w:t>
      </w:r>
      <w:r w:rsidR="00D732C4" w:rsidRPr="00BD3758">
        <w:rPr>
          <w:rFonts w:ascii="Times New Roman" w:hAnsi="Times New Roman" w:cs="Times New Roman"/>
          <w:b/>
          <w:sz w:val="20"/>
          <w:szCs w:val="20"/>
        </w:rPr>
        <w:t>616.53-002.25-036.1-085</w:t>
      </w:r>
    </w:p>
    <w:p w:rsidR="001F7A7F" w:rsidRPr="00BD3758" w:rsidRDefault="00BD3758" w:rsidP="00BD37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BD3758">
        <w:rPr>
          <w:rFonts w:ascii="Times New Roman" w:hAnsi="Times New Roman" w:cs="Times New Roman"/>
          <w:b/>
          <w:sz w:val="20"/>
          <w:szCs w:val="20"/>
          <w:lang w:val="uk-UA"/>
        </w:rPr>
        <w:t>КЛИНИКА И КОМПЛЕКСНАЯ ТЕРАПИЯ УГРЕВОЙ БОЛЕЗНИ У ЖЕНЩИН.</w:t>
      </w:r>
    </w:p>
    <w:p w:rsidR="002E462C" w:rsidRDefault="002E462C" w:rsidP="00BD375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BD3758">
        <w:rPr>
          <w:rFonts w:ascii="Times New Roman" w:hAnsi="Times New Roman" w:cs="Times New Roman"/>
          <w:i/>
          <w:sz w:val="20"/>
          <w:szCs w:val="20"/>
          <w:lang w:val="uk-UA"/>
        </w:rPr>
        <w:t>Литвин Е.С</w:t>
      </w:r>
    </w:p>
    <w:p w:rsidR="00BD3758" w:rsidRDefault="00BD3758" w:rsidP="00BD375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  <w:lang w:val="uk-UA"/>
        </w:rPr>
        <w:t>Харьковский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uk-UA"/>
        </w:rPr>
        <w:t>национальный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uk-UA"/>
        </w:rPr>
        <w:t>медицинский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університет</w:t>
      </w:r>
    </w:p>
    <w:p w:rsidR="00BD3758" w:rsidRPr="00BD3758" w:rsidRDefault="00BD3758" w:rsidP="00BD375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bookmarkStart w:id="0" w:name="_GoBack"/>
      <w:bookmarkEnd w:id="0"/>
    </w:p>
    <w:p w:rsidR="00B7710A" w:rsidRPr="00BD3758" w:rsidRDefault="00F36AFB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proofErr w:type="spellStart"/>
      <w:r w:rsidRPr="00BD3758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Ключев</w:t>
      </w:r>
      <w:r w:rsidRPr="00BD3758">
        <w:rPr>
          <w:rFonts w:ascii="Times New Roman" w:hAnsi="Times New Roman" w:cs="Times New Roman"/>
          <w:b/>
          <w:i/>
          <w:sz w:val="20"/>
          <w:szCs w:val="20"/>
        </w:rPr>
        <w:t>ые</w:t>
      </w:r>
      <w:proofErr w:type="spellEnd"/>
      <w:r w:rsidRPr="00BD3758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слова:</w:t>
      </w:r>
      <w:r w:rsidR="002E462C"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2E462C" w:rsidRPr="00BD3758">
        <w:rPr>
          <w:rFonts w:ascii="Times New Roman" w:hAnsi="Times New Roman" w:cs="Times New Roman"/>
          <w:sz w:val="20"/>
          <w:szCs w:val="20"/>
          <w:lang w:val="uk-UA"/>
        </w:rPr>
        <w:t>угревая</w:t>
      </w:r>
      <w:proofErr w:type="spellEnd"/>
      <w:r w:rsidR="002E462C"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2E462C" w:rsidRPr="00BD3758">
        <w:rPr>
          <w:rFonts w:ascii="Times New Roman" w:hAnsi="Times New Roman" w:cs="Times New Roman"/>
          <w:sz w:val="20"/>
          <w:szCs w:val="20"/>
          <w:lang w:val="uk-UA"/>
        </w:rPr>
        <w:t>болезнь</w:t>
      </w:r>
      <w:proofErr w:type="spellEnd"/>
      <w:r w:rsidR="002E462C"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2E462C" w:rsidRPr="00BD3758">
        <w:rPr>
          <w:rFonts w:ascii="Times New Roman" w:hAnsi="Times New Roman" w:cs="Times New Roman"/>
          <w:sz w:val="20"/>
          <w:szCs w:val="20"/>
          <w:lang w:val="uk-UA"/>
        </w:rPr>
        <w:t>лечение</w:t>
      </w:r>
      <w:proofErr w:type="spellEnd"/>
      <w:r w:rsidR="002E462C"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2E462C" w:rsidRPr="00BD3758">
        <w:rPr>
          <w:rFonts w:ascii="Times New Roman" w:hAnsi="Times New Roman" w:cs="Times New Roman"/>
          <w:sz w:val="20"/>
          <w:szCs w:val="20"/>
          <w:lang w:val="uk-UA"/>
        </w:rPr>
        <w:t>профилактика</w:t>
      </w:r>
      <w:proofErr w:type="spellEnd"/>
      <w:r w:rsidR="002E462C"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2E462C" w:rsidRPr="00BD3758">
        <w:rPr>
          <w:rFonts w:ascii="Times New Roman" w:hAnsi="Times New Roman" w:cs="Times New Roman"/>
          <w:sz w:val="20"/>
          <w:szCs w:val="20"/>
          <w:lang w:val="uk-UA"/>
        </w:rPr>
        <w:t>рецидивов</w:t>
      </w:r>
      <w:proofErr w:type="spellEnd"/>
      <w:r w:rsidR="002E462C" w:rsidRPr="00BD375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7710A" w:rsidRPr="00BD3758" w:rsidRDefault="00B7710A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Угревая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болезнь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-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это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полиморфное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мультифакториальное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заболевание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волосяных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фолликулов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сальных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желез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которое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встречается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у 80%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подростков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лиц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молодого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возраста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Среди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различных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клинических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разновидностей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наиболее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часто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встречаются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вульгарные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угри (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вульгарные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угри).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Этим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дерматозом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страдают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до 35%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подростков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мужского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пола и 23% -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женского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Наиболее удобная и часто используемая классификация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в дерматологической практике – это классификация, предложенная Американской академией дерматологии, согласно которой различают следующие степени тяжести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1 степень – характеризуется наличием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комедонов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(закрытых и открытых) до 10 папул.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2 степень –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комедоны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, папулы, до 10 пустул.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3 степень –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комедоны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папулопустулезная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сыпь, до 3 узлов.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>4 степень – выраженная воспалительная реакция в глубоких слоях дермы с формированием множественных болезненных узлов и кист.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Единственным недостатком этой классификации является отсутствие степеней тяжести в зависимости от распространенности процесса. Поэтому помимо классического деления с учетом степени тяжести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целесообразно разделять пациентов на подгруппы в зависимости от локализации и распространенности процесса (А, В, С). 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А – при локализации высыпаний в 1–ой анатомической области. 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3758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– 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при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локализации высыпаний в 2–х анатомических областях (например, лицо и спина).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375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– 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при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вовлечении в патологический процесс 3–х и более анатомических областей. Данная классификация наиболее полно отражает степень вовлеченности кожного покрова в патологический процесс.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относится к особой группе кожных заболеваний – психосоматическим дерматозам, при которых велика роль психоэмоциональных нарушений, связанных с проблемой «дефекта внешности», что особенно выражено у женщин и девушек. Локализация дерматоза на открытых участках кожи приносит пациенткам глубокие психологические страдания, снижая самооценку, негативно влияя на качество жизни, социальный статус, профессиональную деятельность, личную жизнь. В структуре общей заболеваемости тревожно–депрессивными расстройствами больные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по некоторым данным, занимают второе место, опережая по этому показателю многие соматические и кожные заболевания, включая даже больных с онкологической патологией. Пациенты с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демонстрируют более высокий уровень тревоги и депрессии по сравнению с другими дерматологическими больными. 30% подростков и 5% взрослых нуждаются в активной психолого–психиатрической помощи [1,2].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Британской ассоциацией дерматологов было установлено, что определенный вид дерматоза увеличивает риск суицидальных попыток. Элементы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самоповреждающего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поведения, в ряде случаев приведшего к завершенному суициду, чаще наблюдались при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псориазе, экземе и крапивнице. Пациенты с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имеют высокий риск попыток самоубийства, а также могут нести угрозу для своих лечащих врачей.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По данным J.K.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Tan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., женский пол, зрелый возраст, длительность (более 5 лет) заболевания являются дополнительными факторами, оказывающими негативное влияние на качество жизни женщин, существенно снижая его. Пациентки с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являются наиболее психологически уязвимыми, среди лиц с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отмечается большое число (64%) неработающих женщин, с неустроенной личной жизнью. В другом исследовании также было показано, что у 40% пациентов кожное заболевание, сопровождающееся косметическим дефектом, приводит к снижению их социального статуса и негативным образом отражается на профессиональной деятельности [</w:t>
      </w:r>
      <w:r w:rsidR="002E462C" w:rsidRPr="00BD3758">
        <w:rPr>
          <w:rFonts w:ascii="Times New Roman" w:hAnsi="Times New Roman" w:cs="Times New Roman"/>
          <w:sz w:val="20"/>
          <w:szCs w:val="20"/>
        </w:rPr>
        <w:t>6</w:t>
      </w:r>
      <w:r w:rsidRPr="00BD3758">
        <w:rPr>
          <w:rFonts w:ascii="Times New Roman" w:hAnsi="Times New Roman" w:cs="Times New Roman"/>
          <w:sz w:val="20"/>
          <w:szCs w:val="20"/>
        </w:rPr>
        <w:t>].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Исследования, проведенные отечественными дерматологами, показали, что психоэмоциональные расстройства (ПЭР) различной степени выраженности наблюдаются у 41,3% больных с УБ и значительно чаще встречаются у женщин. В другом исследовании было выявлено, что депрессивная симптоматика, вызванная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, чаще встречается и имеет более выраженный характер у женщин по сравнению с мужчинами [5].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Данные литературы, свидетельствующие о наличии взаимосвязи между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стрессогенными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факторами и возникновением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довольно противоречивы. Так,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Goulden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выявили, что только 12% из 71% женщин, у которых стресс являлся причиной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называют его провоцирующим фактором заболевания. В то же время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Poli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Dumont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Wallon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отметили, что стресс является одним из существенных факторов, провоцирующих возникновение угревых высыпаний у женщин, он выявлялся как триггерный фактор в 34–50% наблюдений. Связь между стрессом и обострением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в настоящее время объясняется выработкой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нейромедиаторов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(субстанция Р), которая влияет на дифференцировку и деление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себоцитов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и стимулирует выработку кожного сала. Кожа людей со склонностью к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характеризуется обилием нервных окончаний, увеличенным числом нервных волокон, способных секретировать субстанцию 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>, а также большим числом тучных клеток [3,4].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Обострение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чаще наблюдается зимой и весной. К ухудшению течения заболевания приводят постоянная механическая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травматизация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кожи (выдавливание угрей, частое мытье с мылом), негативное воздействие внешней среды (загрязнение кожи маслами, бензином, пылью производственного происхождения), прием ряда медикаментов (стероидные гормоны, галогенсодержащие препараты, противотуберкулезные средства, антидепрессанты, противоэпилептические средства), неадекватно подобранная линия косметических средств по </w:t>
      </w:r>
      <w:r w:rsidRPr="00BD3758">
        <w:rPr>
          <w:rFonts w:ascii="Times New Roman" w:hAnsi="Times New Roman" w:cs="Times New Roman"/>
          <w:sz w:val="20"/>
          <w:szCs w:val="20"/>
        </w:rPr>
        <w:lastRenderedPageBreak/>
        <w:t xml:space="preserve">уходу за кожей. Солнечное облучение у большинства пациентов оказывает благоприятное влияние на течение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и способствует частичному разрешению угревых высыпаний, однако у 8–10% пациентов интенсивная инсоляция вызывает обострение заболевания [1].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В последнее время появились публикации о влиянии пищевых продуктов на появление угревых высыпаний. Такая гипотеза уже высказывалась около полувека назад, но потом была отвергнута. В настоящее время за рубежом проводятся исследования, посвященные пищевому рациону и его влиянию на течение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Было выявлено, что продукты со значительным содержанием сахара и других углеводов, увеличивая уровень гликемической нагрузки, влияют на концентрацию инсулина и IGF 1, которые в свою очередь повышают концентрацию основных андрогенов в плазме крови. Это приводит к гиперсекреции кожного сала и появлению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. Следует также напомнить, что усиленный прием йо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д–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или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бромсодержащих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продуктов питания, в том числе в больших количествах йодированной соли и морепродуктов, может привести к увеличению воспалительных высыпаний у больных с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. С другой стороны, отмечено, что включение в пищевой рацион продуктов, содержащих антиоксиданты, омега–3 жирные кислоты, пищевые волокна, витамины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, Е, С, положительно влияет на течение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способствуя уменьшению количества высыпаний. A.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Logan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доказал, что рыбий жир, богатый омега–3 жирными кислотами, ингибирует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лейкотриен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и способен уменьшить выраженность воспалительных явлений при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[6,7].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В последних исследованиях была выявлена роль табака в развитии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Было отмечено, что курящие женщины имели более тяжелые формы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по сравнению с 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некурящими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. В двух исследованиях, проведенных в 2009 и 2010 г., было выявлено, что курение является главным фактором в развитии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комедональных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невоспалительных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у женщин. По мнению авторов, это объясняется тем, что никотин увеличивает продукцию кожного сала и снижает концентрацию витамина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 xml:space="preserve"> Е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в организме [5].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Диагностическая и терапевтическая модель ведения женщин с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включает в 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себя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прежде всего полное и всестороннее обследование пациенток с учетом не только дерматологического, но и прежде всего гормонально–эндокринного профиля женщины с обязательным привлечением гинеколога–эндокринолога. От результатов исследования во многом зависит тактика ведения пациентки. Но прежде 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всего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необходимо тщательно собрать анамнез, обращая внимания на семейную отягощенность, опыт предшествующей терапии, наличие сопутствующей патологии, характер питания. При осмотре следует обратить внимание не только на характер высыпаний, но и отметить телосложение женщины, тип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оволосения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, степень развития вторичных половых признаков, оценить наличие избыточной массы тела. Необходимо выяснить особенности менструального цикла и его влияние на появление высыпаний, а также влияние беременностей и родов на течение дерматоза.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Пациенткам назначают гормональное исследование крови (5–7–й день менструального цикла) с определением концентрации яичниковых и надпочечниковых андрогенов, гормонов щитовидной железы и гипофиза; стероидный профиль мочи (2–я фаза менструального цикла), с помощью которого определяют суточную экскрецию андрогенов. Гормональные зонды целесообразно дополнить УЗИ органов малого таза (5–10–й день менструального цикла,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оптимальнее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всего – 5–7–й день), при необходимости – УЗИ надпочечников, КТ, МРТ/рентгенографией черепа, малой пробой с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дексаметазоном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и др.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Для исследования фонового состояния кожи у пациенток с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помимо клинической оценки степени тяжести заболевания, целесообразно использовать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неинвазивные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дерматологические методы исследования, которые помимо объективизации патологических процессов в коже также служат критерием эффективности и безопасности терапии при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Рекомендуется использовать следующие методы: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себометрию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рН–метрию,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корнеометрию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(измерение уровня увлажненности кожи, особенно у пациенток с поздними угрями), а также исследование микрорельефа кожи методом оптического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видеомониторинга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Лечебная тактика при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у женщин зависит от стадии, распространенности заболевания, наличия или отсутствия патологических изменений в гормонально–эндокринном статусе женщины, а также от психоэмоционального состояния женщины. При выборе тактики лечения также необходимо учитывать возраст пациентки, сопутствующую патологию, возможность соблюдения режима лечения, предшествующую терапию. Современные подходы к терапии заболевания включают назначение различных системных и топических препаратов, влияющих на различные звенья патогенеза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Системная терапия назначается при 3–4–й степени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при упорном течении процесса при 2–й степени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а также при распространенных высыпаниях и отягощенности гормонально–эндокринного статуса при любой стадии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(гормональная терапия). </w:t>
      </w:r>
      <w:r w:rsidR="002E462C" w:rsidRPr="00BD3758">
        <w:rPr>
          <w:rFonts w:ascii="Times New Roman" w:hAnsi="Times New Roman" w:cs="Times New Roman"/>
          <w:sz w:val="20"/>
          <w:szCs w:val="20"/>
        </w:rPr>
        <w:t>[</w:t>
      </w:r>
      <w:r w:rsidR="002E462C" w:rsidRPr="00BD3758">
        <w:rPr>
          <w:rFonts w:ascii="Times New Roman" w:hAnsi="Times New Roman" w:cs="Times New Roman"/>
          <w:sz w:val="20"/>
          <w:szCs w:val="20"/>
          <w:lang w:val="en-US"/>
        </w:rPr>
        <w:t>1,2,5]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При 1–й степени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проводится только местная терапия, причем препаратами первого выбора являются топически</w:t>
      </w:r>
      <w:r w:rsidR="00F36AFB" w:rsidRPr="00BD3758">
        <w:rPr>
          <w:rFonts w:ascii="Times New Roman" w:hAnsi="Times New Roman" w:cs="Times New Roman"/>
          <w:sz w:val="20"/>
          <w:szCs w:val="20"/>
        </w:rPr>
        <w:t xml:space="preserve">е </w:t>
      </w:r>
      <w:proofErr w:type="spellStart"/>
      <w:r w:rsidR="00F36AFB" w:rsidRPr="00BD3758">
        <w:rPr>
          <w:rFonts w:ascii="Times New Roman" w:hAnsi="Times New Roman" w:cs="Times New Roman"/>
          <w:sz w:val="20"/>
          <w:szCs w:val="20"/>
        </w:rPr>
        <w:t>ретиноиды</w:t>
      </w:r>
      <w:proofErr w:type="spellEnd"/>
      <w:r w:rsidR="00F36AFB" w:rsidRPr="00BD3758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F36AFB" w:rsidRPr="00BD3758">
        <w:rPr>
          <w:rFonts w:ascii="Times New Roman" w:hAnsi="Times New Roman" w:cs="Times New Roman"/>
          <w:sz w:val="20"/>
          <w:szCs w:val="20"/>
        </w:rPr>
        <w:t>адапален</w:t>
      </w:r>
      <w:proofErr w:type="spellEnd"/>
      <w:r w:rsidR="00F36AFB" w:rsidRPr="00BD3758">
        <w:rPr>
          <w:rFonts w:ascii="Times New Roman" w:hAnsi="Times New Roman" w:cs="Times New Roman"/>
          <w:sz w:val="20"/>
          <w:szCs w:val="20"/>
        </w:rPr>
        <w:t>)</w:t>
      </w:r>
      <w:proofErr w:type="gramStart"/>
      <w:r w:rsidR="00F36AFB" w:rsidRPr="00BD3758">
        <w:rPr>
          <w:rFonts w:ascii="Times New Roman" w:hAnsi="Times New Roman" w:cs="Times New Roman"/>
          <w:sz w:val="20"/>
          <w:szCs w:val="20"/>
        </w:rPr>
        <w:t xml:space="preserve"> </w:t>
      </w:r>
      <w:r w:rsidRPr="00BD3758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при 2–й степени к топической присоединяют системную терапию, как правило, это антибиотики. Возможны применение воздействия высокоинтенсивного голубого света на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–элементы и прием препаратов цинка, однако уровень доказательности для данных видов терапии невысок. При назначении топических антибиотиков следует учитывать, что, по последним данным,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клиндамицин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является наиболее эффективным препаратом в отношении угревых высыпаний, с учетом последних данных о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торпидности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к системным и топическим антибиотикам у женщин с поздними угрями. Наибольший эффект достигается при сочетании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адапалена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бензоилпероксида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(ВПО), ВПО 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клиндамицина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системных антибиотиков в сочетании с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азелаиновой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кислотой,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адапаленом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и ВПО.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При тяжелых формах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у женщин показано назначение КОК с антиандрогенным эффектом в сочетании с топическими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противоугревыми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препаратами и, в тяжелых случаях, с системными антибиотиками. Для достижения выраженного терапевтического эффекта назначать КОК следует на длительный срок – от 6 мес. до 1 года. При противопоказаниях к назначению КОК применяются 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системные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ретиноиды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Установлено, что степень </w:t>
      </w:r>
      <w:r w:rsidRPr="00BD3758">
        <w:rPr>
          <w:rFonts w:ascii="Times New Roman" w:hAnsi="Times New Roman" w:cs="Times New Roman"/>
          <w:sz w:val="20"/>
          <w:szCs w:val="20"/>
        </w:rPr>
        <w:lastRenderedPageBreak/>
        <w:t xml:space="preserve">выраженности положительных результатов терапии системными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ретиноидами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тяжелых форм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является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дозозависимой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Длительность приема препарата приводит к выраженному подавлению активности сальных желез, что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гистологически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подтверждается уменьшением их размеров. Для достижения наибольшей эффективности лечения, увеличения продолжительности ремиссий и снижения частоты рецидивов оптимально использование курсовой дозы – 120–150 мг/кг. 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Системные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ретиноиды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необходимо применять в течение 3–6 мес. </w:t>
      </w:r>
      <w:r w:rsidR="002E462C" w:rsidRPr="00BD3758">
        <w:rPr>
          <w:rFonts w:ascii="Times New Roman" w:hAnsi="Times New Roman" w:cs="Times New Roman"/>
          <w:sz w:val="20"/>
          <w:szCs w:val="20"/>
        </w:rPr>
        <w:t>[2]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При 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противопоказаниях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как к назначению КОК, так и системных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ретиноидов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наиболее показано применение системных антибиотиков в сочетании с препаратами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азелаиновой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кислоты (гель, крем) и другими топическими препаратами сроком не менее 1 мес. 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При назначении препаратов у женщин следует учитывать их влияние на фертильность, возможность тератогенного действия, мутагенность,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фетотоксичность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возможность сочетания с косметикой и духами, а также с косметологическими процедурами. 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В качестве дополнительной терапии, так называемых средств ухода, необходимо использовать средства лечебной косметики, которые являются важным лечебным компонентом терапевтической программы ведения пациенток с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. При выборе косметических средств необходимо учитывать тип кожи пациентки, данные аппаратных методик, позволяющих оценить степень выраженности жирности, увлажненности кожи и ее рН.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После удачного купирования воспалительных проявлений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врачу часто приходится сталкиваться с трудностями в коррекции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постакне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Наиболее частыми проявлениями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постакне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являются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дисхромии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и рубцы.</w:t>
      </w:r>
      <w:r w:rsidR="002E462C" w:rsidRPr="00BD3758">
        <w:rPr>
          <w:rFonts w:ascii="Times New Roman" w:hAnsi="Times New Roman" w:cs="Times New Roman"/>
          <w:sz w:val="20"/>
          <w:szCs w:val="20"/>
        </w:rPr>
        <w:t>[1,3]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Для разрешения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дисхромий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успешно применяются: поверхностные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пилинги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с 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α–</w:t>
      </w:r>
      <w:proofErr w:type="spellStart"/>
      <w:proofErr w:type="gramEnd"/>
      <w:r w:rsidRPr="00BD3758">
        <w:rPr>
          <w:rFonts w:ascii="Times New Roman" w:hAnsi="Times New Roman" w:cs="Times New Roman"/>
          <w:sz w:val="20"/>
          <w:szCs w:val="20"/>
        </w:rPr>
        <w:t>гидроксикислотами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срединные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пилинги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с ТСА. Хороший синергический эффект дает совместное использование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азелаиновой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кислоты вместе с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пилингами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в качестве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препилинговой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подготовки 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постпилингового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ухода, особенно у пациентов со смуглой кожей в качестве профилактики гиперпигментации и обострений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Хороший эффект дают курс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криомассажа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(5–6 мин. 2–3 раза в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нед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на курс 10–15 процедур),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мезотерапия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, курс лечебного массажа (15 процедур) в сочетании с электрофорезом с витамином С.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Для коррекции атрофических рубцов применяются химические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пилинги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чаще срединные,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микродермабразия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лазерная шлифовка, инъекции филлеров, криотерапия,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мезотерапия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но наиболее эффективными являются комбинированные методы коррекции. Для лечения гипертрофических рубцов используют очаговое введение кортикостероидов, электрофорез с кортикостероидами,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лидазой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коллагеназой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буки–терапию,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фонофорез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с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контрактубексом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мадекассолом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криодеструкцию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, мазевую терапию (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медерма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куриозин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контратубекс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), а также хирургическое иссечение рубцов при большой площади поражения. </w:t>
      </w:r>
    </w:p>
    <w:p w:rsidR="001F7A7F" w:rsidRPr="00BD3758" w:rsidRDefault="00F36AFB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Таким 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образом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разумное комбинированное назначение препаратов для наружного и системного применения позволяет добиться хорошего клинического эффекта, улучшить качество жизни у большинства больных различными формами угревой болезни.</w:t>
      </w:r>
    </w:p>
    <w:p w:rsidR="00BD3758" w:rsidRPr="00BD3758" w:rsidRDefault="00BD3758" w:rsidP="00BD3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BD3758">
        <w:rPr>
          <w:rFonts w:ascii="Times New Roman" w:hAnsi="Times New Roman" w:cs="Times New Roman"/>
          <w:b/>
          <w:sz w:val="20"/>
          <w:szCs w:val="20"/>
          <w:lang w:val="uk-UA"/>
        </w:rPr>
        <w:t xml:space="preserve">Список </w:t>
      </w:r>
      <w:proofErr w:type="spellStart"/>
      <w:r w:rsidRPr="00BD3758">
        <w:rPr>
          <w:rFonts w:ascii="Times New Roman" w:hAnsi="Times New Roman" w:cs="Times New Roman"/>
          <w:b/>
          <w:sz w:val="20"/>
          <w:szCs w:val="20"/>
          <w:lang w:val="uk-UA"/>
        </w:rPr>
        <w:t>литератури</w:t>
      </w:r>
      <w:proofErr w:type="spellEnd"/>
      <w:r w:rsidRPr="00BD3758">
        <w:rPr>
          <w:rFonts w:ascii="Times New Roman" w:hAnsi="Times New Roman" w:cs="Times New Roman"/>
          <w:b/>
          <w:sz w:val="20"/>
          <w:szCs w:val="20"/>
          <w:lang w:val="uk-UA"/>
        </w:rPr>
        <w:t>:</w:t>
      </w:r>
    </w:p>
    <w:p w:rsidR="00BD3758" w:rsidRPr="00BD3758" w:rsidRDefault="00BD3758" w:rsidP="00BD375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Клинические рекомендации.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Дерматовенерология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Под ред. А. А.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Кубановой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. М.: ДЭКС-Пресс. 2010. 428 с.</w:t>
      </w:r>
    </w:p>
    <w:p w:rsidR="00BD3758" w:rsidRPr="00BD3758" w:rsidRDefault="00BD3758" w:rsidP="00BD375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Потекаев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Н.Н.,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Горячкина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М.В., Белоусова Т.А.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(угревая болезнь): современный взгляд на проблему //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Consilium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medicum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. — Прил.: Дерматология. — 2008. — № 1. — С. 12–16.</w:t>
      </w:r>
    </w:p>
    <w:p w:rsidR="00BD3758" w:rsidRPr="00BD3758" w:rsidRDefault="00BD3758" w:rsidP="00BD375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Скрипкин Ю.К.,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Кубанова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А.А., Самсонов В.А., Чистякова И.А. </w:t>
      </w:r>
      <w:proofErr w:type="gramStart"/>
      <w:r w:rsidRPr="00BD3758">
        <w:rPr>
          <w:rFonts w:ascii="Times New Roman" w:hAnsi="Times New Roman" w:cs="Times New Roman"/>
          <w:sz w:val="20"/>
          <w:szCs w:val="20"/>
        </w:rPr>
        <w:t>Синтетические</w:t>
      </w:r>
      <w:proofErr w:type="gramEnd"/>
      <w:r w:rsidRPr="00BD37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ретиноиды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новый этап в лечении тяжелых  //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Вестн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дерматол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. и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венерол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. - 1994. - № 2. — С.3-6.</w:t>
      </w:r>
    </w:p>
    <w:p w:rsidR="00BD3758" w:rsidRPr="00BD3758" w:rsidRDefault="00BD3758" w:rsidP="00BD375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Les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Nouvelles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Esthetiques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» - М., русское издание, ЗАО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Космопресс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>, №2, 2002, №4, 2005, №5, 2007, №3, 2008, №3, 2009.</w:t>
      </w:r>
    </w:p>
    <w:p w:rsidR="00BD3758" w:rsidRPr="00BD3758" w:rsidRDefault="00BD3758" w:rsidP="00BD375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D3758">
        <w:rPr>
          <w:rFonts w:ascii="Times New Roman" w:hAnsi="Times New Roman" w:cs="Times New Roman"/>
          <w:sz w:val="20"/>
          <w:szCs w:val="20"/>
        </w:rPr>
        <w:t xml:space="preserve">Е. Аравийская, д.м.н.,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СПбГМУ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им. И. П. Павлова, «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Симптомокомплекс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постакне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: особенности клиники, диагностики, общие принципы коррекции», журнал KOSMETIK </w:t>
      </w:r>
      <w:proofErr w:type="spellStart"/>
      <w:r w:rsidRPr="00BD3758">
        <w:rPr>
          <w:rFonts w:ascii="Times New Roman" w:hAnsi="Times New Roman" w:cs="Times New Roman"/>
          <w:sz w:val="20"/>
          <w:szCs w:val="20"/>
        </w:rPr>
        <w:t>international</w:t>
      </w:r>
      <w:proofErr w:type="spellEnd"/>
      <w:r w:rsidRPr="00BD3758">
        <w:rPr>
          <w:rFonts w:ascii="Times New Roman" w:hAnsi="Times New Roman" w:cs="Times New Roman"/>
          <w:sz w:val="20"/>
          <w:szCs w:val="20"/>
        </w:rPr>
        <w:t xml:space="preserve"> 2004 г. № 6.</w:t>
      </w:r>
    </w:p>
    <w:p w:rsidR="00BD3758" w:rsidRPr="00BD3758" w:rsidRDefault="00BD3758" w:rsidP="00BD375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Goldstein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Adrian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M.,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Abramovits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William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Ceramides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stratum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corneum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structure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function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new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methods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to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promote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repair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//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International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J.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Dermatol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>. 2003. V. 42. P. 256–259.</w:t>
      </w:r>
    </w:p>
    <w:p w:rsidR="00BD3758" w:rsidRPr="00BD3758" w:rsidRDefault="00BD3758" w:rsidP="00BD3758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F36AFB" w:rsidRPr="00BD3758" w:rsidRDefault="00BD3758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BD3758">
        <w:rPr>
          <w:rFonts w:ascii="Times New Roman" w:hAnsi="Times New Roman" w:cs="Times New Roman"/>
          <w:b/>
          <w:sz w:val="20"/>
          <w:szCs w:val="20"/>
        </w:rPr>
        <w:t>КЛ</w:t>
      </w:r>
      <w:r w:rsidRPr="00BD3758">
        <w:rPr>
          <w:rFonts w:ascii="Times New Roman" w:hAnsi="Times New Roman" w:cs="Times New Roman"/>
          <w:b/>
          <w:sz w:val="20"/>
          <w:szCs w:val="20"/>
          <w:lang w:val="uk-UA"/>
        </w:rPr>
        <w:t>ІНИКА ТА КОМПЛЕКСНА ТЕРАПІЯ ВУГРОВОЇ ХВОРОБИ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BD3758">
        <w:rPr>
          <w:rFonts w:ascii="Times New Roman" w:hAnsi="Times New Roman" w:cs="Times New Roman"/>
          <w:i/>
          <w:sz w:val="20"/>
          <w:szCs w:val="20"/>
          <w:lang w:val="uk-UA"/>
        </w:rPr>
        <w:t>Літвін</w:t>
      </w:r>
      <w:proofErr w:type="spellEnd"/>
      <w:r w:rsidRPr="00BD37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О.С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D3758">
        <w:rPr>
          <w:rFonts w:ascii="Times New Roman" w:hAnsi="Times New Roman" w:cs="Times New Roman"/>
          <w:sz w:val="20"/>
          <w:szCs w:val="20"/>
          <w:lang w:val="uk-UA"/>
        </w:rPr>
        <w:t>Ключові слова: вугрова хвороба, класифікація, клінічні прояви.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Вугрова хвороба – одне з найпоширеніших хронічних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рецидивуючих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 xml:space="preserve"> хвороб шкіри, яке виявляють у 70-80% підлітків. В статті представлені особливості течії, причини виникнення , основні симптоми та ознаки вугрової хвороби, також можливі патогенні фактори , що впливають на появу вогнищ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uk-UA"/>
        </w:rPr>
        <w:t>акне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F7A7F" w:rsidRPr="00BD3758" w:rsidRDefault="00BD3758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BD3758">
        <w:rPr>
          <w:rFonts w:ascii="Times New Roman" w:hAnsi="Times New Roman" w:cs="Times New Roman"/>
          <w:b/>
          <w:sz w:val="20"/>
          <w:szCs w:val="20"/>
          <w:lang w:val="en-US"/>
        </w:rPr>
        <w:t>CLINIC AND COMPLEX THERAPY OF ACNE</w:t>
      </w:r>
      <w:r w:rsidRPr="00BD3758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BD3758">
        <w:rPr>
          <w:rFonts w:ascii="Times New Roman" w:hAnsi="Times New Roman" w:cs="Times New Roman"/>
          <w:i/>
          <w:sz w:val="20"/>
          <w:szCs w:val="20"/>
          <w:lang w:val="en-US"/>
        </w:rPr>
        <w:t>Litvin</w:t>
      </w:r>
      <w:proofErr w:type="spellEnd"/>
      <w:r w:rsidRPr="00BD375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O.S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D3758">
        <w:rPr>
          <w:rFonts w:ascii="Times New Roman" w:hAnsi="Times New Roman" w:cs="Times New Roman"/>
          <w:sz w:val="20"/>
          <w:szCs w:val="20"/>
          <w:lang w:val="en-US"/>
        </w:rPr>
        <w:t>Key words: acne, clinical classification, manifestation.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D3758">
        <w:rPr>
          <w:rFonts w:ascii="Times New Roman" w:hAnsi="Times New Roman" w:cs="Times New Roman"/>
          <w:sz w:val="20"/>
          <w:szCs w:val="20"/>
          <w:lang w:val="en-US"/>
        </w:rPr>
        <w:t xml:space="preserve">Acne –one of the most common chronic relapsing </w:t>
      </w:r>
      <w:proofErr w:type="spellStart"/>
      <w:r w:rsidRPr="00BD3758">
        <w:rPr>
          <w:rFonts w:ascii="Times New Roman" w:hAnsi="Times New Roman" w:cs="Times New Roman"/>
          <w:sz w:val="20"/>
          <w:szCs w:val="20"/>
          <w:lang w:val="en-US"/>
        </w:rPr>
        <w:t>deseases</w:t>
      </w:r>
      <w:proofErr w:type="spellEnd"/>
      <w:r w:rsidRPr="00BD3758">
        <w:rPr>
          <w:rFonts w:ascii="Times New Roman" w:hAnsi="Times New Roman" w:cs="Times New Roman"/>
          <w:sz w:val="20"/>
          <w:szCs w:val="20"/>
          <w:lang w:val="en-US"/>
        </w:rPr>
        <w:t xml:space="preserve"> of the skin, show that 70-80% of adolescents. The article presents the characteristics of the course, cause of, the main symptoms and signs of acne, also the possible pathogenic factors, affecting the appearance of acne.</w:t>
      </w: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F7A7F" w:rsidRPr="00BD3758" w:rsidRDefault="001F7A7F" w:rsidP="00BD37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E462C" w:rsidRPr="00BD3758" w:rsidRDefault="002E462C" w:rsidP="00BD3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E462C" w:rsidRPr="00BD3758" w:rsidRDefault="002E462C" w:rsidP="00BD3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E462C" w:rsidRPr="00BD3758" w:rsidRDefault="002E462C" w:rsidP="00BD3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E462C" w:rsidRPr="00BD3758" w:rsidRDefault="002E462C" w:rsidP="00BD3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E462C" w:rsidRPr="00BD3758" w:rsidRDefault="002E462C" w:rsidP="00BD3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E462C" w:rsidRPr="00BD3758" w:rsidRDefault="002E462C" w:rsidP="00BD3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E462C" w:rsidRPr="00BD3758" w:rsidRDefault="002E462C" w:rsidP="00BD3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E462C" w:rsidRPr="00BD3758" w:rsidRDefault="002E462C" w:rsidP="00BD3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E462C" w:rsidRPr="00BD3758" w:rsidRDefault="002E462C" w:rsidP="00BD3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sectPr w:rsidR="002E462C" w:rsidRPr="00BD3758" w:rsidSect="002E462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67C33"/>
    <w:multiLevelType w:val="hybridMultilevel"/>
    <w:tmpl w:val="ECA06CD4"/>
    <w:lvl w:ilvl="0" w:tplc="E3245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F08F0"/>
    <w:multiLevelType w:val="hybridMultilevel"/>
    <w:tmpl w:val="FA589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040EA"/>
    <w:multiLevelType w:val="hybridMultilevel"/>
    <w:tmpl w:val="2910D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102A89"/>
    <w:multiLevelType w:val="hybridMultilevel"/>
    <w:tmpl w:val="6EA05876"/>
    <w:lvl w:ilvl="0" w:tplc="E3245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7F"/>
    <w:rsid w:val="001F7A7F"/>
    <w:rsid w:val="002E462C"/>
    <w:rsid w:val="007C5665"/>
    <w:rsid w:val="00B7710A"/>
    <w:rsid w:val="00BD3758"/>
    <w:rsid w:val="00D732C4"/>
    <w:rsid w:val="00E4380B"/>
    <w:rsid w:val="00F3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A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C5C43-2ACB-479A-990F-87B5A92F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2017-05-22T19:37:00Z</dcterms:created>
  <dcterms:modified xsi:type="dcterms:W3CDTF">2017-05-24T08:54:00Z</dcterms:modified>
</cp:coreProperties>
</file>