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3892" w:rsidRPr="00B13892" w:rsidRDefault="00B13892" w:rsidP="00B1389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B13892">
        <w:rPr>
          <w:rFonts w:ascii="Times New Roman" w:hAnsi="Times New Roman" w:cs="Times New Roman"/>
          <w:b/>
          <w:sz w:val="28"/>
          <w:szCs w:val="28"/>
        </w:rPr>
        <w:t>КОМБІНОВАНЕ ВИКОРИСТАННЯ ОДНОГО СТАНДАРТНОГО ТА МНОЖИННИХ</w:t>
      </w:r>
      <w:r w:rsidRPr="00B138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b/>
          <w:sz w:val="28"/>
          <w:szCs w:val="28"/>
        </w:rPr>
        <w:t>УЛЬТРА-МІНІПЕРКУТАННИХ ДОСТУПІВ У ХВОРИХ НА КОРАЛОПОДІБНИЙ</w:t>
      </w:r>
      <w:r w:rsidRPr="00B138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b/>
          <w:sz w:val="28"/>
          <w:szCs w:val="28"/>
        </w:rPr>
        <w:t>НЕФРОЛІТІАЗ</w:t>
      </w:r>
    </w:p>
    <w:p w:rsidR="00B13892" w:rsidRPr="00B13892" w:rsidRDefault="00B13892" w:rsidP="00B13892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B13892">
        <w:rPr>
          <w:rFonts w:ascii="Times New Roman" w:hAnsi="Times New Roman" w:cs="Times New Roman"/>
          <w:i/>
          <w:sz w:val="28"/>
          <w:szCs w:val="28"/>
        </w:rPr>
        <w:t xml:space="preserve">Савенков В.І., Мальцев А.В., </w:t>
      </w:r>
      <w:proofErr w:type="spellStart"/>
      <w:r w:rsidRPr="00B13892">
        <w:rPr>
          <w:rFonts w:ascii="Times New Roman" w:hAnsi="Times New Roman" w:cs="Times New Roman"/>
          <w:i/>
          <w:sz w:val="28"/>
          <w:szCs w:val="28"/>
        </w:rPr>
        <w:t>Емець</w:t>
      </w:r>
      <w:proofErr w:type="spellEnd"/>
      <w:r w:rsidRPr="00B13892">
        <w:rPr>
          <w:rFonts w:ascii="Times New Roman" w:hAnsi="Times New Roman" w:cs="Times New Roman"/>
          <w:i/>
          <w:sz w:val="28"/>
          <w:szCs w:val="28"/>
        </w:rPr>
        <w:t xml:space="preserve"> Д.О., Левченко Д.А.</w:t>
      </w:r>
    </w:p>
    <w:p w:rsidR="00B13892" w:rsidRPr="00B13892" w:rsidRDefault="00B13892" w:rsidP="00B1389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13892">
        <w:rPr>
          <w:rFonts w:ascii="Times New Roman" w:hAnsi="Times New Roman" w:cs="Times New Roman"/>
          <w:sz w:val="28"/>
          <w:szCs w:val="28"/>
        </w:rPr>
        <w:t>КУОЗ «Областной клинический центр урологии и нефрологии им.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B13892">
        <w:rPr>
          <w:rFonts w:ascii="Times New Roman" w:hAnsi="Times New Roman" w:cs="Times New Roman"/>
          <w:sz w:val="28"/>
          <w:szCs w:val="28"/>
        </w:rPr>
        <w:t xml:space="preserve">В.И. Шаповала», м.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Харкі</w:t>
      </w:r>
      <w:proofErr w:type="gramStart"/>
      <w:r w:rsidRPr="00B13892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</w:p>
    <w:p w:rsid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13892" w:rsidRP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13892">
        <w:rPr>
          <w:rFonts w:ascii="Times New Roman" w:hAnsi="Times New Roman" w:cs="Times New Roman"/>
          <w:b/>
          <w:sz w:val="28"/>
          <w:szCs w:val="28"/>
        </w:rPr>
        <w:t>Вступ</w:t>
      </w:r>
      <w:r w:rsidRPr="00B138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Сечокам’яна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хвороба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зустрічається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менш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13892">
        <w:rPr>
          <w:rFonts w:ascii="Times New Roman" w:hAnsi="Times New Roman" w:cs="Times New Roman"/>
          <w:sz w:val="28"/>
          <w:szCs w:val="28"/>
        </w:rPr>
        <w:t>ніж</w:t>
      </w:r>
      <w:proofErr w:type="spellEnd"/>
      <w:proofErr w:type="gramEnd"/>
      <w:r w:rsidRPr="00B13892">
        <w:rPr>
          <w:rFonts w:ascii="Times New Roman" w:hAnsi="Times New Roman" w:cs="Times New Roman"/>
          <w:sz w:val="28"/>
          <w:szCs w:val="28"/>
        </w:rPr>
        <w:t xml:space="preserve"> у 1-10%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причому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найчастіше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неї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страждають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люди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працездатного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(30-55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). [7].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Камені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зустрічаються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чоловічій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популяції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тяжкі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коралоподібний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нефролітіаз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спостерігаються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13892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Питома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вага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коралоподібного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нефролітіазу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структурі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СКХ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</w:rPr>
        <w:t xml:space="preserve">становить 4-12%. У 10% таких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рецидив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настає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першого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року, а у 50%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–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п'ятирічний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[7].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Нелікований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коралоподібний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нефролітіаз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привести до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повної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втрати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нирки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та сепсису,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загрожує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життю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[6, 7].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Головним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методом </w:t>
      </w:r>
      <w:proofErr w:type="spellStart"/>
      <w:proofErr w:type="gramStart"/>
      <w:r w:rsidRPr="00B13892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B13892">
        <w:rPr>
          <w:rFonts w:ascii="Times New Roman" w:hAnsi="Times New Roman" w:cs="Times New Roman"/>
          <w:sz w:val="28"/>
          <w:szCs w:val="28"/>
        </w:rPr>
        <w:t>ікування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коралоподібного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нефролітіазу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нефролітотрипсія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, але для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стану «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stone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free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необхідним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множинного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перкутанного доступу. </w:t>
      </w:r>
      <w:proofErr w:type="gramStart"/>
      <w:r w:rsidRPr="00B13892">
        <w:rPr>
          <w:rFonts w:ascii="Times New Roman" w:hAnsi="Times New Roman" w:cs="Times New Roman"/>
          <w:sz w:val="28"/>
          <w:szCs w:val="28"/>
        </w:rPr>
        <w:t xml:space="preserve">У свою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збільшенням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черезшкірних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стандартних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доступів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зростає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травматичність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процедури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імовірність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геморагічних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погіршується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функція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нирки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, особливо у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доопераційною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нирковою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недостатністю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та 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супутньої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гіпертонічної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[1, 2].</w:t>
      </w:r>
      <w:proofErr w:type="gram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Діаметр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робочого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каналу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відіграє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13892">
        <w:rPr>
          <w:rFonts w:ascii="Times New Roman" w:hAnsi="Times New Roman" w:cs="Times New Roman"/>
          <w:sz w:val="28"/>
          <w:szCs w:val="28"/>
        </w:rPr>
        <w:t>пров</w:t>
      </w:r>
      <w:proofErr w:type="gramEnd"/>
      <w:r w:rsidRPr="00B13892">
        <w:rPr>
          <w:rFonts w:ascii="Times New Roman" w:hAnsi="Times New Roman" w:cs="Times New Roman"/>
          <w:sz w:val="28"/>
          <w:szCs w:val="28"/>
        </w:rPr>
        <w:t>ідну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роль та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знаходиться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у прямо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пропорційній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виникненням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[3]. </w:t>
      </w:r>
      <w:proofErr w:type="gramStart"/>
      <w:r w:rsidRPr="00B13892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появою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тонких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ендоскопів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з’явилася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зменшити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інвазивність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процедури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B1389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13892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останніх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публікацій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ми не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знайшли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жодної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ультра-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міні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перкутанної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нефролітотрипсії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структурі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коралоподібного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нефролітіазу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зазначена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проблема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детального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>.</w:t>
      </w:r>
    </w:p>
    <w:p w:rsidR="00B13892" w:rsidRP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13892">
        <w:rPr>
          <w:rFonts w:ascii="Times New Roman" w:hAnsi="Times New Roman" w:cs="Times New Roman"/>
          <w:b/>
          <w:sz w:val="28"/>
          <w:szCs w:val="28"/>
        </w:rPr>
        <w:lastRenderedPageBreak/>
        <w:t>Метою</w:t>
      </w:r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комбінованого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</w:rPr>
        <w:t xml:space="preserve">одного стандартного та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множинних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ультра-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міні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перкутанних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доступі</w:t>
      </w:r>
      <w:proofErr w:type="gramStart"/>
      <w:r w:rsidRPr="00B13892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B1389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коралоподібним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нефроліті</w:t>
      </w:r>
      <w:proofErr w:type="gramStart"/>
      <w:r w:rsidRPr="00B13892">
        <w:rPr>
          <w:rFonts w:ascii="Times New Roman" w:hAnsi="Times New Roman" w:cs="Times New Roman"/>
          <w:sz w:val="28"/>
          <w:szCs w:val="28"/>
        </w:rPr>
        <w:t>азом</w:t>
      </w:r>
      <w:proofErr w:type="spellEnd"/>
      <w:proofErr w:type="gramEnd"/>
      <w:r w:rsidRPr="00B13892">
        <w:rPr>
          <w:rFonts w:ascii="Times New Roman" w:hAnsi="Times New Roman" w:cs="Times New Roman"/>
          <w:sz w:val="28"/>
          <w:szCs w:val="28"/>
        </w:rPr>
        <w:t xml:space="preserve"> та провести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порівняльну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характеристику з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множинним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стандартним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перкутанним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</w:rPr>
        <w:t>доступом.</w:t>
      </w:r>
    </w:p>
    <w:p w:rsid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13892">
        <w:rPr>
          <w:rFonts w:ascii="Times New Roman" w:hAnsi="Times New Roman" w:cs="Times New Roman"/>
          <w:b/>
          <w:sz w:val="28"/>
          <w:szCs w:val="28"/>
        </w:rPr>
        <w:t>Матеріали</w:t>
      </w:r>
      <w:proofErr w:type="spellEnd"/>
      <w:r w:rsidRPr="00B13892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B13892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B1389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B13892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B13892">
        <w:rPr>
          <w:rFonts w:ascii="Times New Roman" w:hAnsi="Times New Roman" w:cs="Times New Roman"/>
          <w:b/>
          <w:sz w:val="28"/>
          <w:szCs w:val="28"/>
        </w:rPr>
        <w:t>ідження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>. На базах: КЗОЗ «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Обласний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клінічний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центр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урології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нефрології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. В.І. Шаповала»,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Навчально-наукового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комплексу «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Університетська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клініка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</w:rPr>
        <w:t xml:space="preserve">ХНМУ проведено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B13892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B13892">
        <w:rPr>
          <w:rFonts w:ascii="Times New Roman" w:hAnsi="Times New Roman" w:cs="Times New Roman"/>
          <w:sz w:val="28"/>
          <w:szCs w:val="28"/>
        </w:rPr>
        <w:t>ікування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31 хворого на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коралоподібний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нефролітіаз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>.</w:t>
      </w:r>
    </w:p>
    <w:p w:rsidR="00B13892" w:rsidRP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892">
        <w:rPr>
          <w:rFonts w:ascii="Times New Roman" w:hAnsi="Times New Roman" w:cs="Times New Roman"/>
          <w:sz w:val="28"/>
          <w:szCs w:val="28"/>
          <w:lang w:val="uk-UA"/>
        </w:rPr>
        <w:t>Хворі були обстежені клініко-лабораторними та інструментальними методами: оглядова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>екскреторна рентгенографія, ультразвукове дослідження (апарат «В</w:t>
      </w:r>
      <w:r w:rsidRPr="00B13892">
        <w:rPr>
          <w:rFonts w:ascii="Times New Roman" w:hAnsi="Times New Roman" w:cs="Times New Roman"/>
          <w:sz w:val="28"/>
          <w:szCs w:val="28"/>
        </w:rPr>
        <w:t>K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»), комп’ютерна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>томографія (апарат «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Toshiba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quilion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16»).</w:t>
      </w:r>
    </w:p>
    <w:p w:rsidR="00B13892" w:rsidRP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метода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літотрипсії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розподілені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дві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. 15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пацієнтам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1389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13892">
        <w:rPr>
          <w:rFonts w:ascii="Times New Roman" w:hAnsi="Times New Roman" w:cs="Times New Roman"/>
          <w:sz w:val="28"/>
          <w:szCs w:val="28"/>
        </w:rPr>
        <w:t>ід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інтубаційним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наркозом,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комбінованим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ультразвуковим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та рентген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наведенням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проведено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черезшкірну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нефролітотрипсію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одного стандартного доступу з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тубуса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</w:rPr>
        <w:t xml:space="preserve">24Ch та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множинних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ультра-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міні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перкутанних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доступів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– тубуса 11Сh.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Стандартний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доступ 24Ch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проводився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середню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нижню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чашок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осі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найбільшого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діаметру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конкременту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екстракції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основного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об’єму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каменя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доступ. Ультра-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мініперкутанний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множинний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доступ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використовувався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літотрипсії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інтерпозиції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чашкових</w:t>
      </w:r>
      <w:proofErr w:type="spellEnd"/>
      <w:r w:rsidRPr="00B138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</w:rPr>
        <w:t>відростків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коралоподібного конкременту </w:t>
      </w:r>
      <w:proofErr w:type="gramStart"/>
      <w:r w:rsidRPr="00B13892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gram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поле зору стандартного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нефроскопа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. Ми використовували від двох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до чотирьох ультра-міні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перкутанних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доступів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залежно від знаходження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резидуальних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фрагментів.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Бужування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черезшкірного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каналу для формування ультра-міні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перкутанного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доступу проводилося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однокроково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тефлоновим бужем 10Ch. Ультра-міні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перкутанна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нефролітотрипсія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проводилася 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>допомогою фібро-волоконної оптики діаметром 0,9 мм («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PolyDiagnost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», Німеччина).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lastRenderedPageBreak/>
        <w:t>Літотрипсія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>виконувалася за допомогою неодимового (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Nd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: YAG) лазерного комплексу «Лазурит» з волокном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діаметром 300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мкм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через ультра-міні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перкутанний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доступ та за допомогою пневматичної системи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Swiss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lithoclast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» через стандартний доступ.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Нефростомічний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дренаж встановлювався лише у місце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>стандартного доступу.</w:t>
      </w:r>
    </w:p>
    <w:p w:rsidR="00B13892" w:rsidRP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16 пацієнтам ІІ групи під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інтубаційним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наркозом та комбінованим ультразвуковим та рентген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наведенням проведено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черезшкірну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нефролітотрипсію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з використанням двох або трьох стандартних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доступів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. Усі доступи проводилися за допомогою стандартного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нефроскопа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фірми «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Karl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Storz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(Німеччина) з діаметром зовнішнього тубуса 24Ch, без використання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амплацу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. Літотрипсія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>виконувалася за допомогою пневматичної системи «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Swiss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lithoclast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». Після проведення літотрипсії всі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доступи дренувалися за допомогою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нефростом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892">
        <w:rPr>
          <w:rFonts w:ascii="Times New Roman" w:hAnsi="Times New Roman" w:cs="Times New Roman"/>
          <w:sz w:val="28"/>
          <w:szCs w:val="28"/>
          <w:lang w:val="uk-UA"/>
        </w:rPr>
        <w:t>Ефективність операції оцінювали за даними оглядової рентгенографії, комп’ютерної томографії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>(КТ) та ультразвукового дослідження (УЗД) у ранньому післяопераційному періоді. Критеріями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оцінки ефективності методів були: зниження рівня гемоглобіну, рівень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цистатину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С до та після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>втручання час флюороскопії, термін перебування пацієнта в стаціонарі, стан «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stone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free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», потреба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нестероїдних протизапальних засобах (НПЗЗ), наявність і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вираженість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лихоманки, потреба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додаткових маніпуляціях. Ускладнення процедури оцінювалися за модифікованою шкалою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Calvien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–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Dindo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. Стан «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stone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free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» ми розглядали, як відсутність клінічно значимих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резидуальних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фрагментів (≤4 мм). Ступінь коралоподібного конкременту визначали за класифікацією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Мартова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А.Г. (1993).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>Статистично достовірними вважали відмінності при ступеню надійності р&lt;0,05.</w:t>
      </w:r>
    </w:p>
    <w:p w:rsidR="00B13892" w:rsidRP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892">
        <w:rPr>
          <w:rFonts w:ascii="Times New Roman" w:hAnsi="Times New Roman" w:cs="Times New Roman"/>
          <w:b/>
          <w:sz w:val="28"/>
          <w:szCs w:val="28"/>
          <w:lang w:val="uk-UA"/>
        </w:rPr>
        <w:t>Результати та їх обговорення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>. Статистично значущої різниці між групами за щільністю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>ступенем коралоподібного конкременту не спостерігалося. У І групі середня тривалість операції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(120,4 ± 15,4 хв) та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інтраопераційного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флюороскопічного контролю (250 ± 19 с) були більшими, 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середнє зниження гемоглобіну (25,3± 7,1 г/л) було нижчим, ніж у ІІ групі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lastRenderedPageBreak/>
        <w:t>(108,0 ± 15,1 хв, 120,0 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18,3 с, 45,0 ± 7,3 г/л, відповідно, р&lt;0,01). Використання одного стандартного та множинних ультра-міні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перкутанних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доступів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було менш травматичним, що потребувало менших доз знеболюючих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препаратів у післяопераційному періоді (І група – 290,9 ± 24,6 мг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декскетопрофену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, ІІ група – 383,3 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20,4 мг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декскетопрофену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, р&lt;0,01). Різниця концентрацій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цистатину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С у крові до та після втручання,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була нижче у І групі 210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нг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/мл,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порівнянно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з ІІ групою 278,1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нг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/мл. Рівень «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stone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free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» у І групі майже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>не відрізнявся від цього показника у ІІ групі (93,3% і 86,6% відповідно, р &gt; 0,05). Разом з тим,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>статистично значущої різниці у тривалості перебування хворих у стаціонарі не спостерігалося.</w:t>
      </w:r>
    </w:p>
    <w:p w:rsidR="00B13892" w:rsidRP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892">
        <w:rPr>
          <w:rFonts w:ascii="Times New Roman" w:hAnsi="Times New Roman" w:cs="Times New Roman"/>
          <w:sz w:val="28"/>
          <w:szCs w:val="28"/>
          <w:lang w:val="uk-UA"/>
        </w:rPr>
        <w:t>У двох пацієнтів ІІ групи через кровотечу процедура була припинена, за для досягнення стану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stone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free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» через 3 дні проводилася повторна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нефроскопія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. Чотирьом пацієнтам цієї групи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проводилася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гемотрансфузія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13892" w:rsidRP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13892">
        <w:rPr>
          <w:rFonts w:ascii="Times New Roman" w:hAnsi="Times New Roman" w:cs="Times New Roman"/>
          <w:b/>
          <w:sz w:val="28"/>
          <w:szCs w:val="28"/>
          <w:lang w:val="uk-UA"/>
        </w:rPr>
        <w:t>Висновки:</w:t>
      </w:r>
    </w:p>
    <w:p w:rsidR="00B13892" w:rsidRP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1. Комбіноване використання одного стандартного та множинних ультра-міні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перкутанних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доступів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є ефективним, дозволяє знизити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травматичність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втручання та кількість геморагічних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>ускладнень.</w:t>
      </w:r>
    </w:p>
    <w:p w:rsidR="00B13892" w:rsidRP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2. Відсутня необхідність у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нефростомічному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дренуванні ультра-міні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перкутанних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доступів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>що дозволяє знизити больовий синдром у післяопераційному періоді, особливо при міжреберному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>доступі.</w:t>
      </w:r>
    </w:p>
    <w:p w:rsidR="00B13892" w:rsidRP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13892">
        <w:rPr>
          <w:rFonts w:ascii="Times New Roman" w:hAnsi="Times New Roman" w:cs="Times New Roman"/>
          <w:b/>
          <w:sz w:val="28"/>
          <w:szCs w:val="28"/>
          <w:lang w:val="uk-UA"/>
        </w:rPr>
        <w:t>Література:</w:t>
      </w:r>
    </w:p>
    <w:p w:rsidR="00B13892" w:rsidRP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Comparison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outcomes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after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percutaneous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nephrolithotomy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staghorn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calculi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those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single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multiple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accesses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/ T.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Akman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, E.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Sari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, M.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Binbay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.]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J.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Endourol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. – 2010. –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. 24,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No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. 6. – P. 955-960.</w:t>
      </w:r>
    </w:p>
    <w:p w:rsidR="00B13892" w:rsidRP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Effect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multiple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access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tracts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during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percutaneous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nephrolithotomy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renal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function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evaluation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risk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factors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renal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function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deterioration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/ A.S.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Fayad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M.G.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Elsheikh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, A.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Mosharafa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.] // J.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Endourol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. – 2014. –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. 28,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No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. 7. – P. 775-779.</w:t>
      </w:r>
    </w:p>
    <w:p w:rsidR="00B13892" w:rsidRP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89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3.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Hegarty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N.J.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Percutaneous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nephrolithotomy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requiring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multiple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tracts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comparison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morbidity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single-tract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procedures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/ N.J.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Hegarty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, M.M.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Desai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// J.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Endourol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. – 2006. –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. 20,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No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. 10. – P. 753-760.</w:t>
      </w:r>
    </w:p>
    <w:p w:rsidR="00B13892" w:rsidRP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Ramello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A.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Epidemiology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nephrolithiasis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/ A.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Ramello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, C.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Vitale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, M.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Marangella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// J.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Nephrol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. – 2000. –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. 13,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Suppl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. 3. – P. 45-50.</w:t>
      </w:r>
    </w:p>
    <w:p w:rsidR="00B13892" w:rsidRP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Rous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S.N.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Retrospective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95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patients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staghorn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calculus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disease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/ S.N.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Rous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, W.R.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Turner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// J.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Urol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. – 1977. –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. 118. – P. 902.</w:t>
      </w:r>
    </w:p>
    <w:p w:rsidR="00B13892" w:rsidRPr="00B13892" w:rsidRDefault="00B13892" w:rsidP="00B138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Staghorn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calculi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long-term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results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management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/ S.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Koga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, Y.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Arakaki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, M.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Matsuoka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, C.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Ohyama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Br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. J.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Urol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 xml:space="preserve">. – 1991. – </w:t>
      </w:r>
      <w:proofErr w:type="spellStart"/>
      <w:r w:rsidRPr="00B13892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B13892">
        <w:rPr>
          <w:rFonts w:ascii="Times New Roman" w:hAnsi="Times New Roman" w:cs="Times New Roman"/>
          <w:sz w:val="28"/>
          <w:szCs w:val="28"/>
          <w:lang w:val="uk-UA"/>
        </w:rPr>
        <w:t>. 68. – P. 122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B13892" w:rsidRPr="00B138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892"/>
    <w:rsid w:val="003523D5"/>
    <w:rsid w:val="00B13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1208</Words>
  <Characters>6886</Characters>
  <Application>Microsoft Office Word</Application>
  <DocSecurity>0</DocSecurity>
  <Lines>57</Lines>
  <Paragraphs>16</Paragraphs>
  <ScaleCrop>false</ScaleCrop>
  <Company/>
  <LinksUpToDate>false</LinksUpToDate>
  <CharactersWithSpaces>8078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2017-12-08T10:18:00Z</dcterms:created>
  <dcterms:modified xsi:type="dcterms:W3CDTF">2017-12-08T10:26:00Z</dcterms:modified>
</cp:coreProperties>
</file>