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6EBC" w:rsidRPr="00CE0A20" w:rsidRDefault="00EB6EBC" w:rsidP="00EB6EBC">
      <w:pPr>
        <w:spacing w:line="276" w:lineRule="auto"/>
        <w:jc w:val="center"/>
        <w:rPr>
          <w:rFonts w:ascii="Times New Roman" w:hAnsi="Times New Roman" w:cs="Times New Roman"/>
          <w:bCs/>
          <w:color w:val="000000" w:themeColor="text1"/>
          <w:sz w:val="28"/>
          <w:szCs w:val="28"/>
          <w:lang w:val="uk-UA"/>
        </w:rPr>
      </w:pPr>
      <w:r w:rsidRPr="00CE0A20">
        <w:rPr>
          <w:rFonts w:ascii="Times New Roman" w:hAnsi="Times New Roman" w:cs="Times New Roman"/>
          <w:bCs/>
          <w:color w:val="000000" w:themeColor="text1"/>
          <w:sz w:val="28"/>
          <w:szCs w:val="28"/>
          <w:lang w:val="uk-UA"/>
        </w:rPr>
        <w:t>Міністерство охорони здоров'я України</w:t>
      </w:r>
    </w:p>
    <w:p w:rsidR="00EB6EBC" w:rsidRPr="00CE0A20" w:rsidRDefault="00EB6EBC" w:rsidP="00EB6EBC">
      <w:pPr>
        <w:tabs>
          <w:tab w:val="left" w:pos="5387"/>
        </w:tabs>
        <w:spacing w:line="276" w:lineRule="auto"/>
        <w:jc w:val="center"/>
        <w:outlineLvl w:val="0"/>
        <w:rPr>
          <w:rFonts w:ascii="Times New Roman" w:hAnsi="Times New Roman" w:cs="Times New Roman"/>
          <w:bCs/>
          <w:color w:val="000000" w:themeColor="text1"/>
          <w:sz w:val="28"/>
          <w:szCs w:val="28"/>
          <w:lang w:val="uk-UA"/>
        </w:rPr>
      </w:pPr>
      <w:r w:rsidRPr="00CE0A20">
        <w:rPr>
          <w:rFonts w:ascii="Times New Roman" w:hAnsi="Times New Roman" w:cs="Times New Roman"/>
          <w:bCs/>
          <w:color w:val="000000" w:themeColor="text1"/>
          <w:sz w:val="28"/>
          <w:szCs w:val="28"/>
          <w:lang w:val="uk-UA"/>
        </w:rPr>
        <w:t>Харківський національний медичний університет</w:t>
      </w:r>
    </w:p>
    <w:p w:rsidR="00EB6EBC" w:rsidRPr="00CE0A20" w:rsidRDefault="00EB6EBC" w:rsidP="00EB6EBC">
      <w:pPr>
        <w:suppressAutoHyphens/>
        <w:spacing w:line="276" w:lineRule="auto"/>
        <w:ind w:firstLine="709"/>
        <w:jc w:val="right"/>
        <w:rPr>
          <w:rFonts w:ascii="Times New Roman" w:hAnsi="Times New Roman" w:cs="Times New Roman"/>
          <w:bCs/>
          <w:color w:val="000000" w:themeColor="text1"/>
          <w:sz w:val="28"/>
          <w:szCs w:val="28"/>
          <w:lang w:val="uk-UA"/>
        </w:rPr>
      </w:pPr>
    </w:p>
    <w:p w:rsidR="00EB6EBC" w:rsidRPr="00CE0A20" w:rsidRDefault="00EB6EBC" w:rsidP="00EB6EBC">
      <w:pPr>
        <w:suppressAutoHyphens/>
        <w:spacing w:line="276" w:lineRule="auto"/>
        <w:ind w:firstLine="709"/>
        <w:jc w:val="right"/>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Кваліфікаційна наукова</w:t>
      </w:r>
    </w:p>
    <w:p w:rsidR="00EB6EBC" w:rsidRPr="00CE0A20" w:rsidRDefault="00EB6EBC" w:rsidP="00EB6EBC">
      <w:pPr>
        <w:suppressAutoHyphens/>
        <w:spacing w:line="276" w:lineRule="auto"/>
        <w:ind w:firstLine="709"/>
        <w:jc w:val="right"/>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праця на правах рукопису</w:t>
      </w:r>
    </w:p>
    <w:p w:rsidR="00EB6EBC" w:rsidRPr="00CE0A20" w:rsidRDefault="00EB6EBC" w:rsidP="00EB6EBC">
      <w:pPr>
        <w:suppressAutoHyphens/>
        <w:spacing w:line="360" w:lineRule="auto"/>
        <w:ind w:firstLine="709"/>
        <w:jc w:val="right"/>
        <w:rPr>
          <w:rFonts w:ascii="Times New Roman" w:hAnsi="Times New Roman" w:cs="Times New Roman"/>
          <w:bCs/>
          <w:iCs/>
          <w:color w:val="000000" w:themeColor="text1"/>
          <w:sz w:val="28"/>
          <w:szCs w:val="28"/>
          <w:lang w:val="uk-UA"/>
        </w:rPr>
      </w:pPr>
    </w:p>
    <w:p w:rsidR="00EB6EBC" w:rsidRPr="00CE0A20" w:rsidRDefault="00EB6EBC" w:rsidP="00EB6EBC">
      <w:pPr>
        <w:suppressAutoHyphens/>
        <w:spacing w:line="360" w:lineRule="auto"/>
        <w:jc w:val="center"/>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Антонян Ігор Михайлович</w:t>
      </w:r>
    </w:p>
    <w:p w:rsidR="00EB6EBC" w:rsidRPr="00CE0A20" w:rsidRDefault="00EB6EBC" w:rsidP="00EB6EBC">
      <w:pPr>
        <w:suppressAutoHyphens/>
        <w:spacing w:line="360" w:lineRule="auto"/>
        <w:ind w:firstLine="709"/>
        <w:jc w:val="both"/>
        <w:rPr>
          <w:rFonts w:ascii="Times New Roman" w:hAnsi="Times New Roman" w:cs="Times New Roman"/>
          <w:color w:val="000000" w:themeColor="text1"/>
          <w:sz w:val="28"/>
          <w:szCs w:val="28"/>
          <w:lang w:val="uk-UA"/>
        </w:rPr>
      </w:pPr>
    </w:p>
    <w:p w:rsidR="00EB6EBC" w:rsidRPr="00CE0A20" w:rsidRDefault="00EB6EBC" w:rsidP="00EB6EBC">
      <w:pPr>
        <w:spacing w:line="360" w:lineRule="auto"/>
        <w:jc w:val="right"/>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УДК 616.69-008.1-02:[612.616.31:616-008.64]-</w:t>
      </w:r>
    </w:p>
    <w:p w:rsidR="00EB6EBC" w:rsidRPr="00CE0A20" w:rsidRDefault="00EB6EBC" w:rsidP="00EB6EBC">
      <w:pPr>
        <w:tabs>
          <w:tab w:val="left" w:pos="4090"/>
          <w:tab w:val="right" w:pos="9355"/>
        </w:tabs>
        <w:spacing w:line="360" w:lineRule="auto"/>
        <w:rPr>
          <w:rFonts w:ascii="Times New Roman" w:hAnsi="Times New Roman" w:cs="Times New Roman"/>
          <w:b/>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-08:611.018.1"712.4":616-092.9-092.6</w:t>
      </w:r>
    </w:p>
    <w:p w:rsidR="00EB6EBC" w:rsidRPr="00CE0A20" w:rsidRDefault="00EB6EBC" w:rsidP="00EB6EBC">
      <w:pPr>
        <w:spacing w:line="360" w:lineRule="auto"/>
        <w:jc w:val="center"/>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ДИСЕРТАЦІЯ</w:t>
      </w:r>
    </w:p>
    <w:p w:rsidR="00BC11F5" w:rsidRPr="00CE0A20" w:rsidRDefault="00EB6EBC" w:rsidP="00EB6EBC">
      <w:pPr>
        <w:widowControl w:val="0"/>
        <w:spacing w:line="360" w:lineRule="auto"/>
        <w:jc w:val="center"/>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 xml:space="preserve">ЗАСТОСУВАННЯ КЛІТИН СТРОМИ КІСТКОВОГО МОЗКУ ДЛЯ ЛІКУВАННЯ ЕРЕКТИЛЬНОЇ ДИСФУНКЦІЇ НА ТЛІ АНДРОГЕННОГО ДЕФІЦИТУ </w:t>
      </w:r>
    </w:p>
    <w:p w:rsidR="00EB6EBC" w:rsidRPr="00CE0A20" w:rsidRDefault="00EB6EBC" w:rsidP="00EB6EBC">
      <w:pPr>
        <w:widowControl w:val="0"/>
        <w:spacing w:line="360" w:lineRule="auto"/>
        <w:jc w:val="center"/>
        <w:rPr>
          <w:rFonts w:ascii="Times New Roman" w:hAnsi="Times New Roman" w:cs="Times New Roman"/>
          <w:b/>
          <w:bCs/>
          <w:color w:val="000000" w:themeColor="text1"/>
          <w:sz w:val="28"/>
          <w:szCs w:val="28"/>
          <w:lang w:val="uk-UA"/>
        </w:rPr>
      </w:pPr>
      <w:r w:rsidRPr="00CE0A20">
        <w:rPr>
          <w:rFonts w:ascii="Times New Roman" w:hAnsi="Times New Roman" w:cs="Times New Roman"/>
          <w:b/>
          <w:color w:val="000000" w:themeColor="text1"/>
          <w:sz w:val="28"/>
          <w:szCs w:val="28"/>
          <w:lang w:val="uk-UA"/>
        </w:rPr>
        <w:t>(ЕКСПЕРИМЕНТАЛЬНО-КЛІНІЧНЕ ДОСЛІДЖЕННЯ)</w:t>
      </w:r>
    </w:p>
    <w:p w:rsidR="00EB6EBC" w:rsidRPr="00CE0A20" w:rsidRDefault="00EB6EBC" w:rsidP="00EB6EBC">
      <w:pPr>
        <w:tabs>
          <w:tab w:val="left" w:pos="1020"/>
        </w:tabs>
        <w:suppressAutoHyphens/>
        <w:spacing w:line="360" w:lineRule="auto"/>
        <w:ind w:firstLine="709"/>
        <w:jc w:val="center"/>
        <w:rPr>
          <w:rFonts w:ascii="Times New Roman" w:hAnsi="Times New Roman" w:cs="Times New Roman"/>
          <w:b/>
          <w:color w:val="000000" w:themeColor="text1"/>
          <w:sz w:val="28"/>
          <w:szCs w:val="28"/>
          <w:lang w:val="uk-UA"/>
        </w:rPr>
      </w:pPr>
    </w:p>
    <w:p w:rsidR="00EB6EBC" w:rsidRPr="00CE0A20" w:rsidRDefault="00EB6EBC" w:rsidP="00EB6EBC">
      <w:pPr>
        <w:tabs>
          <w:tab w:val="left" w:pos="1020"/>
        </w:tabs>
        <w:suppressAutoHyphens/>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14.01.06 – урологія</w:t>
      </w:r>
    </w:p>
    <w:p w:rsidR="00EB6EBC" w:rsidRPr="00CE0A20" w:rsidRDefault="00EB6EBC" w:rsidP="00EB6EBC">
      <w:pPr>
        <w:tabs>
          <w:tab w:val="left" w:pos="1020"/>
        </w:tabs>
        <w:suppressAutoHyphens/>
        <w:spacing w:line="360" w:lineRule="auto"/>
        <w:ind w:firstLine="709"/>
        <w:jc w:val="center"/>
        <w:rPr>
          <w:rFonts w:ascii="Times New Roman" w:hAnsi="Times New Roman" w:cs="Times New Roman"/>
          <w:color w:val="000000" w:themeColor="text1"/>
          <w:sz w:val="28"/>
          <w:szCs w:val="28"/>
          <w:lang w:val="en-US"/>
        </w:rPr>
      </w:pPr>
    </w:p>
    <w:p w:rsidR="001C43D0" w:rsidRPr="00CE0A20" w:rsidRDefault="001C43D0" w:rsidP="00EB6EBC">
      <w:pPr>
        <w:tabs>
          <w:tab w:val="left" w:pos="1020"/>
        </w:tabs>
        <w:suppressAutoHyphens/>
        <w:spacing w:line="360" w:lineRule="auto"/>
        <w:ind w:firstLine="709"/>
        <w:jc w:val="center"/>
        <w:rPr>
          <w:rFonts w:ascii="Times New Roman" w:hAnsi="Times New Roman" w:cs="Times New Roman"/>
          <w:color w:val="000000" w:themeColor="text1"/>
          <w:sz w:val="28"/>
          <w:szCs w:val="28"/>
          <w:lang w:val="en-US"/>
        </w:rPr>
      </w:pPr>
    </w:p>
    <w:p w:rsidR="00EB6EBC" w:rsidRPr="00CE0A20" w:rsidRDefault="00EB6EBC" w:rsidP="00EB6EBC">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Подається на здобуття наукового ступеня доктора медичних наук</w:t>
      </w:r>
      <w:r w:rsidR="00BC11F5" w:rsidRPr="00CE0A20">
        <w:rPr>
          <w:rFonts w:ascii="Times New Roman" w:hAnsi="Times New Roman" w:cs="Times New Roman"/>
          <w:color w:val="000000" w:themeColor="text1"/>
          <w:sz w:val="28"/>
          <w:szCs w:val="28"/>
          <w:lang w:val="uk-UA"/>
        </w:rPr>
        <w:t>.</w:t>
      </w:r>
    </w:p>
    <w:p w:rsidR="00EB6EBC" w:rsidRPr="00CE0A20" w:rsidRDefault="00EB6EBC" w:rsidP="00EB6EBC">
      <w:pPr>
        <w:spacing w:line="360" w:lineRule="auto"/>
        <w:rPr>
          <w:rFonts w:ascii="Times New Roman" w:hAnsi="Times New Roman" w:cs="Times New Roman"/>
          <w:color w:val="000000" w:themeColor="text1"/>
          <w:sz w:val="28"/>
          <w:szCs w:val="28"/>
          <w:lang w:val="uk-UA"/>
        </w:rPr>
      </w:pPr>
    </w:p>
    <w:p w:rsidR="00EB6EBC" w:rsidRPr="00CE0A20" w:rsidRDefault="00EB6EBC" w:rsidP="00EB6EBC">
      <w:pPr>
        <w:spacing w:line="276"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BC11F5" w:rsidRPr="00CE0A20">
        <w:rPr>
          <w:rFonts w:ascii="Times New Roman" w:hAnsi="Times New Roman" w:cs="Times New Roman"/>
          <w:color w:val="000000" w:themeColor="text1"/>
          <w:sz w:val="28"/>
          <w:szCs w:val="28"/>
          <w:lang w:val="uk-UA"/>
        </w:rPr>
        <w:t>.</w:t>
      </w:r>
    </w:p>
    <w:p w:rsidR="00EB6EBC" w:rsidRPr="00CE0A20" w:rsidRDefault="00EB6EBC" w:rsidP="00EB6EBC">
      <w:pPr>
        <w:spacing w:line="276"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________________</w:t>
      </w:r>
      <w:r w:rsidRPr="00CE0A20">
        <w:rPr>
          <w:rFonts w:ascii="Times New Roman" w:hAnsi="Times New Roman" w:cs="Times New Roman"/>
          <w:color w:val="000000" w:themeColor="text1"/>
          <w:sz w:val="28"/>
          <w:szCs w:val="28"/>
          <w:u w:val="single"/>
          <w:lang w:val="uk-UA"/>
        </w:rPr>
        <w:t>І.</w:t>
      </w:r>
      <w:r w:rsidR="00A339FE" w:rsidRPr="00CE0A20">
        <w:rPr>
          <w:rFonts w:ascii="Times New Roman" w:hAnsi="Times New Roman" w:cs="Times New Roman"/>
          <w:color w:val="000000" w:themeColor="text1"/>
          <w:sz w:val="28"/>
          <w:szCs w:val="28"/>
          <w:u w:val="single"/>
          <w:lang w:val="uk-UA"/>
        </w:rPr>
        <w:t> </w:t>
      </w:r>
      <w:r w:rsidRPr="00CE0A20">
        <w:rPr>
          <w:rFonts w:ascii="Times New Roman" w:hAnsi="Times New Roman" w:cs="Times New Roman"/>
          <w:color w:val="000000" w:themeColor="text1"/>
          <w:sz w:val="28"/>
          <w:szCs w:val="28"/>
          <w:u w:val="single"/>
          <w:lang w:val="uk-UA"/>
        </w:rPr>
        <w:t>М.</w:t>
      </w:r>
      <w:r w:rsidR="00A339FE" w:rsidRPr="00CE0A20">
        <w:rPr>
          <w:rFonts w:ascii="Times New Roman" w:hAnsi="Times New Roman" w:cs="Times New Roman"/>
          <w:color w:val="000000" w:themeColor="text1"/>
          <w:sz w:val="28"/>
          <w:szCs w:val="28"/>
          <w:u w:val="single"/>
          <w:lang w:val="uk-UA"/>
        </w:rPr>
        <w:t> </w:t>
      </w:r>
      <w:r w:rsidRPr="00CE0A20">
        <w:rPr>
          <w:rFonts w:ascii="Times New Roman" w:hAnsi="Times New Roman" w:cs="Times New Roman"/>
          <w:color w:val="000000" w:themeColor="text1"/>
          <w:sz w:val="28"/>
          <w:szCs w:val="28"/>
          <w:u w:val="single"/>
          <w:lang w:val="uk-UA"/>
        </w:rPr>
        <w:t>Антонян</w:t>
      </w:r>
    </w:p>
    <w:p w:rsidR="00EB6EBC" w:rsidRPr="00CE0A20" w:rsidRDefault="00EB6EBC" w:rsidP="00EB6EBC">
      <w:pPr>
        <w:suppressAutoHyphens/>
        <w:spacing w:line="360" w:lineRule="auto"/>
        <w:ind w:firstLine="709"/>
        <w:jc w:val="center"/>
        <w:rPr>
          <w:rFonts w:ascii="Times New Roman" w:hAnsi="Times New Roman" w:cs="Times New Roman"/>
          <w:color w:val="000000" w:themeColor="text1"/>
          <w:sz w:val="28"/>
          <w:szCs w:val="28"/>
          <w:lang w:val="uk-UA"/>
        </w:rPr>
      </w:pPr>
    </w:p>
    <w:p w:rsidR="00EB6EBC" w:rsidRPr="00CE0A20" w:rsidRDefault="00EB6EBC" w:rsidP="00EB6EBC">
      <w:pPr>
        <w:spacing w:line="360" w:lineRule="auto"/>
        <w:rPr>
          <w:rFonts w:ascii="Times New Roman" w:hAnsi="Times New Roman" w:cs="Times New Roman"/>
          <w:bCs/>
          <w:color w:val="000000" w:themeColor="text1"/>
          <w:sz w:val="28"/>
          <w:szCs w:val="28"/>
          <w:lang w:val="uk-UA"/>
        </w:rPr>
      </w:pPr>
      <w:r w:rsidRPr="00CE0A20">
        <w:rPr>
          <w:rFonts w:ascii="Times New Roman" w:hAnsi="Times New Roman" w:cs="Times New Roman"/>
          <w:bCs/>
          <w:color w:val="000000" w:themeColor="text1"/>
          <w:sz w:val="28"/>
          <w:szCs w:val="28"/>
          <w:lang w:val="uk-UA"/>
        </w:rPr>
        <w:t>Науковий керівник: Лісовий Володимир Миколайович,</w:t>
      </w:r>
    </w:p>
    <w:p w:rsidR="00EB6EBC" w:rsidRPr="00CE0A20" w:rsidRDefault="00EB6EBC" w:rsidP="00EB6EBC">
      <w:pPr>
        <w:spacing w:line="360" w:lineRule="auto"/>
        <w:ind w:left="2340"/>
        <w:rPr>
          <w:rFonts w:ascii="Times New Roman" w:hAnsi="Times New Roman" w:cs="Times New Roman"/>
          <w:bCs/>
          <w:color w:val="000000" w:themeColor="text1"/>
          <w:sz w:val="28"/>
          <w:szCs w:val="28"/>
          <w:lang w:val="uk-UA"/>
        </w:rPr>
      </w:pPr>
      <w:r w:rsidRPr="00CE0A20">
        <w:rPr>
          <w:rFonts w:ascii="Times New Roman" w:hAnsi="Times New Roman" w:cs="Times New Roman"/>
          <w:bCs/>
          <w:color w:val="000000" w:themeColor="text1"/>
          <w:sz w:val="28"/>
          <w:szCs w:val="28"/>
          <w:lang w:val="uk-UA"/>
        </w:rPr>
        <w:t>доктор медичних наук, професор,</w:t>
      </w:r>
    </w:p>
    <w:p w:rsidR="00EB6EBC" w:rsidRPr="00CE0A20" w:rsidRDefault="00EB6EBC" w:rsidP="00EB6EBC">
      <w:pPr>
        <w:spacing w:line="360" w:lineRule="auto"/>
        <w:ind w:left="2340"/>
        <w:rPr>
          <w:rFonts w:ascii="Times New Roman" w:hAnsi="Times New Roman" w:cs="Times New Roman"/>
          <w:bCs/>
          <w:color w:val="000000" w:themeColor="text1"/>
          <w:sz w:val="28"/>
          <w:szCs w:val="28"/>
          <w:lang w:val="uk-UA"/>
        </w:rPr>
      </w:pPr>
      <w:r w:rsidRPr="00CE0A20">
        <w:rPr>
          <w:rFonts w:ascii="Times New Roman" w:hAnsi="Times New Roman" w:cs="Times New Roman"/>
          <w:bCs/>
          <w:color w:val="000000" w:themeColor="text1"/>
          <w:sz w:val="28"/>
          <w:szCs w:val="28"/>
          <w:lang w:val="uk-UA"/>
        </w:rPr>
        <w:t>член-кореспондент НАМН України</w:t>
      </w:r>
    </w:p>
    <w:p w:rsidR="00EB6EBC" w:rsidRPr="00CE0A20" w:rsidRDefault="00EB6EBC" w:rsidP="00EB6EBC">
      <w:pPr>
        <w:suppressAutoHyphens/>
        <w:spacing w:line="360" w:lineRule="auto"/>
        <w:ind w:firstLine="709"/>
        <w:jc w:val="center"/>
        <w:rPr>
          <w:rFonts w:ascii="Times New Roman" w:hAnsi="Times New Roman" w:cs="Times New Roman"/>
          <w:color w:val="000000" w:themeColor="text1"/>
          <w:sz w:val="28"/>
          <w:szCs w:val="28"/>
          <w:lang w:val="uk-UA"/>
        </w:rPr>
      </w:pPr>
    </w:p>
    <w:p w:rsidR="00EB6EBC" w:rsidRPr="00CE0A20" w:rsidRDefault="00EB6EBC" w:rsidP="00EB6EBC">
      <w:pPr>
        <w:spacing w:line="360" w:lineRule="auto"/>
        <w:jc w:val="center"/>
        <w:rPr>
          <w:rFonts w:ascii="Times New Roman" w:hAnsi="Times New Roman" w:cs="Times New Roman"/>
          <w:b/>
          <w:color w:val="000000" w:themeColor="text1"/>
          <w:sz w:val="28"/>
          <w:szCs w:val="28"/>
          <w:lang w:val="uk-UA"/>
        </w:rPr>
      </w:pPr>
      <w:r w:rsidRPr="00CE0A20">
        <w:rPr>
          <w:rFonts w:ascii="Times New Roman" w:hAnsi="Times New Roman" w:cs="Times New Roman"/>
          <w:color w:val="000000" w:themeColor="text1"/>
          <w:sz w:val="28"/>
          <w:szCs w:val="28"/>
          <w:lang w:val="uk-UA"/>
        </w:rPr>
        <w:t>Харків – 2018</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br w:type="page"/>
      </w:r>
    </w:p>
    <w:p w:rsidR="00EB6EBC" w:rsidRPr="00CE0A20" w:rsidRDefault="00EB6EBC" w:rsidP="00EB6EBC">
      <w:pPr>
        <w:keepNext/>
        <w:spacing w:line="360" w:lineRule="auto"/>
        <w:jc w:val="center"/>
        <w:rPr>
          <w:rFonts w:ascii="Times New Roman" w:hAnsi="Times New Roman" w:cs="Times New Roman"/>
          <w:b/>
          <w:bCs/>
          <w:caps/>
          <w:snapToGrid w:val="0"/>
          <w:kern w:val="28"/>
          <w:sz w:val="28"/>
          <w:szCs w:val="28"/>
          <w:lang w:val="uk-UA"/>
        </w:rPr>
      </w:pPr>
      <w:r w:rsidRPr="00CE0A20">
        <w:rPr>
          <w:rFonts w:ascii="Times New Roman" w:hAnsi="Times New Roman" w:cs="Times New Roman"/>
          <w:b/>
          <w:bCs/>
          <w:caps/>
          <w:snapToGrid w:val="0"/>
          <w:kern w:val="28"/>
          <w:sz w:val="28"/>
          <w:szCs w:val="28"/>
          <w:lang w:val="uk-UA"/>
        </w:rPr>
        <w:lastRenderedPageBreak/>
        <w:t>Анотація</w:t>
      </w:r>
    </w:p>
    <w:p w:rsidR="00EB6EBC" w:rsidRPr="00CE0A20" w:rsidRDefault="00EB6EBC" w:rsidP="00EB6EBC">
      <w:pPr>
        <w:pStyle w:val="a6"/>
        <w:spacing w:line="240" w:lineRule="auto"/>
        <w:ind w:firstLine="709"/>
        <w:rPr>
          <w:caps/>
          <w:spacing w:val="0"/>
        </w:rPr>
      </w:pPr>
      <w:r w:rsidRPr="00CE0A20">
        <w:rPr>
          <w:i/>
          <w:color w:val="000000"/>
          <w:spacing w:val="0"/>
        </w:rPr>
        <w:t>Антонян І.М.</w:t>
      </w:r>
      <w:r w:rsidRPr="00CE0A20">
        <w:rPr>
          <w:color w:val="000000"/>
          <w:spacing w:val="0"/>
        </w:rPr>
        <w:t xml:space="preserve"> Застосування клітин строми кісткового мозку для лікування еректильної дисфункції на тлі андрогенного дефіциту </w:t>
      </w:r>
      <w:r w:rsidRPr="00CE0A20">
        <w:rPr>
          <w:bCs/>
          <w:spacing w:val="0"/>
        </w:rPr>
        <w:t>(експериментально-клінічне дослідження)</w:t>
      </w:r>
      <w:r w:rsidRPr="00CE0A20">
        <w:rPr>
          <w:color w:val="000000"/>
          <w:spacing w:val="0"/>
        </w:rPr>
        <w:t xml:space="preserve"> – Рукопис</w:t>
      </w:r>
      <w:r w:rsidRPr="00CE0A20">
        <w:rPr>
          <w:spacing w:val="0"/>
        </w:rPr>
        <w:t>.</w:t>
      </w:r>
    </w:p>
    <w:p w:rsidR="00EB6EBC" w:rsidRPr="00CE0A20" w:rsidRDefault="00EB6EBC" w:rsidP="00EB6EBC">
      <w:pPr>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Дисертація на здобуття наукового ступеня доктора медичних наук за спеціальністю 14.01.06 «Урологія». – Харківський національний медичний університет, МОЗ України, Харків, 2018.</w:t>
      </w:r>
    </w:p>
    <w:p w:rsidR="001C43D0" w:rsidRPr="00CE0A20" w:rsidRDefault="001C43D0" w:rsidP="001C43D0">
      <w:pPr>
        <w:widowControl w:val="0"/>
        <w:ind w:firstLine="720"/>
        <w:jc w:val="both"/>
        <w:rPr>
          <w:rFonts w:ascii="Times New Roman" w:hAnsi="Times New Roman" w:cs="Times New Roman"/>
          <w:bCs/>
          <w:sz w:val="28"/>
          <w:szCs w:val="28"/>
          <w:lang w:val="uk-UA" w:eastAsia="en-US"/>
        </w:rPr>
      </w:pPr>
      <w:r w:rsidRPr="00CE0A20">
        <w:rPr>
          <w:rFonts w:ascii="Times New Roman" w:hAnsi="Times New Roman" w:cs="Times New Roman"/>
          <w:bCs/>
          <w:sz w:val="28"/>
          <w:szCs w:val="28"/>
          <w:lang w:val="uk-UA" w:eastAsia="en-US"/>
        </w:rPr>
        <w:t xml:space="preserve">Захист відбудеться у спеціалізованій вченій раді </w:t>
      </w:r>
      <w:r w:rsidRPr="00CE0A20">
        <w:rPr>
          <w:rFonts w:ascii="Times New Roman" w:hAnsi="Times New Roman" w:cs="Times New Roman"/>
          <w:bCs/>
          <w:sz w:val="28"/>
          <w:szCs w:val="28"/>
          <w:lang w:val="uk-UA"/>
        </w:rPr>
        <w:t>Д</w:t>
      </w:r>
      <w:r w:rsidRPr="00CE0A20">
        <w:rPr>
          <w:rFonts w:ascii="Times New Roman" w:hAnsi="Times New Roman" w:cs="Times New Roman"/>
          <w:bCs/>
          <w:sz w:val="28"/>
          <w:szCs w:val="28"/>
        </w:rPr>
        <w:t> </w:t>
      </w:r>
      <w:r w:rsidRPr="00CE0A20">
        <w:rPr>
          <w:rFonts w:ascii="Times New Roman" w:hAnsi="Times New Roman" w:cs="Times New Roman"/>
          <w:bCs/>
          <w:sz w:val="28"/>
          <w:szCs w:val="28"/>
          <w:lang w:val="uk-UA"/>
        </w:rPr>
        <w:t>64.600.01 при Харківському національному медичному університеті МОЗ</w:t>
      </w:r>
      <w:r w:rsidRPr="00CE0A20">
        <w:rPr>
          <w:rFonts w:ascii="Times New Roman" w:hAnsi="Times New Roman" w:cs="Times New Roman"/>
          <w:bCs/>
          <w:sz w:val="28"/>
          <w:szCs w:val="28"/>
        </w:rPr>
        <w:t> </w:t>
      </w:r>
      <w:r w:rsidRPr="00CE0A20">
        <w:rPr>
          <w:rFonts w:ascii="Times New Roman" w:hAnsi="Times New Roman" w:cs="Times New Roman"/>
          <w:bCs/>
          <w:sz w:val="28"/>
          <w:szCs w:val="28"/>
          <w:lang w:val="uk-UA"/>
        </w:rPr>
        <w:t>України.</w:t>
      </w:r>
    </w:p>
    <w:p w:rsidR="001C43D0" w:rsidRPr="00CE0A20" w:rsidRDefault="001C43D0" w:rsidP="00EB6EBC">
      <w:pPr>
        <w:spacing w:line="360" w:lineRule="auto"/>
        <w:ind w:firstLine="709"/>
        <w:jc w:val="both"/>
        <w:rPr>
          <w:rFonts w:ascii="Times New Roman" w:hAnsi="Times New Roman" w:cs="Times New Roman"/>
          <w:sz w:val="28"/>
          <w:szCs w:val="28"/>
          <w:lang w:val="uk-UA"/>
        </w:rPr>
      </w:pP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Дисертаційне дослідження присвячено </w:t>
      </w:r>
      <w:r w:rsidRPr="00CE0A20">
        <w:rPr>
          <w:rFonts w:ascii="Times New Roman" w:hAnsi="Times New Roman" w:cs="Times New Roman"/>
          <w:sz w:val="28"/>
          <w:szCs w:val="28"/>
          <w:lang w:val="uk-UA" w:eastAsia="uk-UA"/>
        </w:rPr>
        <w:t>поліпшенню ефективності лікування еректильної дисфункції на тлі дефіциту тестостерону у хворих з цукровим діабетом та надлишковою масою тіла шляхом експери</w:t>
      </w:r>
      <w:r w:rsidRPr="00CE0A20">
        <w:rPr>
          <w:rFonts w:ascii="Times New Roman" w:hAnsi="Times New Roman" w:cs="Times New Roman"/>
          <w:sz w:val="28"/>
          <w:szCs w:val="28"/>
          <w:lang w:val="uk-UA" w:eastAsia="uk-UA"/>
        </w:rPr>
        <w:softHyphen/>
        <w:t>ментальної розробки та клінічної апробації методу клітинної терапії із застосуванням клітин строми кісткового мозку</w:t>
      </w:r>
      <w:r w:rsidRPr="00CE0A20">
        <w:rPr>
          <w:rFonts w:ascii="Times New Roman" w:hAnsi="Times New Roman" w:cs="Times New Roman"/>
          <w:sz w:val="28"/>
          <w:szCs w:val="28"/>
          <w:lang w:val="uk-UA"/>
        </w:rPr>
        <w:t xml:space="preserve">. </w:t>
      </w:r>
    </w:p>
    <w:p w:rsidR="00EB6EBC" w:rsidRPr="00CE0A20" w:rsidRDefault="00EB6EBC" w:rsidP="00EB6EBC">
      <w:pPr>
        <w:spacing w:line="360" w:lineRule="auto"/>
        <w:ind w:firstLine="709"/>
        <w:jc w:val="both"/>
        <w:rPr>
          <w:rFonts w:ascii="Times New Roman" w:hAnsi="Times New Roman" w:cs="Times New Roman"/>
          <w:kern w:val="2"/>
          <w:sz w:val="28"/>
          <w:szCs w:val="28"/>
          <w:lang w:val="uk-UA"/>
        </w:rPr>
      </w:pPr>
      <w:r w:rsidRPr="00CE0A20">
        <w:rPr>
          <w:rFonts w:ascii="Times New Roman" w:hAnsi="Times New Roman" w:cs="Times New Roman"/>
          <w:kern w:val="2"/>
          <w:sz w:val="28"/>
          <w:szCs w:val="28"/>
          <w:lang w:val="uk-UA"/>
        </w:rPr>
        <w:t xml:space="preserve">Для </w:t>
      </w:r>
      <w:r w:rsidRPr="00CE0A20">
        <w:rPr>
          <w:rFonts w:ascii="Times New Roman" w:hAnsi="Times New Roman" w:cs="Times New Roman"/>
          <w:kern w:val="2"/>
          <w:sz w:val="28"/>
          <w:szCs w:val="28"/>
          <w:u w:val="single"/>
          <w:lang w:val="uk-UA"/>
        </w:rPr>
        <w:t>експериментальних досліджень</w:t>
      </w:r>
      <w:r w:rsidRPr="00CE0A20">
        <w:rPr>
          <w:rFonts w:ascii="Times New Roman" w:hAnsi="Times New Roman" w:cs="Times New Roman"/>
          <w:kern w:val="2"/>
          <w:sz w:val="28"/>
          <w:szCs w:val="28"/>
          <w:lang w:val="uk-UA"/>
        </w:rPr>
        <w:t xml:space="preserve"> були використані статевозрілі </w:t>
      </w:r>
      <w:r w:rsidRPr="00CE0A20">
        <w:rPr>
          <w:rFonts w:ascii="Times New Roman" w:hAnsi="Times New Roman" w:cs="Times New Roman"/>
          <w:sz w:val="28"/>
          <w:szCs w:val="28"/>
          <w:lang w:val="uk-UA"/>
        </w:rPr>
        <w:t xml:space="preserve">самці </w:t>
      </w:r>
      <w:r w:rsidRPr="00CE0A20">
        <w:rPr>
          <w:rFonts w:ascii="Times New Roman" w:hAnsi="Times New Roman" w:cs="Times New Roman"/>
          <w:kern w:val="2"/>
          <w:sz w:val="28"/>
          <w:szCs w:val="28"/>
          <w:lang w:val="uk-UA"/>
        </w:rPr>
        <w:t xml:space="preserve">білих </w:t>
      </w:r>
      <w:r w:rsidRPr="00CE0A20">
        <w:rPr>
          <w:rFonts w:ascii="Times New Roman" w:hAnsi="Times New Roman" w:cs="Times New Roman"/>
          <w:sz w:val="28"/>
          <w:szCs w:val="28"/>
          <w:lang w:val="uk-UA"/>
        </w:rPr>
        <w:t>щурів лінії Wistar</w:t>
      </w:r>
      <w:r w:rsidRPr="00CE0A20">
        <w:rPr>
          <w:rFonts w:ascii="Times New Roman" w:hAnsi="Times New Roman" w:cs="Times New Roman"/>
          <w:kern w:val="2"/>
          <w:sz w:val="28"/>
          <w:szCs w:val="28"/>
          <w:lang w:val="uk-UA"/>
        </w:rPr>
        <w:t xml:space="preserve"> віком 10-20 тижнів масою від 200 до 300 г.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222222"/>
          <w:sz w:val="28"/>
          <w:szCs w:val="28"/>
          <w:lang w:val="uk-UA"/>
        </w:rPr>
      </w:pPr>
      <w:r w:rsidRPr="00CE0A20">
        <w:rPr>
          <w:rFonts w:ascii="Times New Roman" w:hAnsi="Times New Roman" w:cs="Times New Roman"/>
          <w:sz w:val="28"/>
          <w:szCs w:val="28"/>
          <w:shd w:val="clear" w:color="auto" w:fill="FFFFFF"/>
          <w:lang w:val="uk-UA"/>
        </w:rPr>
        <w:t xml:space="preserve">Оптимальна гонадотоксична доза токсину (у розрахунку на масу тварини) була обґрунтована в перший серії експериментів з використанням п’яти груп експериментальних тварин по 20 тварин у кожній, у тому числі 20 інтактних статевозрілих самців щурів; статевозрілих самців щурів аналогічного віку, яким для створення ЕАД вводився </w:t>
      </w:r>
      <w:r w:rsidR="000F6151" w:rsidRPr="00CE0A20">
        <w:rPr>
          <w:rFonts w:ascii="Times New Roman" w:hAnsi="Times New Roman" w:cs="Times New Roman"/>
          <w:kern w:val="2"/>
          <w:sz w:val="28"/>
          <w:szCs w:val="28"/>
          <w:lang w:val="uk-UA"/>
        </w:rPr>
        <w:t>хлорид кадмію (</w:t>
      </w:r>
      <w:r w:rsidRPr="00CE0A20">
        <w:rPr>
          <w:rFonts w:ascii="Times New Roman" w:hAnsi="Times New Roman" w:cs="Times New Roman"/>
          <w:color w:val="222222"/>
          <w:sz w:val="28"/>
          <w:szCs w:val="28"/>
          <w:lang w:val="uk-UA"/>
        </w:rPr>
        <w:t>CdCl</w:t>
      </w:r>
      <w:r w:rsidRPr="00CE0A20">
        <w:rPr>
          <w:rFonts w:ascii="Times New Roman" w:hAnsi="Times New Roman" w:cs="Times New Roman"/>
          <w:color w:val="222222"/>
          <w:sz w:val="28"/>
          <w:szCs w:val="28"/>
          <w:vertAlign w:val="subscript"/>
          <w:lang w:val="uk-UA"/>
        </w:rPr>
        <w:t>2</w:t>
      </w:r>
      <w:r w:rsidR="000F6151" w:rsidRPr="00CE0A20">
        <w:rPr>
          <w:rFonts w:ascii="Times New Roman" w:hAnsi="Times New Roman" w:cs="Times New Roman"/>
          <w:color w:val="222222"/>
          <w:sz w:val="28"/>
          <w:szCs w:val="28"/>
          <w:lang w:val="uk-UA"/>
        </w:rPr>
        <w:t xml:space="preserve">) </w:t>
      </w:r>
      <w:r w:rsidRPr="00CE0A20">
        <w:rPr>
          <w:rFonts w:ascii="Times New Roman" w:hAnsi="Times New Roman" w:cs="Times New Roman"/>
          <w:color w:val="222222"/>
          <w:sz w:val="28"/>
          <w:szCs w:val="28"/>
          <w:lang w:val="uk-UA"/>
        </w:rPr>
        <w:t>в дозі 55</w:t>
      </w:r>
      <w:r w:rsidR="00BC11F5" w:rsidRPr="00CE0A20">
        <w:rPr>
          <w:rFonts w:ascii="Times New Roman" w:hAnsi="Times New Roman" w:cs="Times New Roman"/>
          <w:color w:val="222222"/>
          <w:sz w:val="28"/>
          <w:szCs w:val="28"/>
          <w:lang w:val="uk-UA"/>
        </w:rPr>
        <w:t> </w:t>
      </w:r>
      <w:r w:rsidRPr="00CE0A20">
        <w:rPr>
          <w:rFonts w:ascii="Times New Roman" w:hAnsi="Times New Roman" w:cs="Times New Roman"/>
          <w:color w:val="222222"/>
          <w:sz w:val="28"/>
          <w:szCs w:val="28"/>
          <w:lang w:val="uk-UA"/>
        </w:rPr>
        <w:t>мкг/100</w:t>
      </w:r>
      <w:r w:rsidR="00BC11F5" w:rsidRPr="00CE0A20">
        <w:rPr>
          <w:rFonts w:ascii="Times New Roman" w:hAnsi="Times New Roman" w:cs="Times New Roman"/>
          <w:color w:val="222222"/>
          <w:sz w:val="28"/>
          <w:szCs w:val="28"/>
          <w:lang w:val="uk-UA"/>
        </w:rPr>
        <w:t> </w:t>
      </w:r>
      <w:r w:rsidRPr="00CE0A20">
        <w:rPr>
          <w:rFonts w:ascii="Times New Roman" w:hAnsi="Times New Roman" w:cs="Times New Roman"/>
          <w:color w:val="222222"/>
          <w:sz w:val="28"/>
          <w:szCs w:val="28"/>
          <w:lang w:val="uk-UA"/>
        </w:rPr>
        <w:t>г маси тіла тварини, у дозі 100 мкг/100 г маси тіла тварини, у дозі 150 мкг/100 г маси тіла тварини та в дозі 200 мкг/100 г маси тіла. Додатково у підгрупах 55, 100 та 150 мкг/100 г маси тіла тварини, було залучено по 14 тварин, яких виводили з експерименту на 7-</w:t>
      </w:r>
      <w:r w:rsidR="001C1359">
        <w:rPr>
          <w:rFonts w:ascii="Times New Roman" w:hAnsi="Times New Roman" w:cs="Times New Roman"/>
          <w:color w:val="222222"/>
          <w:sz w:val="28"/>
          <w:szCs w:val="28"/>
          <w:lang w:val="uk-UA"/>
        </w:rPr>
        <w:t>м</w:t>
      </w:r>
      <w:r w:rsidRPr="00CE0A20">
        <w:rPr>
          <w:rFonts w:ascii="Times New Roman" w:hAnsi="Times New Roman" w:cs="Times New Roman"/>
          <w:color w:val="222222"/>
          <w:sz w:val="28"/>
          <w:szCs w:val="28"/>
          <w:lang w:val="uk-UA"/>
        </w:rPr>
        <w:t>у  та 14-</w:t>
      </w:r>
      <w:r w:rsidR="001C1359">
        <w:rPr>
          <w:rFonts w:ascii="Times New Roman" w:hAnsi="Times New Roman" w:cs="Times New Roman"/>
          <w:color w:val="222222"/>
          <w:sz w:val="28"/>
          <w:szCs w:val="28"/>
          <w:lang w:val="uk-UA"/>
        </w:rPr>
        <w:t>т</w:t>
      </w:r>
      <w:r w:rsidRPr="00CE0A20">
        <w:rPr>
          <w:rFonts w:ascii="Times New Roman" w:hAnsi="Times New Roman" w:cs="Times New Roman"/>
          <w:color w:val="222222"/>
          <w:sz w:val="28"/>
          <w:szCs w:val="28"/>
          <w:lang w:val="uk-UA"/>
        </w:rPr>
        <w:t>у добу для проведення гістологічних досліджень.</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Була створена модель експериментального андрогенного дефіциту шляхом інтраперитонеального введення </w:t>
      </w:r>
      <w:r w:rsidRPr="00CE0A20">
        <w:rPr>
          <w:rFonts w:ascii="Times New Roman" w:hAnsi="Times New Roman" w:cs="Times New Roman"/>
          <w:kern w:val="2"/>
          <w:sz w:val="28"/>
          <w:szCs w:val="28"/>
          <w:lang w:val="uk-UA"/>
        </w:rPr>
        <w:t xml:space="preserve">гонадотоксичної хімічної сполуки – </w:t>
      </w:r>
      <w:r w:rsidR="000F6151" w:rsidRPr="00CE0A20">
        <w:rPr>
          <w:rFonts w:ascii="Times New Roman" w:hAnsi="Times New Roman" w:cs="Times New Roman"/>
          <w:color w:val="222222"/>
          <w:sz w:val="28"/>
          <w:szCs w:val="28"/>
          <w:lang w:val="uk-UA"/>
        </w:rPr>
        <w:t>CdCl</w:t>
      </w:r>
      <w:r w:rsidR="000F6151" w:rsidRPr="00CE0A20">
        <w:rPr>
          <w:rFonts w:ascii="Times New Roman" w:hAnsi="Times New Roman" w:cs="Times New Roman"/>
          <w:color w:val="222222"/>
          <w:sz w:val="28"/>
          <w:szCs w:val="28"/>
          <w:vertAlign w:val="subscript"/>
          <w:lang w:val="uk-UA"/>
        </w:rPr>
        <w:t>2</w:t>
      </w:r>
      <w:r w:rsidRPr="00CE0A20">
        <w:rPr>
          <w:rFonts w:ascii="Times New Roman" w:hAnsi="Times New Roman" w:cs="Times New Roman"/>
          <w:sz w:val="28"/>
          <w:szCs w:val="28"/>
          <w:lang w:val="uk-UA"/>
        </w:rPr>
        <w:t xml:space="preserve"> у дозі 150 мкг/100 г маси тіла тварини. Саме в цій дозі були найвиразнішими патоморфологічні зміни сім’яників. На 7-</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спостереження відмічен</w:t>
      </w:r>
      <w:r w:rsidR="00BC11F5" w:rsidRPr="00CE0A20">
        <w:rPr>
          <w:rFonts w:ascii="Times New Roman" w:hAnsi="Times New Roman" w:cs="Times New Roman"/>
          <w:sz w:val="28"/>
          <w:szCs w:val="28"/>
          <w:lang w:val="uk-UA"/>
        </w:rPr>
        <w:t>о</w:t>
      </w:r>
      <w:r w:rsidRPr="00CE0A20">
        <w:rPr>
          <w:rFonts w:ascii="Times New Roman" w:hAnsi="Times New Roman" w:cs="Times New Roman"/>
          <w:sz w:val="28"/>
          <w:szCs w:val="28"/>
          <w:lang w:val="uk-UA"/>
        </w:rPr>
        <w:t xml:space="preserve"> виразну деструкцію більшості сім'яних канальців з атрофією сім’яродного епітелію, навколо деструктивно змінених канальців утворювалась молода сполучна тканина, яка витісняла інтерстиціальну. Клітини Сертолі були нечисленними та з ознаками деструкції. Клітини Лейдіга проліферували, але їх</w:t>
      </w:r>
      <w:r w:rsidR="00BC11F5" w:rsidRPr="00CE0A20">
        <w:rPr>
          <w:rFonts w:ascii="Times New Roman" w:hAnsi="Times New Roman" w:cs="Times New Roman"/>
          <w:sz w:val="28"/>
          <w:szCs w:val="28"/>
          <w:lang w:val="uk-UA"/>
        </w:rPr>
        <w:t>ні</w:t>
      </w:r>
      <w:r w:rsidRPr="00CE0A20">
        <w:rPr>
          <w:rFonts w:ascii="Times New Roman" w:hAnsi="Times New Roman" w:cs="Times New Roman"/>
          <w:sz w:val="28"/>
          <w:szCs w:val="28"/>
          <w:lang w:val="uk-UA"/>
        </w:rPr>
        <w:t xml:space="preserve"> ядра були дрібними та гіперхромними. Ці зміни залишалися на 14-</w:t>
      </w:r>
      <w:r w:rsidR="001C1359">
        <w:rPr>
          <w:rFonts w:ascii="Times New Roman" w:hAnsi="Times New Roman" w:cs="Times New Roman"/>
          <w:sz w:val="28"/>
          <w:szCs w:val="28"/>
          <w:lang w:val="uk-UA"/>
        </w:rPr>
        <w:t>т</w:t>
      </w:r>
      <w:r w:rsidRPr="00CE0A20">
        <w:rPr>
          <w:rFonts w:ascii="Times New Roman" w:hAnsi="Times New Roman" w:cs="Times New Roman"/>
          <w:sz w:val="28"/>
          <w:szCs w:val="28"/>
          <w:lang w:val="uk-UA"/>
        </w:rPr>
        <w:t>у та 28-</w:t>
      </w:r>
      <w:r w:rsidR="001C1359">
        <w:rPr>
          <w:rFonts w:ascii="Times New Roman" w:hAnsi="Times New Roman" w:cs="Times New Roman"/>
          <w:sz w:val="28"/>
          <w:szCs w:val="28"/>
          <w:lang w:val="uk-UA"/>
        </w:rPr>
        <w:t>м</w:t>
      </w:r>
      <w:r w:rsidRPr="00CE0A20">
        <w:rPr>
          <w:rFonts w:ascii="Times New Roman" w:hAnsi="Times New Roman" w:cs="Times New Roman"/>
          <w:sz w:val="28"/>
          <w:szCs w:val="28"/>
          <w:lang w:val="uk-UA"/>
        </w:rPr>
        <w:t>у добу експерименту, при цьому  ознак репарації не виявлено. Слід зазначити, що при застосуванні цієї дози не відмічено пригнічення інших статевих гормонів, крім цього, були погіршені показники копулятивної поведінки, але не було її повного пригнічення, що свідчить про збереження центральних структур на тлі  токсичного ураження тестикул.</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Культуру КСКМ отримували згідно з розробленою методикою. Кістковий мозок виділяли </w:t>
      </w:r>
      <w:r w:rsidRPr="00CE0A20">
        <w:rPr>
          <w:rFonts w:ascii="Times New Roman" w:eastAsia="TimesNewRomanPSMT" w:hAnsi="Times New Roman" w:cs="Times New Roman"/>
          <w:sz w:val="28"/>
          <w:szCs w:val="28"/>
          <w:lang w:val="uk-UA"/>
        </w:rPr>
        <w:t>зі стегнових кісток щурів-самців лінії Wistar віком 3 міс</w:t>
      </w:r>
      <w:r w:rsidR="00BD47C6" w:rsidRPr="00CE0A20">
        <w:rPr>
          <w:rFonts w:ascii="Times New Roman" w:eastAsia="TimesNewRomanPSMT" w:hAnsi="Times New Roman" w:cs="Times New Roman"/>
          <w:sz w:val="28"/>
          <w:szCs w:val="28"/>
          <w:lang w:val="uk-UA"/>
        </w:rPr>
        <w:t>.</w:t>
      </w:r>
      <w:r w:rsidRPr="00CE0A20">
        <w:rPr>
          <w:rFonts w:ascii="Times New Roman" w:eastAsia="TimesNewRomanPSMT" w:hAnsi="Times New Roman" w:cs="Times New Roman"/>
          <w:sz w:val="28"/>
          <w:szCs w:val="28"/>
          <w:lang w:val="uk-UA"/>
        </w:rPr>
        <w:t xml:space="preserve"> в асептичних умовах.</w:t>
      </w:r>
      <w:r w:rsidRPr="00CE0A20">
        <w:rPr>
          <w:rFonts w:ascii="Times New Roman" w:hAnsi="Times New Roman" w:cs="Times New Roman"/>
          <w:sz w:val="28"/>
          <w:szCs w:val="28"/>
          <w:lang w:val="uk-UA"/>
        </w:rPr>
        <w:t xml:space="preserve"> </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Для вирішення поставлених завдань дослідження був виконаний другий етап експерименту, під час якого порівнювалися біохімічні та морфологічні показники інтактних тварин, тварин з експериментальним андрогенним дефіцитом та тварин, яким вводили КСКМ у кількості 80000, 100000 та 200000 клітин в одне яєчко або в обидва яєчка.</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Найсуттєві</w:t>
      </w:r>
      <w:r w:rsidR="007A6C6D" w:rsidRPr="00CE0A20">
        <w:rPr>
          <w:rFonts w:ascii="Times New Roman" w:hAnsi="Times New Roman" w:cs="Times New Roman"/>
          <w:sz w:val="28"/>
          <w:szCs w:val="28"/>
          <w:lang w:val="uk-UA"/>
        </w:rPr>
        <w:t>ші</w:t>
      </w:r>
      <w:r w:rsidRPr="00CE0A20">
        <w:rPr>
          <w:rFonts w:ascii="Times New Roman" w:hAnsi="Times New Roman" w:cs="Times New Roman"/>
          <w:sz w:val="28"/>
          <w:szCs w:val="28"/>
          <w:lang w:val="uk-UA"/>
        </w:rPr>
        <w:t xml:space="preserve">  зміни відбулися після введення КСКМ у кожне яєчко. Концентрація тестостерону достовірно збільшилася порівняно з тваринами з ЕАД, причому якщо після введення 80000 та 100000 КСКМ його рівень був  достовірно меншим, ніж у контрольній групі, то після введення 200000 КСКМ він не відрізнявся від інтактних тварин. Рівень естрадіолу та величина Т/Е достовірно наблизилися до аналогічних показників інтактних тварин тільки після введення 200000 КСКМ в кожне яєчко. Концентрації ФСГ, ЛГ, ПРЛ та ГЗСГ зменшилися порівняно з тваринами з ЕАД, але досягли рівня інтактних тварин також тільки після введення 200000 КСКМ, це стосується й величини АІ.</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Підтвердженням більшої ефективності введення КСКМ в обидва яєчка були результати гістологічного дослідження сім’яників, під час яких спостерігалася нормалізація розмірів сім’яних канальців, відновлення шарів сперматогенного епітелію, клітин Сертолі, наявність різних етапів диференціювання сперматид та нормохромних клітин Лейдіга у навколосудинній стромі. Морфометричний аналіз виявив нормалізацію КНС, КЗК-ЗСЕ, КЗК-12СМ та ІС. Нормалізувався і морфофункціональний стан передміхурової залози.</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Для вивчення подальшої долі стовбурових клітин, оцінки їх приживаності та розподілу в тканині яєчка після інтратестикулярної трансплантації проводився експеримент на 6 тваринах, яким вводили  КСКМ, що експресують зелений флюоресцентний білок </w:t>
      </w:r>
      <w:r w:rsidR="000F6151" w:rsidRPr="00CE0A20">
        <w:rPr>
          <w:rFonts w:ascii="Times New Roman" w:hAnsi="Times New Roman" w:cs="Times New Roman"/>
          <w:sz w:val="28"/>
          <w:szCs w:val="28"/>
          <w:lang w:val="uk-UA"/>
        </w:rPr>
        <w:t>(</w:t>
      </w:r>
      <w:r w:rsidRPr="00CE0A20">
        <w:rPr>
          <w:rFonts w:ascii="Times New Roman" w:hAnsi="Times New Roman" w:cs="Times New Roman"/>
          <w:sz w:val="28"/>
          <w:szCs w:val="28"/>
          <w:lang w:val="uk-UA"/>
        </w:rPr>
        <w:t>GFP</w:t>
      </w:r>
      <w:r w:rsidR="000F6151" w:rsidRPr="00CE0A20">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Експеримент </w:t>
      </w:r>
      <w:r w:rsidR="00A4538C" w:rsidRPr="00CE0A20">
        <w:rPr>
          <w:rFonts w:ascii="Times New Roman" w:hAnsi="Times New Roman" w:cs="Times New Roman"/>
          <w:sz w:val="28"/>
          <w:szCs w:val="28"/>
          <w:lang w:val="uk-UA"/>
        </w:rPr>
        <w:t>роз</w:t>
      </w:r>
      <w:r w:rsidRPr="00CE0A20">
        <w:rPr>
          <w:rFonts w:ascii="Times New Roman" w:hAnsi="Times New Roman" w:cs="Times New Roman"/>
          <w:sz w:val="28"/>
          <w:szCs w:val="28"/>
          <w:lang w:val="uk-UA"/>
        </w:rPr>
        <w:t xml:space="preserve">почали з етапу </w:t>
      </w:r>
      <w:r w:rsidRPr="00CE0A20">
        <w:rPr>
          <w:rFonts w:ascii="Times New Roman" w:hAnsi="Times New Roman" w:cs="Times New Roman"/>
          <w:sz w:val="28"/>
          <w:szCs w:val="28"/>
          <w:lang w:val="en-US"/>
        </w:rPr>
        <w:t>ex</w:t>
      </w:r>
      <w:r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en-US"/>
        </w:rPr>
        <w:t>vivo</w:t>
      </w:r>
      <w:r w:rsidRPr="00CE0A20">
        <w:rPr>
          <w:rFonts w:ascii="Times New Roman" w:hAnsi="Times New Roman" w:cs="Times New Roman"/>
          <w:sz w:val="28"/>
          <w:szCs w:val="28"/>
          <w:lang w:val="uk-UA"/>
        </w:rPr>
        <w:t xml:space="preserve">, коли культуру клітин вводили у видалене яєчко. На етапі </w:t>
      </w:r>
      <w:r w:rsidRPr="00CE0A20">
        <w:rPr>
          <w:rFonts w:ascii="Times New Roman" w:hAnsi="Times New Roman" w:cs="Times New Roman"/>
          <w:sz w:val="28"/>
          <w:szCs w:val="28"/>
          <w:lang w:val="en-US"/>
        </w:rPr>
        <w:t>in</w:t>
      </w:r>
      <w:r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en-US"/>
        </w:rPr>
        <w:t>vivo</w:t>
      </w:r>
      <w:r w:rsidRPr="00CE0A20">
        <w:rPr>
          <w:rFonts w:ascii="Times New Roman" w:hAnsi="Times New Roman" w:cs="Times New Roman"/>
          <w:sz w:val="28"/>
          <w:szCs w:val="28"/>
          <w:lang w:val="uk-UA"/>
        </w:rPr>
        <w:t xml:space="preserve"> розподіл GFP КСКМ вивчали через 1-у добу, на 14-у та 28-у добу. </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За результатами флюоресцентної мікроскопії визначено, що одразу після трансплантації КСКМ та через добу у великій кількості виявляють у міжканальцевому просторі яєчок. Це свідчило про рівномірний розподіл КСКМ в інтерстиціальному просторі, що необхідно для їхньої подальшої діяльності для відновлення статевих клітин. На 14-у та на 28-у добу світіння було менш інтенсивним, але зберігалось у визначених ділянках інтерстицію.</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 відділеному періоді після лікування експериментального андрогенного дефіциту за допомогою КСКМ у щурів, що померли природним шляхом, ознак розвитку новоутворень не виявлено, гістоструктура сім’яників та вентральної частини передміхурової залози не відрізнялася від контрольних тварин аналогічного віку.</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У </w:t>
      </w:r>
      <w:r w:rsidRPr="00CE0A20">
        <w:rPr>
          <w:rFonts w:ascii="Times New Roman" w:hAnsi="Times New Roman" w:cs="Times New Roman"/>
          <w:sz w:val="28"/>
          <w:szCs w:val="28"/>
          <w:u w:val="single"/>
          <w:lang w:val="uk-UA"/>
        </w:rPr>
        <w:t>клінічній частині</w:t>
      </w:r>
      <w:r w:rsidRPr="00CE0A20">
        <w:rPr>
          <w:rFonts w:ascii="Times New Roman" w:hAnsi="Times New Roman" w:cs="Times New Roman"/>
          <w:sz w:val="28"/>
          <w:szCs w:val="28"/>
          <w:lang w:val="uk-UA"/>
        </w:rPr>
        <w:t xml:space="preserve"> роботи вперше здійснено клінічну апробацію методу інтратестикулярної трансплантації аутологічних КСКМ для лікування еректильної дисфункції у хворих з андрогенним дефіцитом на фоні цукрового діабету 2-го типу з надмірною вагою. </w:t>
      </w:r>
    </w:p>
    <w:p w:rsidR="00EB6EBC" w:rsidRPr="00CE0A20" w:rsidRDefault="00A4538C" w:rsidP="00EB6EBC">
      <w:pPr>
        <w:widowControl w:val="0"/>
        <w:suppressAutoHyphens/>
        <w:spacing w:line="360" w:lineRule="auto"/>
        <w:ind w:firstLine="709"/>
        <w:jc w:val="both"/>
        <w:rPr>
          <w:rFonts w:ascii="Times New Roman" w:eastAsia="Times New Roman" w:hAnsi="Times New Roman" w:cs="Times New Roman"/>
          <w:sz w:val="28"/>
          <w:szCs w:val="28"/>
          <w:lang w:val="uk-UA" w:eastAsia="ar-SA"/>
        </w:rPr>
      </w:pPr>
      <w:r w:rsidRPr="00CE0A20">
        <w:rPr>
          <w:rFonts w:ascii="Times New Roman" w:eastAsia="Times New Roman" w:hAnsi="Times New Roman" w:cs="Times New Roman"/>
          <w:sz w:val="28"/>
          <w:szCs w:val="28"/>
          <w:lang w:val="uk-UA" w:eastAsia="ar-SA"/>
        </w:rPr>
        <w:t>До</w:t>
      </w:r>
      <w:r w:rsidR="00EB6EBC" w:rsidRPr="00CE0A20">
        <w:rPr>
          <w:rFonts w:ascii="Times New Roman" w:eastAsia="Times New Roman" w:hAnsi="Times New Roman" w:cs="Times New Roman"/>
          <w:sz w:val="28"/>
          <w:szCs w:val="28"/>
          <w:lang w:val="uk-UA" w:eastAsia="ar-SA"/>
        </w:rPr>
        <w:t xml:space="preserve"> дослідження залучено 20 пацієнтів з ЕД та андрогенною недостатністю на тлі ЦД 2-го типу й надлишковою вагою. Основною причиною звернення до уролога була наявність ЕД, яку оцінювали за шкалою МІЕФ-5. </w:t>
      </w:r>
    </w:p>
    <w:p w:rsidR="00EB6EBC" w:rsidRPr="00CE0A20" w:rsidRDefault="00EB6EBC" w:rsidP="00EB6EBC">
      <w:pPr>
        <w:widowControl w:val="0"/>
        <w:suppressAutoHyphens/>
        <w:spacing w:line="360" w:lineRule="auto"/>
        <w:ind w:firstLine="709"/>
        <w:jc w:val="both"/>
        <w:rPr>
          <w:rFonts w:ascii="Times New Roman" w:eastAsia="Times New Roman" w:hAnsi="Times New Roman" w:cs="Times New Roman"/>
          <w:iCs/>
          <w:sz w:val="28"/>
          <w:szCs w:val="28"/>
          <w:lang w:val="uk-UA" w:eastAsia="ar-SA"/>
        </w:rPr>
      </w:pPr>
      <w:r w:rsidRPr="00CE0A20">
        <w:rPr>
          <w:rFonts w:ascii="Times New Roman" w:eastAsia="Times New Roman" w:hAnsi="Times New Roman" w:cs="Times New Roman"/>
          <w:sz w:val="28"/>
          <w:szCs w:val="28"/>
          <w:lang w:val="uk-UA" w:eastAsia="ar-SA"/>
        </w:rPr>
        <w:t xml:space="preserve">Пацієнти були розподілені на дві підгрупи: </w:t>
      </w:r>
      <w:r w:rsidRPr="00CE0A20">
        <w:rPr>
          <w:rFonts w:ascii="Times New Roman" w:eastAsia="Times New Roman" w:hAnsi="Times New Roman" w:cs="Times New Roman"/>
          <w:iCs/>
          <w:sz w:val="28"/>
          <w:szCs w:val="28"/>
          <w:lang w:val="uk-UA" w:eastAsia="ar-SA"/>
        </w:rPr>
        <w:t>1а підгрупа (основна) – 10 хворих, які отримували лікування із застосуванням клітинної терапії – інтратестикулярне введення аутологічних КСКМ; 1б підгрупа (порівняння) – 10 хворих, які отримували лікування із застосуванням ГЗТ тестостерон</w:t>
      </w:r>
      <w:r w:rsidR="00A4538C" w:rsidRPr="00CE0A20">
        <w:rPr>
          <w:rFonts w:ascii="Times New Roman" w:eastAsia="Times New Roman" w:hAnsi="Times New Roman" w:cs="Times New Roman"/>
          <w:iCs/>
          <w:sz w:val="28"/>
          <w:szCs w:val="28"/>
          <w:lang w:val="uk-UA" w:eastAsia="ar-SA"/>
        </w:rPr>
        <w:t>у</w:t>
      </w:r>
      <w:r w:rsidRPr="00CE0A20">
        <w:rPr>
          <w:rFonts w:ascii="Times New Roman" w:eastAsia="Times New Roman" w:hAnsi="Times New Roman" w:cs="Times New Roman"/>
          <w:iCs/>
          <w:sz w:val="28"/>
          <w:szCs w:val="28"/>
          <w:lang w:val="uk-UA" w:eastAsia="ar-SA"/>
        </w:rPr>
        <w:t xml:space="preserve"> ундеконатом у вигляді внутрішньом’язових ін’єкцій по 4 мл (1</w:t>
      </w:r>
      <w:r w:rsidR="00A339FE" w:rsidRPr="00CE0A20">
        <w:rPr>
          <w:rFonts w:ascii="Times New Roman" w:eastAsia="Times New Roman" w:hAnsi="Times New Roman" w:cs="Times New Roman"/>
          <w:iCs/>
          <w:sz w:val="28"/>
          <w:szCs w:val="28"/>
          <w:lang w:val="uk-UA" w:eastAsia="ar-SA"/>
        </w:rPr>
        <w:t> </w:t>
      </w:r>
      <w:r w:rsidRPr="00CE0A20">
        <w:rPr>
          <w:rFonts w:ascii="Times New Roman" w:eastAsia="Times New Roman" w:hAnsi="Times New Roman" w:cs="Times New Roman"/>
          <w:iCs/>
          <w:sz w:val="28"/>
          <w:szCs w:val="28"/>
          <w:lang w:val="uk-UA" w:eastAsia="ar-SA"/>
        </w:rPr>
        <w:t xml:space="preserve">г тестостерону)  на початку дослідження та на 12-му тижні лікування. </w:t>
      </w:r>
    </w:p>
    <w:p w:rsidR="00EB6EBC" w:rsidRPr="00CE0A20" w:rsidRDefault="00EB6EBC" w:rsidP="00EB6EBC">
      <w:pPr>
        <w:widowControl w:val="0"/>
        <w:suppressAutoHyphens/>
        <w:spacing w:line="360" w:lineRule="auto"/>
        <w:ind w:firstLine="709"/>
        <w:jc w:val="both"/>
        <w:rPr>
          <w:rFonts w:ascii="Times New Roman" w:hAnsi="Times New Roman" w:cs="Times New Roman"/>
          <w:sz w:val="28"/>
          <w:szCs w:val="28"/>
          <w:lang w:val="uk-UA" w:eastAsia="ar-SA"/>
        </w:rPr>
      </w:pPr>
      <w:r w:rsidRPr="00CE0A20">
        <w:rPr>
          <w:rFonts w:ascii="Times New Roman" w:eastAsia="Times New Roman" w:hAnsi="Times New Roman" w:cs="Times New Roman"/>
          <w:iCs/>
          <w:sz w:val="28"/>
          <w:szCs w:val="28"/>
          <w:lang w:val="uk-UA" w:eastAsia="ar-SA"/>
        </w:rPr>
        <w:t>Усі пацієнти під час участі в дослідженні застосовували інгібітори ФДЕ-5 за вимогою. При цьому, практично в</w:t>
      </w:r>
      <w:r w:rsidRPr="00CE0A20">
        <w:rPr>
          <w:rFonts w:ascii="Times New Roman" w:eastAsia="Times New Roman" w:hAnsi="Times New Roman" w:cs="Times New Roman"/>
          <w:sz w:val="28"/>
          <w:szCs w:val="28"/>
          <w:lang w:val="uk-UA" w:eastAsia="ar-SA"/>
        </w:rPr>
        <w:t>сі пацієнти вже мали досвід використання інгібіторів ФДЕ-5, але приймали їх не</w:t>
      </w:r>
      <w:r w:rsidR="007A6C6D" w:rsidRPr="00CE0A20">
        <w:rPr>
          <w:rFonts w:ascii="Times New Roman" w:eastAsia="Times New Roman" w:hAnsi="Times New Roman" w:cs="Times New Roman"/>
          <w:sz w:val="28"/>
          <w:szCs w:val="28"/>
          <w:lang w:val="uk-UA" w:eastAsia="ar-SA"/>
        </w:rPr>
        <w:t xml:space="preserve"> </w:t>
      </w:r>
      <w:r w:rsidRPr="00CE0A20">
        <w:rPr>
          <w:rFonts w:ascii="Times New Roman" w:eastAsia="Times New Roman" w:hAnsi="Times New Roman" w:cs="Times New Roman"/>
          <w:sz w:val="28"/>
          <w:szCs w:val="28"/>
          <w:lang w:val="uk-UA" w:eastAsia="ar-SA"/>
        </w:rPr>
        <w:t xml:space="preserve">системно, без визначеної схеми лікування. </w:t>
      </w:r>
      <w:r w:rsidRPr="00CE0A20">
        <w:rPr>
          <w:rFonts w:ascii="Times New Roman" w:hAnsi="Times New Roman" w:cs="Times New Roman"/>
          <w:sz w:val="28"/>
          <w:szCs w:val="28"/>
          <w:lang w:val="uk-UA" w:eastAsia="ar-SA"/>
        </w:rPr>
        <w:t>Контрольну групу склали 20 практично здорових чоловіків, які звернулися до лікаря у зв’язку з профілактичним оглядом. Дослідження тривало 24 тижні.</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За результатами аналізу клінічних досліджень визначено, що у всіх пацієнтів основної групи виявлялась ЕД, що підтверджувалося значним зниженням кількості балів МІЕФ, яка була майже в 2,5 раза меншою, ніж у пацієнтів контрольної групи. Наявність гіпогонадизму підтверджено значним зменшенням рівня загального тестостерону, який був достовірно, майже в 4 рази меншим, ніж у контрольній групі. Крім цього, виявлено відхилення від показників концентрації інших статевих гормонів: рівень естрадіолу був майже в 1,3 раза вищим,  індекс Т/Е – майже в 7 разів нижчим, концентрація ГЗСГ підвищена більш ніж в 2 рази, АІ – менша майже в 10 разів. Концентрації ФСГ, ЛГ та ПРЛ достовірно не відрізнялися від аналогічних показників контрольної групи. Також у пацієнтів основної були достовірно вищими, ніж у контрольній групі ІМТ, концентрація глюкози та вміст </w:t>
      </w:r>
      <w:r w:rsidRPr="00CE0A20">
        <w:rPr>
          <w:rFonts w:ascii="Times New Roman" w:hAnsi="Times New Roman" w:cs="Times New Roman"/>
          <w:sz w:val="28"/>
          <w:szCs w:val="28"/>
          <w:lang w:val="en-US"/>
        </w:rPr>
        <w:t>HbA</w:t>
      </w:r>
      <w:r w:rsidRPr="00CE0A20">
        <w:rPr>
          <w:rFonts w:ascii="Times New Roman" w:hAnsi="Times New Roman" w:cs="Times New Roman"/>
          <w:sz w:val="28"/>
          <w:szCs w:val="28"/>
          <w:lang w:val="uk-UA"/>
        </w:rPr>
        <w:t>1</w:t>
      </w:r>
      <w:r w:rsidRPr="00CE0A20">
        <w:rPr>
          <w:rFonts w:ascii="Times New Roman" w:hAnsi="Times New Roman" w:cs="Times New Roman"/>
          <w:sz w:val="28"/>
          <w:szCs w:val="28"/>
          <w:lang w:val="en-US"/>
        </w:rPr>
        <w:t>c</w:t>
      </w:r>
      <w:r w:rsidRPr="00CE0A20">
        <w:rPr>
          <w:rFonts w:ascii="Times New Roman" w:hAnsi="Times New Roman" w:cs="Times New Roman"/>
          <w:sz w:val="28"/>
          <w:szCs w:val="28"/>
          <w:lang w:val="uk-UA"/>
        </w:rPr>
        <w:t xml:space="preserve">. Разом із порушеннями вуглеводного обміну у хворих виявлено ознаки порушень метаболізму жирів з достовірним збільшенням порівняно з контрольною групою концентрації загального холестерину, ЛПНЩ та тригліцеридів і зменшенням концентрації ЛПВЩ. Ці зміни сполучалися з ознаками печінкової дисфункції з достовірним підвищенням концентрації АЛТ та АСТ. </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 чоловіків основної групи виконували забір губчастої речовини клубової кістки. Лабораторне культивування аутоКСКМ тривало 12–14 діб.  Аутотрансплантацію КСКМ проводили в стерильних умовах.</w:t>
      </w:r>
    </w:p>
    <w:p w:rsidR="00EB6EBC" w:rsidRPr="00CE0A20" w:rsidRDefault="00EB6EBC" w:rsidP="00EB6EBC">
      <w:pPr>
        <w:pStyle w:val="a3"/>
        <w:widowControl w:val="0"/>
        <w:ind w:left="0" w:firstLine="708"/>
        <w:contextualSpacing/>
        <w:jc w:val="both"/>
        <w:rPr>
          <w:rFonts w:ascii="Times New Roman" w:hAnsi="Times New Roman" w:cs="Times New Roman"/>
          <w:lang w:val="uk-UA"/>
        </w:rPr>
      </w:pPr>
      <w:r w:rsidRPr="00CE0A20">
        <w:rPr>
          <w:rFonts w:ascii="Times New Roman" w:hAnsi="Times New Roman" w:cs="Times New Roman"/>
          <w:lang w:val="uk-UA"/>
        </w:rPr>
        <w:t>Корекція андрогенного дефіциту у  хворих на цукровий діабет  2-го типу та з надлишковою вагою сприяє нормалізації індексу маси тіла, поліпшенню показників вугле</w:t>
      </w:r>
      <w:r w:rsidRPr="00CE0A20">
        <w:rPr>
          <w:rFonts w:ascii="Times New Roman" w:hAnsi="Times New Roman" w:cs="Times New Roman"/>
          <w:lang w:val="uk-UA"/>
        </w:rPr>
        <w:softHyphen/>
        <w:t>водного та жирового обмінів, спричиняє достовірне збільшення концентрації загального тестостерону в сироватці крові до 24-го тижня з 3,9±1,2 до 14,0±1,9 нмоль/мл та з 4,1±1,3 до 16,9±2,3</w:t>
      </w:r>
      <w:r w:rsidR="00D20B56" w:rsidRPr="00CE0A20">
        <w:rPr>
          <w:rFonts w:ascii="Times New Roman" w:hAnsi="Times New Roman" w:cs="Times New Roman"/>
          <w:lang w:val="uk-UA"/>
        </w:rPr>
        <w:t> </w:t>
      </w:r>
      <w:r w:rsidRPr="00CE0A20">
        <w:rPr>
          <w:rFonts w:ascii="Times New Roman" w:hAnsi="Times New Roman" w:cs="Times New Roman"/>
          <w:lang w:val="uk-UA"/>
        </w:rPr>
        <w:t>нмоль/мл (</w:t>
      </w:r>
      <w:r w:rsidRPr="00CE0A20">
        <w:rPr>
          <w:rFonts w:ascii="Times New Roman" w:hAnsi="Times New Roman" w:cs="Times New Roman"/>
          <w:lang w:val="en-US"/>
        </w:rPr>
        <w:t>p</w:t>
      </w:r>
      <w:r w:rsidRPr="00CE0A20">
        <w:rPr>
          <w:rFonts w:ascii="Times New Roman" w:hAnsi="Times New Roman" w:cs="Times New Roman"/>
          <w:lang w:val="uk-UA"/>
        </w:rPr>
        <w:t xml:space="preserve"> &lt; 0,05) відповідно в групах одноразового введення аутоКСКМ та у пацієнтів, які отримували ГЗТ із застосуванням двох внутрішньом’язових ін’єкцій тестостерону ундеконату. Суттєвих небажаних подій та побічних ефектів ГЗТ під час дослідження не спостерігали.  </w:t>
      </w:r>
    </w:p>
    <w:p w:rsidR="00EB6EBC" w:rsidRPr="00CE0A20" w:rsidRDefault="00EB6EBC" w:rsidP="00EB6EBC">
      <w:pPr>
        <w:widowControl w:val="0"/>
        <w:spacing w:line="360" w:lineRule="auto"/>
        <w:contextualSpacing/>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ab/>
        <w:t>За результатами клінічної апробації запропонованого методу клітинної терапії у хворих з еректильною дисфункцією на тлі андрогенного  дефіциту, цукрового діабету 2-го типу та надлишкової маси тіла визначено, що  одноразова трансплан</w:t>
      </w:r>
      <w:r w:rsidRPr="00CE0A20">
        <w:rPr>
          <w:rFonts w:ascii="Times New Roman" w:hAnsi="Times New Roman" w:cs="Times New Roman"/>
          <w:sz w:val="28"/>
          <w:szCs w:val="28"/>
          <w:lang w:val="uk-UA"/>
        </w:rPr>
        <w:softHyphen/>
        <w:t>тація аутологічних КСКМ в обидва яєчка сприяє покращенню еректильної функції з достовірним збільшенням показника МІЕФ через 4 тижні на 25,8%, через 12 тижнів – на 57,3% та збереженням позитивної динаміки до 24-го тижня після лікування.</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При незмінній концентрації естрадіолу величина Т/Е незначно зросла та наблизилася до показника контрольної групи. Також в обох підгрупах основної групи відмічено подальше зменшення концентрації ГЗСГ та збільшення АІ, котрий залишався достовірно меншим, ніж </w:t>
      </w:r>
      <w:r w:rsidR="009449A8" w:rsidRPr="00CE0A20">
        <w:rPr>
          <w:rFonts w:ascii="Times New Roman" w:hAnsi="Times New Roman" w:cs="Times New Roman"/>
          <w:sz w:val="28"/>
          <w:szCs w:val="28"/>
          <w:lang w:val="uk-UA"/>
        </w:rPr>
        <w:t>у</w:t>
      </w:r>
      <w:r w:rsidRPr="00CE0A20">
        <w:rPr>
          <w:rFonts w:ascii="Times New Roman" w:hAnsi="Times New Roman" w:cs="Times New Roman"/>
          <w:sz w:val="28"/>
          <w:szCs w:val="28"/>
          <w:lang w:val="uk-UA"/>
        </w:rPr>
        <w:t xml:space="preserve"> контрольній групі. Рівень ФСГ, ЛГ та ПРЛ не змінився. У цей термін також відмічено подальше зменшення ІМТ, рівні глюкози та </w:t>
      </w:r>
      <w:r w:rsidRPr="00CE0A20">
        <w:rPr>
          <w:rFonts w:ascii="Times New Roman" w:hAnsi="Times New Roman" w:cs="Times New Roman"/>
          <w:sz w:val="28"/>
          <w:szCs w:val="28"/>
          <w:lang w:val="en-US"/>
        </w:rPr>
        <w:t>HbA</w:t>
      </w:r>
      <w:r w:rsidRPr="00CE0A20">
        <w:rPr>
          <w:rFonts w:ascii="Times New Roman" w:hAnsi="Times New Roman" w:cs="Times New Roman"/>
          <w:sz w:val="28"/>
          <w:szCs w:val="28"/>
          <w:lang w:val="uk-UA"/>
        </w:rPr>
        <w:t>1</w:t>
      </w:r>
      <w:r w:rsidRPr="00CE0A20">
        <w:rPr>
          <w:rFonts w:ascii="Times New Roman" w:hAnsi="Times New Roman" w:cs="Times New Roman"/>
          <w:sz w:val="28"/>
          <w:szCs w:val="28"/>
          <w:lang w:val="en-US"/>
        </w:rPr>
        <w:t>c</w:t>
      </w:r>
      <w:r w:rsidRPr="00CE0A20">
        <w:rPr>
          <w:rFonts w:ascii="Times New Roman" w:hAnsi="Times New Roman" w:cs="Times New Roman"/>
          <w:sz w:val="28"/>
          <w:szCs w:val="28"/>
          <w:lang w:val="uk-UA"/>
        </w:rPr>
        <w:t xml:space="preserve"> суттєво не змінились, не суттєво знизилися концентрації загального холестерину, ЛПНЩ та тригліцеридів. Рівень ПСА залишався стабільним протягом усього дослідження. Протягом періоду спостереження у хворих не виявлено ознак побічних ефектів будь-якого походження</w:t>
      </w:r>
      <w:r w:rsidR="00131ACD" w:rsidRPr="00CE0A20">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Таким чином, наукова новизна роботи полягає </w:t>
      </w:r>
      <w:r w:rsidR="00131ACD" w:rsidRPr="00CE0A20">
        <w:rPr>
          <w:rFonts w:ascii="Times New Roman" w:hAnsi="Times New Roman" w:cs="Times New Roman"/>
          <w:sz w:val="28"/>
          <w:szCs w:val="28"/>
          <w:lang w:val="uk-UA"/>
        </w:rPr>
        <w:t>в</w:t>
      </w:r>
      <w:r w:rsidRPr="00CE0A20">
        <w:rPr>
          <w:rFonts w:ascii="Times New Roman" w:hAnsi="Times New Roman" w:cs="Times New Roman"/>
          <w:sz w:val="28"/>
          <w:szCs w:val="28"/>
          <w:lang w:val="uk-UA"/>
        </w:rPr>
        <w:t xml:space="preserve"> тому, що автором удосконалено експериментальну модель пригнічення копулятивної поведінки на тлі андрогенного дефіциту з використанням хлориду кадмію та доведено можливість досягнення необхідного гонадотоксичного ефекту зі стабільним зниженням рівня тестостерону без суттєвого впливу на гіпотал</w:t>
      </w:r>
      <w:r w:rsidR="00FF66EA" w:rsidRPr="00CE0A20">
        <w:rPr>
          <w:rFonts w:ascii="Times New Roman" w:hAnsi="Times New Roman" w:cs="Times New Roman"/>
          <w:sz w:val="28"/>
          <w:szCs w:val="28"/>
          <w:lang w:val="uk-UA"/>
        </w:rPr>
        <w:t>а</w:t>
      </w:r>
      <w:r w:rsidRPr="00CE0A20">
        <w:rPr>
          <w:rFonts w:ascii="Times New Roman" w:hAnsi="Times New Roman" w:cs="Times New Roman"/>
          <w:sz w:val="28"/>
          <w:szCs w:val="28"/>
          <w:lang w:val="uk-UA"/>
        </w:rPr>
        <w:t>мо-гіпофізарну вісь статевих гормонів та з відсутністю виразного загальнотоксичного ефекту.</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Виявлено, що одноразове інтраперитонеальне введення експериментальній тварині стерильного розчину хлориду кадмію у дозі 150 мкг/100 г  маси тіла призводить до виникнення стабільного андрогенного дефіциту зі збереженням цього стану на 28-у добу експерименту.</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Доведено, що запропонована модель експериментального андрогенного дефіциту спричиняє деструктивні зміни сім’яних канальців з частковим заміщенням інтерстиціальної тканини сполучною тканиною та ознаками надмірної проліферації клітин Лейдіга з ознаками морфофункціональної недостатності, що свідчить про виснаження регенераційного потенціалу та можливе зменшення кількості стовбурових клітин, необхідних для відновлення тестостерон-продукуючих клітин Лейдіга.</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Розроблено й застосовано методику клітинної терапії експеримен-тального андрогенного дефіциту із застосуванням інтратестикулярної транс</w:t>
      </w:r>
      <w:r w:rsidRPr="00CE0A20">
        <w:rPr>
          <w:rFonts w:ascii="Times New Roman" w:hAnsi="Times New Roman" w:cs="Times New Roman"/>
          <w:sz w:val="28"/>
          <w:szCs w:val="28"/>
          <w:lang w:val="uk-UA"/>
        </w:rPr>
        <w:softHyphen/>
        <w:t>плантації КСКМ, та доведено, що найбільший клінічний ефект спостерігається при введенні 200000 КСКМ в обидва яєчка (уздовж їх найбільшої вісі).</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Визначено, що інтратестикулярне введення дослідним тваринам КСКМ за запропонованим методом спричиняє відновлення рівня тестостерону та нормалізації інших статевих гормонів водночас з нормалізацією наслідків загальнотоксичної дії хлориду кадмію (активності АЛТ, АСТ, каталази та супероксиддисмутази - СОД).</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За результатами гістологічного дослідження визначено, що під впливом клітинної терапії із застосуванням КСКМ відбувається відновлення морфологічної структури сім’яників та морфометричних показників клітин яєчок експериментальних тварин з наявністю різних етапів диференціювання сперматид та нормохромних клітин Лейдіга у навколосудинній стромі.</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Запропоновано методику отримання КСКМ, що перманентно експресують зелений флюоресцентний білок </w:t>
      </w:r>
      <w:r w:rsidRPr="00CE0A20">
        <w:rPr>
          <w:rFonts w:ascii="Times New Roman" w:hAnsi="Times New Roman" w:cs="Times New Roman"/>
          <w:sz w:val="28"/>
          <w:szCs w:val="28"/>
          <w:lang w:val="en-US"/>
        </w:rPr>
        <w:t>GFP</w:t>
      </w:r>
      <w:r w:rsidRPr="00CE0A20">
        <w:rPr>
          <w:rFonts w:ascii="Times New Roman" w:hAnsi="Times New Roman" w:cs="Times New Roman"/>
          <w:sz w:val="28"/>
          <w:szCs w:val="28"/>
          <w:lang w:val="uk-UA"/>
        </w:rPr>
        <w:t>, за допомогою якого встановлено розташування та розподіл КСКМ в інтерстиції після їх інтратестикулярної трансплантації. Зареєстровано й констатовано достатню приживлюваність КСКМ після інтратестикулярної трансплантації.</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За результатами гістологічного дослідження сім’яників та перед</w:t>
      </w:r>
      <w:r w:rsidRPr="00CE0A20">
        <w:rPr>
          <w:rFonts w:ascii="Times New Roman" w:hAnsi="Times New Roman" w:cs="Times New Roman"/>
          <w:sz w:val="28"/>
          <w:szCs w:val="28"/>
          <w:lang w:val="uk-UA"/>
        </w:rPr>
        <w:softHyphen/>
        <w:t>міхурової залози експериментальних тварин з андрогенним дефіцитом доведено, що у віддаленому періоді після інтратестикулярної трансплантації КСКМ їхня морфоструктура не відрізняється від структури інтактних тварин аналогічного віку.</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Уперше здійснено клінічну апробацію запропонованого методу клітинної терапії із застосуванням КСКМ у пацієнтів з еректильною дисфункцією та гіпогонадизмом на тлі цукрового діабету та надлишкової ваги. </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Уперше доведено ефективність клітинної терапії із застосуванням КСКМ у лікуванні еректильної дисфункції та гіпогонадизму, про що свідчить позитивна динаміка показників еректильної функції за шкалою МІЕФ-5, концентрації статевих гормонів та показників вуглеводного та жирового метаболізму.</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
          <w:sz w:val="28"/>
          <w:szCs w:val="28"/>
          <w:lang w:val="uk-UA"/>
        </w:rPr>
        <w:t>Ключові слова</w:t>
      </w:r>
      <w:r w:rsidRPr="00CE0A20">
        <w:rPr>
          <w:rFonts w:ascii="Times New Roman" w:hAnsi="Times New Roman" w:cs="Times New Roman"/>
          <w:sz w:val="28"/>
          <w:szCs w:val="28"/>
          <w:lang w:val="uk-UA"/>
        </w:rPr>
        <w:t>: еректильна дисфункція, експериментальний андро</w:t>
      </w:r>
      <w:r w:rsidRPr="00CE0A20">
        <w:rPr>
          <w:rFonts w:ascii="Times New Roman" w:hAnsi="Times New Roman" w:cs="Times New Roman"/>
          <w:sz w:val="28"/>
          <w:szCs w:val="28"/>
          <w:lang w:val="uk-UA"/>
        </w:rPr>
        <w:softHyphen/>
        <w:t>генний дефіцит, клітини строми кісткового мозку, інтратестикулярна трансплантація, гіпогонадизм, цукровий діабет.</w:t>
      </w:r>
    </w:p>
    <w:p w:rsidR="00EB6EBC" w:rsidRPr="00CE0A20" w:rsidRDefault="00EB6EBC" w:rsidP="00EB6EBC">
      <w:pPr>
        <w:spacing w:line="360" w:lineRule="auto"/>
        <w:ind w:firstLine="567"/>
        <w:jc w:val="both"/>
        <w:rPr>
          <w:rFonts w:ascii="Times New Roman" w:hAnsi="Times New Roman" w:cs="Times New Roman"/>
          <w:sz w:val="28"/>
          <w:szCs w:val="28"/>
          <w:lang w:val="uk-UA"/>
        </w:rPr>
      </w:pPr>
    </w:p>
    <w:p w:rsidR="007D08ED" w:rsidRPr="00CE0A20" w:rsidRDefault="007D08ED">
      <w:pPr>
        <w:spacing w:after="200" w:line="276" w:lineRule="auto"/>
        <w:rPr>
          <w:rFonts w:ascii="Times New Roman" w:hAnsi="Times New Roman" w:cs="Times New Roman"/>
          <w:b/>
          <w:sz w:val="28"/>
          <w:szCs w:val="28"/>
          <w:lang w:val="uk-UA"/>
        </w:rPr>
      </w:pPr>
      <w:r w:rsidRPr="00CE0A20">
        <w:rPr>
          <w:rFonts w:ascii="Times New Roman" w:hAnsi="Times New Roman" w:cs="Times New Roman"/>
          <w:b/>
          <w:sz w:val="28"/>
          <w:szCs w:val="28"/>
          <w:lang w:val="uk-UA"/>
        </w:rPr>
        <w:br w:type="page"/>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b/>
          <w:sz w:val="28"/>
          <w:szCs w:val="28"/>
          <w:lang w:val="uk-UA"/>
        </w:rPr>
        <w:t>ANNOTATION</w:t>
      </w:r>
    </w:p>
    <w:p w:rsidR="001C43D0" w:rsidRPr="00CE0A20" w:rsidRDefault="001C43D0" w:rsidP="001C43D0">
      <w:pPr>
        <w:ind w:firstLine="709"/>
        <w:jc w:val="both"/>
        <w:rPr>
          <w:rFonts w:ascii="Times New Roman" w:hAnsi="Times New Roman" w:cs="Times New Roman"/>
          <w:sz w:val="28"/>
          <w:szCs w:val="28"/>
          <w:lang w:val="uk-UA"/>
        </w:rPr>
      </w:pPr>
      <w:r w:rsidRPr="00CE0A20">
        <w:rPr>
          <w:rFonts w:ascii="Times New Roman" w:hAnsi="Times New Roman" w:cs="Times New Roman"/>
          <w:i/>
          <w:sz w:val="28"/>
          <w:szCs w:val="28"/>
          <w:lang w:val="uk-UA"/>
        </w:rPr>
        <w:t>Anton</w:t>
      </w:r>
      <w:r w:rsidR="00CA0567">
        <w:rPr>
          <w:rFonts w:ascii="Times New Roman" w:hAnsi="Times New Roman" w:cs="Times New Roman"/>
          <w:i/>
          <w:sz w:val="28"/>
          <w:szCs w:val="28"/>
          <w:lang w:val="uk-UA"/>
        </w:rPr>
        <w:t>у</w:t>
      </w:r>
      <w:r w:rsidRPr="00CE0A20">
        <w:rPr>
          <w:rFonts w:ascii="Times New Roman" w:hAnsi="Times New Roman" w:cs="Times New Roman"/>
          <w:i/>
          <w:sz w:val="28"/>
          <w:szCs w:val="28"/>
          <w:lang w:val="uk-UA"/>
        </w:rPr>
        <w:t>an I.M.</w:t>
      </w:r>
      <w:r w:rsidRPr="00CE0A20">
        <w:rPr>
          <w:rFonts w:ascii="Times New Roman" w:hAnsi="Times New Roman" w:cs="Times New Roman"/>
          <w:sz w:val="28"/>
          <w:szCs w:val="28"/>
          <w:lang w:val="uk-UA"/>
        </w:rPr>
        <w:t xml:space="preserve">  Application of bone marrow stromal cells for the treatment of erectile dysfunction in androgen deficiency –– Qualification scientific work with the manuscript copyright.</w:t>
      </w:r>
    </w:p>
    <w:p w:rsidR="001C43D0" w:rsidRPr="00CE0A20" w:rsidRDefault="001C43D0" w:rsidP="001C43D0">
      <w:pPr>
        <w:ind w:firstLine="709"/>
        <w:jc w:val="both"/>
        <w:rPr>
          <w:rFonts w:ascii="Times New Roman" w:hAnsi="Times New Roman" w:cs="Times New Roman"/>
          <w:sz w:val="28"/>
          <w:szCs w:val="28"/>
          <w:lang w:val="en-US"/>
        </w:rPr>
      </w:pPr>
      <w:r w:rsidRPr="00CE0A20">
        <w:rPr>
          <w:rFonts w:ascii="Times New Roman" w:hAnsi="Times New Roman" w:cs="Times New Roman"/>
          <w:sz w:val="28"/>
          <w:szCs w:val="28"/>
          <w:lang w:val="uk-UA"/>
        </w:rPr>
        <w:t>Dissertation for the degree of Doctor of Medical Sciences in specialty 14.01. "Urology". - Kharkiv National Medical University, Ministry of Health of Ukraine Kharkiv, 2018.</w:t>
      </w:r>
    </w:p>
    <w:p w:rsidR="001C43D0" w:rsidRPr="00CE0A20" w:rsidRDefault="001C43D0" w:rsidP="001C43D0">
      <w:pPr>
        <w:spacing w:line="360" w:lineRule="auto"/>
        <w:ind w:firstLine="709"/>
        <w:jc w:val="both"/>
        <w:rPr>
          <w:rFonts w:ascii="Times New Roman" w:hAnsi="Times New Roman" w:cs="Times New Roman"/>
          <w:sz w:val="28"/>
          <w:szCs w:val="28"/>
          <w:lang w:val="en-US"/>
        </w:rPr>
      </w:pPr>
    </w:p>
    <w:p w:rsidR="001C43D0" w:rsidRPr="00CE0A20" w:rsidRDefault="001C43D0" w:rsidP="001C43D0">
      <w:pPr>
        <w:spacing w:line="360" w:lineRule="auto"/>
        <w:ind w:firstLine="709"/>
        <w:jc w:val="both"/>
        <w:rPr>
          <w:rFonts w:ascii="Times New Roman" w:hAnsi="Times New Roman" w:cs="Times New Roman"/>
          <w:sz w:val="28"/>
          <w:szCs w:val="28"/>
          <w:lang w:val="en-US"/>
        </w:rPr>
      </w:pPr>
      <w:r w:rsidRPr="00CE0A20">
        <w:rPr>
          <w:rFonts w:ascii="Times New Roman" w:hAnsi="Times New Roman" w:cs="Times New Roman"/>
          <w:sz w:val="28"/>
          <w:szCs w:val="28"/>
          <w:lang w:val="en-US"/>
        </w:rPr>
        <w:t>The dissertation research is devoted to increasing the effectiveness of treatment for erectile dysfunction against of testosterone deficiency in patients with diabetes mellitus and overweight through experimental development and clinical testing of the method of cell therapy using bone marrow stroma cells.</w:t>
      </w:r>
    </w:p>
    <w:p w:rsidR="001C43D0" w:rsidRPr="00CE0A20" w:rsidRDefault="001C43D0" w:rsidP="001C43D0">
      <w:pPr>
        <w:spacing w:line="360" w:lineRule="auto"/>
        <w:ind w:firstLine="709"/>
        <w:jc w:val="both"/>
        <w:rPr>
          <w:rFonts w:ascii="Times New Roman" w:hAnsi="Times New Roman" w:cs="Times New Roman"/>
          <w:sz w:val="28"/>
          <w:szCs w:val="28"/>
          <w:lang w:val="en-US"/>
        </w:rPr>
      </w:pPr>
      <w:r w:rsidRPr="00CE0A20">
        <w:rPr>
          <w:rFonts w:ascii="Times New Roman" w:hAnsi="Times New Roman" w:cs="Times New Roman"/>
          <w:sz w:val="28"/>
          <w:szCs w:val="28"/>
          <w:u w:val="single"/>
          <w:lang w:val="en-US"/>
        </w:rPr>
        <w:t xml:space="preserve">For experimental studies </w:t>
      </w:r>
      <w:r w:rsidRPr="00CE0A20">
        <w:rPr>
          <w:rFonts w:ascii="Times New Roman" w:hAnsi="Times New Roman" w:cs="Times New Roman"/>
          <w:sz w:val="28"/>
          <w:szCs w:val="28"/>
          <w:lang w:val="en-US"/>
        </w:rPr>
        <w:t>were used mature male Wistar albino rats 10-20 weeks of age and weighing from 200 to 300 g.</w:t>
      </w:r>
    </w:p>
    <w:p w:rsidR="001C43D0" w:rsidRPr="00CE0A20" w:rsidRDefault="001C43D0" w:rsidP="001C43D0">
      <w:pPr>
        <w:spacing w:line="360" w:lineRule="auto"/>
        <w:ind w:firstLine="709"/>
        <w:jc w:val="both"/>
        <w:rPr>
          <w:rFonts w:ascii="Times New Roman" w:hAnsi="Times New Roman" w:cs="Times New Roman"/>
          <w:sz w:val="28"/>
          <w:szCs w:val="28"/>
          <w:lang w:val="en-US"/>
        </w:rPr>
      </w:pPr>
      <w:r w:rsidRPr="00CE0A20">
        <w:rPr>
          <w:rFonts w:ascii="Times New Roman" w:hAnsi="Times New Roman" w:cs="Times New Roman"/>
          <w:sz w:val="28"/>
          <w:szCs w:val="28"/>
          <w:lang w:val="en-US"/>
        </w:rPr>
        <w:t xml:space="preserve">The optimal gonadotoxic dose of toxin (based on the weight of the animal) was substantiated in the first series of experiments using five groups of experimental animals (20 animals in each group), including 20 intact adult male rats; Mature male rats of similar age who were given CdCl2 to create EAD at a dose of 55, 100, and 150 </w:t>
      </w:r>
      <w:r w:rsidRPr="00CE0A20">
        <w:rPr>
          <w:rFonts w:ascii="Times New Roman" w:hAnsi="Times New Roman" w:cs="Times New Roman"/>
          <w:sz w:val="28"/>
          <w:szCs w:val="28"/>
        </w:rPr>
        <w:t>μ</w:t>
      </w:r>
      <w:r w:rsidRPr="00CE0A20">
        <w:rPr>
          <w:rFonts w:ascii="Times New Roman" w:hAnsi="Times New Roman" w:cs="Times New Roman"/>
          <w:sz w:val="28"/>
          <w:szCs w:val="28"/>
          <w:lang w:val="en-US"/>
        </w:rPr>
        <w:t>g / 100 g</w:t>
      </w:r>
      <w:r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en-US"/>
        </w:rPr>
        <w:t xml:space="preserve">of </w:t>
      </w:r>
      <w:r w:rsidRPr="00CE0A20">
        <w:rPr>
          <w:rFonts w:ascii="Times New Roman" w:hAnsi="Times New Roman" w:cs="Times New Roman"/>
          <w:color w:val="000000" w:themeColor="text1"/>
          <w:sz w:val="28"/>
          <w:szCs w:val="28"/>
          <w:lang w:val="uk-UA"/>
        </w:rPr>
        <w:t>animal body weight,</w:t>
      </w:r>
      <w:r w:rsidRPr="00CE0A20">
        <w:rPr>
          <w:rFonts w:ascii="Times New Roman" w:hAnsi="Times New Roman" w:cs="Times New Roman"/>
          <w:sz w:val="28"/>
          <w:szCs w:val="28"/>
          <w:lang w:val="en-US"/>
        </w:rPr>
        <w:t xml:space="preserve">. Additionally, were involved 14 animals in subgroups of 55, 100, and 150 </w:t>
      </w:r>
      <w:r w:rsidRPr="00CE0A20">
        <w:rPr>
          <w:rFonts w:ascii="Times New Roman" w:hAnsi="Times New Roman" w:cs="Times New Roman"/>
          <w:sz w:val="28"/>
          <w:szCs w:val="28"/>
        </w:rPr>
        <w:t>μ</w:t>
      </w:r>
      <w:r w:rsidRPr="00CE0A20">
        <w:rPr>
          <w:rFonts w:ascii="Times New Roman" w:hAnsi="Times New Roman" w:cs="Times New Roman"/>
          <w:sz w:val="28"/>
          <w:szCs w:val="28"/>
          <w:lang w:val="en-US"/>
        </w:rPr>
        <w:t xml:space="preserve">g / 100 g of </w:t>
      </w:r>
      <w:r w:rsidRPr="00CE0A20">
        <w:rPr>
          <w:rFonts w:ascii="Times New Roman" w:hAnsi="Times New Roman" w:cs="Times New Roman"/>
          <w:color w:val="000000" w:themeColor="text1"/>
          <w:sz w:val="28"/>
          <w:szCs w:val="28"/>
          <w:lang w:val="uk-UA"/>
        </w:rPr>
        <w:t>animal body weight,</w:t>
      </w:r>
      <w:r w:rsidRPr="00CE0A20">
        <w:rPr>
          <w:rFonts w:ascii="Times New Roman" w:hAnsi="Times New Roman" w:cs="Times New Roman"/>
          <w:sz w:val="28"/>
          <w:szCs w:val="28"/>
          <w:lang w:val="en-US"/>
        </w:rPr>
        <w:t>, which were taken from the experiment on the seventh and fourteenth day for histological studies.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sz w:val="28"/>
          <w:szCs w:val="28"/>
          <w:lang w:val="en-US"/>
        </w:rPr>
        <w:t>A model of experimental androgen deficiency was created by intraperitoneally administering the gonadotoxic chemical compound – cadmium chloride (CdCl2) at a dose of 150 μg / 100 g of animal weight. In this dose the pathological changes of the testes were the most expressive. O</w:t>
      </w:r>
      <w:r w:rsidRPr="00CE0A20">
        <w:rPr>
          <w:rFonts w:ascii="Times New Roman" w:hAnsi="Times New Roman" w:cs="Times New Roman"/>
          <w:color w:val="000000" w:themeColor="text1"/>
          <w:sz w:val="28"/>
          <w:szCs w:val="28"/>
          <w:lang w:val="uk-UA"/>
        </w:rPr>
        <w:t>n the 7th day of observation, a marked destruction of the majority of seminal canals with atrophy of the semiary epithelium was observed, and a young connective tissue that displaced interstitial was formed around destructively altered tubules.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The cells of Sertoli were few and with signs of destruction. Leydig cells proliferated, but their nuclei were small and hyperchromic. These changes remained on the 14th and 28th days of the experiment, with no signs of reparation. It should be noted that the use of this dose did not show the inhibition of other sex hormones, in addition, indicators of copulative behavior were impaired, but there was no complete inhibition, indicating the preservation of central structures against the background of toxic lesions testicular.</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Culture BMSS received according to the developed method. Bone marrow was isolated from the femoral bones of male Wistar rats aged 3 months in aseptic conditions.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To solve the following tasks, the second phase of the experiment was performed, during which the biochemical and morphological indices of intact animals, animals with experimental androgen deficiency and the animals administered BMSS in an amount of 80,000, 100,000 and 200,000 cells in one testicle or in both testicles.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en-US"/>
        </w:rPr>
        <w:t>The m</w:t>
      </w:r>
      <w:r w:rsidRPr="00CE0A20">
        <w:rPr>
          <w:rFonts w:ascii="Times New Roman" w:hAnsi="Times New Roman" w:cs="Times New Roman"/>
          <w:color w:val="000000" w:themeColor="text1"/>
          <w:sz w:val="28"/>
          <w:szCs w:val="28"/>
          <w:lang w:val="uk-UA"/>
        </w:rPr>
        <w:t>o</w:t>
      </w:r>
      <w:r w:rsidRPr="00CE0A20">
        <w:rPr>
          <w:rFonts w:ascii="Times New Roman" w:hAnsi="Times New Roman" w:cs="Times New Roman"/>
          <w:color w:val="000000" w:themeColor="text1"/>
          <w:sz w:val="28"/>
          <w:szCs w:val="28"/>
          <w:lang w:val="en-US"/>
        </w:rPr>
        <w:t>st</w:t>
      </w:r>
      <w:r w:rsidRPr="00CE0A20">
        <w:rPr>
          <w:rFonts w:ascii="Times New Roman" w:hAnsi="Times New Roman" w:cs="Times New Roman"/>
          <w:color w:val="000000" w:themeColor="text1"/>
          <w:sz w:val="28"/>
          <w:szCs w:val="28"/>
          <w:lang w:val="uk-UA"/>
        </w:rPr>
        <w:t xml:space="preserve"> significant changes occurred after the introduction of BMSS in each testicle. Concentration of testosterone significantly increased compared to animals with EAD, and if after administration of 80000 and 100000 BMSS its level was significantly lower than in the control group, then after administration of 200000 BMSS it did not differ from intact animals.</w:t>
      </w:r>
      <w:r w:rsidRPr="00CE0A20">
        <w:rPr>
          <w:rFonts w:ascii="Times New Roman" w:hAnsi="Times New Roman" w:cs="Times New Roman"/>
          <w:sz w:val="28"/>
          <w:szCs w:val="28"/>
          <w:lang w:val="en-US"/>
        </w:rPr>
        <w:t xml:space="preserve"> </w:t>
      </w:r>
      <w:r w:rsidRPr="00CE0A20">
        <w:rPr>
          <w:rFonts w:ascii="Times New Roman" w:hAnsi="Times New Roman" w:cs="Times New Roman"/>
          <w:color w:val="000000" w:themeColor="text1"/>
          <w:sz w:val="28"/>
          <w:szCs w:val="28"/>
          <w:lang w:val="uk-UA"/>
        </w:rPr>
        <w:t>The level of estradiol and the T/E value were significantly closer to similar indices of intact animals only after administration of 200,000 BMSS in each testicle. The concentrations of FSH, LH, PRL and SHBH decreased in comparison with animals with EAD, but reached the level of intact animals only after the introduction of 200000 BMSS, this also applies to the value of AI.</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The confirmation of the greater effectiveness of BMSS administration in both testicles was the results of the histological examination of the testicles, which was manifested in the normalization of the size of the spermatic tubules, the restoration of layers of the spermatogenic epithelium, Sertoli cells, the presence of various stages of differentiation of spermatoid and norichromic Leydig cells in the vascular stroma. The morphometric analysis revealed the normalization of indicators characterizing quality of spermatogenesis. Normalized and morphofunctional state of the prostate gland.</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To find out the further fate of stem cells, </w:t>
      </w:r>
      <w:r w:rsidRPr="00CE0A20">
        <w:rPr>
          <w:rFonts w:ascii="Times New Roman" w:hAnsi="Times New Roman" w:cs="Times New Roman"/>
          <w:color w:val="000000" w:themeColor="text1"/>
          <w:sz w:val="28"/>
          <w:szCs w:val="28"/>
          <w:lang w:val="en-US"/>
        </w:rPr>
        <w:t xml:space="preserve">to  assess their survival and distribution in testicular tissue after intra-testicular transplantation, an experiment was conducted on 6 animals that were injected with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which expressing green fluorescent protein (GFP). The experiment began with an ex vivo stage, when a cell culture was injected into a remote testicle. At the in vivo stage, the distribution of GFP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was studied after the first day, on the fourteenth and twenty-eighth day.</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uk-UA"/>
        </w:rPr>
        <w:t xml:space="preserve">According to the results of fluorescence microscopy, it was found that immediately after transplantation and through the day of the BMSS cells, </w:t>
      </w:r>
      <w:r w:rsidRPr="00CE0A20">
        <w:rPr>
          <w:rFonts w:ascii="Times New Roman" w:hAnsi="Times New Roman" w:cs="Times New Roman"/>
          <w:color w:val="000000" w:themeColor="text1"/>
          <w:sz w:val="28"/>
          <w:szCs w:val="28"/>
          <w:lang w:val="en-US"/>
        </w:rPr>
        <w:t>the</w:t>
      </w:r>
      <w:r w:rsidRPr="00CE0A20">
        <w:rPr>
          <w:rFonts w:ascii="Times New Roman" w:hAnsi="Times New Roman" w:cs="Times New Roman"/>
          <w:color w:val="000000" w:themeColor="text1"/>
          <w:sz w:val="28"/>
          <w:szCs w:val="28"/>
          <w:lang w:val="uk-UA"/>
        </w:rPr>
        <w:t xml:space="preserve"> large number of testicles appear in the intrac</w:t>
      </w:r>
      <w:r w:rsidRPr="00CE0A20">
        <w:rPr>
          <w:rFonts w:ascii="Times New Roman" w:hAnsi="Times New Roman" w:cs="Times New Roman"/>
          <w:color w:val="000000" w:themeColor="text1"/>
          <w:sz w:val="28"/>
          <w:szCs w:val="28"/>
          <w:lang w:val="en-US"/>
        </w:rPr>
        <w:t>elular</w:t>
      </w:r>
      <w:r w:rsidRPr="00CE0A20">
        <w:rPr>
          <w:rFonts w:ascii="Times New Roman" w:hAnsi="Times New Roman" w:cs="Times New Roman"/>
          <w:color w:val="000000" w:themeColor="text1"/>
          <w:sz w:val="28"/>
          <w:szCs w:val="28"/>
          <w:lang w:val="uk-UA"/>
        </w:rPr>
        <w:t xml:space="preserve"> space.</w:t>
      </w:r>
      <w:r w:rsidRPr="00CE0A20">
        <w:rPr>
          <w:rFonts w:ascii="Times New Roman" w:hAnsi="Times New Roman" w:cs="Times New Roman"/>
          <w:sz w:val="28"/>
          <w:szCs w:val="28"/>
          <w:lang w:val="en-US"/>
        </w:rPr>
        <w:t xml:space="preserve"> </w:t>
      </w:r>
      <w:r w:rsidRPr="00CE0A20">
        <w:rPr>
          <w:rFonts w:ascii="Times New Roman" w:hAnsi="Times New Roman" w:cs="Times New Roman"/>
          <w:color w:val="000000" w:themeColor="text1"/>
          <w:sz w:val="28"/>
          <w:szCs w:val="28"/>
          <w:lang w:val="uk-UA"/>
        </w:rPr>
        <w:t xml:space="preserve">This indicated the </w:t>
      </w:r>
      <w:r w:rsidRPr="00CE0A20">
        <w:rPr>
          <w:rFonts w:ascii="Times New Roman" w:hAnsi="Times New Roman" w:cs="Times New Roman"/>
          <w:color w:val="000000" w:themeColor="text1"/>
          <w:sz w:val="28"/>
          <w:szCs w:val="28"/>
          <w:lang w:val="en-US"/>
        </w:rPr>
        <w:t>equal</w:t>
      </w:r>
      <w:r w:rsidRPr="00CE0A20">
        <w:rPr>
          <w:rFonts w:ascii="Times New Roman" w:hAnsi="Times New Roman" w:cs="Times New Roman"/>
          <w:color w:val="000000" w:themeColor="text1"/>
          <w:sz w:val="28"/>
          <w:szCs w:val="28"/>
          <w:lang w:val="uk-UA"/>
        </w:rPr>
        <w:t xml:space="preserve"> distribution of BMSS in the interstitial space, which is necessary for their subsequent activity for the restoration of germ cells. </w:t>
      </w:r>
      <w:r w:rsidRPr="00CE0A20">
        <w:rPr>
          <w:rFonts w:ascii="Times New Roman" w:hAnsi="Times New Roman" w:cs="Times New Roman"/>
          <w:color w:val="000000" w:themeColor="text1"/>
          <w:sz w:val="28"/>
          <w:szCs w:val="28"/>
          <w:lang w:val="en-US"/>
        </w:rPr>
        <w:t>On</w:t>
      </w:r>
      <w:r w:rsidRPr="00CE0A20">
        <w:rPr>
          <w:rFonts w:ascii="Times New Roman" w:hAnsi="Times New Roman" w:cs="Times New Roman"/>
          <w:color w:val="000000" w:themeColor="text1"/>
          <w:sz w:val="28"/>
          <w:szCs w:val="28"/>
          <w:lang w:val="uk-UA"/>
        </w:rPr>
        <w:t xml:space="preserve"> the 14th and 28th days, the luminosity was less intense, but the interstitial was retained in certain areas.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In the remote period, after the treatment of the experimental androgen deficiency with </w:t>
      </w:r>
      <w:r w:rsidRPr="00CE0A20">
        <w:rPr>
          <w:rFonts w:ascii="Times New Roman" w:hAnsi="Times New Roman" w:cs="Times New Roman"/>
          <w:color w:val="000000" w:themeColor="text1"/>
          <w:sz w:val="28"/>
          <w:szCs w:val="28"/>
          <w:lang w:val="uk-UA"/>
        </w:rPr>
        <w:t xml:space="preserve">BMSS </w:t>
      </w:r>
      <w:r w:rsidRPr="00CE0A20">
        <w:rPr>
          <w:rFonts w:ascii="Times New Roman" w:hAnsi="Times New Roman" w:cs="Times New Roman"/>
          <w:color w:val="000000" w:themeColor="text1"/>
          <w:sz w:val="28"/>
          <w:szCs w:val="28"/>
          <w:lang w:val="en-US"/>
        </w:rPr>
        <w:t>in rats who died naturally,  there weren`t signs of tumor development, histostructure of the testes and the ventral part of the prostate gland did not differ from the control animals of the same age.</w:t>
      </w:r>
    </w:p>
    <w:p w:rsidR="001C43D0" w:rsidRPr="00CE0A20" w:rsidRDefault="001C43D0" w:rsidP="001C43D0">
      <w:pPr>
        <w:spacing w:line="360" w:lineRule="auto"/>
        <w:ind w:firstLine="709"/>
        <w:jc w:val="both"/>
        <w:rPr>
          <w:rFonts w:ascii="Times New Roman" w:hAnsi="Times New Roman" w:cs="Times New Roman"/>
          <w:color w:val="auto"/>
          <w:sz w:val="28"/>
          <w:szCs w:val="28"/>
          <w:lang w:val="en-US"/>
        </w:rPr>
      </w:pPr>
      <w:r w:rsidRPr="00CE0A20">
        <w:rPr>
          <w:rFonts w:ascii="Times New Roman" w:hAnsi="Times New Roman" w:cs="Times New Roman"/>
          <w:color w:val="000000" w:themeColor="text1"/>
          <w:sz w:val="28"/>
          <w:szCs w:val="28"/>
          <w:lang w:val="en-US"/>
        </w:rPr>
        <w:t xml:space="preserve">In the </w:t>
      </w:r>
      <w:r w:rsidRPr="00CE0A20">
        <w:rPr>
          <w:rFonts w:ascii="Times New Roman" w:hAnsi="Times New Roman" w:cs="Times New Roman"/>
          <w:color w:val="000000" w:themeColor="text1"/>
          <w:sz w:val="28"/>
          <w:szCs w:val="28"/>
          <w:u w:val="single"/>
          <w:lang w:val="en-US"/>
        </w:rPr>
        <w:t xml:space="preserve">clinical part of the work, </w:t>
      </w:r>
      <w:r w:rsidRPr="00CE0A20">
        <w:rPr>
          <w:rFonts w:ascii="Times New Roman" w:hAnsi="Times New Roman" w:cs="Times New Roman"/>
          <w:color w:val="000000" w:themeColor="text1"/>
          <w:sz w:val="28"/>
          <w:szCs w:val="28"/>
          <w:lang w:val="en-US"/>
        </w:rPr>
        <w:t xml:space="preserve">  the clinical approbation of the method of the intratuscular transplantation autologous </w:t>
      </w:r>
      <w:r w:rsidRPr="00CE0A20">
        <w:rPr>
          <w:rFonts w:ascii="Times New Roman" w:hAnsi="Times New Roman" w:cs="Times New Roman"/>
          <w:color w:val="000000" w:themeColor="text1"/>
          <w:sz w:val="28"/>
          <w:szCs w:val="28"/>
          <w:lang w:val="uk-UA"/>
        </w:rPr>
        <w:t xml:space="preserve">BMSS </w:t>
      </w:r>
      <w:r w:rsidRPr="00CE0A20">
        <w:rPr>
          <w:rFonts w:ascii="Times New Roman" w:hAnsi="Times New Roman" w:cs="Times New Roman"/>
          <w:color w:val="000000" w:themeColor="text1"/>
          <w:sz w:val="28"/>
          <w:szCs w:val="28"/>
          <w:lang w:val="en-US"/>
        </w:rPr>
        <w:t xml:space="preserve">was first carried out for the treatment for erectile dysfunction in patients with androgenic deficiency </w:t>
      </w:r>
      <w:r w:rsidRPr="00CE0A20">
        <w:rPr>
          <w:rFonts w:ascii="Times New Roman" w:hAnsi="Times New Roman" w:cs="Times New Roman"/>
          <w:sz w:val="28"/>
          <w:szCs w:val="28"/>
          <w:lang w:val="en-US"/>
        </w:rPr>
        <w:t>against with</w:t>
      </w:r>
      <w:r w:rsidRPr="00CE0A20">
        <w:rPr>
          <w:rFonts w:ascii="Times New Roman" w:hAnsi="Times New Roman" w:cs="Times New Roman"/>
          <w:color w:val="000000" w:themeColor="text1"/>
          <w:sz w:val="28"/>
          <w:szCs w:val="28"/>
          <w:lang w:val="en-US"/>
        </w:rPr>
        <w:t xml:space="preserve"> type 2 </w:t>
      </w:r>
      <w:r w:rsidRPr="00CE0A20">
        <w:rPr>
          <w:rFonts w:ascii="Times New Roman" w:hAnsi="Times New Roman" w:cs="Times New Roman"/>
          <w:sz w:val="28"/>
          <w:szCs w:val="28"/>
          <w:lang w:val="en-US"/>
        </w:rPr>
        <w:t xml:space="preserve"> diabetes mellitus and overweight.</w:t>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color w:val="000000" w:themeColor="text1"/>
          <w:sz w:val="28"/>
          <w:szCs w:val="28"/>
          <w:lang w:val="uk-UA"/>
        </w:rPr>
        <w:t xml:space="preserve">The study involved 20 patients </w:t>
      </w:r>
      <w:r w:rsidRPr="00CE0A20">
        <w:rPr>
          <w:rFonts w:ascii="Times New Roman" w:hAnsi="Times New Roman" w:cs="Times New Roman"/>
          <w:color w:val="000000" w:themeColor="text1"/>
          <w:sz w:val="28"/>
          <w:szCs w:val="28"/>
          <w:lang w:val="en-US"/>
        </w:rPr>
        <w:t xml:space="preserve">with erectile dysfunction and androgenic deficiency </w:t>
      </w:r>
      <w:r w:rsidRPr="00CE0A20">
        <w:rPr>
          <w:rFonts w:ascii="Times New Roman" w:hAnsi="Times New Roman" w:cs="Times New Roman"/>
          <w:sz w:val="28"/>
          <w:szCs w:val="28"/>
          <w:lang w:val="en-US"/>
        </w:rPr>
        <w:t>against with</w:t>
      </w:r>
      <w:r w:rsidRPr="00CE0A20">
        <w:rPr>
          <w:rFonts w:ascii="Times New Roman" w:hAnsi="Times New Roman" w:cs="Times New Roman"/>
          <w:color w:val="000000" w:themeColor="text1"/>
          <w:sz w:val="28"/>
          <w:szCs w:val="28"/>
          <w:lang w:val="en-US"/>
        </w:rPr>
        <w:t xml:space="preserve"> type 2 </w:t>
      </w:r>
      <w:r w:rsidRPr="00CE0A20">
        <w:rPr>
          <w:rFonts w:ascii="Times New Roman" w:hAnsi="Times New Roman" w:cs="Times New Roman"/>
          <w:sz w:val="28"/>
          <w:szCs w:val="28"/>
          <w:lang w:val="en-US"/>
        </w:rPr>
        <w:t xml:space="preserve"> diabetes mellitus and overweight. The main reason for contacting the urologist was the presence of ED, which was evaluated according to the </w:t>
      </w:r>
      <w:r w:rsidRPr="00CE0A20">
        <w:rPr>
          <w:rFonts w:ascii="Times New Roman" w:hAnsi="Times New Roman" w:cs="Times New Roman"/>
          <w:color w:val="000000" w:themeColor="text1"/>
          <w:sz w:val="28"/>
          <w:szCs w:val="28"/>
          <w:lang w:val="uk-UA"/>
        </w:rPr>
        <w:t>IIEF</w:t>
      </w:r>
      <w:r w:rsidRPr="00CE0A20">
        <w:rPr>
          <w:rFonts w:ascii="Times New Roman" w:hAnsi="Times New Roman" w:cs="Times New Roman"/>
          <w:color w:val="000000" w:themeColor="text1"/>
          <w:sz w:val="28"/>
          <w:szCs w:val="28"/>
          <w:lang w:val="en-US"/>
        </w:rPr>
        <w:t>-5</w:t>
      </w:r>
      <w:r w:rsidRPr="00CE0A20">
        <w:rPr>
          <w:rFonts w:ascii="Times New Roman" w:hAnsi="Times New Roman" w:cs="Times New Roman"/>
          <w:sz w:val="28"/>
          <w:szCs w:val="28"/>
          <w:lang w:val="en-US"/>
        </w:rPr>
        <w:t xml:space="preserve"> scale.</w:t>
      </w:r>
    </w:p>
    <w:p w:rsidR="001C43D0" w:rsidRPr="00CE0A20" w:rsidRDefault="001C43D0" w:rsidP="001C43D0">
      <w:pPr>
        <w:spacing w:line="360" w:lineRule="auto"/>
        <w:ind w:firstLine="709"/>
        <w:jc w:val="both"/>
        <w:rPr>
          <w:rFonts w:ascii="Times New Roman" w:hAnsi="Times New Roman" w:cs="Times New Roman"/>
          <w:sz w:val="28"/>
          <w:szCs w:val="28"/>
          <w:lang w:val="en-US"/>
        </w:rPr>
      </w:pPr>
      <w:r w:rsidRPr="00CE0A20">
        <w:rPr>
          <w:rFonts w:ascii="Times New Roman" w:hAnsi="Times New Roman" w:cs="Times New Roman"/>
          <w:sz w:val="28"/>
          <w:szCs w:val="28"/>
          <w:lang w:val="uk-UA"/>
        </w:rPr>
        <w:t>The patients were divided into two subgroups: 1a subgroup (main) - 10 patients</w:t>
      </w:r>
      <w:r w:rsidRPr="00CE0A20">
        <w:rPr>
          <w:rFonts w:ascii="Times New Roman" w:hAnsi="Times New Roman" w:cs="Times New Roman"/>
          <w:sz w:val="28"/>
          <w:szCs w:val="28"/>
          <w:lang w:val="en-US"/>
        </w:rPr>
        <w:t>,</w:t>
      </w:r>
      <w:r w:rsidRPr="00CE0A20">
        <w:rPr>
          <w:rFonts w:ascii="Times New Roman" w:hAnsi="Times New Roman" w:cs="Times New Roman"/>
          <w:sz w:val="28"/>
          <w:szCs w:val="28"/>
          <w:lang w:val="uk-UA"/>
        </w:rPr>
        <w:t xml:space="preserve"> who received treatment using cell therapy - intratisticular </w:t>
      </w:r>
      <w:r w:rsidRPr="00CE0A20">
        <w:rPr>
          <w:rFonts w:ascii="Times New Roman" w:hAnsi="Times New Roman" w:cs="Times New Roman"/>
          <w:sz w:val="28"/>
          <w:szCs w:val="28"/>
          <w:lang w:val="en-US"/>
        </w:rPr>
        <w:t>administration</w:t>
      </w:r>
      <w:r w:rsidRPr="00CE0A20">
        <w:rPr>
          <w:rFonts w:ascii="Times New Roman" w:hAnsi="Times New Roman" w:cs="Times New Roman"/>
          <w:sz w:val="28"/>
          <w:szCs w:val="28"/>
          <w:lang w:val="uk-UA"/>
        </w:rPr>
        <w:t xml:space="preserve"> of autologous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sz w:val="28"/>
          <w:szCs w:val="28"/>
          <w:lang w:val="uk-UA"/>
        </w:rPr>
        <w:t>; 1b subgroup (comparison) - 10 patients</w:t>
      </w:r>
      <w:r w:rsidRPr="00CE0A20">
        <w:rPr>
          <w:rFonts w:ascii="Times New Roman" w:hAnsi="Times New Roman" w:cs="Times New Roman"/>
          <w:sz w:val="28"/>
          <w:szCs w:val="28"/>
          <w:lang w:val="en-US"/>
        </w:rPr>
        <w:t>, who</w:t>
      </w:r>
      <w:r w:rsidRPr="00CE0A20">
        <w:rPr>
          <w:rFonts w:ascii="Times New Roman" w:hAnsi="Times New Roman" w:cs="Times New Roman"/>
          <w:color w:val="000000" w:themeColor="text1"/>
          <w:sz w:val="28"/>
          <w:szCs w:val="28"/>
          <w:lang w:val="uk-UA"/>
        </w:rPr>
        <w:t xml:space="preserve"> received HRT using testosterone undeconate as intramuscular injection </w:t>
      </w:r>
      <w:r w:rsidRPr="00CE0A20">
        <w:rPr>
          <w:rFonts w:ascii="Times New Roman" w:hAnsi="Times New Roman" w:cs="Times New Roman"/>
          <w:sz w:val="28"/>
          <w:szCs w:val="28"/>
          <w:lang w:val="uk-UA"/>
        </w:rPr>
        <w:t>in 4 ml (1 g testosterone) at the beginning of the study and at the 12th week of treatment.</w:t>
      </w:r>
    </w:p>
    <w:p w:rsidR="001C43D0" w:rsidRPr="00CE0A20" w:rsidRDefault="001C43D0" w:rsidP="001C43D0">
      <w:pPr>
        <w:spacing w:line="360" w:lineRule="auto"/>
        <w:ind w:firstLine="709"/>
        <w:jc w:val="both"/>
        <w:rPr>
          <w:rFonts w:ascii="Times New Roman" w:hAnsi="Times New Roman" w:cs="Times New Roman"/>
          <w:sz w:val="28"/>
          <w:szCs w:val="28"/>
          <w:lang w:val="en-US"/>
        </w:rPr>
      </w:pPr>
      <w:r w:rsidRPr="00CE0A20">
        <w:rPr>
          <w:rFonts w:ascii="Times New Roman" w:hAnsi="Times New Roman" w:cs="Times New Roman"/>
          <w:color w:val="000000" w:themeColor="text1"/>
          <w:sz w:val="28"/>
          <w:szCs w:val="28"/>
          <w:lang w:val="en-US"/>
        </w:rPr>
        <w:t>All</w:t>
      </w:r>
      <w:r w:rsidRPr="00CE0A20">
        <w:rPr>
          <w:rFonts w:ascii="Times New Roman" w:hAnsi="Times New Roman" w:cs="Times New Roman"/>
          <w:color w:val="000000" w:themeColor="text1"/>
          <w:sz w:val="28"/>
          <w:szCs w:val="28"/>
          <w:lang w:val="uk-UA"/>
        </w:rPr>
        <w:t xml:space="preserve"> patients used FED-5 inhibitors as needed</w:t>
      </w:r>
      <w:r w:rsidRPr="00CE0A20">
        <w:rPr>
          <w:rFonts w:ascii="Times New Roman" w:hAnsi="Times New Roman" w:cs="Times New Roman"/>
          <w:color w:val="000000" w:themeColor="text1"/>
          <w:sz w:val="28"/>
          <w:szCs w:val="28"/>
          <w:lang w:val="en-US"/>
        </w:rPr>
        <w:t>.</w:t>
      </w:r>
      <w:r w:rsidRPr="00CE0A20">
        <w:rPr>
          <w:rFonts w:ascii="Times New Roman" w:hAnsi="Times New Roman" w:cs="Times New Roman"/>
          <w:sz w:val="28"/>
          <w:szCs w:val="28"/>
          <w:lang w:val="en-US"/>
        </w:rPr>
        <w:t xml:space="preserve"> </w:t>
      </w:r>
      <w:r w:rsidRPr="00CE0A20">
        <w:rPr>
          <w:rFonts w:ascii="Times New Roman" w:hAnsi="Times New Roman" w:cs="Times New Roman"/>
          <w:color w:val="000000" w:themeColor="text1"/>
          <w:sz w:val="28"/>
          <w:szCs w:val="28"/>
          <w:lang w:val="en-US"/>
        </w:rPr>
        <w:t>At the same time, almost all patients already had experience using PDE-5 inhibitors, but took them unsystemically, without a specific treatment regimen.</w:t>
      </w:r>
      <w:r w:rsidRPr="00CE0A20">
        <w:rPr>
          <w:rFonts w:ascii="Times New Roman" w:hAnsi="Times New Roman" w:cs="Times New Roman"/>
          <w:sz w:val="28"/>
          <w:szCs w:val="28"/>
          <w:lang w:val="en-US"/>
        </w:rPr>
        <w:t xml:space="preserve"> </w:t>
      </w:r>
      <w:r w:rsidRPr="00CE0A20">
        <w:rPr>
          <w:rFonts w:ascii="Times New Roman" w:hAnsi="Times New Roman" w:cs="Times New Roman"/>
          <w:color w:val="000000" w:themeColor="text1"/>
          <w:sz w:val="28"/>
          <w:szCs w:val="28"/>
          <w:lang w:val="en-US"/>
        </w:rPr>
        <w:t>The control group consisted of 20 practically healthy men who went to a doctor in connection with a routine examination. The study lasted 24 weeks.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According to the results of clinical trials, all patients in the main group had ED, which was confirmed by a significant decrease in the number of points of the MIEF, which was almost 2.5 times less than in patients in the control group.</w:t>
      </w:r>
      <w:r w:rsidRPr="00CE0A20">
        <w:rPr>
          <w:rFonts w:ascii="Times New Roman" w:hAnsi="Times New Roman" w:cs="Times New Roman"/>
          <w:color w:val="000000" w:themeColor="text1"/>
          <w:sz w:val="28"/>
          <w:szCs w:val="28"/>
          <w:lang w:val="uk-UA"/>
        </w:rPr>
        <w:t xml:space="preserve"> The presence of hypogonadism is confirmed by a significant decrease in the level of total testosterone, which was significantly less than 4 times less than in the control group. In addition, the deviation </w:t>
      </w:r>
      <w:r w:rsidRPr="00CE0A20">
        <w:rPr>
          <w:rFonts w:ascii="Times New Roman" w:hAnsi="Times New Roman" w:cs="Times New Roman"/>
          <w:color w:val="000000" w:themeColor="text1"/>
          <w:sz w:val="28"/>
          <w:szCs w:val="28"/>
          <w:lang w:val="en-US"/>
        </w:rPr>
        <w:t>from</w:t>
      </w:r>
      <w:r w:rsidRPr="00CE0A20">
        <w:rPr>
          <w:rFonts w:ascii="Times New Roman" w:hAnsi="Times New Roman" w:cs="Times New Roman"/>
          <w:color w:val="000000" w:themeColor="text1"/>
          <w:sz w:val="28"/>
          <w:szCs w:val="28"/>
          <w:lang w:val="uk-UA"/>
        </w:rPr>
        <w:t xml:space="preserve"> the concentration </w:t>
      </w:r>
      <w:r w:rsidRPr="00CE0A20">
        <w:rPr>
          <w:rFonts w:ascii="Times New Roman" w:hAnsi="Times New Roman" w:cs="Times New Roman"/>
          <w:color w:val="000000" w:themeColor="text1"/>
          <w:sz w:val="28"/>
          <w:szCs w:val="28"/>
          <w:lang w:val="en-US"/>
        </w:rPr>
        <w:t xml:space="preserve">indicators </w:t>
      </w:r>
      <w:r w:rsidRPr="00CE0A20">
        <w:rPr>
          <w:rFonts w:ascii="Times New Roman" w:hAnsi="Times New Roman" w:cs="Times New Roman"/>
          <w:color w:val="000000" w:themeColor="text1"/>
          <w:sz w:val="28"/>
          <w:szCs w:val="28"/>
          <w:lang w:val="uk-UA"/>
        </w:rPr>
        <w:t xml:space="preserve">of other sex hormones was detected: the estradiol level was almost 1.3 times higher, the T / E index was almost 7 times </w:t>
      </w:r>
      <w:r w:rsidRPr="00CE0A20">
        <w:rPr>
          <w:rFonts w:ascii="Times New Roman" w:hAnsi="Times New Roman" w:cs="Times New Roman"/>
          <w:color w:val="000000" w:themeColor="text1"/>
          <w:sz w:val="28"/>
          <w:szCs w:val="28"/>
          <w:lang w:val="en-US"/>
        </w:rPr>
        <w:t>lower</w:t>
      </w:r>
      <w:r w:rsidRPr="00CE0A20">
        <w:rPr>
          <w:rFonts w:ascii="Times New Roman" w:hAnsi="Times New Roman" w:cs="Times New Roman"/>
          <w:color w:val="000000" w:themeColor="text1"/>
          <w:sz w:val="28"/>
          <w:szCs w:val="28"/>
          <w:lang w:val="uk-UA"/>
        </w:rPr>
        <w:t>, the concentration of SHBH increased by more than 2 times, and the AI ​​was less than 10 times.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en-US"/>
        </w:rPr>
        <w:t xml:space="preserve">Concentrations of </w:t>
      </w:r>
      <w:r w:rsidRPr="00CE0A20">
        <w:rPr>
          <w:rFonts w:ascii="Times New Roman" w:hAnsi="Times New Roman" w:cs="Times New Roman"/>
          <w:color w:val="000000" w:themeColor="text1"/>
          <w:sz w:val="28"/>
          <w:szCs w:val="28"/>
          <w:lang w:val="uk-UA"/>
        </w:rPr>
        <w:t xml:space="preserve">FSH, LH, </w:t>
      </w:r>
      <w:r w:rsidRPr="00CE0A20">
        <w:rPr>
          <w:rFonts w:ascii="Times New Roman" w:hAnsi="Times New Roman" w:cs="Times New Roman"/>
          <w:color w:val="000000" w:themeColor="text1"/>
          <w:sz w:val="28"/>
          <w:szCs w:val="28"/>
          <w:lang w:val="en-US"/>
        </w:rPr>
        <w:t xml:space="preserve">and </w:t>
      </w:r>
      <w:r w:rsidRPr="00CE0A20">
        <w:rPr>
          <w:rFonts w:ascii="Times New Roman" w:hAnsi="Times New Roman" w:cs="Times New Roman"/>
          <w:color w:val="000000" w:themeColor="text1"/>
          <w:sz w:val="28"/>
          <w:szCs w:val="28"/>
          <w:lang w:val="uk-UA"/>
        </w:rPr>
        <w:t>PRL</w:t>
      </w:r>
      <w:r w:rsidRPr="00CE0A20">
        <w:rPr>
          <w:rFonts w:ascii="Times New Roman" w:hAnsi="Times New Roman" w:cs="Times New Roman"/>
          <w:color w:val="000000" w:themeColor="text1"/>
          <w:sz w:val="28"/>
          <w:szCs w:val="28"/>
          <w:lang w:val="en-US"/>
        </w:rPr>
        <w:t xml:space="preserve"> did not  differ from the control group. Also, in patients, who are in the main group, the glucose concentration and HbA1c capacity were significantly higher than in the control group of BMI. </w:t>
      </w:r>
      <w:r w:rsidRPr="00CE0A20">
        <w:rPr>
          <w:rFonts w:ascii="Times New Roman" w:hAnsi="Times New Roman" w:cs="Times New Roman"/>
          <w:color w:val="000000" w:themeColor="text1"/>
          <w:sz w:val="28"/>
          <w:szCs w:val="28"/>
          <w:lang w:val="uk-UA"/>
        </w:rPr>
        <w:t>Along with violations of carbohydrate metabolism, in patients there are signs of disorders of metabolism of fats</w:t>
      </w:r>
      <w:r w:rsidRPr="00CE0A20">
        <w:rPr>
          <w:rFonts w:ascii="Times New Roman" w:hAnsi="Times New Roman" w:cs="Times New Roman"/>
          <w:color w:val="000000" w:themeColor="text1"/>
          <w:sz w:val="28"/>
          <w:szCs w:val="28"/>
          <w:lang w:val="en-US"/>
        </w:rPr>
        <w:t xml:space="preserve"> with a significant increase in total cholesterol, LDL, triglycerides and a decrease in HDL concentrations compared with the control group.</w:t>
      </w:r>
      <w:r w:rsidRPr="00CE0A20">
        <w:rPr>
          <w:rFonts w:ascii="Times New Roman" w:hAnsi="Times New Roman" w:cs="Times New Roman"/>
          <w:sz w:val="28"/>
          <w:szCs w:val="28"/>
          <w:lang w:val="en-US"/>
        </w:rPr>
        <w:t xml:space="preserve"> </w:t>
      </w:r>
      <w:r w:rsidRPr="00CE0A20">
        <w:rPr>
          <w:rFonts w:ascii="Times New Roman" w:hAnsi="Times New Roman" w:cs="Times New Roman"/>
          <w:color w:val="000000" w:themeColor="text1"/>
          <w:sz w:val="28"/>
          <w:szCs w:val="28"/>
          <w:lang w:val="en-US"/>
        </w:rPr>
        <w:t>These changes were combined with signs of hepatic dysfunction with a significant increase in the concentration of ALT and AST.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In males of the main group, the spongy substance of the ilium bone was collected. Laboratory cultivation autoBMSS lasted 12-14 days. Autotransplantation BMSS was performed under sterile conditions.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uk-UA"/>
        </w:rPr>
        <w:t xml:space="preserve">Correction of androgen deficiency in patients with </w:t>
      </w:r>
      <w:r w:rsidRPr="00CE0A20">
        <w:rPr>
          <w:rFonts w:ascii="Times New Roman" w:eastAsia="Times New Roman" w:hAnsi="Times New Roman" w:cs="Times New Roman"/>
          <w:sz w:val="28"/>
          <w:szCs w:val="28"/>
          <w:lang w:val="en-US"/>
        </w:rPr>
        <w:t>T2DM</w:t>
      </w:r>
      <w:r w:rsidRPr="00CE0A20">
        <w:rPr>
          <w:rFonts w:ascii="Times New Roman" w:hAnsi="Times New Roman" w:cs="Times New Roman"/>
          <w:color w:val="000000" w:themeColor="text1"/>
          <w:sz w:val="28"/>
          <w:szCs w:val="28"/>
          <w:lang w:val="uk-UA"/>
        </w:rPr>
        <w:t xml:space="preserve"> and overweight contributes to the normalization of body mass index, improvement in carbohydrate and fat metabolism, causes a significant increase in serum total testosterone concentration up to 24 weeks from 3.9 ± 1 , 2 to 14.0 ± 1.9 nmol / ml and from 4.1</w:t>
      </w:r>
      <w:r w:rsidRPr="00CE0A20">
        <w:rPr>
          <w:rFonts w:ascii="Times New Roman" w:hAnsi="Times New Roman" w:cs="Times New Roman"/>
          <w:sz w:val="28"/>
          <w:szCs w:val="28"/>
          <w:lang w:val="en-US"/>
        </w:rPr>
        <w:t xml:space="preserve"> </w:t>
      </w:r>
      <w:r w:rsidRPr="00CE0A20">
        <w:rPr>
          <w:rFonts w:ascii="Times New Roman" w:hAnsi="Times New Roman" w:cs="Times New Roman"/>
          <w:color w:val="000000" w:themeColor="text1"/>
          <w:sz w:val="28"/>
          <w:szCs w:val="28"/>
          <w:lang w:val="uk-UA"/>
        </w:rPr>
        <w:t xml:space="preserve"> ± 1.3 to 16.9 ± 2.3 nmol / ml (p &lt;0.05), respectively, in groups of single administration of autoBMSS and in patients, </w:t>
      </w:r>
      <w:r w:rsidRPr="00CE0A20">
        <w:rPr>
          <w:rFonts w:ascii="Times New Roman" w:hAnsi="Times New Roman" w:cs="Times New Roman"/>
          <w:color w:val="000000" w:themeColor="text1"/>
          <w:sz w:val="28"/>
          <w:szCs w:val="28"/>
          <w:lang w:val="en-US"/>
        </w:rPr>
        <w:t>who</w:t>
      </w:r>
      <w:r w:rsidRPr="00CE0A20">
        <w:rPr>
          <w:rFonts w:ascii="Times New Roman" w:hAnsi="Times New Roman" w:cs="Times New Roman"/>
          <w:color w:val="000000" w:themeColor="text1"/>
          <w:sz w:val="28"/>
          <w:szCs w:val="28"/>
          <w:lang w:val="uk-UA"/>
        </w:rPr>
        <w:t xml:space="preserve"> received HRT using two injections of testosterone undeconate. </w:t>
      </w:r>
      <w:r w:rsidRPr="00CE0A20">
        <w:rPr>
          <w:rFonts w:ascii="Times New Roman" w:hAnsi="Times New Roman" w:cs="Times New Roman"/>
          <w:color w:val="000000" w:themeColor="text1"/>
          <w:sz w:val="28"/>
          <w:szCs w:val="28"/>
          <w:lang w:val="en-US"/>
        </w:rPr>
        <w:t>D</w:t>
      </w:r>
      <w:r w:rsidRPr="00CE0A20">
        <w:rPr>
          <w:rFonts w:ascii="Times New Roman" w:hAnsi="Times New Roman" w:cs="Times New Roman"/>
          <w:color w:val="000000" w:themeColor="text1"/>
          <w:sz w:val="28"/>
          <w:szCs w:val="28"/>
          <w:lang w:val="uk-UA"/>
        </w:rPr>
        <w:t>uring the study were</w:t>
      </w:r>
      <w:r w:rsidRPr="00CE0A20">
        <w:rPr>
          <w:rFonts w:ascii="Times New Roman" w:hAnsi="Times New Roman" w:cs="Times New Roman"/>
          <w:color w:val="000000" w:themeColor="text1"/>
          <w:sz w:val="28"/>
          <w:szCs w:val="28"/>
          <w:lang w:val="en-US"/>
        </w:rPr>
        <w:t>n`t</w:t>
      </w:r>
      <w:r w:rsidRPr="00CE0A20">
        <w:rPr>
          <w:rFonts w:ascii="Times New Roman" w:hAnsi="Times New Roman" w:cs="Times New Roman"/>
          <w:color w:val="000000" w:themeColor="text1"/>
          <w:sz w:val="28"/>
          <w:szCs w:val="28"/>
          <w:lang w:val="uk-UA"/>
        </w:rPr>
        <w:t xml:space="preserve"> observed</w:t>
      </w:r>
      <w:r w:rsidRPr="00CE0A20">
        <w:rPr>
          <w:rFonts w:ascii="Times New Roman" w:hAnsi="Times New Roman" w:cs="Times New Roman"/>
          <w:color w:val="000000" w:themeColor="text1"/>
          <w:sz w:val="28"/>
          <w:szCs w:val="28"/>
          <w:lang w:val="en-US"/>
        </w:rPr>
        <w:t xml:space="preserve"> any</w:t>
      </w:r>
      <w:r w:rsidRPr="00CE0A20">
        <w:rPr>
          <w:rFonts w:ascii="Times New Roman" w:hAnsi="Times New Roman" w:cs="Times New Roman"/>
          <w:color w:val="000000" w:themeColor="text1"/>
          <w:sz w:val="28"/>
          <w:szCs w:val="28"/>
          <w:lang w:val="uk-UA"/>
        </w:rPr>
        <w:t xml:space="preserve"> significant adverse events and side effects of HRT.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According to the results of clinical testing of the proposed method of cell therapy in patients with erectile dysfunction on the background of androgen deficiency, type 2 diabetes and overweight, it was determined that a one-time transplantation of autologous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in both testicles improves erectile function by a significant increase in the MIEF through 4 weeks at 25.8%, after 12 weeks - at 57.3% and maintaining a positive trend until the 24th week after treatment.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The value of T / E increased slightly and approached the indicator of the control group with a constant concentration of estradiol. There was a further decrease in the concentration of </w:t>
      </w:r>
      <w:r w:rsidRPr="00CE0A20">
        <w:rPr>
          <w:rFonts w:ascii="Times New Roman" w:hAnsi="Times New Roman" w:cs="Times New Roman"/>
          <w:color w:val="000000" w:themeColor="text1"/>
          <w:sz w:val="28"/>
          <w:szCs w:val="28"/>
          <w:lang w:val="uk-UA"/>
        </w:rPr>
        <w:t>HRT</w:t>
      </w:r>
      <w:r w:rsidRPr="00CE0A20">
        <w:rPr>
          <w:rFonts w:ascii="Times New Roman" w:hAnsi="Times New Roman" w:cs="Times New Roman"/>
          <w:color w:val="000000" w:themeColor="text1"/>
          <w:sz w:val="28"/>
          <w:szCs w:val="28"/>
          <w:lang w:val="en-US"/>
        </w:rPr>
        <w:t xml:space="preserve"> and an increase in AI, in both subgroups of the main group, which remained significantly less than in the control group. The level of FSH, LH and PRL has not changed. During this period, a further reduction in BMI was also noted, the level of glucose and HbA1c did not change significantly, the concentrations of total cholesterol, LDL and triglycerides did not significantly decrease. PSA levels remained stable throughout the study. During the observation period, patients showed no signs of adverse effects of any origin.</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Thus, the scientific novelty of the work</w:t>
      </w:r>
      <w:r w:rsidRPr="00CE0A20">
        <w:rPr>
          <w:rFonts w:ascii="Times New Roman" w:hAnsi="Times New Roman" w:cs="Times New Roman"/>
          <w:b/>
          <w:color w:val="000000" w:themeColor="text1"/>
          <w:sz w:val="28"/>
          <w:szCs w:val="28"/>
          <w:lang w:val="en-US"/>
        </w:rPr>
        <w:t xml:space="preserve"> </w:t>
      </w:r>
      <w:r w:rsidRPr="00CE0A20">
        <w:rPr>
          <w:rFonts w:ascii="Times New Roman" w:hAnsi="Times New Roman" w:cs="Times New Roman"/>
          <w:color w:val="000000" w:themeColor="text1"/>
          <w:sz w:val="28"/>
          <w:szCs w:val="28"/>
          <w:lang w:val="en-US"/>
        </w:rPr>
        <w:t>lies in the fact that the author improved the experimental model of suppressing copulative behavior against the background of androgen deficiency using cadmium chloride and proved the possibility of achieving the necessary gonadotoxical effect with a stable decrease in testosterone without significant effect on the hypothalamo-hypophyseal axis sex hormones and the lack of a expressive general toxic effect.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It was found that a single intraperitoneal injection of an experimental animal with a sterile solution of cadmium chloride at a dose of 150 μg / 100 g of body weight leads to a persistent androgen deficiency with preservation of this condition on the twenty-eighth day of the experiment.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It is proved that the proposed model of experimental androgen deficiency causes destructive changes of the seminiferous tubules with partial replacement of interstitial tissue with connective tissue and signs of excessive proliferation of Leydig cells with signs of morphofunctional insufficiency, that indicates a depletion of the regeneration potential and a possible reduction in the number of stem cells needed to restore testosterone –producers Leydig`s cells.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The method of cell therapy for experimental androgen deficiency using intracystemeric transplantation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has been developed and applied, and it has been proved that the greatest clinical effect is observed when 200,000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was administered in both testicles (along their largest axis).</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It was determined that intratisticular injection of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to research animals by a proposed method causes restoration of testosterone level and normalization of other sex hormones simultaneously with normalization of the effects of the general toxic effect of cadmium chloride (ALT, AST, catalase and superoxide dismutase - SOD).</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According to the results of the histological study, it was determined that under the influence of cell therapy using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the morphological structure of the testes and the morphometric parameters of the testicular cells of experimental animals are present, with different stages of spermatid differentiation and normochromic Leydig cells in the perivascular stroma.</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A method for obtaining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is proposed, which is permanently expressed the green fluorescent protein GFP, with the help of which the location and distribution of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in the interstitium after their intrastescularly transplantation has been established. A sufficient survival rate of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after intra-testicular transplantation has been recorded and stated.</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According to the results of the histological study of the testes and pre-gallstone glands of experimental animals with androgen deficiency, it was proved that their morphostructure does not differ from the structure of intact animals of similar age in the long-term period after the intracranial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transplantation.</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For the first time, clinical approbation of the proposed method of cell therapy using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was performed in patients with erectile dysfunction and hypogonadism on the background of diabetes mellitus and overweight.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en-US"/>
        </w:rPr>
        <w:t xml:space="preserve">The effectiveness of cell therapy using </w:t>
      </w:r>
      <w:r w:rsidRPr="00CE0A20">
        <w:rPr>
          <w:rFonts w:ascii="Times New Roman" w:hAnsi="Times New Roman" w:cs="Times New Roman"/>
          <w:color w:val="000000" w:themeColor="text1"/>
          <w:sz w:val="28"/>
          <w:szCs w:val="28"/>
          <w:lang w:val="uk-UA"/>
        </w:rPr>
        <w:t>BMSS</w:t>
      </w:r>
      <w:r w:rsidRPr="00CE0A20">
        <w:rPr>
          <w:rFonts w:ascii="Times New Roman" w:hAnsi="Times New Roman" w:cs="Times New Roman"/>
          <w:color w:val="000000" w:themeColor="text1"/>
          <w:sz w:val="28"/>
          <w:szCs w:val="28"/>
          <w:lang w:val="en-US"/>
        </w:rPr>
        <w:t xml:space="preserve"> in the treatment of erectile dysfunction and hypogonadism has been proved for the first time, as evidenced by the positive dynamics of indicators of erectile function on the </w:t>
      </w:r>
      <w:r w:rsidRPr="00CE0A20">
        <w:rPr>
          <w:rFonts w:ascii="Times New Roman" w:hAnsi="Times New Roman" w:cs="Times New Roman"/>
          <w:color w:val="000000" w:themeColor="text1"/>
          <w:sz w:val="28"/>
          <w:szCs w:val="28"/>
          <w:lang w:val="uk-UA"/>
        </w:rPr>
        <w:t>IIEF</w:t>
      </w:r>
      <w:r w:rsidRPr="00CE0A20">
        <w:rPr>
          <w:rFonts w:ascii="Times New Roman" w:hAnsi="Times New Roman" w:cs="Times New Roman"/>
          <w:color w:val="000000" w:themeColor="text1"/>
          <w:sz w:val="28"/>
          <w:szCs w:val="28"/>
          <w:lang w:val="en-US"/>
        </w:rPr>
        <w:t xml:space="preserve"> -5 scale, concentration of sex hormones and indicators of carbohydrate and fat metabolism.</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b/>
          <w:color w:val="000000" w:themeColor="text1"/>
          <w:sz w:val="28"/>
          <w:szCs w:val="28"/>
          <w:lang w:val="uk-UA"/>
        </w:rPr>
        <w:t>Key words:</w:t>
      </w:r>
      <w:r w:rsidRPr="00CE0A20">
        <w:rPr>
          <w:rFonts w:ascii="Times New Roman" w:hAnsi="Times New Roman" w:cs="Times New Roman"/>
          <w:color w:val="000000" w:themeColor="text1"/>
          <w:sz w:val="28"/>
          <w:szCs w:val="28"/>
          <w:lang w:val="uk-UA"/>
        </w:rPr>
        <w:t xml:space="preserve"> erectile dysfunction, experimental androgen-deficiency, bone marrow stromal cells, intratesticalar transplantation, hypogonadism, diabetes mellitus.</w:t>
      </w:r>
    </w:p>
    <w:p w:rsidR="001C43D0" w:rsidRPr="00CE0A20" w:rsidRDefault="001C43D0" w:rsidP="001C43D0">
      <w:pPr>
        <w:rPr>
          <w:rFonts w:ascii="Times New Roman" w:hAnsi="Times New Roman" w:cs="Times New Roman"/>
          <w:color w:val="000000" w:themeColor="text1"/>
          <w:sz w:val="28"/>
          <w:szCs w:val="28"/>
          <w:lang w:val="en-US"/>
        </w:rPr>
      </w:pPr>
    </w:p>
    <w:p w:rsidR="001C43D0" w:rsidRPr="00CE0A20" w:rsidRDefault="001C43D0" w:rsidP="00CF7496">
      <w:pPr>
        <w:spacing w:line="360" w:lineRule="auto"/>
        <w:ind w:left="-567" w:firstLine="568"/>
        <w:jc w:val="center"/>
        <w:rPr>
          <w:rFonts w:ascii="Times New Roman" w:hAnsi="Times New Roman" w:cs="Times New Roman"/>
          <w:b/>
          <w:bCs/>
          <w:sz w:val="28"/>
          <w:szCs w:val="28"/>
        </w:rPr>
      </w:pPr>
      <w:r w:rsidRPr="00CE0A20">
        <w:rPr>
          <w:rFonts w:ascii="Times New Roman" w:hAnsi="Times New Roman" w:cs="Times New Roman"/>
          <w:b/>
          <w:bCs/>
          <w:sz w:val="28"/>
          <w:szCs w:val="28"/>
        </w:rPr>
        <w:t>СПИСОК ПРАЦЬ, ОПУБЛІКОВАНИХ ЗА ТЕМОЮ ДИСЕРТАЦІЇ</w:t>
      </w:r>
    </w:p>
    <w:p w:rsidR="001C43D0" w:rsidRPr="00CE0A20" w:rsidRDefault="001C43D0" w:rsidP="00CF7496">
      <w:pPr>
        <w:spacing w:line="360" w:lineRule="auto"/>
        <w:ind w:left="-567" w:firstLine="568"/>
        <w:jc w:val="center"/>
        <w:rPr>
          <w:rFonts w:ascii="Times New Roman" w:hAnsi="Times New Roman" w:cs="Times New Roman"/>
          <w:b/>
          <w:sz w:val="28"/>
          <w:szCs w:val="28"/>
          <w:lang w:val="uk-UA"/>
        </w:rPr>
      </w:pPr>
      <w:r w:rsidRPr="00CE0A20">
        <w:rPr>
          <w:rFonts w:ascii="Times New Roman" w:hAnsi="Times New Roman" w:cs="Times New Roman"/>
          <w:b/>
          <w:sz w:val="28"/>
          <w:szCs w:val="28"/>
          <w:lang w:val="uk-UA"/>
        </w:rPr>
        <w:t>Праці, у яких опубліковані основні результати  дисертації:</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ИМ, Хвисюк АН. О становлении трансплантологии в Украине: юридические аспекты. Международный медицинский журнал. 2005; 2:148-151. (Здобувач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ИМ, Хвисюк АН, Микулинский ЮЕ, Антонян МИ Трансплантология: история и современность. Проблеми медичної науки та освіти.  2005;2:67-70. (Здобувач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ИМ. Регенерационная медицина: проблемы и решения. Харківська хірургічна школа. 2005; 3 (18):82-85.</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shd w:val="clear" w:color="auto" w:fill="FFFFFF"/>
        </w:rPr>
        <w:t xml:space="preserve">Антонян И.М., Хвисюк А.Н. Сегодня и завтра регенерационно-клеточной медицины. </w:t>
      </w:r>
      <w:r w:rsidRPr="00CE0A20">
        <w:rPr>
          <w:rFonts w:ascii="Times New Roman" w:hAnsi="Times New Roman" w:cs="Times New Roman"/>
          <w:bCs/>
          <w:shd w:val="clear" w:color="auto" w:fill="FFFFFF"/>
        </w:rPr>
        <w:t xml:space="preserve">Дерматовенерология, косметология, сексопатология. </w:t>
      </w:r>
      <w:r w:rsidRPr="00CE0A20">
        <w:rPr>
          <w:rFonts w:ascii="Times New Roman" w:hAnsi="Times New Roman" w:cs="Times New Roman"/>
          <w:shd w:val="clear" w:color="auto" w:fill="FFFFFF"/>
        </w:rPr>
        <w:t> </w:t>
      </w:r>
      <w:r w:rsidRPr="00CE0A20">
        <w:rPr>
          <w:rFonts w:ascii="Times New Roman" w:hAnsi="Times New Roman" w:cs="Times New Roman"/>
          <w:bCs/>
          <w:shd w:val="clear" w:color="auto" w:fill="FFFFFF"/>
        </w:rPr>
        <w:t xml:space="preserve">2005; 1/2: </w:t>
      </w:r>
      <w:r w:rsidRPr="00CE0A20">
        <w:rPr>
          <w:rFonts w:ascii="Times New Roman" w:hAnsi="Times New Roman" w:cs="Times New Roman"/>
          <w:shd w:val="clear" w:color="auto" w:fill="FFFFFF"/>
        </w:rPr>
        <w:t xml:space="preserve">201-204. </w:t>
      </w:r>
      <w:r w:rsidRPr="00CE0A20">
        <w:rPr>
          <w:rFonts w:ascii="Times New Roman" w:hAnsi="Times New Roman" w:cs="Times New Roman"/>
        </w:rPr>
        <w:t>(Здобувач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ИМ. Изучение ферментов перекисного окисления липидов в эксперименте по подбору эффективной дозы хлорида кадмия для создания модели мужского бесплодия у самцов крыс. Проблеми сучасної медичної науки та освіти. 2009;4:66-69.</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ИМ. Определение эффективной концентрации кадмия хлорида для создания модели необратимого бесплодия у самцов крыс. Проблеми сучасної медичної науки та освіти. 2010; 1:48-57.</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ІМ. Визначення ефективної кількості стовбурових клітин та методу введення для корекції гормональної дисфункції в експерименті на самцях щурів. Проблеми сучасної медичної науки та освіти. 2010;  4:74-76.</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ІМ. Використання культури стовбурових клітин для корекції андрогенного дефіциту в щурів. Проблеми безперервної медичної освіти та науки. 2011;1: 57-59.</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Лесовой ВН, Андоньева НМ, Антонян ИМ, Ларъяновская ЮБ, Кешишян  СА. Применение стромальных стволовых клеток при эксперимен</w:t>
      </w:r>
      <w:r w:rsidRPr="00CE0A20">
        <w:rPr>
          <w:rFonts w:ascii="Times New Roman" w:hAnsi="Times New Roman" w:cs="Times New Roman"/>
        </w:rPr>
        <w:softHyphen/>
        <w:t>тальном гипогонадизме. Медицина сьогодні і завтра. 2011; 1-2 (50-51): 132-140. (Здобувач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 xml:space="preserve">Лісовий ВМ, Антонян ІМ. Визначення шляхів введення культури стовбурових клітин і їх кількості для лікування вторинного андрогенного дефіциту у самців щурів. Експерим. і клініч. медицина. 2011;3 (52):26-29. (Дисертант  </w:t>
      </w:r>
      <w:r w:rsidRPr="00CE0A20">
        <w:rPr>
          <w:rStyle w:val="25"/>
          <w:rFonts w:cs="Times New Roman"/>
          <w:iCs/>
          <w:sz w:val="28"/>
        </w:rPr>
        <w:t xml:space="preserve">самостійно провів </w:t>
      </w:r>
      <w:r w:rsidRPr="00CE0A20">
        <w:rPr>
          <w:rFonts w:ascii="Times New Roman" w:hAnsi="Times New Roman" w:cs="Times New Roman"/>
        </w:rPr>
        <w:t>аналіз ефективності застосованої лікувальної методики, систематизував отримані результати, написав основні розділи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 xml:space="preserve">Лісовий ВМ, Антонян ІМ, Микулінський ЮЮ. Вплив різної кількості стовбурових клітин на гормональний статус самців щурів і стан їх антиоксидантного захисту на моделі андрогенного дефіциту. Експерим. і клініч. медицина. 2011; 4: 31-34. (Дисертант  </w:t>
      </w:r>
      <w:r w:rsidRPr="00CE0A20">
        <w:rPr>
          <w:rStyle w:val="25"/>
          <w:rFonts w:cs="Times New Roman"/>
          <w:iCs/>
          <w:sz w:val="28"/>
        </w:rPr>
        <w:t xml:space="preserve">самостійно провів </w:t>
      </w:r>
      <w:r w:rsidRPr="00CE0A20">
        <w:rPr>
          <w:rFonts w:ascii="Times New Roman" w:hAnsi="Times New Roman" w:cs="Times New Roman"/>
        </w:rPr>
        <w:t>аналіз ефективності застосованої лікувальної методики, систематизував отримані результати, написав основні розділи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 xml:space="preserve">Антонян ІМ. Вивчення впливу інтратестікулярного введення культури стовбурових клітин на стан піддослідних щурів на тлі їх ураження двохлористим кадмієм. Світ медицини та біології.  2012;1: 114-119.  </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ІМ. Віддалені результати інтратестикулярного введення клітин строми кісткового мозку щурам з експериментальним гіпогонадизмом. Укр. морфол. альманах. 2012; 10( 2): 82-87.</w:t>
      </w:r>
      <w:r w:rsidRPr="00CE0A20">
        <w:rPr>
          <w:rFonts w:ascii="Times New Roman" w:hAnsi="Times New Roman" w:cs="Times New Roman"/>
          <w:i/>
        </w:rPr>
        <w:t xml:space="preserve"> </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ІМ, Волчік ІВ, Лар’яновська ЮБ. Вивчення морфоструктури сім’яників щурів під впливом стовбурових клітин на моделі вторинного андрогенного дефіциту. Український медичний альманах. 2012;15 (3): 18-23. (Автором особисто проаналізовані літературні джерела, виконано експериментальне дослідження  та підготовлений текст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ІМ. Дослідження морфоструктури тестикул самців щурів після введення клітин строми кісткового мозку на тлі ураження тварин токсином. Укр. мед. альманах. 2012; 15(4):  30-33.</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eastAsia="Arial" w:hAnsi="Times New Roman" w:cs="Times New Roman"/>
          <w:iCs/>
        </w:rPr>
        <w:t xml:space="preserve">Лесовой ВН, Антонян ИМ, Ларьяновская ЮБ. </w:t>
      </w:r>
      <w:r w:rsidRPr="00CE0A20">
        <w:rPr>
          <w:rFonts w:ascii="Times New Roman" w:eastAsia="Arial" w:hAnsi="Times New Roman" w:cs="Times New Roman"/>
        </w:rPr>
        <w:t xml:space="preserve">Изменения гормонального статуса и морфометрических показателей под действием культуры стромальных клеток при экспериментальном гипогонадизме. Експериментальна і клінічна медицина.  2012; 4 (57):6-12. </w:t>
      </w:r>
      <w:r w:rsidRPr="00CE0A20">
        <w:rPr>
          <w:rFonts w:ascii="Times New Roman" w:hAnsi="Times New Roman" w:cs="Times New Roman"/>
        </w:rPr>
        <w:t>(Автором особисто проаналізовані літературні джерела, виконано експериментальне дослідження  та підготовлений текст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ІМ. Зміни сперматогенного епітелію при застосуванні стовбурових клітин на моделі експериментального гіпогонадизму. Вісник проблем біології і медицини. 2012;1(91):88-90</w:t>
      </w:r>
      <w:r w:rsidRPr="00CE0A20">
        <w:rPr>
          <w:rFonts w:ascii="Times New Roman" w:hAnsi="Times New Roman" w:cs="Times New Roman"/>
          <w:i/>
        </w:rPr>
        <w:t xml:space="preserve"> </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 xml:space="preserve">Лесовой ВН, Антонян ИМ, Кешишян СА. </w:t>
      </w:r>
      <w:r w:rsidRPr="00CE0A20">
        <w:rPr>
          <w:rFonts w:ascii="Times New Roman" w:hAnsi="Times New Roman" w:cs="Times New Roman"/>
          <w:bCs/>
        </w:rPr>
        <w:t>Есть ли альтернатива фармакотерапии при андрогенном дефиците?</w:t>
      </w:r>
      <w:r w:rsidRPr="00CE0A20">
        <w:rPr>
          <w:rFonts w:ascii="Times New Roman" w:hAnsi="Times New Roman" w:cs="Times New Roman"/>
          <w:shd w:val="clear" w:color="auto" w:fill="F9F9F9"/>
        </w:rPr>
        <w:t> </w:t>
      </w:r>
      <w:r w:rsidRPr="00CE0A20">
        <w:rPr>
          <w:rFonts w:ascii="Times New Roman" w:hAnsi="Times New Roman" w:cs="Times New Roman"/>
        </w:rPr>
        <w:t xml:space="preserve"> Здоровье мужчины</w:t>
      </w:r>
      <w:r w:rsidRPr="00CE0A20">
        <w:rPr>
          <w:rFonts w:ascii="Times New Roman" w:hAnsi="Times New Roman" w:cs="Times New Roman"/>
          <w:shd w:val="clear" w:color="auto" w:fill="F9F9F9"/>
        </w:rPr>
        <w:t>.</w:t>
      </w:r>
      <w:r w:rsidRPr="00CE0A20">
        <w:rPr>
          <w:rFonts w:ascii="Times New Roman" w:hAnsi="Times New Roman" w:cs="Times New Roman"/>
        </w:rPr>
        <w:t xml:space="preserve"> 2012; 3:31-33 (Автором особисто проаналізовані літературні джерела, виконано клінічне дослідження  та підготовлений текст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 xml:space="preserve">Антонян ІМ. Вивчення впливу інтратестикулярного введення культури стовбурових клітин на стан піддослідних щурів на тлі їх ураження двохлористим кадмієм. Вісник проблем біології і медицини. 2012; 1(3): 125-130. </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eastAsia="Franklin Gothic Heavy" w:hAnsi="Times New Roman" w:cs="Times New Roman"/>
          <w:iCs/>
          <w:shd w:val="clear" w:color="auto" w:fill="FFFFFF"/>
        </w:rPr>
        <w:t>Антонян ИМ.</w:t>
      </w:r>
      <w:r w:rsidRPr="00CE0A20">
        <w:rPr>
          <w:rFonts w:ascii="Times New Roman" w:eastAsia="Franklin Gothic Heavy" w:hAnsi="Times New Roman" w:cs="Times New Roman"/>
          <w:iCs/>
          <w:shd w:val="clear" w:color="auto" w:fill="FFFFFF"/>
          <w:lang w:val="uk-UA"/>
        </w:rPr>
        <w:t xml:space="preserve"> </w:t>
      </w:r>
      <w:r w:rsidRPr="00CE0A20">
        <w:rPr>
          <w:rFonts w:ascii="Times New Roman" w:hAnsi="Times New Roman" w:cs="Times New Roman"/>
        </w:rPr>
        <w:t xml:space="preserve">Возможности применения стволовых клеток для коррекции вторичного андрогенного дефицита у крыс. Вісник проблем біологіїі і медицини. 2013;2 (100): 112-115. </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Лісовий ВМ, Антонян ІМ, Волчік ІВ, Лар'яновська ЮБ.  Вплив одно- та двобічного інтратестикулярного введення різної кількості стовбурових клітин на стан щурів з експериментальною моделлю вторинного андрогенного дефіциту. Медицина сьогодні і завтра. 2013;  1: 5-15 (Автором особисто проаналізовані літературні джерела, виконано експериментальне дослідження  та підготовлений текст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Лісовий ВМ, Антонян ІМ. Зміни показників копулятивної поведінки самців щурів з експериментальним гіпогонадизмом під впливом клітинної терапії. Експериментальна і клінічна медицина. 2013; 2: 18-22. (Автором особисто проаналізовані літературні джерела, виконано експериментальне дослідження  та підготовлений текст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ІМ, Волчік ІВ, Омельченко ОА. Використання клітинних технологій для корекції копулятивної поведінки тварин в експерименті.  Урологія. 2014; 18(2): 20-23.</w:t>
      </w:r>
      <w:r w:rsidRPr="00CE0A20">
        <w:rPr>
          <w:rFonts w:ascii="Times New Roman" w:hAnsi="Times New Roman" w:cs="Times New Roman"/>
          <w:i/>
        </w:rPr>
        <w:t xml:space="preserve"> </w:t>
      </w:r>
      <w:r w:rsidRPr="00CE0A20">
        <w:rPr>
          <w:rFonts w:ascii="Times New Roman" w:hAnsi="Times New Roman" w:cs="Times New Roman"/>
        </w:rPr>
        <w:t>(Автором особисто проаналізовані літературні джерела, виконано екпериментальне дослідження  та підготовлений текст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ИМ. Роль стромальных стволовых клеток при лечении экспериментального гипогонадизма. Урологія. 2015; 19( 3): 311-314.</w:t>
      </w:r>
    </w:p>
    <w:p w:rsidR="001C43D0" w:rsidRPr="00CE0A20" w:rsidRDefault="001C43D0" w:rsidP="00CF7496">
      <w:pPr>
        <w:pStyle w:val="a3"/>
        <w:numPr>
          <w:ilvl w:val="0"/>
          <w:numId w:val="36"/>
        </w:numPr>
        <w:spacing w:after="100"/>
        <w:contextualSpacing/>
        <w:jc w:val="both"/>
        <w:rPr>
          <w:rFonts w:ascii="Times New Roman" w:hAnsi="Times New Roman" w:cs="Times New Roman"/>
          <w:lang w:val="uk-UA"/>
        </w:rPr>
      </w:pPr>
      <w:r w:rsidRPr="00CE0A20">
        <w:rPr>
          <w:rFonts w:ascii="Times New Roman" w:hAnsi="Times New Roman" w:cs="Times New Roman"/>
        </w:rPr>
        <w:t>Антонян ИМ, Россихин ВВ, Бухмин АВ, Мегера ВВ, Якубовский</w:t>
      </w:r>
      <w:r w:rsidRPr="00CE0A20">
        <w:rPr>
          <w:rFonts w:ascii="Times New Roman" w:hAnsi="Times New Roman" w:cs="Times New Roman"/>
          <w:bCs/>
        </w:rPr>
        <w:t xml:space="preserve"> </w:t>
      </w:r>
      <w:r w:rsidRPr="00CE0A20">
        <w:rPr>
          <w:rFonts w:ascii="Times New Roman" w:hAnsi="Times New Roman" w:cs="Times New Roman"/>
        </w:rPr>
        <w:t>ВН.</w:t>
      </w:r>
      <w:r w:rsidRPr="00CE0A20">
        <w:rPr>
          <w:rFonts w:ascii="Times New Roman" w:hAnsi="Times New Roman" w:cs="Times New Roman"/>
          <w:shd w:val="clear" w:color="auto" w:fill="F9F9F9"/>
        </w:rPr>
        <w:t xml:space="preserve"> </w:t>
      </w:r>
      <w:r w:rsidRPr="00CE0A20">
        <w:rPr>
          <w:rFonts w:ascii="Times New Roman" w:hAnsi="Times New Roman" w:cs="Times New Roman"/>
          <w:bCs/>
        </w:rPr>
        <w:t>Применение препаратов альфа-липоевой кислоты для лечения эректильной дисфункции у больных сахарным диабетом 2-го типа.</w:t>
      </w:r>
      <w:r w:rsidRPr="00CE0A20">
        <w:rPr>
          <w:rFonts w:ascii="Times New Roman" w:hAnsi="Times New Roman" w:cs="Times New Roman"/>
        </w:rPr>
        <w:t xml:space="preserve"> Здоровье мужчины</w:t>
      </w:r>
      <w:r w:rsidRPr="00CE0A20">
        <w:rPr>
          <w:rFonts w:ascii="Times New Roman" w:hAnsi="Times New Roman" w:cs="Times New Roman"/>
          <w:shd w:val="clear" w:color="auto" w:fill="F9F9F9"/>
        </w:rPr>
        <w:t xml:space="preserve">. </w:t>
      </w:r>
      <w:r w:rsidRPr="00CE0A20">
        <w:rPr>
          <w:rFonts w:ascii="Times New Roman" w:hAnsi="Times New Roman" w:cs="Times New Roman"/>
        </w:rPr>
        <w:t>2016; 3: 43-46 (Здобувач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 xml:space="preserve">Антонян ІМ, Березна ТВ, Чепенко АВ. Оцінка рівнів статевих гормонів та ліпідного профілю у чоловіків із безпліддям на тлі метаболічного синдрому та високого індексу маси тіла. Міжнародний медичний журнал.  2016;22(4):42-45. (Дисертант  </w:t>
      </w:r>
      <w:r w:rsidRPr="00CE0A20">
        <w:rPr>
          <w:rStyle w:val="25"/>
          <w:rFonts w:cs="Times New Roman"/>
          <w:iCs/>
          <w:sz w:val="28"/>
        </w:rPr>
        <w:t xml:space="preserve">самостійно провів </w:t>
      </w:r>
      <w:r w:rsidRPr="00CE0A20">
        <w:rPr>
          <w:rFonts w:ascii="Times New Roman" w:hAnsi="Times New Roman" w:cs="Times New Roman"/>
        </w:rPr>
        <w:t>аналіз ефективності застосованої лікувальної методики, систематизував отримані результати, написав основні розділи статті)</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ІМ, Березна ТВ, Чепенко АВ.  Шляхи корекції чоловічого безпліддя на тлі метаболічного синдрому та високого індексу маси тіла. Актуал. пробл. сучасн. мед. : Вісн. Укр. мед. стомат. акад. 2016; 16(4 (1):55-57.  (</w:t>
      </w:r>
      <w:r w:rsidRPr="00CE0A20">
        <w:rPr>
          <w:rFonts w:ascii="Times New Roman" w:hAnsi="Times New Roman" w:cs="Times New Roman"/>
          <w:lang w:eastAsia="uk-UA"/>
        </w:rPr>
        <w:t>Дисертантом проведена частина експериментальних досліджень, опрацьовані аналізи результатів дослідження, підготовлено статтю до друку</w:t>
      </w:r>
      <w:r w:rsidRPr="00CE0A20">
        <w:rPr>
          <w:rFonts w:ascii="Times New Roman" w:hAnsi="Times New Roman" w:cs="Times New Roman"/>
        </w:rPr>
        <w:t>)</w:t>
      </w:r>
    </w:p>
    <w:p w:rsidR="001C43D0" w:rsidRPr="00CE0A20" w:rsidRDefault="001C43D0" w:rsidP="00CF7496">
      <w:pPr>
        <w:pStyle w:val="a3"/>
        <w:numPr>
          <w:ilvl w:val="0"/>
          <w:numId w:val="36"/>
        </w:numPr>
        <w:spacing w:after="100"/>
        <w:contextualSpacing/>
        <w:jc w:val="both"/>
        <w:rPr>
          <w:rFonts w:ascii="Times New Roman" w:hAnsi="Times New Roman" w:cs="Times New Roman"/>
        </w:rPr>
      </w:pPr>
      <w:r w:rsidRPr="00CE0A20">
        <w:rPr>
          <w:rFonts w:ascii="Times New Roman" w:hAnsi="Times New Roman" w:cs="Times New Roman"/>
        </w:rPr>
        <w:t>Антонян ИМ, Омельченко ЕА, Забирняк ИС. Изменения гормонального статуса животных в условиях андрогенного дефицита под влиянием сингенной культуры стволовых клеток. Трекинг и флуоресцентный имиджинг клеток EX VIVO/IN VIVO. Український журнал медицини, біології та спорту.  2017; 2 (4):7-15. (Автор забезпечував добір літературних джерел, самостійно проводив статистичну обробку та об</w:t>
      </w:r>
      <w:r w:rsidRPr="00CE0A20">
        <w:rPr>
          <w:rFonts w:ascii="Times New Roman" w:hAnsi="Times New Roman" w:cs="Times New Roman"/>
          <w:bCs/>
          <w:color w:val="222222"/>
          <w:shd w:val="clear" w:color="auto" w:fill="FFFFFF"/>
        </w:rPr>
        <w:t>ґ</w:t>
      </w:r>
      <w:r w:rsidRPr="00CE0A20">
        <w:rPr>
          <w:rFonts w:ascii="Times New Roman" w:hAnsi="Times New Roman" w:cs="Times New Roman"/>
        </w:rPr>
        <w:t>рунтування отриманих результатів)</w:t>
      </w:r>
    </w:p>
    <w:p w:rsidR="001C43D0" w:rsidRPr="00CE0A20" w:rsidRDefault="001C43D0" w:rsidP="00CF7496">
      <w:pPr>
        <w:pStyle w:val="a3"/>
        <w:ind w:firstLine="696"/>
        <w:jc w:val="both"/>
        <w:rPr>
          <w:rFonts w:ascii="Times New Roman" w:hAnsi="Times New Roman" w:cs="Times New Roman"/>
          <w:b/>
          <w:lang w:val="uk-UA"/>
        </w:rPr>
      </w:pPr>
    </w:p>
    <w:p w:rsidR="001C43D0" w:rsidRPr="00CE0A20" w:rsidRDefault="001C43D0" w:rsidP="00CF7496">
      <w:pPr>
        <w:pStyle w:val="a3"/>
        <w:ind w:firstLine="696"/>
        <w:jc w:val="both"/>
        <w:rPr>
          <w:rFonts w:ascii="Times New Roman" w:hAnsi="Times New Roman" w:cs="Times New Roman"/>
          <w:b/>
          <w:lang w:val="uk-UA"/>
        </w:rPr>
      </w:pPr>
      <w:r w:rsidRPr="00CE0A20">
        <w:rPr>
          <w:rFonts w:ascii="Times New Roman" w:hAnsi="Times New Roman" w:cs="Times New Roman"/>
          <w:b/>
          <w:lang w:val="uk-UA"/>
        </w:rPr>
        <w:t>Праці, які засвідчують апробацію матеріалів дисертації:</w:t>
      </w:r>
    </w:p>
    <w:p w:rsidR="001C43D0" w:rsidRPr="00CE0A20" w:rsidRDefault="001C43D0" w:rsidP="00CF7496">
      <w:pPr>
        <w:pStyle w:val="a3"/>
        <w:numPr>
          <w:ilvl w:val="0"/>
          <w:numId w:val="37"/>
        </w:numPr>
        <w:spacing w:after="240"/>
        <w:contextualSpacing/>
        <w:jc w:val="both"/>
        <w:rPr>
          <w:rFonts w:ascii="Times New Roman" w:hAnsi="Times New Roman" w:cs="Times New Roman"/>
          <w:shd w:val="clear" w:color="auto" w:fill="FFFFFF"/>
          <w:lang w:val="uk-UA"/>
        </w:rPr>
      </w:pPr>
      <w:r w:rsidRPr="00CE0A20">
        <w:rPr>
          <w:rFonts w:ascii="Times New Roman" w:hAnsi="Times New Roman" w:cs="Times New Roman"/>
          <w:iCs/>
          <w:lang w:val="uk-UA"/>
        </w:rPr>
        <w:t xml:space="preserve">Антонян И.М., Кешишян С.А.  </w:t>
      </w:r>
      <w:r w:rsidRPr="00CE0A20">
        <w:rPr>
          <w:rFonts w:ascii="Times New Roman" w:hAnsi="Times New Roman" w:cs="Times New Roman"/>
          <w:iCs/>
        </w:rPr>
        <w:t>С</w:t>
      </w:r>
      <w:r w:rsidRPr="00CE0A20">
        <w:rPr>
          <w:rFonts w:ascii="Times New Roman" w:hAnsi="Times New Roman" w:cs="Times New Roman"/>
          <w:bCs/>
        </w:rPr>
        <w:t>уществуют ли альтернативы заместительной андрогенной терапии  //</w:t>
      </w:r>
      <w:r w:rsidRPr="00CE0A20">
        <w:rPr>
          <w:rFonts w:ascii="Times New Roman" w:hAnsi="Times New Roman" w:cs="Times New Roman"/>
        </w:rPr>
        <w:t xml:space="preserve">Урологія, андрологія, нефрологія – 2013: Материалы научно-практической конференции </w:t>
      </w:r>
      <w:r w:rsidRPr="00CE0A20">
        <w:rPr>
          <w:rFonts w:ascii="Times New Roman" w:hAnsi="Times New Roman" w:cs="Times New Roman"/>
          <w:iCs/>
        </w:rPr>
        <w:t xml:space="preserve">/ Под ред. В.Н.Лесового, И.М.Антоняна и др. – Харьков, 2013. – С. </w:t>
      </w:r>
      <w:r w:rsidRPr="00CE0A20">
        <w:rPr>
          <w:rFonts w:ascii="Times New Roman" w:hAnsi="Times New Roman" w:cs="Times New Roman"/>
          <w:bCs/>
        </w:rPr>
        <w:t>219 -222</w:t>
      </w:r>
      <w:r w:rsidRPr="00CE0A20">
        <w:rPr>
          <w:rFonts w:ascii="Times New Roman" w:hAnsi="Times New Roman" w:cs="Times New Roman"/>
          <w:bCs/>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100"/>
        <w:contextualSpacing/>
        <w:jc w:val="both"/>
        <w:rPr>
          <w:rFonts w:ascii="Times New Roman" w:hAnsi="Times New Roman" w:cs="Times New Roman"/>
        </w:rPr>
      </w:pPr>
      <w:r w:rsidRPr="00CE0A20">
        <w:rPr>
          <w:rFonts w:ascii="Times New Roman" w:hAnsi="Times New Roman" w:cs="Times New Roman"/>
        </w:rPr>
        <w:t xml:space="preserve">Антонян ИМ, Зеленский АИ, Белов ВЮ, Налбандян ТА, Горячая ВА, Михайлюта  АА.  </w:t>
      </w:r>
      <w:r w:rsidRPr="00CE0A20">
        <w:rPr>
          <w:rFonts w:ascii="Times New Roman" w:hAnsi="Times New Roman" w:cs="Times New Roman"/>
          <w:bCs/>
        </w:rPr>
        <w:t>Урологические аспекты метаболического синдрома</w:t>
      </w:r>
      <w:r w:rsidRPr="00CE0A20">
        <w:rPr>
          <w:rFonts w:ascii="Times New Roman" w:hAnsi="Times New Roman" w:cs="Times New Roman"/>
          <w:shd w:val="clear" w:color="auto" w:fill="F9F9F9"/>
        </w:rPr>
        <w:t xml:space="preserve">. </w:t>
      </w:r>
      <w:r w:rsidRPr="00CE0A20">
        <w:rPr>
          <w:rFonts w:ascii="Times New Roman" w:hAnsi="Times New Roman" w:cs="Times New Roman"/>
        </w:rPr>
        <w:t>Здоровье мужчины. 2014; 2: 165 (тези)</w:t>
      </w:r>
    </w:p>
    <w:p w:rsidR="001C43D0" w:rsidRPr="00CE0A20" w:rsidRDefault="001C43D0" w:rsidP="00CF7496">
      <w:pPr>
        <w:pStyle w:val="a3"/>
        <w:numPr>
          <w:ilvl w:val="0"/>
          <w:numId w:val="37"/>
        </w:numPr>
        <w:spacing w:after="240"/>
        <w:contextualSpacing/>
        <w:jc w:val="both"/>
        <w:rPr>
          <w:rFonts w:ascii="Times New Roman" w:hAnsi="Times New Roman" w:cs="Times New Roman"/>
          <w:shd w:val="clear" w:color="auto" w:fill="FFFFFF"/>
          <w:lang w:val="uk-UA"/>
        </w:rPr>
      </w:pPr>
      <w:r w:rsidRPr="00CE0A20">
        <w:rPr>
          <w:rFonts w:ascii="Times New Roman" w:hAnsi="Times New Roman" w:cs="Times New Roman"/>
          <w:lang w:val="uk-UA"/>
        </w:rPr>
        <w:t>Антонян І.М., Забірник А.С., Омельченко О.А., Волчик І.В.</w:t>
      </w:r>
      <w:r w:rsidRPr="00CE0A20">
        <w:rPr>
          <w:rFonts w:ascii="Times New Roman" w:hAnsi="Times New Roman" w:cs="Times New Roman"/>
          <w:i/>
          <w:lang w:val="uk-UA"/>
        </w:rPr>
        <w:t xml:space="preserve"> </w:t>
      </w:r>
      <w:r w:rsidRPr="00CE0A20">
        <w:rPr>
          <w:rFonts w:ascii="Times New Roman" w:hAnsi="Times New Roman" w:cs="Times New Roman"/>
          <w:lang w:val="uk-UA"/>
        </w:rPr>
        <w:t xml:space="preserve">Визначення шляхів введення клітини строми кісткового мозку та підтвердження їх трекінгу на моделі вторинного андрогенного дефіциту у щурів </w:t>
      </w:r>
      <w:r w:rsidRPr="00CE0A20">
        <w:rPr>
          <w:rFonts w:ascii="Times New Roman" w:hAnsi="Times New Roman" w:cs="Times New Roman"/>
          <w:bCs/>
          <w:lang w:val="uk-UA"/>
        </w:rPr>
        <w:t>//</w:t>
      </w:r>
      <w:r w:rsidRPr="00CE0A20">
        <w:rPr>
          <w:rFonts w:ascii="Times New Roman" w:hAnsi="Times New Roman" w:cs="Times New Roman"/>
          <w:lang w:val="uk-UA"/>
        </w:rPr>
        <w:t xml:space="preserve">Урологія, андрологія, нефрологія – 2016: Материалы научно-практической конференции </w:t>
      </w:r>
      <w:r w:rsidRPr="00CE0A20">
        <w:rPr>
          <w:rFonts w:ascii="Times New Roman" w:hAnsi="Times New Roman" w:cs="Times New Roman"/>
          <w:iCs/>
          <w:lang w:val="uk-UA"/>
        </w:rPr>
        <w:t xml:space="preserve">/ Под ред. </w:t>
      </w:r>
      <w:r w:rsidRPr="00CE0A20">
        <w:rPr>
          <w:rFonts w:ascii="Times New Roman" w:hAnsi="Times New Roman" w:cs="Times New Roman"/>
          <w:iCs/>
        </w:rPr>
        <w:t xml:space="preserve">В.Н.Лесового, И.М.Антоняна и др. – Харьков, 2016. – С. </w:t>
      </w:r>
      <w:r w:rsidRPr="00CE0A20">
        <w:rPr>
          <w:rFonts w:ascii="Times New Roman" w:hAnsi="Times New Roman" w:cs="Times New Roman"/>
          <w:bCs/>
        </w:rPr>
        <w:t>280-281</w:t>
      </w:r>
      <w:r w:rsidRPr="00CE0A20">
        <w:rPr>
          <w:rFonts w:ascii="Times New Roman" w:hAnsi="Times New Roman" w:cs="Times New Roman"/>
          <w:bCs/>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100"/>
        <w:contextualSpacing/>
        <w:jc w:val="both"/>
        <w:rPr>
          <w:rFonts w:ascii="Times New Roman" w:hAnsi="Times New Roman" w:cs="Times New Roman"/>
        </w:rPr>
      </w:pPr>
      <w:r w:rsidRPr="00CE0A20">
        <w:rPr>
          <w:rFonts w:ascii="Times New Roman" w:hAnsi="Times New Roman" w:cs="Times New Roman"/>
        </w:rPr>
        <w:t>Антонян ІМ, Березна ТВ. Зміни кровообігу у чоловіків на тлі метаболічного синдрому та явищ патоспермії. «Сучасні методи діагностики та лікування в урології, андрології та онкоурології»: Матеріали науково-практичної конференції з міжнародною участю. Дніпро, 2017.  //Урологія. 2017; 21( 2):  105-106</w:t>
      </w:r>
      <w:r w:rsidRPr="00CE0A20">
        <w:rPr>
          <w:rFonts w:ascii="Times New Roman" w:hAnsi="Times New Roman" w:cs="Times New Roman"/>
          <w:lang w:val="uk-UA"/>
        </w:rPr>
        <w:t xml:space="preserve"> (тези та доповідь)</w:t>
      </w:r>
    </w:p>
    <w:p w:rsidR="001C43D0" w:rsidRPr="00CE0A20" w:rsidRDefault="001C43D0" w:rsidP="00CF7496">
      <w:pPr>
        <w:pStyle w:val="a3"/>
        <w:numPr>
          <w:ilvl w:val="0"/>
          <w:numId w:val="37"/>
        </w:numPr>
        <w:spacing w:after="240"/>
        <w:contextualSpacing/>
        <w:jc w:val="both"/>
        <w:rPr>
          <w:rFonts w:ascii="Times New Roman" w:hAnsi="Times New Roman" w:cs="Times New Roman"/>
          <w:shd w:val="clear" w:color="auto" w:fill="FFFFFF"/>
          <w:lang w:val="uk-UA"/>
        </w:rPr>
      </w:pPr>
      <w:r w:rsidRPr="00CE0A20">
        <w:rPr>
          <w:rFonts w:ascii="Times New Roman" w:hAnsi="Times New Roman" w:cs="Times New Roman"/>
          <w:iCs/>
          <w:lang w:val="uk-UA"/>
        </w:rPr>
        <w:t>Антонян И.М., Лесовой В.Н.</w:t>
      </w:r>
      <w:r w:rsidRPr="00CE0A20">
        <w:rPr>
          <w:rFonts w:ascii="Times New Roman" w:hAnsi="Times New Roman" w:cs="Times New Roman"/>
          <w:i/>
          <w:iCs/>
          <w:lang w:val="uk-UA"/>
        </w:rPr>
        <w:t xml:space="preserve"> </w:t>
      </w:r>
      <w:r w:rsidRPr="00CE0A20">
        <w:rPr>
          <w:rFonts w:ascii="Times New Roman" w:hAnsi="Times New Roman" w:cs="Times New Roman"/>
          <w:lang w:val="uk-UA"/>
        </w:rPr>
        <w:t xml:space="preserve">Эффективность и безопасность использования клеток стромы костного мозга для коррекции андрогенного </w:t>
      </w:r>
      <w:r w:rsidRPr="00CE0A20">
        <w:rPr>
          <w:rFonts w:ascii="Times New Roman" w:hAnsi="Times New Roman" w:cs="Times New Roman"/>
        </w:rPr>
        <w:t>дефицита у больных сахарным диабетом // «Урологія, андрологія, нефрологія – 2017»: Матеріали ювілейної науково-практичної конференції / Під ред. В.М.Лісового, І.М.Антоняна та ін. – Харків, 2017. – С.  67-70</w:t>
      </w:r>
      <w:r w:rsidRPr="00CE0A20">
        <w:rPr>
          <w:rFonts w:ascii="Times New Roman" w:hAnsi="Times New Roman" w:cs="Times New Roman"/>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240"/>
        <w:contextualSpacing/>
        <w:jc w:val="both"/>
        <w:rPr>
          <w:rFonts w:ascii="Times New Roman" w:hAnsi="Times New Roman" w:cs="Times New Roman"/>
          <w:shd w:val="clear" w:color="auto" w:fill="FFFFFF"/>
          <w:lang w:val="uk-UA"/>
        </w:rPr>
      </w:pPr>
      <w:r w:rsidRPr="00CE0A20">
        <w:rPr>
          <w:rFonts w:ascii="Times New Roman" w:hAnsi="Times New Roman" w:cs="Times New Roman"/>
        </w:rPr>
        <w:t xml:space="preserve">Антонян И.М. Эффективность и безопасность комбинированной терапии андрогенного дефицита и эректильной дисфункции у больных сахарным диабетом  //«Урологія, андрологія, нефрологія – досягнення, проблеми, шляхи вирішення»: Матеріали науково-практичної конференції / Під ред. В.М.Лісового, І.М.Антоняна та ін. – Харків, 2018. – С. 103-108 </w:t>
      </w:r>
      <w:r w:rsidRPr="00CE0A20">
        <w:rPr>
          <w:rFonts w:ascii="Times New Roman" w:hAnsi="Times New Roman" w:cs="Times New Roman"/>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240"/>
        <w:contextualSpacing/>
        <w:jc w:val="both"/>
        <w:rPr>
          <w:rFonts w:ascii="Times New Roman" w:hAnsi="Times New Roman" w:cs="Times New Roman"/>
          <w:shd w:val="clear" w:color="auto" w:fill="FFFFFF"/>
          <w:lang w:val="uk-UA"/>
        </w:rPr>
      </w:pPr>
      <w:r w:rsidRPr="00CE0A20">
        <w:rPr>
          <w:rFonts w:ascii="Times New Roman" w:hAnsi="Times New Roman" w:cs="Times New Roman"/>
          <w:lang w:val="uk-UA"/>
        </w:rPr>
        <w:t>Антонян И.М., Мошель Ф.Г.  Уденафил как препарат выбора для лечения эректильной дисфункции у пациентов с неудачным опытом применения ИФДЕ-</w:t>
      </w:r>
      <w:r w:rsidRPr="00CE0A20">
        <w:rPr>
          <w:rFonts w:ascii="Times New Roman" w:hAnsi="Times New Roman" w:cs="Times New Roman"/>
          <w:caps/>
          <w:lang w:val="uk-UA"/>
        </w:rPr>
        <w:t xml:space="preserve">5 </w:t>
      </w:r>
      <w:r w:rsidRPr="00CE0A20">
        <w:rPr>
          <w:rFonts w:ascii="Times New Roman" w:hAnsi="Times New Roman" w:cs="Times New Roman"/>
        </w:rPr>
        <w:t xml:space="preserve">//«Урологія, андрологія, нефрологія – досягнення, проблеми, шляхи вирішення»: Матеріали науково-практичної конференції / Під ред. В.М.Лісового, І.М.Антоняна та ін. – Харків, 2018. – С. </w:t>
      </w:r>
      <w:r w:rsidRPr="00CE0A20">
        <w:rPr>
          <w:rFonts w:ascii="Times New Roman" w:hAnsi="Times New Roman" w:cs="Times New Roman"/>
          <w:lang w:val="uk-UA"/>
        </w:rPr>
        <w:t>108</w:t>
      </w:r>
      <w:r w:rsidRPr="00CE0A20">
        <w:rPr>
          <w:rFonts w:ascii="Times New Roman" w:hAnsi="Times New Roman" w:cs="Times New Roman"/>
        </w:rPr>
        <w:t>-1</w:t>
      </w:r>
      <w:r w:rsidRPr="00CE0A20">
        <w:rPr>
          <w:rFonts w:ascii="Times New Roman" w:hAnsi="Times New Roman" w:cs="Times New Roman"/>
          <w:lang w:val="uk-UA"/>
        </w:rPr>
        <w:t>12</w:t>
      </w:r>
      <w:r w:rsidRPr="00CE0A20">
        <w:rPr>
          <w:rFonts w:ascii="Times New Roman" w:hAnsi="Times New Roman" w:cs="Times New Roman"/>
        </w:rPr>
        <w:t xml:space="preserve"> </w:t>
      </w:r>
      <w:r w:rsidRPr="00CE0A20">
        <w:rPr>
          <w:rFonts w:ascii="Times New Roman" w:hAnsi="Times New Roman" w:cs="Times New Roman"/>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100"/>
        <w:contextualSpacing/>
        <w:jc w:val="both"/>
        <w:rPr>
          <w:rFonts w:ascii="Times New Roman" w:hAnsi="Times New Roman" w:cs="Times New Roman"/>
        </w:rPr>
      </w:pPr>
      <w:r w:rsidRPr="00CE0A20">
        <w:rPr>
          <w:rFonts w:ascii="Times New Roman" w:hAnsi="Times New Roman" w:cs="Times New Roman"/>
          <w:lang w:val="uk-UA"/>
        </w:rPr>
        <w:t xml:space="preserve">Антонян ИМ, Мошель ФГ. Ефективність використання уденафіла у пацієнтів з невдалим досвідом лікування еректильної дисфункції ІФДЕ»: Матеріали науково-практичної конференції з міжнародною участю. </w:t>
      </w:r>
      <w:r w:rsidRPr="00CE0A20">
        <w:rPr>
          <w:rFonts w:ascii="Times New Roman" w:hAnsi="Times New Roman" w:cs="Times New Roman"/>
        </w:rPr>
        <w:t>Дніпро, 2018. //Урологія. 2018; 86(3):  131-132</w:t>
      </w:r>
      <w:r w:rsidRPr="00CE0A20">
        <w:rPr>
          <w:rFonts w:ascii="Times New Roman" w:hAnsi="Times New Roman" w:cs="Times New Roman"/>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spacing w:after="240"/>
        <w:ind w:left="426"/>
        <w:jc w:val="both"/>
        <w:rPr>
          <w:rFonts w:ascii="Times New Roman" w:hAnsi="Times New Roman" w:cs="Times New Roman"/>
          <w:shd w:val="clear" w:color="auto" w:fill="FFFFFF"/>
          <w:lang w:val="uk-UA"/>
        </w:rPr>
      </w:pPr>
    </w:p>
    <w:p w:rsidR="001C43D0" w:rsidRPr="00CE0A20" w:rsidRDefault="001C43D0" w:rsidP="00CF7496">
      <w:pPr>
        <w:pStyle w:val="a3"/>
        <w:jc w:val="both"/>
        <w:rPr>
          <w:rFonts w:ascii="Times New Roman" w:hAnsi="Times New Roman" w:cs="Times New Roman"/>
          <w:b/>
          <w:lang w:val="uk-UA"/>
        </w:rPr>
      </w:pPr>
      <w:r w:rsidRPr="00CE0A20">
        <w:rPr>
          <w:rFonts w:ascii="Times New Roman" w:hAnsi="Times New Roman" w:cs="Times New Roman"/>
          <w:b/>
          <w:lang w:val="uk-UA"/>
        </w:rPr>
        <w:t>Праці, які додатково відображають наукові результати дисертації:</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Грищенко ВІ, Прокопюк ОС, Антонян ІМ, Лазуренко ВВ. Деклараційний патент на корисну модель  №3777 «Спосіб лікування еректильної дисфункції» Бюл. № 12 від 15.12.2004 </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Боровий ІА, Малюкін ЮВ, Семиноженко ВП, Щегельська ОА, Микулинський ЮЮ, Хвисюк ОМ, Дьомін ЮА, П’ятикоп ВО, Антонян ІМ. Деклараційний патент на корисну модель  №13724 «Спосіб одержання суправітально забарвлених клітин різних типів біологічних тканин» Бюл. № 4 від 17.04.2006 </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Мікулинський ЮЮ, Хвисюк ОМ, Забірник АС, Панібратцева СГ, Кульшин ВЕ, Омельченко ОА, Антонян ІМ. </w:t>
      </w:r>
      <w:r w:rsidRPr="00CE0A20">
        <w:rPr>
          <w:rFonts w:ascii="Times New Roman" w:eastAsia="Times New Roman" w:hAnsi="Times New Roman" w:cs="Times New Roman"/>
          <w:bCs/>
          <w:sz w:val="28"/>
          <w:szCs w:val="28"/>
        </w:rPr>
        <w:t xml:space="preserve">Деклараційний патент на корисну модель №48553  </w:t>
      </w:r>
      <w:r w:rsidRPr="00CE0A20">
        <w:rPr>
          <w:rFonts w:ascii="Times New Roman" w:eastAsia="Times New Roman" w:hAnsi="Times New Roman" w:cs="Times New Roman"/>
          <w:sz w:val="28"/>
          <w:szCs w:val="28"/>
        </w:rPr>
        <w:t xml:space="preserve">«Спосіб отримання клітин нервової тканини із мезенхімальних клітин тканини ссавців» Бюл.№ 6 від 25.03.10 р. </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Антонян ІМ, Лісовий ВМ, Мікулинський ЮЮ. </w:t>
      </w:r>
      <w:r w:rsidRPr="00CE0A20">
        <w:rPr>
          <w:rFonts w:ascii="Times New Roman" w:eastAsia="Times New Roman" w:hAnsi="Times New Roman" w:cs="Times New Roman"/>
          <w:bCs/>
          <w:sz w:val="28"/>
          <w:szCs w:val="28"/>
        </w:rPr>
        <w:t xml:space="preserve">Деклараційний патент на корисну модель №57337  </w:t>
      </w:r>
      <w:r w:rsidRPr="00CE0A20">
        <w:rPr>
          <w:rFonts w:ascii="Times New Roman" w:eastAsia="Times New Roman" w:hAnsi="Times New Roman" w:cs="Times New Roman"/>
          <w:sz w:val="28"/>
          <w:szCs w:val="28"/>
        </w:rPr>
        <w:t xml:space="preserve">«Спосіб моделювання чоловічого необоротного безпліддя у щурів» Бюл.№ 4 від 25.02.11 р. </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Антонян ІМ. </w:t>
      </w:r>
      <w:r w:rsidRPr="00CE0A20">
        <w:rPr>
          <w:rFonts w:ascii="Times New Roman" w:eastAsia="Times New Roman" w:hAnsi="Times New Roman" w:cs="Times New Roman"/>
          <w:bCs/>
          <w:sz w:val="28"/>
          <w:szCs w:val="28"/>
        </w:rPr>
        <w:t xml:space="preserve">Деклараційний патент на корисну модель №62911  </w:t>
      </w:r>
      <w:r w:rsidRPr="00CE0A20">
        <w:rPr>
          <w:rFonts w:ascii="Times New Roman" w:eastAsia="Times New Roman" w:hAnsi="Times New Roman" w:cs="Times New Roman"/>
          <w:sz w:val="28"/>
          <w:szCs w:val="28"/>
        </w:rPr>
        <w:t>«Спосіб лікування андрогенного дефіциту у щурів» Бюл.№ 18 від 26.09.2011.</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Антонян ІМ, Мікулінський ЮЮ, Омельченко ОА, Забірник АП, Панібратцева СГ. Технології трекінгу клітин строми кісткового мозку щурів при інтратестікулярній трансплантації: методичні рекомендації.  Харків, 2017. 17 с. </w:t>
      </w:r>
    </w:p>
    <w:p w:rsidR="001C43D0" w:rsidRPr="00CE0A20" w:rsidRDefault="001C43D0" w:rsidP="001C43D0">
      <w:pPr>
        <w:widowControl w:val="0"/>
        <w:spacing w:line="360" w:lineRule="auto"/>
        <w:jc w:val="center"/>
        <w:rPr>
          <w:rFonts w:ascii="Times New Roman" w:eastAsia="Times New Roman" w:hAnsi="Times New Roman" w:cs="Times New Roman"/>
          <w:b/>
          <w:bCs/>
          <w:color w:val="auto"/>
          <w:sz w:val="28"/>
          <w:szCs w:val="28"/>
          <w:lang w:val="uk-UA" w:eastAsia="en-US"/>
        </w:rPr>
      </w:pPr>
      <w:r w:rsidRPr="00CE0A20">
        <w:rPr>
          <w:rFonts w:ascii="Times New Roman" w:eastAsia="Times New Roman" w:hAnsi="Times New Roman" w:cs="Times New Roman"/>
          <w:b/>
          <w:bCs/>
          <w:color w:val="auto"/>
          <w:sz w:val="28"/>
          <w:szCs w:val="28"/>
          <w:lang w:eastAsia="en-US"/>
        </w:rPr>
        <w:t xml:space="preserve">ПЕРЕЛІК УМОВНИХ </w:t>
      </w:r>
      <w:r w:rsidR="00C32D6D" w:rsidRPr="00CE0A20">
        <w:rPr>
          <w:rFonts w:ascii="Times New Roman" w:eastAsia="Times New Roman" w:hAnsi="Times New Roman" w:cs="Times New Roman"/>
          <w:b/>
          <w:bCs/>
          <w:color w:val="auto"/>
          <w:sz w:val="28"/>
          <w:szCs w:val="28"/>
          <w:lang w:val="uk-UA" w:eastAsia="en-US"/>
        </w:rPr>
        <w:t>СКОРОЧЕНЬ</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АГ </w:t>
      </w:r>
      <w:r w:rsidRPr="00CE0A20">
        <w:rPr>
          <w:rFonts w:ascii="Times New Roman" w:hAnsi="Times New Roman" w:cs="Times New Roman"/>
          <w:color w:val="000000" w:themeColor="text1"/>
          <w:sz w:val="28"/>
          <w:szCs w:val="28"/>
          <w:lang w:val="uk-UA"/>
        </w:rPr>
        <w:tab/>
        <w:t xml:space="preserve">– артеріальна гіпертензія </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АІ</w:t>
      </w:r>
      <w:r w:rsidRPr="00CE0A20">
        <w:rPr>
          <w:rFonts w:ascii="Times New Roman" w:hAnsi="Times New Roman" w:cs="Times New Roman"/>
          <w:color w:val="000000" w:themeColor="text1"/>
          <w:sz w:val="28"/>
          <w:szCs w:val="28"/>
          <w:lang w:val="uk-UA"/>
        </w:rPr>
        <w:tab/>
        <w:t>– андрогенний індекс</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АЛТ </w:t>
      </w:r>
      <w:r w:rsidRPr="00CE0A20">
        <w:rPr>
          <w:rFonts w:ascii="Times New Roman" w:hAnsi="Times New Roman" w:cs="Times New Roman"/>
          <w:color w:val="000000" w:themeColor="text1"/>
          <w:sz w:val="28"/>
          <w:szCs w:val="28"/>
          <w:lang w:val="uk-UA"/>
        </w:rPr>
        <w:tab/>
        <w:t>– аланінова амінотрансфераза</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АОСЗ </w:t>
      </w:r>
      <w:r w:rsidRPr="00CE0A20">
        <w:rPr>
          <w:rFonts w:ascii="Times New Roman" w:hAnsi="Times New Roman" w:cs="Times New Roman"/>
          <w:color w:val="000000" w:themeColor="text1"/>
          <w:sz w:val="28"/>
          <w:szCs w:val="28"/>
          <w:lang w:val="uk-UA"/>
        </w:rPr>
        <w:tab/>
        <w:t>– антиоксидантна система захисту</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АСТ </w:t>
      </w:r>
      <w:r w:rsidRPr="00CE0A20">
        <w:rPr>
          <w:rFonts w:ascii="Times New Roman" w:hAnsi="Times New Roman" w:cs="Times New Roman"/>
          <w:color w:val="000000" w:themeColor="text1"/>
          <w:sz w:val="28"/>
          <w:szCs w:val="28"/>
          <w:lang w:val="uk-UA"/>
        </w:rPr>
        <w:tab/>
        <w:t>– аспарагінова амінотрансфераза</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АТ </w:t>
      </w:r>
      <w:r w:rsidRPr="00CE0A20">
        <w:rPr>
          <w:rFonts w:ascii="Times New Roman" w:hAnsi="Times New Roman" w:cs="Times New Roman"/>
          <w:color w:val="000000" w:themeColor="text1"/>
          <w:sz w:val="28"/>
          <w:szCs w:val="28"/>
          <w:lang w:val="uk-UA"/>
        </w:rPr>
        <w:tab/>
        <w:t xml:space="preserve">– артеріальний тиск </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ВАД</w:t>
      </w:r>
      <w:r w:rsidRPr="00CE0A20">
        <w:rPr>
          <w:rFonts w:ascii="Times New Roman" w:hAnsi="Times New Roman" w:cs="Times New Roman"/>
          <w:color w:val="000000" w:themeColor="text1"/>
          <w:sz w:val="28"/>
          <w:szCs w:val="28"/>
          <w:lang w:val="uk-UA"/>
        </w:rPr>
        <w:tab/>
        <w:t>– віковий андрогенний дефіцит</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ГЗСГ</w:t>
      </w:r>
      <w:r w:rsidRPr="00CE0A20">
        <w:rPr>
          <w:rFonts w:ascii="Times New Roman" w:hAnsi="Times New Roman" w:cs="Times New Roman"/>
          <w:color w:val="000000" w:themeColor="text1"/>
          <w:sz w:val="28"/>
          <w:szCs w:val="28"/>
          <w:lang w:val="uk-UA"/>
        </w:rPr>
        <w:tab/>
        <w:t>– гормон,  що зв’язує статеві гормони</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ГЗТ</w:t>
      </w:r>
      <w:r w:rsidRPr="00CE0A20">
        <w:rPr>
          <w:rFonts w:ascii="Times New Roman" w:hAnsi="Times New Roman" w:cs="Times New Roman"/>
          <w:color w:val="000000" w:themeColor="text1"/>
          <w:sz w:val="28"/>
          <w:szCs w:val="28"/>
          <w:lang w:val="uk-UA"/>
        </w:rPr>
        <w:tab/>
        <w:t>– гормон-замісна терапія</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ДІ</w:t>
      </w:r>
      <w:r w:rsidRPr="00CE0A20">
        <w:rPr>
          <w:rFonts w:ascii="Times New Roman" w:hAnsi="Times New Roman" w:cs="Times New Roman"/>
          <w:color w:val="000000" w:themeColor="text1"/>
          <w:sz w:val="28"/>
          <w:szCs w:val="28"/>
          <w:lang w:val="uk-UA"/>
        </w:rPr>
        <w:tab/>
        <w:t>– довірчий інтервал</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ЕАД</w:t>
      </w:r>
      <w:r w:rsidRPr="00CE0A20">
        <w:rPr>
          <w:rFonts w:ascii="Times New Roman" w:hAnsi="Times New Roman" w:cs="Times New Roman"/>
          <w:color w:val="000000" w:themeColor="text1"/>
          <w:sz w:val="28"/>
          <w:szCs w:val="28"/>
          <w:lang w:val="uk-UA"/>
        </w:rPr>
        <w:tab/>
        <w:t>– експериментальний андрогенний дефіцит</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ЕД</w:t>
      </w:r>
      <w:r w:rsidRPr="00CE0A20">
        <w:rPr>
          <w:rFonts w:ascii="Times New Roman" w:hAnsi="Times New Roman" w:cs="Times New Roman"/>
          <w:color w:val="000000" w:themeColor="text1"/>
          <w:sz w:val="28"/>
          <w:szCs w:val="28"/>
          <w:lang w:val="uk-UA"/>
        </w:rPr>
        <w:tab/>
        <w:t>– еректильна дисфункція</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ЗСЕ</w:t>
      </w:r>
      <w:r w:rsidRPr="00CE0A20">
        <w:rPr>
          <w:rFonts w:ascii="Times New Roman" w:hAnsi="Times New Roman" w:cs="Times New Roman"/>
          <w:color w:val="000000" w:themeColor="text1"/>
          <w:sz w:val="28"/>
          <w:szCs w:val="28"/>
          <w:lang w:val="uk-UA"/>
        </w:rPr>
        <w:tab/>
        <w:t>– злущений сперматогенний епітелій</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ЗХС </w:t>
      </w:r>
      <w:r w:rsidRPr="00CE0A20">
        <w:rPr>
          <w:rFonts w:ascii="Times New Roman" w:hAnsi="Times New Roman" w:cs="Times New Roman"/>
          <w:color w:val="000000" w:themeColor="text1"/>
          <w:sz w:val="28"/>
          <w:szCs w:val="28"/>
          <w:lang w:val="uk-UA"/>
        </w:rPr>
        <w:tab/>
        <w:t>– загальний холестерин</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ІМТ </w:t>
      </w:r>
      <w:r w:rsidRPr="00CE0A20">
        <w:rPr>
          <w:rFonts w:ascii="Times New Roman" w:hAnsi="Times New Roman" w:cs="Times New Roman"/>
          <w:color w:val="000000" w:themeColor="text1"/>
          <w:sz w:val="28"/>
          <w:szCs w:val="28"/>
          <w:lang w:val="uk-UA"/>
        </w:rPr>
        <w:tab/>
        <w:t xml:space="preserve">– індекс маси тіла </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ІМТ</w:t>
      </w:r>
      <w:r w:rsidRPr="00CE0A20">
        <w:rPr>
          <w:rFonts w:ascii="Times New Roman" w:hAnsi="Times New Roman" w:cs="Times New Roman"/>
          <w:color w:val="000000" w:themeColor="text1"/>
          <w:sz w:val="28"/>
          <w:szCs w:val="28"/>
          <w:lang w:val="uk-UA"/>
        </w:rPr>
        <w:tab/>
        <w:t>– індекс маси тіла</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ІС</w:t>
      </w:r>
      <w:r w:rsidRPr="00CE0A20">
        <w:rPr>
          <w:rFonts w:ascii="Times New Roman" w:hAnsi="Times New Roman" w:cs="Times New Roman"/>
          <w:color w:val="000000" w:themeColor="text1"/>
          <w:sz w:val="28"/>
          <w:szCs w:val="28"/>
          <w:lang w:val="uk-UA"/>
        </w:rPr>
        <w:tab/>
        <w:t>– індекс сперматогенезу</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ІФА</w:t>
      </w:r>
      <w:r w:rsidRPr="00CE0A20">
        <w:rPr>
          <w:rFonts w:ascii="Times New Roman" w:hAnsi="Times New Roman" w:cs="Times New Roman"/>
          <w:color w:val="000000" w:themeColor="text1"/>
          <w:sz w:val="28"/>
          <w:szCs w:val="28"/>
          <w:lang w:val="uk-UA"/>
        </w:rPr>
        <w:tab/>
        <w:t>– імуноферментний аналіз</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КЕ</w:t>
      </w:r>
      <w:r w:rsidRPr="00CE0A20">
        <w:rPr>
          <w:rFonts w:ascii="Times New Roman" w:hAnsi="Times New Roman" w:cs="Times New Roman"/>
          <w:color w:val="000000" w:themeColor="text1"/>
          <w:sz w:val="28"/>
          <w:szCs w:val="28"/>
          <w:lang w:val="uk-UA"/>
        </w:rPr>
        <w:tab/>
        <w:t>– копулятивна ефективність</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КЗК</w:t>
      </w:r>
      <w:r w:rsidRPr="00CE0A20">
        <w:rPr>
          <w:rFonts w:ascii="Times New Roman" w:hAnsi="Times New Roman" w:cs="Times New Roman"/>
          <w:color w:val="000000" w:themeColor="text1"/>
          <w:sz w:val="28"/>
          <w:szCs w:val="28"/>
          <w:lang w:val="uk-UA"/>
        </w:rPr>
        <w:tab/>
        <w:t>– кількість звивистих канальців</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КЗК-12СМ</w:t>
      </w:r>
      <w:r w:rsidRPr="00CE0A20">
        <w:rPr>
          <w:rFonts w:ascii="Times New Roman" w:hAnsi="Times New Roman" w:cs="Times New Roman"/>
          <w:color w:val="000000" w:themeColor="text1"/>
          <w:sz w:val="28"/>
          <w:szCs w:val="28"/>
          <w:lang w:val="uk-UA"/>
        </w:rPr>
        <w:tab/>
        <w:t>– кількість звивистих канальців зі сперматоцитами у метафазі 2-го поділу дозрівання</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КІ</w:t>
      </w:r>
      <w:r w:rsidRPr="00CE0A20">
        <w:rPr>
          <w:rFonts w:ascii="Times New Roman" w:hAnsi="Times New Roman" w:cs="Times New Roman"/>
          <w:color w:val="000000" w:themeColor="text1"/>
          <w:sz w:val="28"/>
          <w:szCs w:val="28"/>
          <w:lang w:val="uk-UA"/>
        </w:rPr>
        <w:tab/>
        <w:t>– кількість садок, що закінчується інтромісією</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КС</w:t>
      </w:r>
      <w:r w:rsidRPr="00CE0A20">
        <w:rPr>
          <w:rFonts w:ascii="Times New Roman" w:hAnsi="Times New Roman" w:cs="Times New Roman"/>
          <w:color w:val="000000" w:themeColor="text1"/>
          <w:sz w:val="28"/>
          <w:szCs w:val="28"/>
          <w:lang w:val="uk-UA"/>
        </w:rPr>
        <w:tab/>
        <w:t>– кількість садок</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КСКМ</w:t>
      </w:r>
      <w:r w:rsidRPr="00CE0A20">
        <w:rPr>
          <w:rFonts w:ascii="Times New Roman" w:hAnsi="Times New Roman" w:cs="Times New Roman"/>
          <w:color w:val="000000" w:themeColor="text1"/>
          <w:sz w:val="28"/>
          <w:szCs w:val="28"/>
          <w:lang w:val="uk-UA"/>
        </w:rPr>
        <w:tab/>
        <w:t>– клітини строми кісткового мозку</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КСН</w:t>
      </w:r>
      <w:r w:rsidRPr="00CE0A20">
        <w:rPr>
          <w:rFonts w:ascii="Times New Roman" w:hAnsi="Times New Roman" w:cs="Times New Roman"/>
          <w:color w:val="000000" w:themeColor="text1"/>
          <w:sz w:val="28"/>
          <w:szCs w:val="28"/>
          <w:lang w:val="uk-UA"/>
        </w:rPr>
        <w:tab/>
        <w:t>– кількість нормальних сперматогоній</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ЛГ</w:t>
      </w:r>
      <w:r w:rsidRPr="00CE0A20">
        <w:rPr>
          <w:rFonts w:ascii="Times New Roman" w:hAnsi="Times New Roman" w:cs="Times New Roman"/>
          <w:color w:val="000000" w:themeColor="text1"/>
          <w:sz w:val="28"/>
          <w:szCs w:val="28"/>
          <w:lang w:val="uk-UA"/>
        </w:rPr>
        <w:tab/>
        <w:t>– люте</w:t>
      </w:r>
      <w:r w:rsidR="000F6151" w:rsidRPr="00CE0A20">
        <w:rPr>
          <w:rFonts w:ascii="Times New Roman" w:hAnsi="Times New Roman" w:cs="Times New Roman"/>
          <w:color w:val="000000" w:themeColor="text1"/>
          <w:sz w:val="28"/>
          <w:szCs w:val="28"/>
          <w:lang w:val="uk-UA"/>
        </w:rPr>
        <w:t>ї</w:t>
      </w:r>
      <w:r w:rsidRPr="00CE0A20">
        <w:rPr>
          <w:rFonts w:ascii="Times New Roman" w:hAnsi="Times New Roman" w:cs="Times New Roman"/>
          <w:color w:val="000000" w:themeColor="text1"/>
          <w:sz w:val="28"/>
          <w:szCs w:val="28"/>
          <w:lang w:val="uk-UA"/>
        </w:rPr>
        <w:t>низуючий гормон</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ЛПЕ</w:t>
      </w:r>
      <w:r w:rsidRPr="00CE0A20">
        <w:rPr>
          <w:rFonts w:ascii="Times New Roman" w:hAnsi="Times New Roman" w:cs="Times New Roman"/>
          <w:color w:val="000000" w:themeColor="text1"/>
          <w:sz w:val="28"/>
          <w:szCs w:val="28"/>
          <w:lang w:val="uk-UA"/>
        </w:rPr>
        <w:tab/>
        <w:t>– тривалість латентного періоду еякуляції</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МКІ</w:t>
      </w:r>
      <w:r w:rsidRPr="00CE0A20">
        <w:rPr>
          <w:rFonts w:ascii="Times New Roman" w:hAnsi="Times New Roman" w:cs="Times New Roman"/>
          <w:color w:val="000000" w:themeColor="text1"/>
          <w:sz w:val="28"/>
          <w:szCs w:val="28"/>
          <w:lang w:val="uk-UA"/>
        </w:rPr>
        <w:tab/>
        <w:t>– міжкопулятивний інтервал</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ПОЛ</w:t>
      </w:r>
      <w:r w:rsidRPr="00CE0A20">
        <w:rPr>
          <w:rFonts w:ascii="Times New Roman" w:hAnsi="Times New Roman" w:cs="Times New Roman"/>
          <w:color w:val="000000" w:themeColor="text1"/>
          <w:sz w:val="28"/>
          <w:szCs w:val="28"/>
          <w:lang w:val="uk-UA"/>
        </w:rPr>
        <w:tab/>
        <w:t>– перекисне окислення ліпідів</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ПРЛ</w:t>
      </w:r>
      <w:r w:rsidRPr="00CE0A20">
        <w:rPr>
          <w:rFonts w:ascii="Times New Roman" w:hAnsi="Times New Roman" w:cs="Times New Roman"/>
          <w:color w:val="000000" w:themeColor="text1"/>
          <w:sz w:val="28"/>
          <w:szCs w:val="28"/>
          <w:lang w:val="uk-UA"/>
        </w:rPr>
        <w:tab/>
        <w:t>– пролактин</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ПСА</w:t>
      </w:r>
      <w:r w:rsidRPr="00CE0A20">
        <w:rPr>
          <w:rFonts w:ascii="Times New Roman" w:hAnsi="Times New Roman" w:cs="Times New Roman"/>
          <w:color w:val="000000" w:themeColor="text1"/>
          <w:sz w:val="28"/>
          <w:szCs w:val="28"/>
          <w:lang w:val="uk-UA"/>
        </w:rPr>
        <w:tab/>
        <w:t>– простатичний антиген</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СОД</w:t>
      </w:r>
      <w:r w:rsidRPr="00CE0A20">
        <w:rPr>
          <w:rFonts w:ascii="Times New Roman" w:hAnsi="Times New Roman" w:cs="Times New Roman"/>
          <w:color w:val="000000" w:themeColor="text1"/>
          <w:sz w:val="28"/>
          <w:szCs w:val="28"/>
          <w:lang w:val="uk-UA"/>
        </w:rPr>
        <w:tab/>
        <w:t>– супероксиддисмутаза</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Т/Е</w:t>
      </w:r>
      <w:r w:rsidRPr="00CE0A20">
        <w:rPr>
          <w:rFonts w:ascii="Times New Roman" w:hAnsi="Times New Roman" w:cs="Times New Roman"/>
          <w:color w:val="000000" w:themeColor="text1"/>
          <w:sz w:val="28"/>
          <w:szCs w:val="28"/>
          <w:lang w:val="uk-UA"/>
        </w:rPr>
        <w:tab/>
        <w:t>– відношення рівня тестотерону до рівня естрадіолу</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ФСГ</w:t>
      </w:r>
      <w:r w:rsidRPr="00CE0A20">
        <w:rPr>
          <w:rFonts w:ascii="Times New Roman" w:hAnsi="Times New Roman" w:cs="Times New Roman"/>
          <w:color w:val="000000" w:themeColor="text1"/>
          <w:sz w:val="28"/>
          <w:szCs w:val="28"/>
          <w:lang w:val="uk-UA"/>
        </w:rPr>
        <w:tab/>
        <w:t>– фолікулінстимулюючий гормон</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ХС ЛПВЩ </w:t>
      </w:r>
      <w:r w:rsidRPr="00CE0A20">
        <w:rPr>
          <w:rFonts w:ascii="Times New Roman" w:hAnsi="Times New Roman" w:cs="Times New Roman"/>
          <w:color w:val="000000" w:themeColor="text1"/>
          <w:sz w:val="28"/>
          <w:szCs w:val="28"/>
          <w:lang w:val="uk-UA"/>
        </w:rPr>
        <w:tab/>
        <w:t>– холестерин ліпопротеїдів високої щільності</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ХС ЛПНЩ </w:t>
      </w:r>
      <w:r w:rsidRPr="00CE0A20">
        <w:rPr>
          <w:rFonts w:ascii="Times New Roman" w:hAnsi="Times New Roman" w:cs="Times New Roman"/>
          <w:color w:val="000000" w:themeColor="text1"/>
          <w:sz w:val="28"/>
          <w:szCs w:val="28"/>
          <w:lang w:val="uk-UA"/>
        </w:rPr>
        <w:tab/>
        <w:t xml:space="preserve">– холестерин ліпопротеїдів низької щільності </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ЦД</w:t>
      </w:r>
      <w:r w:rsidRPr="00CE0A20">
        <w:rPr>
          <w:rFonts w:ascii="Times New Roman" w:hAnsi="Times New Roman" w:cs="Times New Roman"/>
          <w:color w:val="000000" w:themeColor="text1"/>
          <w:sz w:val="28"/>
          <w:szCs w:val="28"/>
          <w:lang w:val="uk-UA"/>
        </w:rPr>
        <w:tab/>
        <w:t>– цукровий діабет</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vertAlign w:val="subscript"/>
          <w:lang w:val="uk-UA"/>
        </w:rPr>
        <w:tab/>
      </w:r>
      <w:r w:rsidRPr="00CE0A20">
        <w:rPr>
          <w:rFonts w:ascii="Times New Roman" w:hAnsi="Times New Roman" w:cs="Times New Roman"/>
          <w:color w:val="000000" w:themeColor="text1"/>
          <w:sz w:val="28"/>
          <w:szCs w:val="28"/>
          <w:lang w:val="uk-UA"/>
        </w:rPr>
        <w:t>– хлорид кадмію</w:t>
      </w:r>
    </w:p>
    <w:p w:rsidR="001C43D0" w:rsidRPr="00CE0A20" w:rsidRDefault="001C43D0" w:rsidP="00B62E59">
      <w:pPr>
        <w:tabs>
          <w:tab w:val="left" w:pos="1843"/>
        </w:tabs>
        <w:ind w:left="2127" w:hanging="2127"/>
        <w:rPr>
          <w:rFonts w:ascii="Times New Roman" w:hAnsi="Times New Roman" w:cs="Times New Roman"/>
          <w:i/>
          <w:color w:val="000000" w:themeColor="text1"/>
          <w:sz w:val="28"/>
          <w:szCs w:val="28"/>
          <w:lang w:val="uk-UA"/>
        </w:rPr>
      </w:pPr>
      <w:r w:rsidRPr="00CE0A20">
        <w:rPr>
          <w:rFonts w:ascii="Times New Roman" w:hAnsi="Times New Roman" w:cs="Times New Roman"/>
          <w:color w:val="000000" w:themeColor="text1"/>
          <w:sz w:val="28"/>
          <w:szCs w:val="28"/>
          <w:lang w:val="uk-UA"/>
        </w:rPr>
        <w:t>GFP</w:t>
      </w: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i/>
          <w:color w:val="000000" w:themeColor="text1"/>
          <w:sz w:val="28"/>
          <w:szCs w:val="28"/>
          <w:lang w:val="uk-UA"/>
        </w:rPr>
        <w:t xml:space="preserve">– </w:t>
      </w:r>
      <w:r w:rsidRPr="00CE0A20">
        <w:rPr>
          <w:rStyle w:val="a8"/>
          <w:rFonts w:ascii="Times New Roman" w:hAnsi="Times New Roman" w:cs="Times New Roman"/>
          <w:i w:val="0"/>
          <w:color w:val="000000" w:themeColor="text1"/>
          <w:sz w:val="28"/>
          <w:szCs w:val="28"/>
          <w:lang w:val="uk-UA"/>
        </w:rPr>
        <w:t>green fluorescent protein (зелений флуоресцентний білок)</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HbA1c</w:t>
      </w:r>
      <w:r w:rsidRPr="00CE0A20">
        <w:rPr>
          <w:rFonts w:ascii="Times New Roman" w:hAnsi="Times New Roman" w:cs="Times New Roman"/>
          <w:color w:val="000000" w:themeColor="text1"/>
          <w:sz w:val="28"/>
          <w:szCs w:val="28"/>
          <w:lang w:val="uk-UA"/>
        </w:rPr>
        <w:tab/>
        <w:t>– гліколізований гемоглобін</w:t>
      </w:r>
    </w:p>
    <w:p w:rsidR="001C43D0" w:rsidRPr="00CE0A20" w:rsidRDefault="001C43D0" w:rsidP="00B62E59">
      <w:pPr>
        <w:tabs>
          <w:tab w:val="left" w:pos="1843"/>
        </w:tabs>
        <w:ind w:left="2127" w:hanging="2127"/>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M±SD</w:t>
      </w:r>
      <w:r w:rsidRPr="00CE0A20">
        <w:rPr>
          <w:rFonts w:ascii="Times New Roman" w:hAnsi="Times New Roman" w:cs="Times New Roman"/>
          <w:color w:val="000000" w:themeColor="text1"/>
          <w:sz w:val="28"/>
          <w:szCs w:val="28"/>
          <w:lang w:val="uk-UA"/>
        </w:rPr>
        <w:tab/>
        <w:t>– середнє та стандартне відхилення середнього</w:t>
      </w:r>
    </w:p>
    <w:p w:rsidR="007D08ED" w:rsidRPr="00CE0A20" w:rsidRDefault="007D08ED">
      <w:pPr>
        <w:spacing w:after="200" w:line="276" w:lineRule="auto"/>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br w:type="page"/>
      </w:r>
    </w:p>
    <w:p w:rsidR="00EB6EBC" w:rsidRPr="00CE0A20" w:rsidRDefault="00EB6EBC" w:rsidP="00EB6EBC">
      <w:pPr>
        <w:spacing w:line="360" w:lineRule="auto"/>
        <w:jc w:val="center"/>
        <w:rPr>
          <w:rFonts w:ascii="Times New Roman" w:hAnsi="Times New Roman" w:cs="Times New Roman"/>
          <w:b/>
          <w:color w:val="000000" w:themeColor="text1"/>
          <w:kern w:val="1"/>
          <w:sz w:val="28"/>
          <w:szCs w:val="28"/>
          <w:lang w:val="uk-UA"/>
        </w:rPr>
      </w:pPr>
      <w:r w:rsidRPr="00CE0A20">
        <w:rPr>
          <w:rFonts w:ascii="Times New Roman" w:hAnsi="Times New Roman" w:cs="Times New Roman"/>
          <w:b/>
          <w:color w:val="000000" w:themeColor="text1"/>
          <w:sz w:val="28"/>
          <w:szCs w:val="28"/>
          <w:lang w:val="uk-UA"/>
        </w:rPr>
        <w:t>З</w:t>
      </w:r>
      <w:r w:rsidRPr="00CE0A20">
        <w:rPr>
          <w:rFonts w:ascii="Times New Roman" w:hAnsi="Times New Roman" w:cs="Times New Roman"/>
          <w:b/>
          <w:color w:val="000000" w:themeColor="text1"/>
          <w:kern w:val="1"/>
          <w:sz w:val="28"/>
          <w:szCs w:val="28"/>
          <w:lang w:val="uk-UA"/>
        </w:rPr>
        <w:t>МІСТ</w:t>
      </w:r>
    </w:p>
    <w:tbl>
      <w:tblPr>
        <w:tblW w:w="9871" w:type="dxa"/>
        <w:tblLook w:val="01E0" w:firstRow="1" w:lastRow="1" w:firstColumn="1" w:lastColumn="1" w:noHBand="0" w:noVBand="0"/>
      </w:tblPr>
      <w:tblGrid>
        <w:gridCol w:w="1526"/>
        <w:gridCol w:w="7513"/>
        <w:gridCol w:w="812"/>
        <w:gridCol w:w="20"/>
      </w:tblGrid>
      <w:tr w:rsidR="0025706B" w:rsidRPr="00CE0A20" w:rsidTr="0025706B">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rPr>
            </w:pPr>
          </w:p>
        </w:tc>
        <w:tc>
          <w:tcPr>
            <w:tcW w:w="832"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rPr>
            </w:pPr>
            <w:r w:rsidRPr="00CE0A20">
              <w:rPr>
                <w:rFonts w:ascii="Times New Roman" w:hAnsi="Times New Roman" w:cs="Times New Roman"/>
                <w:sz w:val="28"/>
                <w:szCs w:val="28"/>
              </w:rPr>
              <w:t>стор.</w:t>
            </w:r>
          </w:p>
        </w:tc>
      </w:tr>
      <w:tr w:rsidR="0025706B" w:rsidRPr="00CE0A20" w:rsidTr="0025706B">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lang w:val="en-US"/>
              </w:rPr>
            </w:pPr>
            <w:r w:rsidRPr="00CE0A20">
              <w:rPr>
                <w:rFonts w:ascii="Times New Roman" w:hAnsi="Times New Roman" w:cs="Times New Roman"/>
                <w:sz w:val="28"/>
                <w:szCs w:val="28"/>
              </w:rPr>
              <w:t>АНОТАЦІЯ......................................................................................................</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5706B" w:rsidRPr="00CE0A20" w:rsidTr="0025706B">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rPr>
            </w:pPr>
            <w:r w:rsidRPr="00CE0A20">
              <w:rPr>
                <w:rFonts w:ascii="Times New Roman" w:hAnsi="Times New Roman" w:cs="Times New Roman"/>
                <w:sz w:val="28"/>
                <w:szCs w:val="28"/>
              </w:rPr>
              <w:t>СПИСОК ПРАЦЬ, ОПУБЛІКОВАНИХ ЗА ТЕМОЮ ДИСЕРТАЦІЇ.......</w:t>
            </w:r>
            <w:r w:rsidR="007050C0" w:rsidRPr="00CE0A20">
              <w:rPr>
                <w:rFonts w:ascii="Times New Roman" w:hAnsi="Times New Roman" w:cs="Times New Roman"/>
                <w:sz w:val="28"/>
                <w:szCs w:val="28"/>
              </w:rPr>
              <w:t>..</w:t>
            </w:r>
            <w:r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25706B" w:rsidRPr="00CE0A20" w:rsidTr="0025706B">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lang w:val="en-US"/>
              </w:rPr>
            </w:pPr>
            <w:r w:rsidRPr="00CE0A20">
              <w:rPr>
                <w:rFonts w:ascii="Times New Roman" w:hAnsi="Times New Roman" w:cs="Times New Roman"/>
                <w:sz w:val="28"/>
                <w:szCs w:val="28"/>
              </w:rPr>
              <w:t>ПЕРЕЛІК УМОВНИХ СКОРОЧЕНЬ...........................................................</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25706B" w:rsidRPr="00CE0A20" w:rsidTr="0025706B">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rPr>
            </w:pPr>
            <w:r w:rsidRPr="00CE0A20">
              <w:rPr>
                <w:rFonts w:ascii="Times New Roman" w:hAnsi="Times New Roman" w:cs="Times New Roman"/>
                <w:sz w:val="28"/>
                <w:szCs w:val="28"/>
              </w:rPr>
              <w:t>ВСТУП...........................................................................................................</w:t>
            </w:r>
            <w:r w:rsidR="007050C0" w:rsidRPr="00CE0A20">
              <w:rPr>
                <w:rFonts w:ascii="Times New Roman" w:hAnsi="Times New Roman" w:cs="Times New Roman"/>
                <w:sz w:val="28"/>
                <w:szCs w:val="28"/>
                <w:lang w:val="en-US"/>
              </w:rPr>
              <w:t>..</w:t>
            </w:r>
            <w:r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Розділ 1</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lang w:val="uk-UA"/>
              </w:rPr>
            </w:pPr>
            <w:r w:rsidRPr="00CE0A20">
              <w:rPr>
                <w:rFonts w:ascii="Times New Roman" w:hAnsi="Times New Roman" w:cs="Times New Roman"/>
                <w:sz w:val="28"/>
                <w:szCs w:val="28"/>
              </w:rPr>
              <w:t>ЕРЕКТИЛЬНА ДИСФУНКЦІЯ ТА ГІПОГОНАДИЗМ: СУЧАСНІ АСПЕКТИ ПАТОГЕНЕЗУ, ДІАГНОСТИКИ ТА ЛІКУВАННЯ (огляд літератури)..................................</w:t>
            </w:r>
            <w:r w:rsidRPr="00CE0A20">
              <w:rPr>
                <w:rFonts w:ascii="Times New Roman" w:hAnsi="Times New Roman" w:cs="Times New Roman"/>
                <w:sz w:val="28"/>
                <w:szCs w:val="28"/>
                <w:lang w:val="uk-UA"/>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1.1</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Медико-соціальне значення тестостерон-дефіцитних станів</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1.2</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Патогенетичні механізми еректильної дисфункції та дефіциту тестостерону</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1.3</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Патогенетичне лікування еректильної дисфункції та дефіциту тестостерону</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61</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1.4</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Перспективи регенераційної медицини в лікуванні дефіциту тестостерон</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69</w:t>
            </w:r>
          </w:p>
        </w:tc>
      </w:tr>
      <w:tr w:rsidR="0025706B" w:rsidRPr="00CE0A20" w:rsidTr="0025706B">
        <w:trPr>
          <w:trHeight w:val="372"/>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lang w:val="uk-UA"/>
              </w:rPr>
            </w:pPr>
            <w:r w:rsidRPr="00CE0A20">
              <w:rPr>
                <w:rFonts w:ascii="Times New Roman" w:hAnsi="Times New Roman" w:cs="Times New Roman"/>
                <w:sz w:val="28"/>
                <w:szCs w:val="28"/>
              </w:rPr>
              <w:t>Розділ 2</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lang w:val="en-US"/>
              </w:rPr>
            </w:pPr>
            <w:r w:rsidRPr="00CE0A20">
              <w:rPr>
                <w:rFonts w:ascii="Times New Roman" w:hAnsi="Times New Roman" w:cs="Times New Roman"/>
                <w:sz w:val="28"/>
                <w:szCs w:val="28"/>
              </w:rPr>
              <w:t xml:space="preserve">МАТЕРІАЛ І МЕТОДИ ДОСЛІДЖЕННЯ </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2.1</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lang w:val="en-US"/>
              </w:rPr>
            </w:pPr>
            <w:r w:rsidRPr="00CE0A20">
              <w:rPr>
                <w:rFonts w:ascii="Times New Roman" w:hAnsi="Times New Roman" w:cs="Times New Roman"/>
                <w:sz w:val="28"/>
                <w:szCs w:val="28"/>
              </w:rPr>
              <w:t>Матері</w:t>
            </w:r>
            <w:r w:rsidR="007050C0" w:rsidRPr="00CE0A20">
              <w:rPr>
                <w:rFonts w:ascii="Times New Roman" w:hAnsi="Times New Roman" w:cs="Times New Roman"/>
                <w:sz w:val="28"/>
                <w:szCs w:val="28"/>
              </w:rPr>
              <w:t>ал експериментальних досліджень</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79</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2.2</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lang w:val="en-US"/>
              </w:rPr>
            </w:pPr>
            <w:r w:rsidRPr="00CE0A20">
              <w:rPr>
                <w:rFonts w:ascii="Times New Roman" w:hAnsi="Times New Roman" w:cs="Times New Roman"/>
                <w:sz w:val="28"/>
                <w:szCs w:val="28"/>
              </w:rPr>
              <w:t>Метод</w:t>
            </w:r>
            <w:r w:rsidR="007050C0" w:rsidRPr="00CE0A20">
              <w:rPr>
                <w:rFonts w:ascii="Times New Roman" w:hAnsi="Times New Roman" w:cs="Times New Roman"/>
                <w:sz w:val="28"/>
                <w:szCs w:val="28"/>
              </w:rPr>
              <w:t>и  експериментальних досліджень</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 xml:space="preserve">2.2.1    </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lang w:val="en-US"/>
              </w:rPr>
            </w:pPr>
            <w:r w:rsidRPr="00CE0A20">
              <w:rPr>
                <w:rFonts w:ascii="Times New Roman" w:hAnsi="Times New Roman" w:cs="Times New Roman"/>
                <w:sz w:val="28"/>
                <w:szCs w:val="28"/>
              </w:rPr>
              <w:t>Гістологічні дослідження</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82</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2.2.2</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lang w:val="en-US"/>
              </w:rPr>
            </w:pPr>
            <w:r w:rsidRPr="00CE0A20">
              <w:rPr>
                <w:rFonts w:ascii="Times New Roman" w:hAnsi="Times New Roman" w:cs="Times New Roman"/>
                <w:sz w:val="28"/>
                <w:szCs w:val="28"/>
              </w:rPr>
              <w:t>Біохімічні дослідження</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84</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2.3</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Загальна клінічна характеристика обстежених хворих</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85</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2.4</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lang w:val="en-US"/>
              </w:rPr>
            </w:pPr>
            <w:r w:rsidRPr="00CE0A20">
              <w:rPr>
                <w:rFonts w:ascii="Times New Roman" w:hAnsi="Times New Roman" w:cs="Times New Roman"/>
                <w:sz w:val="28"/>
                <w:szCs w:val="28"/>
              </w:rPr>
              <w:t>Методи клінічних досліджень</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86</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2.5</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Методика отримання культури клітин строми кісткового мозку та їх трансплантації</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2.6</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Техніка аутотрансплантації КСКМ хворим, залученим у дослідження</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89</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2.7</w:t>
            </w:r>
          </w:p>
        </w:tc>
        <w:tc>
          <w:tcPr>
            <w:tcW w:w="7513" w:type="dxa"/>
            <w:shd w:val="clear" w:color="000000" w:fill="auto"/>
            <w:noWrap/>
          </w:tcPr>
          <w:p w:rsidR="0025706B" w:rsidRPr="00795871" w:rsidRDefault="0025706B" w:rsidP="00795871">
            <w:pPr>
              <w:spacing w:line="360" w:lineRule="auto"/>
              <w:ind w:right="-108"/>
              <w:rPr>
                <w:rFonts w:ascii="Times New Roman" w:hAnsi="Times New Roman" w:cs="Times New Roman"/>
                <w:sz w:val="28"/>
                <w:szCs w:val="28"/>
                <w:lang w:val="uk-UA"/>
              </w:rPr>
            </w:pPr>
            <w:r w:rsidRPr="00CE0A20">
              <w:rPr>
                <w:rFonts w:ascii="Times New Roman" w:hAnsi="Times New Roman" w:cs="Times New Roman"/>
                <w:sz w:val="28"/>
                <w:szCs w:val="28"/>
              </w:rPr>
              <w:t>Методика отримання культури КСКМ, що експресують зелений флюоресцентний білок GFP</w:t>
            </w:r>
            <w:r w:rsidR="007050C0" w:rsidRPr="00CE0A20">
              <w:rPr>
                <w:rFonts w:ascii="Times New Roman" w:hAnsi="Times New Roman" w:cs="Times New Roman"/>
                <w:sz w:val="28"/>
                <w:szCs w:val="28"/>
              </w:rPr>
              <w:t>...................</w:t>
            </w:r>
            <w:r w:rsidR="00795871">
              <w:rPr>
                <w:rFonts w:ascii="Times New Roman" w:hAnsi="Times New Roman" w:cs="Times New Roman"/>
                <w:sz w:val="28"/>
                <w:szCs w:val="28"/>
                <w:lang w:val="uk-UA"/>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90</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2.8</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Методика флюоресцентної мікроскопії</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93</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2.9</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lang w:val="en-US"/>
              </w:rPr>
            </w:pPr>
            <w:r w:rsidRPr="00CE0A20">
              <w:rPr>
                <w:rFonts w:ascii="Times New Roman" w:hAnsi="Times New Roman" w:cs="Times New Roman"/>
                <w:sz w:val="28"/>
                <w:szCs w:val="28"/>
              </w:rPr>
              <w:t>Методи статистичної обробки даних</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95</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Розділ 3</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РОЗРОБЛЕННЯ ЕКСПЕРИМЕНТАЛЬНОЇ МОДЕЛІ СТІЙКОГО ВТОРИННОГО АНДРОГЕННОГО ДЕФІЦИТУ</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96</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3.1</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lang w:val="en-US"/>
              </w:rPr>
            </w:pPr>
            <w:r w:rsidRPr="00CE0A20">
              <w:rPr>
                <w:rFonts w:ascii="Times New Roman" w:hAnsi="Times New Roman" w:cs="Times New Roman"/>
                <w:sz w:val="28"/>
                <w:szCs w:val="28"/>
              </w:rPr>
              <w:t xml:space="preserve">Загальнотоксична дія </w:t>
            </w:r>
            <w:r w:rsidR="000F6151" w:rsidRPr="00CE0A20">
              <w:rPr>
                <w:rFonts w:ascii="Times New Roman" w:hAnsi="Times New Roman" w:cs="Times New Roman"/>
                <w:color w:val="222222"/>
                <w:sz w:val="28"/>
                <w:szCs w:val="28"/>
                <w:lang w:val="uk-UA"/>
              </w:rPr>
              <w:t>CdCl</w:t>
            </w:r>
            <w:r w:rsidR="000F6151" w:rsidRPr="00CE0A20">
              <w:rPr>
                <w:rFonts w:ascii="Times New Roman" w:hAnsi="Times New Roman" w:cs="Times New Roman"/>
                <w:color w:val="222222"/>
                <w:sz w:val="28"/>
                <w:szCs w:val="28"/>
                <w:vertAlign w:val="subscript"/>
                <w:lang w:val="uk-UA"/>
              </w:rPr>
              <w:t>2</w:t>
            </w:r>
            <w:r w:rsidR="007050C0" w:rsidRPr="00CE0A20">
              <w:rPr>
                <w:rFonts w:ascii="Times New Roman" w:hAnsi="Times New Roman" w:cs="Times New Roman"/>
                <w:sz w:val="28"/>
                <w:szCs w:val="28"/>
                <w:lang w:val="en-US"/>
              </w:rPr>
              <w:t>.................................</w:t>
            </w:r>
            <w:r w:rsidR="000F6151" w:rsidRPr="00CE0A20">
              <w:rPr>
                <w:rFonts w:ascii="Times New Roman" w:hAnsi="Times New Roman" w:cs="Times New Roman"/>
                <w:sz w:val="28"/>
                <w:szCs w:val="28"/>
                <w:lang w:val="uk-UA"/>
              </w:rPr>
              <w:t>..................</w:t>
            </w:r>
            <w:r w:rsidR="007050C0" w:rsidRPr="00CE0A20">
              <w:rPr>
                <w:rFonts w:ascii="Times New Roman" w:hAnsi="Times New Roman" w:cs="Times New Roman"/>
                <w:sz w:val="28"/>
                <w:szCs w:val="28"/>
                <w:lang w:val="en-US"/>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96</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3.2</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Динаміка показників гормонального статусу експеримента</w:t>
            </w:r>
            <w:r w:rsidR="007050C0" w:rsidRPr="00CE0A20">
              <w:rPr>
                <w:rFonts w:ascii="Times New Roman" w:hAnsi="Times New Roman" w:cs="Times New Roman"/>
                <w:sz w:val="28"/>
                <w:szCs w:val="28"/>
              </w:rPr>
              <w:t>льних тварин після введення CdC</w:t>
            </w:r>
            <w:r w:rsidR="007050C0" w:rsidRPr="00CE0A20">
              <w:rPr>
                <w:rFonts w:ascii="Times New Roman" w:hAnsi="Times New Roman" w:cs="Times New Roman"/>
                <w:sz w:val="28"/>
                <w:szCs w:val="28"/>
                <w:lang w:val="en-US"/>
              </w:rPr>
              <w:t>l</w:t>
            </w:r>
            <w:r w:rsidR="007050C0" w:rsidRPr="00CE0A20">
              <w:rPr>
                <w:rFonts w:ascii="Times New Roman" w:hAnsi="Times New Roman" w:cs="Times New Roman"/>
                <w:sz w:val="28"/>
                <w:szCs w:val="28"/>
                <w:vertAlign w:val="subscript"/>
              </w:rPr>
              <w:t>2</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103</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3.3</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Динаміка ваги статевих органів та гіпофіза експериме</w:t>
            </w:r>
            <w:r w:rsidR="007050C0" w:rsidRPr="00CE0A20">
              <w:rPr>
                <w:rFonts w:ascii="Times New Roman" w:hAnsi="Times New Roman" w:cs="Times New Roman"/>
                <w:sz w:val="28"/>
                <w:szCs w:val="28"/>
              </w:rPr>
              <w:t>нтальних тварин під впливом CdC</w:t>
            </w:r>
            <w:r w:rsidR="007050C0" w:rsidRPr="00CE0A20">
              <w:rPr>
                <w:rFonts w:ascii="Times New Roman" w:hAnsi="Times New Roman" w:cs="Times New Roman"/>
                <w:sz w:val="28"/>
                <w:szCs w:val="28"/>
                <w:lang w:val="en-US"/>
              </w:rPr>
              <w:t>l</w:t>
            </w:r>
            <w:r w:rsidRPr="00CE0A20">
              <w:rPr>
                <w:rFonts w:ascii="Times New Roman" w:hAnsi="Times New Roman" w:cs="Times New Roman"/>
                <w:sz w:val="28"/>
                <w:szCs w:val="28"/>
                <w:vertAlign w:val="subscript"/>
              </w:rPr>
              <w:t>2</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113</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3.4</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Морфоструктура яєчок та передміхурової залози щурів при моделюванні гіпогонадизму</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118</w:t>
            </w:r>
          </w:p>
        </w:tc>
      </w:tr>
      <w:tr w:rsidR="0025706B" w:rsidRPr="00CE0A20" w:rsidTr="0025706B">
        <w:trPr>
          <w:trHeight w:val="277"/>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3.5</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 xml:space="preserve">Вплив </w:t>
            </w:r>
            <w:r w:rsidR="00795871" w:rsidRPr="00CE0A20">
              <w:rPr>
                <w:rFonts w:ascii="Times New Roman" w:hAnsi="Times New Roman" w:cs="Times New Roman"/>
                <w:sz w:val="28"/>
                <w:szCs w:val="28"/>
              </w:rPr>
              <w:t>CdC</w:t>
            </w:r>
            <w:r w:rsidR="00795871" w:rsidRPr="00CE0A20">
              <w:rPr>
                <w:rFonts w:ascii="Times New Roman" w:hAnsi="Times New Roman" w:cs="Times New Roman"/>
                <w:sz w:val="28"/>
                <w:szCs w:val="28"/>
                <w:lang w:val="en-US"/>
              </w:rPr>
              <w:t>l</w:t>
            </w:r>
            <w:r w:rsidR="00795871" w:rsidRPr="00CE0A20">
              <w:rPr>
                <w:rFonts w:ascii="Times New Roman" w:hAnsi="Times New Roman" w:cs="Times New Roman"/>
                <w:sz w:val="28"/>
                <w:szCs w:val="28"/>
                <w:vertAlign w:val="subscript"/>
              </w:rPr>
              <w:t>2</w:t>
            </w:r>
            <w:r w:rsidR="00795871">
              <w:rPr>
                <w:rFonts w:ascii="Times New Roman" w:hAnsi="Times New Roman" w:cs="Times New Roman"/>
                <w:sz w:val="28"/>
                <w:szCs w:val="28"/>
                <w:vertAlign w:val="subscript"/>
                <w:lang w:val="uk-UA"/>
              </w:rPr>
              <w:t xml:space="preserve"> </w:t>
            </w:r>
            <w:r w:rsidRPr="00CE0A20">
              <w:rPr>
                <w:rFonts w:ascii="Times New Roman" w:hAnsi="Times New Roman" w:cs="Times New Roman"/>
                <w:sz w:val="28"/>
                <w:szCs w:val="28"/>
              </w:rPr>
              <w:t>на копулятивну поведінку тварин</w:t>
            </w:r>
            <w:r w:rsidR="007050C0" w:rsidRPr="00CE0A20">
              <w:rPr>
                <w:rFonts w:ascii="Times New Roman" w:hAnsi="Times New Roman" w:cs="Times New Roman"/>
                <w:sz w:val="28"/>
                <w:szCs w:val="28"/>
              </w:rPr>
              <w:t>..</w:t>
            </w:r>
            <w:r w:rsidR="00795871">
              <w:rPr>
                <w:rFonts w:ascii="Times New Roman" w:hAnsi="Times New Roman" w:cs="Times New Roman"/>
                <w:sz w:val="28"/>
                <w:szCs w:val="28"/>
                <w:lang w:val="uk-UA"/>
              </w:rPr>
              <w:t>..................</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148</w:t>
            </w:r>
          </w:p>
        </w:tc>
      </w:tr>
      <w:tr w:rsidR="0025706B" w:rsidRPr="00CE0A20" w:rsidTr="0025706B">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Розділ 4</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ЕКСПЕРИМЕНТАЛЬНЕ ОБҐРУНТУВАННЯ ЛІКУВАННЯ АНДРОГЕННОГО ДЕФІЦИТУ ЗА ДОПОМОГОЮ КЛІТИН СТРОМИ КІСТКОВОГО МОЗКУ</w:t>
            </w:r>
            <w:r w:rsidR="007050C0" w:rsidRPr="00CE0A20">
              <w:rPr>
                <w:rFonts w:ascii="Times New Roman" w:hAnsi="Times New Roman" w:cs="Times New Roman"/>
                <w:sz w:val="28"/>
                <w:szCs w:val="28"/>
              </w:rPr>
              <w:t>............................................</w:t>
            </w:r>
          </w:p>
        </w:tc>
        <w:tc>
          <w:tcPr>
            <w:tcW w:w="832" w:type="dxa"/>
            <w:gridSpan w:val="2"/>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151</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 xml:space="preserve">4.1    </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Гормональний статус експериментальних тварин після трансплантації КСКМ</w:t>
            </w:r>
            <w:r w:rsidR="007050C0"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152</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 xml:space="preserve">4.2    </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Морфологічні зміни статевих органів під впливом трансплантації  КСКМ</w:t>
            </w:r>
            <w:r w:rsidRPr="00CE0A20">
              <w:rPr>
                <w:rFonts w:ascii="Times New Roman" w:hAnsi="Times New Roman" w:cs="Times New Roman"/>
                <w:sz w:val="28"/>
                <w:szCs w:val="28"/>
              </w:rPr>
              <w:tab/>
            </w:r>
            <w:r w:rsidR="007050C0"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161</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 xml:space="preserve">4.3    </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 xml:space="preserve">Динаміка показників загальнотоксичної дії </w:t>
            </w:r>
            <w:r w:rsidR="007050C0" w:rsidRPr="00CE0A20">
              <w:rPr>
                <w:rFonts w:ascii="Times New Roman" w:hAnsi="Times New Roman" w:cs="Times New Roman"/>
                <w:sz w:val="28"/>
                <w:szCs w:val="28"/>
              </w:rPr>
              <w:t>CdC</w:t>
            </w:r>
            <w:r w:rsidR="007050C0" w:rsidRPr="00CE0A20">
              <w:rPr>
                <w:rFonts w:ascii="Times New Roman" w:hAnsi="Times New Roman" w:cs="Times New Roman"/>
                <w:sz w:val="28"/>
                <w:szCs w:val="28"/>
                <w:lang w:val="en-US"/>
              </w:rPr>
              <w:t>l</w:t>
            </w:r>
            <w:r w:rsidR="007050C0" w:rsidRPr="00CE0A20">
              <w:rPr>
                <w:rFonts w:ascii="Times New Roman" w:hAnsi="Times New Roman" w:cs="Times New Roman"/>
                <w:sz w:val="28"/>
                <w:szCs w:val="28"/>
                <w:vertAlign w:val="subscript"/>
              </w:rPr>
              <w:t>2..</w:t>
            </w:r>
            <w:r w:rsidR="007050C0"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185</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 xml:space="preserve">4.4    </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Вплив інтратестикулярного введення КСКМ на копулятивну поведінку експериментальних тварин</w:t>
            </w:r>
            <w:r w:rsidR="007050C0"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191</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 xml:space="preserve">4.5  </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Трекінг КСКМ після їх інтратестикулярної  імплантації</w:t>
            </w:r>
            <w:r w:rsidR="007050C0"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199</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 xml:space="preserve">4.6 </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Віддалені результати інтратестикулярної трансплантації КСКМ експериментальним тваринам……………………</w:t>
            </w:r>
            <w:r w:rsidR="007050C0"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202</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Розділ 5</w:t>
            </w:r>
          </w:p>
        </w:tc>
        <w:tc>
          <w:tcPr>
            <w:tcW w:w="7513" w:type="dxa"/>
            <w:shd w:val="clear" w:color="000000" w:fill="auto"/>
            <w:noWrap/>
            <w:vAlign w:val="bottom"/>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ЗАСТОСУВАННЯ КЛІТИН СТРОМИ КІСТКОВОГО МОЗКУ ДЛЯ ЛІКУВАННЯ АНДРОГЕННОГО ДЕФІЦИТУ У ЧОЛОВІКІВ З ЦУКРОВИМ ДІАБЕТОМ…………………..</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214</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5.1</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Характеристика стану чоловіків на початку дослідження…..</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215</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rPr>
            </w:pPr>
            <w:r w:rsidRPr="00CE0A20">
              <w:rPr>
                <w:rFonts w:ascii="Times New Roman" w:hAnsi="Times New Roman" w:cs="Times New Roman"/>
                <w:sz w:val="28"/>
                <w:szCs w:val="28"/>
              </w:rPr>
              <w:t>5.2</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rPr>
            </w:pPr>
            <w:r w:rsidRPr="00CE0A20">
              <w:rPr>
                <w:rFonts w:ascii="Times New Roman" w:hAnsi="Times New Roman" w:cs="Times New Roman"/>
                <w:sz w:val="28"/>
                <w:szCs w:val="28"/>
              </w:rPr>
              <w:t>Динаміка досліджуваних показників під впливом лікуванн</w:t>
            </w:r>
            <w:r w:rsidRPr="00CE0A20">
              <w:rPr>
                <w:rFonts w:ascii="Times New Roman" w:hAnsi="Times New Roman" w:cs="Times New Roman"/>
                <w:sz w:val="28"/>
                <w:szCs w:val="28"/>
                <w:lang w:val="uk-UA"/>
              </w:rPr>
              <w:t>я</w:t>
            </w:r>
            <w:r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219</w:t>
            </w:r>
          </w:p>
        </w:tc>
      </w:tr>
      <w:tr w:rsidR="0025706B" w:rsidRPr="00CE0A20" w:rsidTr="0025706B">
        <w:trPr>
          <w:gridAfter w:val="1"/>
          <w:wAfter w:w="20" w:type="dxa"/>
        </w:trPr>
        <w:tc>
          <w:tcPr>
            <w:tcW w:w="1526" w:type="dxa"/>
            <w:shd w:val="clear" w:color="000000" w:fill="auto"/>
            <w:noWrap/>
          </w:tcPr>
          <w:p w:rsidR="0025706B" w:rsidRPr="00CE0A20" w:rsidRDefault="0025706B" w:rsidP="00BB29C6">
            <w:pPr>
              <w:spacing w:line="360" w:lineRule="auto"/>
              <w:jc w:val="right"/>
              <w:rPr>
                <w:rFonts w:ascii="Times New Roman" w:hAnsi="Times New Roman" w:cs="Times New Roman"/>
                <w:sz w:val="28"/>
                <w:szCs w:val="28"/>
                <w:lang w:val="uk-UA"/>
              </w:rPr>
            </w:pPr>
            <w:r w:rsidRPr="00CE0A20">
              <w:rPr>
                <w:rFonts w:ascii="Times New Roman" w:hAnsi="Times New Roman" w:cs="Times New Roman"/>
                <w:sz w:val="28"/>
                <w:szCs w:val="28"/>
                <w:lang w:val="uk-UA"/>
              </w:rPr>
              <w:t>5.3</w:t>
            </w:r>
          </w:p>
        </w:tc>
        <w:tc>
          <w:tcPr>
            <w:tcW w:w="7513" w:type="dxa"/>
            <w:shd w:val="clear" w:color="000000" w:fill="auto"/>
            <w:noWrap/>
          </w:tcPr>
          <w:p w:rsidR="0025706B" w:rsidRPr="00CE0A20" w:rsidRDefault="0025706B" w:rsidP="00BB29C6">
            <w:pPr>
              <w:spacing w:line="360" w:lineRule="auto"/>
              <w:ind w:right="-108"/>
              <w:rPr>
                <w:rFonts w:ascii="Times New Roman" w:hAnsi="Times New Roman" w:cs="Times New Roman"/>
                <w:sz w:val="28"/>
                <w:szCs w:val="28"/>
                <w:lang w:val="uk-UA"/>
              </w:rPr>
            </w:pPr>
            <w:r w:rsidRPr="00CE0A20">
              <w:rPr>
                <w:rFonts w:ascii="Times New Roman" w:hAnsi="Times New Roman" w:cs="Times New Roman"/>
                <w:sz w:val="28"/>
                <w:szCs w:val="28"/>
                <w:lang w:val="uk-UA"/>
              </w:rPr>
              <w:t>Стан еректильної функції та його динаміка під впливом лікування………………………………………………………</w:t>
            </w:r>
            <w:r w:rsidR="007050C0" w:rsidRPr="00CE0A20">
              <w:rPr>
                <w:rFonts w:ascii="Times New Roman" w:hAnsi="Times New Roman" w:cs="Times New Roman"/>
                <w:sz w:val="28"/>
                <w:szCs w:val="28"/>
                <w:lang w:val="uk-UA"/>
              </w:rPr>
              <w:t>...</w:t>
            </w:r>
          </w:p>
        </w:tc>
        <w:tc>
          <w:tcPr>
            <w:tcW w:w="812" w:type="dxa"/>
            <w:shd w:val="clear" w:color="000000" w:fill="auto"/>
            <w:noWrap/>
            <w:vAlign w:val="bottom"/>
          </w:tcPr>
          <w:p w:rsidR="0025706B" w:rsidRPr="00CE0A20"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229</w:t>
            </w:r>
          </w:p>
        </w:tc>
      </w:tr>
      <w:tr w:rsidR="0025706B" w:rsidRPr="00CE0A20" w:rsidTr="0025706B">
        <w:trPr>
          <w:gridAfter w:val="1"/>
          <w:wAfter w:w="20" w:type="dxa"/>
        </w:trPr>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rPr>
            </w:pPr>
            <w:r w:rsidRPr="00CE0A20">
              <w:rPr>
                <w:rFonts w:ascii="Times New Roman" w:hAnsi="Times New Roman" w:cs="Times New Roman"/>
                <w:sz w:val="28"/>
                <w:szCs w:val="28"/>
              </w:rPr>
              <w:t>АНАЛІЗ І УЗАГАЛЬНЕННЯ ОТРИМАНИХ РЕЗУЛЬТАТІВ...................</w:t>
            </w:r>
            <w:r w:rsidR="007050C0"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241</w:t>
            </w:r>
          </w:p>
        </w:tc>
      </w:tr>
      <w:tr w:rsidR="0025706B" w:rsidRPr="00CE0A20" w:rsidTr="0025706B">
        <w:trPr>
          <w:gridAfter w:val="1"/>
          <w:wAfter w:w="20" w:type="dxa"/>
        </w:trPr>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rPr>
            </w:pPr>
            <w:r w:rsidRPr="00CE0A20">
              <w:rPr>
                <w:rFonts w:ascii="Times New Roman" w:hAnsi="Times New Roman" w:cs="Times New Roman"/>
                <w:sz w:val="28"/>
                <w:szCs w:val="28"/>
              </w:rPr>
              <w:t>ВИСНОВКИ....................................................................................................</w:t>
            </w:r>
            <w:r w:rsidR="007050C0" w:rsidRPr="00CE0A20">
              <w:rPr>
                <w:rFonts w:ascii="Times New Roman" w:hAnsi="Times New Roman" w:cs="Times New Roman"/>
                <w:sz w:val="28"/>
                <w:szCs w:val="28"/>
                <w:lang w:val="en-US"/>
              </w:rPr>
              <w:t>..</w:t>
            </w:r>
            <w:r w:rsidRPr="00CE0A20">
              <w:rPr>
                <w:rFonts w:ascii="Times New Roman" w:hAnsi="Times New Roman" w:cs="Times New Roman"/>
                <w:sz w:val="28"/>
                <w:szCs w:val="28"/>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261</w:t>
            </w:r>
          </w:p>
        </w:tc>
      </w:tr>
      <w:tr w:rsidR="0025706B" w:rsidRPr="00CE0A20" w:rsidTr="0025706B">
        <w:trPr>
          <w:gridAfter w:val="1"/>
          <w:wAfter w:w="20" w:type="dxa"/>
        </w:trPr>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lang w:val="en-US"/>
              </w:rPr>
            </w:pPr>
            <w:r w:rsidRPr="00CE0A20">
              <w:rPr>
                <w:rFonts w:ascii="Times New Roman" w:hAnsi="Times New Roman" w:cs="Times New Roman"/>
                <w:sz w:val="28"/>
                <w:szCs w:val="28"/>
              </w:rPr>
              <w:t>ПРАКТИЧНІ РЕКОМЕНДАЦІЇ.....................................................................</w:t>
            </w:r>
            <w:r w:rsidR="007050C0" w:rsidRPr="00CE0A20">
              <w:rPr>
                <w:rFonts w:ascii="Times New Roman" w:hAnsi="Times New Roman" w:cs="Times New Roman"/>
                <w:sz w:val="28"/>
                <w:szCs w:val="28"/>
                <w:lang w:val="en-US"/>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264</w:t>
            </w:r>
          </w:p>
        </w:tc>
      </w:tr>
      <w:tr w:rsidR="0025706B" w:rsidRPr="00CE0A20" w:rsidTr="0025706B">
        <w:trPr>
          <w:gridAfter w:val="1"/>
          <w:wAfter w:w="20" w:type="dxa"/>
        </w:trPr>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lang w:val="en-US"/>
              </w:rPr>
            </w:pPr>
            <w:r w:rsidRPr="00CE0A20">
              <w:rPr>
                <w:rFonts w:ascii="Times New Roman" w:hAnsi="Times New Roman" w:cs="Times New Roman"/>
                <w:sz w:val="28"/>
                <w:szCs w:val="28"/>
              </w:rPr>
              <w:t>СПИСОК ВИКОРИСТАНИХ ДЖЕРЕЛ.......................................................</w:t>
            </w:r>
            <w:r w:rsidR="007050C0" w:rsidRPr="00CE0A20">
              <w:rPr>
                <w:rFonts w:ascii="Times New Roman" w:hAnsi="Times New Roman" w:cs="Times New Roman"/>
                <w:sz w:val="28"/>
                <w:szCs w:val="28"/>
                <w:lang w:val="en-US"/>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265</w:t>
            </w:r>
          </w:p>
        </w:tc>
      </w:tr>
      <w:tr w:rsidR="0025706B" w:rsidRPr="00CE0A20" w:rsidTr="0025706B">
        <w:trPr>
          <w:gridAfter w:val="1"/>
          <w:wAfter w:w="20" w:type="dxa"/>
        </w:trPr>
        <w:tc>
          <w:tcPr>
            <w:tcW w:w="9039" w:type="dxa"/>
            <w:gridSpan w:val="2"/>
            <w:shd w:val="clear" w:color="000000" w:fill="auto"/>
            <w:noWrap/>
            <w:vAlign w:val="bottom"/>
          </w:tcPr>
          <w:p w:rsidR="0025706B" w:rsidRPr="00CE0A20" w:rsidRDefault="0025706B" w:rsidP="00BB29C6">
            <w:pPr>
              <w:spacing w:line="360" w:lineRule="auto"/>
              <w:rPr>
                <w:rFonts w:ascii="Times New Roman" w:hAnsi="Times New Roman" w:cs="Times New Roman"/>
                <w:sz w:val="28"/>
                <w:szCs w:val="28"/>
                <w:lang w:val="en-US"/>
              </w:rPr>
            </w:pPr>
            <w:r w:rsidRPr="00CE0A20">
              <w:rPr>
                <w:rFonts w:ascii="Times New Roman" w:hAnsi="Times New Roman" w:cs="Times New Roman"/>
                <w:sz w:val="28"/>
                <w:szCs w:val="28"/>
              </w:rPr>
              <w:t xml:space="preserve">Додаток А </w:t>
            </w:r>
            <w:r w:rsidRPr="00CE0A20">
              <w:rPr>
                <w:rFonts w:ascii="Times New Roman" w:hAnsi="Times New Roman" w:cs="Times New Roman"/>
                <w:sz w:val="28"/>
                <w:szCs w:val="28"/>
                <w:lang w:val="uk-UA"/>
              </w:rPr>
              <w:t>…</w:t>
            </w:r>
            <w:r w:rsidRPr="00CE0A20">
              <w:rPr>
                <w:rFonts w:ascii="Times New Roman" w:hAnsi="Times New Roman" w:cs="Times New Roman"/>
                <w:sz w:val="28"/>
                <w:szCs w:val="28"/>
                <w:lang w:val="en-US"/>
              </w:rPr>
              <w:t>…………………………………………………………………..</w:t>
            </w:r>
          </w:p>
        </w:tc>
        <w:tc>
          <w:tcPr>
            <w:tcW w:w="812" w:type="dxa"/>
            <w:shd w:val="clear" w:color="000000" w:fill="auto"/>
            <w:noWrap/>
            <w:vAlign w:val="bottom"/>
          </w:tcPr>
          <w:p w:rsidR="0025706B" w:rsidRPr="00795871" w:rsidRDefault="00795871" w:rsidP="00BB29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308</w:t>
            </w:r>
            <w:bookmarkStart w:id="0" w:name="_GoBack"/>
            <w:bookmarkEnd w:id="0"/>
          </w:p>
        </w:tc>
      </w:tr>
    </w:tbl>
    <w:p w:rsidR="00EB6EBC" w:rsidRPr="00CE0A20" w:rsidRDefault="00EB6EBC" w:rsidP="00EB6EBC">
      <w:pPr>
        <w:spacing w:line="360" w:lineRule="auto"/>
        <w:rPr>
          <w:rFonts w:ascii="Times New Roman" w:hAnsi="Times New Roman" w:cs="Times New Roman"/>
          <w:b/>
          <w:bCs/>
          <w:color w:val="000000" w:themeColor="text1"/>
          <w:kern w:val="1"/>
          <w:sz w:val="28"/>
          <w:szCs w:val="28"/>
          <w:lang w:val="uk-UA"/>
        </w:rPr>
      </w:pPr>
    </w:p>
    <w:p w:rsidR="00FF66EA" w:rsidRPr="00CE0A20" w:rsidRDefault="00FF66EA" w:rsidP="00EB6EBC">
      <w:pPr>
        <w:spacing w:line="360" w:lineRule="auto"/>
        <w:ind w:firstLine="680"/>
        <w:jc w:val="center"/>
        <w:rPr>
          <w:rFonts w:ascii="Times New Roman" w:hAnsi="Times New Roman" w:cs="Times New Roman"/>
          <w:b/>
          <w:bCs/>
          <w:color w:val="000000" w:themeColor="text1"/>
          <w:kern w:val="1"/>
          <w:sz w:val="28"/>
          <w:szCs w:val="28"/>
          <w:lang w:val="uk-UA"/>
        </w:rPr>
      </w:pPr>
    </w:p>
    <w:p w:rsidR="00FF66EA" w:rsidRPr="00CE0A20" w:rsidRDefault="00FF66EA" w:rsidP="00EB6EBC">
      <w:pPr>
        <w:spacing w:line="360" w:lineRule="auto"/>
        <w:ind w:firstLine="680"/>
        <w:jc w:val="center"/>
        <w:rPr>
          <w:rFonts w:ascii="Times New Roman" w:hAnsi="Times New Roman" w:cs="Times New Roman"/>
          <w:b/>
          <w:bCs/>
          <w:color w:val="000000" w:themeColor="text1"/>
          <w:kern w:val="1"/>
          <w:sz w:val="28"/>
          <w:szCs w:val="28"/>
          <w:lang w:val="uk-UA"/>
        </w:rPr>
      </w:pPr>
    </w:p>
    <w:p w:rsidR="001C43D0" w:rsidRPr="00CE0A20" w:rsidRDefault="001C43D0">
      <w:pPr>
        <w:spacing w:after="200" w:line="276" w:lineRule="auto"/>
        <w:rPr>
          <w:rFonts w:ascii="Times New Roman" w:hAnsi="Times New Roman" w:cs="Times New Roman"/>
          <w:b/>
          <w:bCs/>
          <w:color w:val="000000" w:themeColor="text1"/>
          <w:kern w:val="1"/>
          <w:sz w:val="28"/>
          <w:szCs w:val="28"/>
          <w:lang w:val="uk-UA"/>
        </w:rPr>
      </w:pPr>
      <w:r w:rsidRPr="00CE0A20">
        <w:rPr>
          <w:rFonts w:ascii="Times New Roman" w:hAnsi="Times New Roman" w:cs="Times New Roman"/>
          <w:b/>
          <w:bCs/>
          <w:color w:val="000000" w:themeColor="text1"/>
          <w:kern w:val="1"/>
          <w:sz w:val="28"/>
          <w:szCs w:val="28"/>
          <w:lang w:val="uk-UA"/>
        </w:rPr>
        <w:br w:type="page"/>
      </w:r>
    </w:p>
    <w:p w:rsidR="00EB6EBC" w:rsidRPr="00CE0A20" w:rsidRDefault="00EB6EBC" w:rsidP="00EB6EBC">
      <w:pPr>
        <w:spacing w:line="360" w:lineRule="auto"/>
        <w:jc w:val="center"/>
        <w:rPr>
          <w:rFonts w:ascii="Times New Roman" w:hAnsi="Times New Roman" w:cs="Times New Roman"/>
          <w:b/>
          <w:bCs/>
          <w:color w:val="000000" w:themeColor="text1"/>
          <w:kern w:val="1"/>
          <w:sz w:val="28"/>
          <w:szCs w:val="28"/>
          <w:lang w:val="uk-UA"/>
        </w:rPr>
      </w:pPr>
      <w:r w:rsidRPr="00CE0A20">
        <w:rPr>
          <w:rFonts w:ascii="Times New Roman" w:hAnsi="Times New Roman" w:cs="Times New Roman"/>
          <w:b/>
          <w:bCs/>
          <w:color w:val="000000" w:themeColor="text1"/>
          <w:kern w:val="1"/>
          <w:sz w:val="28"/>
          <w:szCs w:val="28"/>
          <w:lang w:val="uk-UA"/>
        </w:rPr>
        <w:t>ВСТУП</w:t>
      </w:r>
    </w:p>
    <w:p w:rsidR="00EB6EBC" w:rsidRPr="00CE0A20" w:rsidRDefault="00EB6EBC" w:rsidP="00EB6EBC">
      <w:pPr>
        <w:tabs>
          <w:tab w:val="left" w:pos="403"/>
        </w:tabs>
        <w:spacing w:line="360" w:lineRule="auto"/>
        <w:ind w:firstLine="709"/>
        <w:jc w:val="both"/>
        <w:rPr>
          <w:rFonts w:ascii="Times New Roman" w:hAnsi="Times New Roman" w:cs="Times New Roman"/>
          <w:b/>
          <w:bCs/>
          <w:color w:val="000000" w:themeColor="text1"/>
          <w:kern w:val="1"/>
          <w:sz w:val="28"/>
          <w:szCs w:val="28"/>
          <w:lang w:val="uk-UA"/>
        </w:rPr>
      </w:pPr>
    </w:p>
    <w:p w:rsidR="00EB6EBC" w:rsidRPr="00CE0A20" w:rsidRDefault="00EB6EBC" w:rsidP="00EB6EBC">
      <w:pPr>
        <w:tabs>
          <w:tab w:val="left" w:pos="403"/>
        </w:tabs>
        <w:spacing w:line="360" w:lineRule="auto"/>
        <w:ind w:firstLine="709"/>
        <w:jc w:val="both"/>
        <w:rPr>
          <w:rStyle w:val="11"/>
          <w:sz w:val="28"/>
          <w:szCs w:val="28"/>
          <w:lang w:val="uk-UA"/>
        </w:rPr>
      </w:pPr>
      <w:r w:rsidRPr="00CE0A20">
        <w:rPr>
          <w:rFonts w:ascii="Times New Roman" w:hAnsi="Times New Roman" w:cs="Times New Roman"/>
          <w:b/>
          <w:bCs/>
          <w:kern w:val="2"/>
          <w:sz w:val="28"/>
          <w:szCs w:val="28"/>
          <w:lang w:val="uk-UA"/>
        </w:rPr>
        <w:t xml:space="preserve">Актуальність теми. </w:t>
      </w:r>
      <w:r w:rsidRPr="00CE0A20">
        <w:rPr>
          <w:rFonts w:ascii="Times New Roman" w:hAnsi="Times New Roman" w:cs="Times New Roman"/>
          <w:bCs/>
          <w:kern w:val="2"/>
          <w:sz w:val="28"/>
          <w:szCs w:val="28"/>
          <w:lang w:val="uk-UA"/>
        </w:rPr>
        <w:t>Упродовж</w:t>
      </w:r>
      <w:r w:rsidRPr="00CE0A20">
        <w:rPr>
          <w:rFonts w:ascii="Times New Roman" w:hAnsi="Times New Roman" w:cs="Times New Roman"/>
          <w:b/>
          <w:bCs/>
          <w:kern w:val="2"/>
          <w:sz w:val="28"/>
          <w:szCs w:val="28"/>
          <w:lang w:val="uk-UA"/>
        </w:rPr>
        <w:t xml:space="preserve"> </w:t>
      </w:r>
      <w:r w:rsidRPr="00CE0A20">
        <w:rPr>
          <w:rFonts w:ascii="Times New Roman" w:hAnsi="Times New Roman" w:cs="Times New Roman"/>
          <w:sz w:val="28"/>
          <w:szCs w:val="28"/>
          <w:lang w:val="uk-UA"/>
        </w:rPr>
        <w:t>останніх десяти</w:t>
      </w:r>
      <w:r w:rsidR="00A339FE" w:rsidRPr="00CE0A20">
        <w:rPr>
          <w:rFonts w:ascii="Times New Roman" w:hAnsi="Times New Roman" w:cs="Times New Roman"/>
          <w:sz w:val="28"/>
          <w:szCs w:val="28"/>
          <w:lang w:val="uk-UA"/>
        </w:rPr>
        <w:t>літь</w:t>
      </w:r>
      <w:r w:rsidRPr="00CE0A20">
        <w:rPr>
          <w:rFonts w:ascii="Times New Roman" w:hAnsi="Times New Roman" w:cs="Times New Roman"/>
          <w:sz w:val="28"/>
          <w:szCs w:val="28"/>
          <w:lang w:val="uk-UA"/>
        </w:rPr>
        <w:t xml:space="preserve"> у багатьох розвинутих країнах Європи та Америки констатується значне погіршення демографічної ситуації. Зниження народжуваності та зростання тривалості життя </w:t>
      </w:r>
      <w:r w:rsidR="00FF66EA" w:rsidRPr="00CE0A20">
        <w:rPr>
          <w:rFonts w:ascii="Times New Roman" w:hAnsi="Times New Roman" w:cs="Times New Roman"/>
          <w:sz w:val="28"/>
          <w:szCs w:val="28"/>
          <w:lang w:val="uk-UA"/>
        </w:rPr>
        <w:t>спричинило</w:t>
      </w:r>
      <w:r w:rsidRPr="00CE0A20">
        <w:rPr>
          <w:rFonts w:ascii="Times New Roman" w:hAnsi="Times New Roman" w:cs="Times New Roman"/>
          <w:sz w:val="28"/>
          <w:szCs w:val="28"/>
          <w:lang w:val="uk-UA"/>
        </w:rPr>
        <w:t xml:space="preserve"> збільшення в структурі населення людей похилого та старечого віку та, відповідно, частоти вікової патології, зокрема еректильної дисфункції (ЕД) та гіпогонадизму. ЕД </w:t>
      </w:r>
      <w:r w:rsidRPr="00CE0A20">
        <w:rPr>
          <w:rStyle w:val="11"/>
          <w:sz w:val="28"/>
          <w:szCs w:val="28"/>
          <w:lang w:val="uk-UA"/>
        </w:rPr>
        <w:t>є однією з провідних ознак порушення статевої функції</w:t>
      </w:r>
      <w:r w:rsidRPr="00CE0A20">
        <w:rPr>
          <w:rFonts w:ascii="Times New Roman" w:hAnsi="Times New Roman" w:cs="Times New Roman"/>
          <w:sz w:val="28"/>
          <w:szCs w:val="28"/>
          <w:lang w:val="uk-UA"/>
        </w:rPr>
        <w:t xml:space="preserve"> та причиною психосоціальних і сексуальних розладів у чоловіків та їхніх партнерок [</w:t>
      </w:r>
      <w:r w:rsidRPr="00CE0A20">
        <w:rPr>
          <w:rFonts w:ascii="Times New Roman" w:hAnsi="Times New Roman" w:cs="Times New Roman"/>
          <w:color w:val="000000" w:themeColor="text1"/>
          <w:sz w:val="28"/>
          <w:szCs w:val="28"/>
          <w:lang w:val="uk-UA"/>
        </w:rPr>
        <w:t xml:space="preserve">57, 96, 115, 120; </w:t>
      </w:r>
      <w:r w:rsidRPr="00CE0A20">
        <w:rPr>
          <w:rFonts w:ascii="Times New Roman" w:hAnsi="Times New Roman" w:cs="Times New Roman"/>
          <w:bCs/>
          <w:color w:val="000000" w:themeColor="text1"/>
          <w:sz w:val="28"/>
          <w:szCs w:val="28"/>
          <w:lang w:val="uk-UA"/>
        </w:rPr>
        <w:t>233</w:t>
      </w:r>
      <w:r w:rsidRPr="00CE0A20">
        <w:rPr>
          <w:rFonts w:ascii="Times New Roman" w:hAnsi="Times New Roman" w:cs="Times New Roman"/>
          <w:sz w:val="28"/>
          <w:szCs w:val="28"/>
          <w:lang w:val="uk-UA"/>
        </w:rPr>
        <w:t>].</w:t>
      </w:r>
      <w:r w:rsidRPr="00CE0A20">
        <w:rPr>
          <w:rStyle w:val="11"/>
          <w:sz w:val="28"/>
          <w:szCs w:val="28"/>
          <w:lang w:val="uk-UA"/>
        </w:rPr>
        <w:t xml:space="preserve"> </w:t>
      </w:r>
    </w:p>
    <w:p w:rsidR="00EB6EBC" w:rsidRPr="00CE0A20" w:rsidRDefault="00EB6EBC" w:rsidP="00EB6EBC">
      <w:pPr>
        <w:pStyle w:val="230"/>
        <w:widowControl w:val="0"/>
        <w:tabs>
          <w:tab w:val="left" w:pos="2268"/>
        </w:tabs>
        <w:spacing w:after="0" w:line="360" w:lineRule="auto"/>
        <w:ind w:firstLine="709"/>
        <w:jc w:val="both"/>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 xml:space="preserve">ЕД виявляється у 52% чоловіків </w:t>
      </w:r>
      <w:r w:rsidR="00FF66EA" w:rsidRPr="00CE0A20">
        <w:rPr>
          <w:rFonts w:ascii="Times New Roman" w:hAnsi="Times New Roman" w:cs="Times New Roman"/>
          <w:color w:val="000000"/>
          <w:sz w:val="28"/>
          <w:szCs w:val="28"/>
          <w:lang w:val="uk-UA"/>
        </w:rPr>
        <w:t>віком</w:t>
      </w:r>
      <w:r w:rsidRPr="00CE0A20">
        <w:rPr>
          <w:rFonts w:ascii="Times New Roman" w:hAnsi="Times New Roman" w:cs="Times New Roman"/>
          <w:color w:val="000000"/>
          <w:sz w:val="28"/>
          <w:szCs w:val="28"/>
          <w:lang w:val="uk-UA"/>
        </w:rPr>
        <w:t xml:space="preserve"> 40–70 років [</w:t>
      </w:r>
      <w:r w:rsidRPr="00CE0A20">
        <w:rPr>
          <w:rFonts w:ascii="Times New Roman" w:hAnsi="Times New Roman" w:cs="Times New Roman"/>
          <w:color w:val="000000" w:themeColor="text1"/>
          <w:sz w:val="28"/>
          <w:szCs w:val="28"/>
          <w:lang w:val="uk-UA"/>
        </w:rPr>
        <w:t>316</w:t>
      </w:r>
      <w:r w:rsidRPr="00CE0A20">
        <w:rPr>
          <w:rFonts w:ascii="Times New Roman" w:hAnsi="Times New Roman" w:cs="Times New Roman"/>
          <w:color w:val="000000"/>
          <w:sz w:val="28"/>
          <w:szCs w:val="28"/>
          <w:lang w:val="uk-UA"/>
        </w:rPr>
        <w:t xml:space="preserve">]. При цукровому діабеті (ЦД) </w:t>
      </w:r>
      <w:r w:rsidRPr="00CE0A20">
        <w:rPr>
          <w:rFonts w:ascii="Times New Roman" w:hAnsi="Times New Roman" w:cs="Times New Roman"/>
          <w:sz w:val="28"/>
          <w:szCs w:val="28"/>
          <w:lang w:val="uk-UA"/>
        </w:rPr>
        <w:t>ЕД розвивається втри</w:t>
      </w:r>
      <w:r w:rsidR="00FF66EA" w:rsidRPr="00CE0A20">
        <w:rPr>
          <w:rFonts w:ascii="Times New Roman" w:hAnsi="Times New Roman" w:cs="Times New Roman"/>
          <w:sz w:val="28"/>
          <w:szCs w:val="28"/>
          <w:lang w:val="uk-UA"/>
        </w:rPr>
        <w:t>чі</w:t>
      </w:r>
      <w:r w:rsidRPr="00CE0A20">
        <w:rPr>
          <w:rFonts w:ascii="Times New Roman" w:hAnsi="Times New Roman" w:cs="Times New Roman"/>
          <w:sz w:val="28"/>
          <w:szCs w:val="28"/>
          <w:lang w:val="uk-UA"/>
        </w:rPr>
        <w:t xml:space="preserve"> частіше і на 10-15 років раніше, особливо у хворих з підвищеною вагою [</w:t>
      </w:r>
      <w:r w:rsidRPr="00CE0A20">
        <w:rPr>
          <w:rFonts w:ascii="Times New Roman" w:hAnsi="Times New Roman" w:cs="Times New Roman"/>
          <w:color w:val="000000" w:themeColor="text1"/>
          <w:sz w:val="28"/>
          <w:szCs w:val="28"/>
          <w:lang w:val="uk-UA"/>
        </w:rPr>
        <w:t>75,</w:t>
      </w:r>
      <w:r w:rsidRPr="00CE0A20">
        <w:rPr>
          <w:rStyle w:val="MicrosoftSansSerif"/>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139</w:t>
      </w:r>
      <w:r w:rsidRPr="00CE0A20">
        <w:rPr>
          <w:rFonts w:ascii="Times New Roman" w:hAnsi="Times New Roman" w:cs="Times New Roman"/>
          <w:color w:val="000000"/>
          <w:sz w:val="28"/>
          <w:szCs w:val="28"/>
          <w:lang w:val="uk-UA"/>
        </w:rPr>
        <w:t>]. В</w:t>
      </w:r>
      <w:r w:rsidR="00FF66EA" w:rsidRPr="00CE0A20">
        <w:rPr>
          <w:rFonts w:ascii="Times New Roman" w:hAnsi="Times New Roman" w:cs="Times New Roman"/>
          <w:color w:val="000000"/>
          <w:sz w:val="28"/>
          <w:szCs w:val="28"/>
          <w:lang w:val="uk-UA"/>
        </w:rPr>
        <w:t>иявлен</w:t>
      </w:r>
      <w:r w:rsidRPr="00CE0A20">
        <w:rPr>
          <w:rFonts w:ascii="Times New Roman" w:hAnsi="Times New Roman" w:cs="Times New Roman"/>
          <w:color w:val="000000"/>
          <w:sz w:val="28"/>
          <w:szCs w:val="28"/>
          <w:lang w:val="uk-UA"/>
        </w:rPr>
        <w:t>о, що чоловіки з ЕД мають більший ризик смертності від серцево-судинних захворювань, зокрема, від інфаркту міокарда  [</w:t>
      </w:r>
      <w:r w:rsidRPr="00CE0A20">
        <w:rPr>
          <w:rFonts w:ascii="Times New Roman" w:hAnsi="Times New Roman" w:cs="Times New Roman"/>
          <w:color w:val="000000" w:themeColor="text1"/>
          <w:sz w:val="28"/>
          <w:szCs w:val="28"/>
          <w:lang w:val="uk-UA"/>
        </w:rPr>
        <w:t>141, 206, 362</w:t>
      </w:r>
      <w:r w:rsidRPr="00CE0A20">
        <w:rPr>
          <w:rFonts w:ascii="Times New Roman" w:hAnsi="Times New Roman" w:cs="Times New Roman"/>
          <w:color w:val="000000"/>
          <w:sz w:val="28"/>
          <w:szCs w:val="28"/>
          <w:lang w:val="uk-UA"/>
        </w:rPr>
        <w:t xml:space="preserve">]. Також </w:t>
      </w:r>
      <w:r w:rsidR="00FF66EA" w:rsidRPr="00CE0A20">
        <w:rPr>
          <w:rFonts w:ascii="Times New Roman" w:hAnsi="Times New Roman" w:cs="Times New Roman"/>
          <w:color w:val="000000"/>
          <w:sz w:val="28"/>
          <w:szCs w:val="28"/>
          <w:lang w:val="uk-UA"/>
        </w:rPr>
        <w:t>за</w:t>
      </w:r>
      <w:r w:rsidRPr="00CE0A20">
        <w:rPr>
          <w:rFonts w:ascii="Times New Roman" w:hAnsi="Times New Roman" w:cs="Times New Roman"/>
          <w:color w:val="000000"/>
          <w:sz w:val="28"/>
          <w:szCs w:val="28"/>
          <w:lang w:val="uk-UA"/>
        </w:rPr>
        <w:t xml:space="preserve"> наявності ЕД відмічається збільшення частоти артеріальної гіпертензії, гіперхолесте</w:t>
      </w:r>
      <w:r w:rsidRPr="00CE0A20">
        <w:rPr>
          <w:rFonts w:ascii="Times New Roman" w:hAnsi="Times New Roman" w:cs="Times New Roman"/>
          <w:color w:val="000000"/>
          <w:sz w:val="28"/>
          <w:szCs w:val="28"/>
          <w:lang w:val="uk-UA"/>
        </w:rPr>
        <w:softHyphen/>
        <w:t>ринемії, депресивних станів [</w:t>
      </w:r>
      <w:r w:rsidRPr="00CE0A20">
        <w:rPr>
          <w:rFonts w:ascii="Times New Roman" w:hAnsi="Times New Roman" w:cs="Times New Roman"/>
          <w:color w:val="000000" w:themeColor="text1"/>
          <w:sz w:val="28"/>
          <w:szCs w:val="28"/>
          <w:lang w:val="uk-UA"/>
        </w:rPr>
        <w:t>59, 293</w:t>
      </w:r>
      <w:r w:rsidRPr="00CE0A20">
        <w:rPr>
          <w:rFonts w:ascii="Times New Roman" w:hAnsi="Times New Roman" w:cs="Times New Roman"/>
          <w:color w:val="000000"/>
          <w:sz w:val="28"/>
          <w:szCs w:val="28"/>
          <w:lang w:val="uk-UA"/>
        </w:rPr>
        <w:t>].</w:t>
      </w:r>
    </w:p>
    <w:p w:rsidR="00EB6EBC" w:rsidRPr="00CE0A20" w:rsidRDefault="00EB6EBC" w:rsidP="00EB6EBC">
      <w:pPr>
        <w:pStyle w:val="230"/>
        <w:widowControl w:val="0"/>
        <w:spacing w:after="0"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Інш</w:t>
      </w:r>
      <w:r w:rsidR="00FF66EA" w:rsidRPr="00CE0A20">
        <w:rPr>
          <w:rFonts w:ascii="Times New Roman" w:hAnsi="Times New Roman" w:cs="Times New Roman"/>
          <w:sz w:val="28"/>
          <w:szCs w:val="28"/>
          <w:lang w:val="uk-UA"/>
        </w:rPr>
        <w:t>им</w:t>
      </w:r>
      <w:r w:rsidRPr="00CE0A20">
        <w:rPr>
          <w:rFonts w:ascii="Times New Roman" w:hAnsi="Times New Roman" w:cs="Times New Roman"/>
          <w:sz w:val="28"/>
          <w:szCs w:val="28"/>
          <w:lang w:val="uk-UA"/>
        </w:rPr>
        <w:t xml:space="preserve"> </w:t>
      </w:r>
      <w:r w:rsidR="00FF66EA" w:rsidRPr="00CE0A20">
        <w:rPr>
          <w:rFonts w:ascii="Times New Roman" w:hAnsi="Times New Roman" w:cs="Times New Roman"/>
          <w:sz w:val="28"/>
          <w:szCs w:val="28"/>
          <w:lang w:val="uk-UA"/>
        </w:rPr>
        <w:t>аспектом</w:t>
      </w:r>
      <w:r w:rsidRPr="00CE0A20">
        <w:rPr>
          <w:rFonts w:ascii="Times New Roman" w:hAnsi="Times New Roman" w:cs="Times New Roman"/>
          <w:sz w:val="28"/>
          <w:szCs w:val="28"/>
          <w:lang w:val="uk-UA"/>
        </w:rPr>
        <w:t xml:space="preserve"> проблеми є гіпогонадизм у чоловіків – зниження концентрації тестостерону в крові. Цей стан найчастіше визначають як «віковий андрогенний дефіцит», хоча загальноприйнятого термін</w:t>
      </w:r>
      <w:r w:rsidR="00E414D4" w:rsidRPr="00CE0A20">
        <w:rPr>
          <w:rFonts w:ascii="Times New Roman" w:hAnsi="Times New Roman" w:cs="Times New Roman"/>
          <w:sz w:val="28"/>
          <w:szCs w:val="28"/>
          <w:lang w:val="uk-UA"/>
        </w:rPr>
        <w:t>а</w:t>
      </w:r>
      <w:r w:rsidRPr="00CE0A20">
        <w:rPr>
          <w:rFonts w:ascii="Times New Roman" w:hAnsi="Times New Roman" w:cs="Times New Roman"/>
          <w:sz w:val="28"/>
          <w:szCs w:val="28"/>
          <w:lang w:val="uk-UA"/>
        </w:rPr>
        <w:t xml:space="preserve"> не існує </w:t>
      </w:r>
      <w:r w:rsidRPr="00CE0A20">
        <w:rPr>
          <w:rFonts w:ascii="Times New Roman" w:hAnsi="Times New Roman" w:cs="Times New Roman"/>
          <w:color w:val="231F20"/>
          <w:sz w:val="28"/>
          <w:szCs w:val="28"/>
          <w:lang w:val="uk-UA"/>
        </w:rPr>
        <w:t>[</w:t>
      </w:r>
      <w:r w:rsidRPr="00CE0A20">
        <w:rPr>
          <w:rFonts w:ascii="Times New Roman" w:hAnsi="Times New Roman" w:cs="Times New Roman"/>
          <w:color w:val="000000" w:themeColor="text1"/>
          <w:sz w:val="28"/>
          <w:szCs w:val="28"/>
          <w:lang w:val="uk-UA"/>
        </w:rPr>
        <w:t>46; 273</w:t>
      </w:r>
      <w:r w:rsidRPr="00CE0A20">
        <w:rPr>
          <w:rFonts w:ascii="Times New Roman" w:hAnsi="Times New Roman" w:cs="Times New Roman"/>
          <w:sz w:val="28"/>
          <w:szCs w:val="28"/>
          <w:lang w:val="uk-UA"/>
        </w:rPr>
        <w:t>]. На цей час гіпогонадизм вважається найбільш поширеним ендокринним розладом у чоловіків</w:t>
      </w:r>
      <w:r w:rsidRPr="00CE0A20">
        <w:rPr>
          <w:rStyle w:val="element-citation"/>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Він виявляється майже у 15% чоловіків ві</w:t>
      </w:r>
      <w:r w:rsidR="00E414D4" w:rsidRPr="00CE0A20">
        <w:rPr>
          <w:rFonts w:ascii="Times New Roman" w:hAnsi="Times New Roman" w:cs="Times New Roman"/>
          <w:sz w:val="28"/>
          <w:szCs w:val="28"/>
          <w:lang w:val="uk-UA"/>
        </w:rPr>
        <w:t>ком</w:t>
      </w:r>
      <w:r w:rsidRPr="00CE0A20">
        <w:rPr>
          <w:rFonts w:ascii="Times New Roman" w:hAnsi="Times New Roman" w:cs="Times New Roman"/>
          <w:sz w:val="28"/>
          <w:szCs w:val="28"/>
          <w:lang w:val="uk-UA"/>
        </w:rPr>
        <w:t xml:space="preserve"> до 40 років, збільшуючись до </w:t>
      </w:r>
      <w:r w:rsidRPr="00CE0A20">
        <w:rPr>
          <w:rFonts w:ascii="Times New Roman" w:hAnsi="Times New Roman" w:cs="Times New Roman"/>
          <w:color w:val="231F20"/>
          <w:sz w:val="28"/>
          <w:szCs w:val="28"/>
          <w:lang w:val="uk-UA"/>
        </w:rPr>
        <w:t xml:space="preserve">40% </w:t>
      </w:r>
      <w:r w:rsidRPr="00CE0A20">
        <w:rPr>
          <w:rFonts w:ascii="Times New Roman" w:hAnsi="Times New Roman" w:cs="Times New Roman"/>
          <w:sz w:val="28"/>
          <w:szCs w:val="28"/>
          <w:lang w:val="uk-UA"/>
        </w:rPr>
        <w:t xml:space="preserve">і </w:t>
      </w:r>
      <w:r w:rsidRPr="00CE0A20">
        <w:rPr>
          <w:rFonts w:ascii="Times New Roman" w:hAnsi="Times New Roman" w:cs="Times New Roman"/>
          <w:color w:val="231F20"/>
          <w:sz w:val="28"/>
          <w:szCs w:val="28"/>
          <w:lang w:val="uk-UA"/>
        </w:rPr>
        <w:t xml:space="preserve">більше у віці більш </w:t>
      </w:r>
      <w:r w:rsidR="00E414D4" w:rsidRPr="00CE0A20">
        <w:rPr>
          <w:rFonts w:ascii="Times New Roman" w:hAnsi="Times New Roman" w:cs="Times New Roman"/>
          <w:color w:val="231F20"/>
          <w:sz w:val="28"/>
          <w:szCs w:val="28"/>
          <w:lang w:val="uk-UA"/>
        </w:rPr>
        <w:t>ніж</w:t>
      </w:r>
      <w:r w:rsidRPr="00CE0A20">
        <w:rPr>
          <w:rFonts w:ascii="Times New Roman" w:hAnsi="Times New Roman" w:cs="Times New Roman"/>
          <w:color w:val="231F20"/>
          <w:sz w:val="28"/>
          <w:szCs w:val="28"/>
          <w:lang w:val="uk-UA"/>
        </w:rPr>
        <w:t xml:space="preserve"> 50 років </w:t>
      </w:r>
      <w:r w:rsidRPr="00CE0A20">
        <w:rPr>
          <w:rFonts w:ascii="Times New Roman" w:hAnsi="Times New Roman" w:cs="Times New Roman"/>
          <w:sz w:val="28"/>
          <w:szCs w:val="28"/>
          <w:lang w:val="uk-UA"/>
        </w:rPr>
        <w:t>[</w:t>
      </w:r>
      <w:r w:rsidRPr="00CE0A20">
        <w:rPr>
          <w:rFonts w:ascii="Times New Roman" w:hAnsi="Times New Roman" w:cs="Times New Roman"/>
          <w:color w:val="000000" w:themeColor="text1"/>
          <w:sz w:val="28"/>
          <w:szCs w:val="28"/>
          <w:lang w:val="uk-UA"/>
        </w:rPr>
        <w:t>114</w:t>
      </w:r>
      <w:r w:rsidRPr="00CE0A20">
        <w:rPr>
          <w:rFonts w:ascii="Times New Roman" w:hAnsi="Times New Roman" w:cs="Times New Roman"/>
          <w:sz w:val="28"/>
          <w:szCs w:val="28"/>
          <w:lang w:val="uk-UA"/>
        </w:rPr>
        <w:t>]. У чоловіків віком 40–79 р. його частота с</w:t>
      </w:r>
      <w:r w:rsidR="00E414D4" w:rsidRPr="00CE0A20">
        <w:rPr>
          <w:rFonts w:ascii="Times New Roman" w:hAnsi="Times New Roman" w:cs="Times New Roman"/>
          <w:sz w:val="28"/>
          <w:szCs w:val="28"/>
          <w:lang w:val="uk-UA"/>
        </w:rPr>
        <w:t>тановить</w:t>
      </w:r>
      <w:r w:rsidRPr="00CE0A20">
        <w:rPr>
          <w:rFonts w:ascii="Times New Roman" w:hAnsi="Times New Roman" w:cs="Times New Roman"/>
          <w:sz w:val="28"/>
          <w:szCs w:val="28"/>
          <w:lang w:val="uk-UA"/>
        </w:rPr>
        <w:t xml:space="preserve"> 30%. [</w:t>
      </w:r>
      <w:r w:rsidRPr="00CE0A20">
        <w:rPr>
          <w:rFonts w:ascii="Times New Roman" w:hAnsi="Times New Roman" w:cs="Times New Roman"/>
          <w:color w:val="000000" w:themeColor="text1"/>
          <w:sz w:val="28"/>
          <w:szCs w:val="28"/>
          <w:lang w:val="uk-UA"/>
        </w:rPr>
        <w:t>354</w:t>
      </w:r>
      <w:r w:rsidRPr="00CE0A20">
        <w:rPr>
          <w:rFonts w:ascii="Times New Roman" w:hAnsi="Times New Roman" w:cs="Times New Roman"/>
          <w:sz w:val="28"/>
          <w:szCs w:val="28"/>
          <w:lang w:val="uk-UA"/>
        </w:rPr>
        <w:t>].</w:t>
      </w:r>
    </w:p>
    <w:p w:rsidR="00EB6EBC" w:rsidRPr="00CE0A20" w:rsidRDefault="00EB6EBC" w:rsidP="00EB6EBC">
      <w:pPr>
        <w:pStyle w:val="230"/>
        <w:widowControl w:val="0"/>
        <w:spacing w:after="0" w:line="360" w:lineRule="auto"/>
        <w:ind w:firstLine="709"/>
        <w:jc w:val="both"/>
        <w:rPr>
          <w:rFonts w:ascii="Times New Roman" w:hAnsi="Times New Roman" w:cs="Times New Roman"/>
          <w:color w:val="000000"/>
          <w:sz w:val="28"/>
          <w:szCs w:val="28"/>
          <w:lang w:val="uk-UA"/>
        </w:rPr>
      </w:pPr>
      <w:r w:rsidRPr="00CE0A20">
        <w:rPr>
          <w:rFonts w:ascii="Times New Roman" w:hAnsi="Times New Roman" w:cs="Times New Roman"/>
          <w:color w:val="231F20"/>
          <w:sz w:val="28"/>
          <w:szCs w:val="28"/>
          <w:lang w:val="uk-UA"/>
        </w:rPr>
        <w:t>Зниження концентрації тестостерону спричиняє</w:t>
      </w:r>
      <w:r w:rsidRPr="00CE0A20">
        <w:rPr>
          <w:rFonts w:ascii="Times New Roman" w:hAnsi="Times New Roman" w:cs="Times New Roman"/>
          <w:color w:val="000000"/>
          <w:sz w:val="28"/>
          <w:szCs w:val="28"/>
          <w:lang w:val="uk-UA"/>
        </w:rPr>
        <w:t xml:space="preserve"> розвиток різноманітних порушень в організмі чоловіка. Найбільш помітним резуль</w:t>
      </w:r>
      <w:r w:rsidRPr="00CE0A20">
        <w:rPr>
          <w:rFonts w:ascii="Times New Roman" w:hAnsi="Times New Roman" w:cs="Times New Roman"/>
          <w:color w:val="000000"/>
          <w:sz w:val="28"/>
          <w:szCs w:val="28"/>
          <w:lang w:val="uk-UA"/>
        </w:rPr>
        <w:softHyphen/>
        <w:t xml:space="preserve">татом дефіциту тестостерону є сексуальні розлади, зокрема, ЕД та безпліддя. Своєю чергою, ЕД та інфертильність є однією з причин безплідних браків, що надає проблемі дефіциту тестостерону великого соціального значення. Для України цей аспект  є особливо важливим у зв’язку з прогресуючим зменшенням населення країни. За даними державної служби статистики України, протягом 2018 р. кількість померлих майже вдвічі перевищила кількість народжених. Ця проблема набуває ще більшої актуальності, якщо враховувати, що зниження концентрації тестостерону </w:t>
      </w:r>
      <w:r w:rsidR="00E414D4" w:rsidRPr="00CE0A20">
        <w:rPr>
          <w:rFonts w:ascii="Times New Roman" w:hAnsi="Times New Roman" w:cs="Times New Roman"/>
          <w:color w:val="000000"/>
          <w:sz w:val="28"/>
          <w:szCs w:val="28"/>
          <w:lang w:val="uk-UA"/>
        </w:rPr>
        <w:t>в</w:t>
      </w:r>
      <w:r w:rsidRPr="00CE0A20">
        <w:rPr>
          <w:rFonts w:ascii="Times New Roman" w:hAnsi="Times New Roman" w:cs="Times New Roman"/>
          <w:color w:val="000000"/>
          <w:sz w:val="28"/>
          <w:szCs w:val="28"/>
          <w:lang w:val="uk-UA"/>
        </w:rPr>
        <w:t xml:space="preserve"> чоловіків відбувається, починаючи з 30–35 років, а серед чоловіків з ЕД та іншими сексуальними розладами з інфертильністю збільшується частка пацієнтів молодого та зрілого віку. Загальносвітові тенденції свідчать, що саме в цьому віці більшість чоловіків одружуються та планують народження дитини, але цьому перешкоджають зазначені проблеми сексуальності та фертильності. Результатом є безплідні шлюби, у 50% яких має значення «чоловічий фактор» [</w:t>
      </w:r>
      <w:r w:rsidRPr="00CE0A20">
        <w:rPr>
          <w:rFonts w:ascii="Times New Roman" w:hAnsi="Times New Roman" w:cs="Times New Roman"/>
          <w:color w:val="000000" w:themeColor="text1"/>
          <w:sz w:val="28"/>
          <w:szCs w:val="28"/>
          <w:lang w:val="uk-UA"/>
        </w:rPr>
        <w:t>61, 85, 98, 100</w:t>
      </w:r>
      <w:r w:rsidRPr="00CE0A20">
        <w:rPr>
          <w:rFonts w:ascii="Times New Roman" w:hAnsi="Times New Roman" w:cs="Times New Roman"/>
          <w:color w:val="000000"/>
          <w:sz w:val="28"/>
          <w:szCs w:val="28"/>
          <w:lang w:val="uk-UA"/>
        </w:rPr>
        <w:t>].</w:t>
      </w:r>
    </w:p>
    <w:p w:rsidR="00EB6EBC" w:rsidRPr="00CE0A20" w:rsidRDefault="00EB6EBC" w:rsidP="00EB6EBC">
      <w:pPr>
        <w:pStyle w:val="230"/>
        <w:widowControl w:val="0"/>
        <w:spacing w:after="0" w:line="360" w:lineRule="auto"/>
        <w:ind w:firstLine="709"/>
        <w:jc w:val="both"/>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 xml:space="preserve">Але сексуальні розлади та інфертильність – це не єдиний наслідок дефіциту тестостерону. </w:t>
      </w:r>
      <w:r w:rsidR="00A339FE" w:rsidRPr="00CE0A20">
        <w:rPr>
          <w:rFonts w:ascii="Times New Roman" w:hAnsi="Times New Roman" w:cs="Times New Roman"/>
          <w:color w:val="000000"/>
          <w:sz w:val="28"/>
          <w:szCs w:val="28"/>
          <w:lang w:val="uk-UA"/>
        </w:rPr>
        <w:t xml:space="preserve">З огляду на </w:t>
      </w:r>
      <w:r w:rsidRPr="00CE0A20">
        <w:rPr>
          <w:rFonts w:ascii="Times New Roman" w:hAnsi="Times New Roman" w:cs="Times New Roman"/>
          <w:color w:val="000000"/>
          <w:sz w:val="28"/>
          <w:szCs w:val="28"/>
          <w:lang w:val="uk-UA"/>
        </w:rPr>
        <w:t>участ</w:t>
      </w:r>
      <w:r w:rsidR="00A339FE" w:rsidRPr="00CE0A20">
        <w:rPr>
          <w:rFonts w:ascii="Times New Roman" w:hAnsi="Times New Roman" w:cs="Times New Roman"/>
          <w:color w:val="000000"/>
          <w:sz w:val="28"/>
          <w:szCs w:val="28"/>
          <w:lang w:val="uk-UA"/>
        </w:rPr>
        <w:t>ь</w:t>
      </w:r>
      <w:r w:rsidRPr="00CE0A20">
        <w:rPr>
          <w:rFonts w:ascii="Times New Roman" w:hAnsi="Times New Roman" w:cs="Times New Roman"/>
          <w:color w:val="000000"/>
          <w:sz w:val="28"/>
          <w:szCs w:val="28"/>
          <w:lang w:val="uk-UA"/>
        </w:rPr>
        <w:t xml:space="preserve"> тестостерону у багатьох метаболічних процесах, його дефіцит є причиною або наслідком багатьох патологічних станів. Найчастіше гіпогонадизм асоціюється з ЦД, ожирінням та метаболічним синдромом. З’ясовано</w:t>
      </w:r>
      <w:r w:rsidRPr="00CE0A20">
        <w:rPr>
          <w:rStyle w:val="mixed-citation"/>
          <w:rFonts w:ascii="Times New Roman" w:hAnsi="Times New Roman" w:cs="Times New Roman"/>
          <w:color w:val="000000"/>
          <w:sz w:val="28"/>
          <w:szCs w:val="28"/>
          <w:lang w:val="uk-UA"/>
        </w:rPr>
        <w:t>, що зменшення рівня тестостерону є фактором ризику розвитку ЦД, інсулінорезистен</w:t>
      </w:r>
      <w:r w:rsidR="00E414D4" w:rsidRPr="00CE0A20">
        <w:rPr>
          <w:rStyle w:val="mixed-citation"/>
          <w:rFonts w:ascii="Times New Roman" w:hAnsi="Times New Roman" w:cs="Times New Roman"/>
          <w:color w:val="000000"/>
          <w:sz w:val="28"/>
          <w:szCs w:val="28"/>
          <w:lang w:val="uk-UA"/>
        </w:rPr>
        <w:t>тн</w:t>
      </w:r>
      <w:r w:rsidRPr="00CE0A20">
        <w:rPr>
          <w:rStyle w:val="mixed-citation"/>
          <w:rFonts w:ascii="Times New Roman" w:hAnsi="Times New Roman" w:cs="Times New Roman"/>
          <w:color w:val="000000"/>
          <w:sz w:val="28"/>
          <w:szCs w:val="28"/>
          <w:lang w:val="uk-UA"/>
        </w:rPr>
        <w:t>ості та ожиріння [</w:t>
      </w:r>
      <w:r w:rsidRPr="00CE0A20">
        <w:rPr>
          <w:rStyle w:val="mixed-citation"/>
          <w:rFonts w:ascii="Times New Roman" w:hAnsi="Times New Roman" w:cs="Times New Roman"/>
          <w:color w:val="000000" w:themeColor="text1"/>
          <w:sz w:val="28"/>
          <w:szCs w:val="28"/>
          <w:lang w:val="uk-UA"/>
        </w:rPr>
        <w:t xml:space="preserve">227, </w:t>
      </w:r>
      <w:r w:rsidRPr="00CE0A20">
        <w:rPr>
          <w:rFonts w:ascii="Times New Roman" w:hAnsi="Times New Roman" w:cs="Times New Roman"/>
          <w:color w:val="000000" w:themeColor="text1"/>
          <w:sz w:val="28"/>
          <w:szCs w:val="28"/>
          <w:lang w:val="uk-UA"/>
        </w:rPr>
        <w:t>268</w:t>
      </w:r>
      <w:r w:rsidRPr="00CE0A20">
        <w:rPr>
          <w:rFonts w:ascii="Times New Roman" w:hAnsi="Times New Roman" w:cs="Times New Roman"/>
          <w:color w:val="000000"/>
          <w:sz w:val="28"/>
          <w:szCs w:val="28"/>
          <w:lang w:val="uk-UA"/>
        </w:rPr>
        <w:t>]. Гіпогонадизм виявля</w:t>
      </w:r>
      <w:r w:rsidR="00E414D4" w:rsidRPr="00CE0A20">
        <w:rPr>
          <w:rFonts w:ascii="Times New Roman" w:hAnsi="Times New Roman" w:cs="Times New Roman"/>
          <w:color w:val="000000"/>
          <w:sz w:val="28"/>
          <w:szCs w:val="28"/>
          <w:lang w:val="uk-UA"/>
        </w:rPr>
        <w:t>ю</w:t>
      </w:r>
      <w:r w:rsidRPr="00CE0A20">
        <w:rPr>
          <w:rFonts w:ascii="Times New Roman" w:hAnsi="Times New Roman" w:cs="Times New Roman"/>
          <w:color w:val="000000"/>
          <w:sz w:val="28"/>
          <w:szCs w:val="28"/>
          <w:lang w:val="uk-UA"/>
        </w:rPr>
        <w:t>ть у 30–50% пацієнтів з ЦД 2-го типу [</w:t>
      </w:r>
      <w:r w:rsidRPr="00CE0A20">
        <w:rPr>
          <w:rFonts w:ascii="Times New Roman" w:hAnsi="Times New Roman" w:cs="Times New Roman"/>
          <w:color w:val="000000" w:themeColor="text1"/>
          <w:sz w:val="28"/>
          <w:szCs w:val="28"/>
          <w:lang w:val="uk-UA"/>
        </w:rPr>
        <w:t xml:space="preserve">176; </w:t>
      </w:r>
      <w:r w:rsidRPr="00CE0A20">
        <w:rPr>
          <w:rStyle w:val="element-citation"/>
          <w:rFonts w:ascii="Times New Roman" w:hAnsi="Times New Roman" w:cs="Times New Roman"/>
          <w:color w:val="000000" w:themeColor="text1"/>
          <w:sz w:val="28"/>
          <w:szCs w:val="28"/>
          <w:lang w:val="uk-UA"/>
        </w:rPr>
        <w:t>336</w:t>
      </w:r>
      <w:r w:rsidRPr="00CE0A20">
        <w:rPr>
          <w:rFonts w:ascii="Times New Roman" w:hAnsi="Times New Roman" w:cs="Times New Roman"/>
          <w:color w:val="000000"/>
          <w:sz w:val="28"/>
          <w:szCs w:val="28"/>
          <w:lang w:val="uk-UA"/>
        </w:rPr>
        <w:t>], та, навпаки, дефіцит тестостерону вважається предиктором його розвитку [</w:t>
      </w:r>
      <w:r w:rsidRPr="00CE0A20">
        <w:rPr>
          <w:rFonts w:ascii="Times New Roman" w:hAnsi="Times New Roman" w:cs="Times New Roman"/>
          <w:color w:val="000000" w:themeColor="text1"/>
          <w:sz w:val="28"/>
          <w:szCs w:val="28"/>
          <w:lang w:val="uk-UA"/>
        </w:rPr>
        <w:t xml:space="preserve">[172, </w:t>
      </w:r>
      <w:r w:rsidRPr="00CE0A20">
        <w:rPr>
          <w:rStyle w:val="mixed-citation"/>
          <w:rFonts w:ascii="Times New Roman" w:hAnsi="Times New Roman" w:cs="Times New Roman"/>
          <w:color w:val="000000" w:themeColor="text1"/>
          <w:sz w:val="28"/>
          <w:szCs w:val="28"/>
          <w:lang w:val="uk-UA"/>
        </w:rPr>
        <w:t>176</w:t>
      </w:r>
      <w:r w:rsidRPr="00CE0A20">
        <w:rPr>
          <w:rStyle w:val="mixed-citation"/>
          <w:rFonts w:ascii="Times New Roman" w:hAnsi="Times New Roman" w:cs="Times New Roman"/>
          <w:color w:val="000000"/>
          <w:sz w:val="28"/>
          <w:szCs w:val="28"/>
          <w:lang w:val="uk-UA"/>
        </w:rPr>
        <w:t>]. Цей зв’язок посилюється за наявності у хворих з ЦД 2-го типу ожиріння [</w:t>
      </w:r>
      <w:r w:rsidRPr="00CE0A20">
        <w:rPr>
          <w:rStyle w:val="mixed-citation"/>
          <w:rFonts w:ascii="Times New Roman" w:hAnsi="Times New Roman" w:cs="Times New Roman"/>
          <w:color w:val="000000" w:themeColor="text1"/>
          <w:sz w:val="28"/>
          <w:szCs w:val="28"/>
          <w:lang w:val="uk-UA"/>
        </w:rPr>
        <w:t xml:space="preserve">134, </w:t>
      </w:r>
      <w:r w:rsidRPr="00CE0A20">
        <w:rPr>
          <w:rFonts w:ascii="Times New Roman" w:hAnsi="Times New Roman" w:cs="Times New Roman"/>
          <w:color w:val="000000" w:themeColor="text1"/>
          <w:sz w:val="28"/>
          <w:szCs w:val="28"/>
          <w:lang w:val="uk-UA"/>
        </w:rPr>
        <w:t>285</w:t>
      </w:r>
      <w:r w:rsidRPr="00CE0A20">
        <w:rPr>
          <w:rFonts w:ascii="Times New Roman" w:hAnsi="Times New Roman" w:cs="Times New Roman"/>
          <w:color w:val="000000"/>
          <w:sz w:val="28"/>
          <w:szCs w:val="28"/>
          <w:lang w:val="uk-UA"/>
        </w:rPr>
        <w:t>]. У хворих з ожирінням І ст. гіпогонадизм виявляється у 25–30% випадків та у всіх пацієнтів з ожирінням ІІІ ст. [</w:t>
      </w:r>
      <w:r w:rsidRPr="00CE0A20">
        <w:rPr>
          <w:rFonts w:ascii="Times New Roman" w:hAnsi="Times New Roman" w:cs="Times New Roman"/>
          <w:color w:val="000000" w:themeColor="text1"/>
          <w:sz w:val="28"/>
          <w:szCs w:val="28"/>
          <w:lang w:val="uk-UA"/>
        </w:rPr>
        <w:t>114</w:t>
      </w:r>
      <w:r w:rsidRPr="00CE0A20">
        <w:rPr>
          <w:rFonts w:ascii="Times New Roman" w:hAnsi="Times New Roman" w:cs="Times New Roman"/>
          <w:color w:val="000000"/>
          <w:sz w:val="28"/>
          <w:szCs w:val="28"/>
          <w:lang w:val="uk-UA"/>
        </w:rPr>
        <w:t>]. Наслідком андрогенного дефіциту є ендотеліальна дисфункція, яка впливає на структуру артеріальних судин [</w:t>
      </w:r>
      <w:r w:rsidRPr="00CE0A20">
        <w:rPr>
          <w:rFonts w:ascii="Times New Roman" w:eastAsia="Times New Roman" w:hAnsi="Times New Roman" w:cs="Times New Roman"/>
          <w:color w:val="000000" w:themeColor="text1"/>
          <w:sz w:val="28"/>
          <w:szCs w:val="28"/>
          <w:lang w:val="uk-UA"/>
        </w:rPr>
        <w:t>117</w:t>
      </w:r>
      <w:r w:rsidRPr="00CE0A20">
        <w:rPr>
          <w:rFonts w:ascii="Times New Roman" w:hAnsi="Times New Roman" w:cs="Times New Roman"/>
          <w:color w:val="000000"/>
          <w:sz w:val="28"/>
          <w:szCs w:val="28"/>
          <w:lang w:val="uk-UA"/>
        </w:rPr>
        <w:t xml:space="preserve">].Таким чином, проблема гіпогонадизму та ЕД  набула широкого мультидисциплінарного значення, що стосується не тільки лікарів-урологів та андрологів, але й багатьох інших спеціалістів. </w:t>
      </w:r>
    </w:p>
    <w:p w:rsidR="00EB6EBC" w:rsidRPr="00CE0A20" w:rsidRDefault="00EB6EBC" w:rsidP="00EB6EBC">
      <w:pPr>
        <w:pStyle w:val="230"/>
        <w:widowControl w:val="0"/>
        <w:spacing w:after="0" w:line="360" w:lineRule="auto"/>
        <w:ind w:firstLine="709"/>
        <w:jc w:val="both"/>
        <w:rPr>
          <w:rFonts w:ascii="Times New Roman" w:hAnsi="Times New Roman" w:cs="Times New Roman"/>
          <w:sz w:val="28"/>
          <w:szCs w:val="28"/>
          <w:lang w:val="uk-UA"/>
        </w:rPr>
      </w:pPr>
      <w:r w:rsidRPr="00CE0A20">
        <w:rPr>
          <w:rStyle w:val="mixed-citation"/>
          <w:rFonts w:ascii="Times New Roman" w:hAnsi="Times New Roman" w:cs="Times New Roman"/>
          <w:color w:val="000000"/>
          <w:sz w:val="28"/>
          <w:szCs w:val="28"/>
          <w:lang w:val="uk-UA"/>
        </w:rPr>
        <w:t xml:space="preserve">У лікуванні ЕД </w:t>
      </w:r>
      <w:r w:rsidR="00E414D4" w:rsidRPr="00CE0A20">
        <w:rPr>
          <w:rStyle w:val="mixed-citation"/>
          <w:rFonts w:ascii="Times New Roman" w:hAnsi="Times New Roman" w:cs="Times New Roman"/>
          <w:color w:val="000000"/>
          <w:sz w:val="28"/>
          <w:szCs w:val="28"/>
          <w:lang w:val="uk-UA"/>
        </w:rPr>
        <w:t xml:space="preserve">упродовж </w:t>
      </w:r>
      <w:r w:rsidRPr="00CE0A20">
        <w:rPr>
          <w:rStyle w:val="mixed-citation"/>
          <w:rFonts w:ascii="Times New Roman" w:hAnsi="Times New Roman" w:cs="Times New Roman"/>
          <w:color w:val="000000"/>
          <w:sz w:val="28"/>
          <w:szCs w:val="28"/>
          <w:lang w:val="uk-UA"/>
        </w:rPr>
        <w:t>останні</w:t>
      </w:r>
      <w:r w:rsidR="00E414D4" w:rsidRPr="00CE0A20">
        <w:rPr>
          <w:rStyle w:val="mixed-citation"/>
          <w:rFonts w:ascii="Times New Roman" w:hAnsi="Times New Roman" w:cs="Times New Roman"/>
          <w:color w:val="000000"/>
          <w:sz w:val="28"/>
          <w:szCs w:val="28"/>
          <w:lang w:val="uk-UA"/>
        </w:rPr>
        <w:t>х</w:t>
      </w:r>
      <w:r w:rsidRPr="00CE0A20">
        <w:rPr>
          <w:rStyle w:val="mixed-citation"/>
          <w:rFonts w:ascii="Times New Roman" w:hAnsi="Times New Roman" w:cs="Times New Roman"/>
          <w:color w:val="000000"/>
          <w:sz w:val="28"/>
          <w:szCs w:val="28"/>
          <w:lang w:val="uk-UA"/>
        </w:rPr>
        <w:t xml:space="preserve"> десятиріч досягнуто великих успіхів завдяки впровадженню інгібіторів фосфодіестерази-5 (ФДЕ-5) [</w:t>
      </w:r>
      <w:r w:rsidRPr="00CE0A20">
        <w:rPr>
          <w:rFonts w:ascii="Times New Roman" w:hAnsi="Times New Roman" w:cs="Times New Roman"/>
          <w:color w:val="000000" w:themeColor="text1"/>
          <w:sz w:val="28"/>
          <w:szCs w:val="28"/>
          <w:lang w:val="uk-UA"/>
        </w:rPr>
        <w:t>45</w:t>
      </w:r>
      <w:r w:rsidRPr="00CE0A20">
        <w:rPr>
          <w:rFonts w:ascii="Times New Roman" w:hAnsi="Times New Roman" w:cs="Times New Roman"/>
          <w:color w:val="000000" w:themeColor="text1"/>
          <w:sz w:val="28"/>
          <w:szCs w:val="28"/>
          <w:shd w:val="clear" w:color="auto" w:fill="F9F9F9"/>
          <w:lang w:val="uk-UA"/>
        </w:rPr>
        <w:t>, 57</w:t>
      </w:r>
      <w:r w:rsidRPr="00CE0A20">
        <w:rPr>
          <w:rFonts w:ascii="Times New Roman" w:hAnsi="Times New Roman" w:cs="Times New Roman"/>
          <w:color w:val="000000"/>
          <w:sz w:val="28"/>
          <w:szCs w:val="28"/>
          <w:shd w:val="clear" w:color="auto" w:fill="F9F9F9"/>
          <w:lang w:val="uk-UA"/>
        </w:rPr>
        <w:t>]</w:t>
      </w:r>
      <w:r w:rsidRPr="00CE0A20">
        <w:rPr>
          <w:rStyle w:val="mixed-citation"/>
          <w:rFonts w:ascii="Times New Roman" w:hAnsi="Times New Roman" w:cs="Times New Roman"/>
          <w:color w:val="000000"/>
          <w:sz w:val="28"/>
          <w:szCs w:val="28"/>
          <w:lang w:val="uk-UA"/>
        </w:rPr>
        <w:t>. На сьогодні ефективність цих препаратів доведена в багатьох клінічних дослідженнях [</w:t>
      </w:r>
      <w:r w:rsidRPr="00CE0A20">
        <w:rPr>
          <w:rFonts w:ascii="Times New Roman" w:hAnsi="Times New Roman" w:cs="Times New Roman"/>
          <w:color w:val="000000" w:themeColor="text1"/>
          <w:sz w:val="28"/>
          <w:szCs w:val="28"/>
          <w:lang w:val="uk-UA"/>
        </w:rPr>
        <w:t>110, 164, 176</w:t>
      </w:r>
      <w:r w:rsidRPr="00CE0A20">
        <w:rPr>
          <w:rFonts w:ascii="Times New Roman" w:hAnsi="Times New Roman" w:cs="Times New Roman"/>
          <w:color w:val="000000"/>
          <w:sz w:val="28"/>
          <w:szCs w:val="28"/>
          <w:lang w:val="uk-UA"/>
        </w:rPr>
        <w:t xml:space="preserve">], </w:t>
      </w:r>
      <w:r w:rsidRPr="00CE0A20">
        <w:rPr>
          <w:rStyle w:val="mixed-citation"/>
          <w:rFonts w:ascii="Times New Roman" w:hAnsi="Times New Roman" w:cs="Times New Roman"/>
          <w:color w:val="000000"/>
          <w:sz w:val="28"/>
          <w:szCs w:val="28"/>
          <w:lang w:val="uk-UA"/>
        </w:rPr>
        <w:t xml:space="preserve">і вони вважаються «золотим стандартом» лікування ЕД  </w:t>
      </w:r>
      <w:r w:rsidRPr="00CE0A20">
        <w:rPr>
          <w:rFonts w:ascii="Times New Roman" w:hAnsi="Times New Roman" w:cs="Times New Roman"/>
          <w:color w:val="000000"/>
          <w:sz w:val="28"/>
          <w:szCs w:val="28"/>
          <w:lang w:val="uk-UA"/>
        </w:rPr>
        <w:t>[</w:t>
      </w:r>
      <w:r w:rsidRPr="00CE0A20">
        <w:rPr>
          <w:rFonts w:ascii="Times New Roman" w:hAnsi="Times New Roman" w:cs="Times New Roman"/>
          <w:color w:val="000000" w:themeColor="text1"/>
          <w:sz w:val="28"/>
          <w:szCs w:val="28"/>
          <w:lang w:val="uk-UA"/>
        </w:rPr>
        <w:t>96, 233</w:t>
      </w:r>
      <w:r w:rsidRPr="00CE0A20">
        <w:rPr>
          <w:rFonts w:ascii="Times New Roman" w:hAnsi="Times New Roman" w:cs="Times New Roman"/>
          <w:sz w:val="28"/>
          <w:szCs w:val="28"/>
          <w:lang w:val="uk-UA"/>
        </w:rPr>
        <w:t>]. Однак у деяких пацієнтів монотерапія інгібіторами ФДЕ-5 виявляється неефективною, зокрема, за наявності дефіциту тестостерону [</w:t>
      </w:r>
      <w:r w:rsidRPr="00CE0A20">
        <w:rPr>
          <w:rFonts w:ascii="Times New Roman" w:hAnsi="Times New Roman" w:cs="Times New Roman"/>
          <w:color w:val="000000" w:themeColor="text1"/>
          <w:sz w:val="28"/>
          <w:szCs w:val="28"/>
          <w:lang w:val="uk-UA"/>
        </w:rPr>
        <w:t>160, 211</w:t>
      </w:r>
      <w:r w:rsidRPr="00CE0A20">
        <w:rPr>
          <w:rFonts w:ascii="Times New Roman" w:hAnsi="Times New Roman" w:cs="Times New Roman"/>
          <w:sz w:val="28"/>
          <w:szCs w:val="28"/>
          <w:lang w:val="uk-UA"/>
        </w:rPr>
        <w:t xml:space="preserve">]. </w:t>
      </w:r>
      <w:r w:rsidR="00E414D4" w:rsidRPr="00CE0A20">
        <w:rPr>
          <w:rFonts w:ascii="Times New Roman" w:hAnsi="Times New Roman" w:cs="Times New Roman"/>
          <w:sz w:val="28"/>
          <w:szCs w:val="28"/>
          <w:lang w:val="uk-UA"/>
        </w:rPr>
        <w:t>У</w:t>
      </w:r>
      <w:r w:rsidRPr="00CE0A20">
        <w:rPr>
          <w:rFonts w:ascii="Times New Roman" w:hAnsi="Times New Roman" w:cs="Times New Roman"/>
          <w:sz w:val="28"/>
          <w:szCs w:val="28"/>
          <w:lang w:val="uk-UA"/>
        </w:rPr>
        <w:t xml:space="preserve"> цих випадках виявилось ефективним застосування інгібіторів ФДЕ-5 одночас</w:t>
      </w:r>
      <w:r w:rsidR="00E414D4" w:rsidRPr="00CE0A20">
        <w:rPr>
          <w:rFonts w:ascii="Times New Roman" w:hAnsi="Times New Roman" w:cs="Times New Roman"/>
          <w:sz w:val="28"/>
          <w:szCs w:val="28"/>
          <w:lang w:val="uk-UA"/>
        </w:rPr>
        <w:t>но</w:t>
      </w:r>
      <w:r w:rsidRPr="00CE0A20">
        <w:rPr>
          <w:rFonts w:ascii="Times New Roman" w:hAnsi="Times New Roman" w:cs="Times New Roman"/>
          <w:sz w:val="28"/>
          <w:szCs w:val="28"/>
          <w:lang w:val="uk-UA"/>
        </w:rPr>
        <w:t xml:space="preserve"> із гормон-замісною терапією (ГЗТ) тестостероном [</w:t>
      </w:r>
      <w:r w:rsidRPr="00CE0A20">
        <w:rPr>
          <w:rFonts w:ascii="Times New Roman" w:hAnsi="Times New Roman" w:cs="Times New Roman"/>
          <w:color w:val="000000" w:themeColor="text1"/>
          <w:sz w:val="28"/>
          <w:szCs w:val="28"/>
          <w:lang w:val="uk-UA"/>
        </w:rPr>
        <w:t>135, 160</w:t>
      </w:r>
      <w:r w:rsidRPr="00CE0A20">
        <w:rPr>
          <w:rFonts w:ascii="Times New Roman" w:hAnsi="Times New Roman" w:cs="Times New Roman"/>
          <w:sz w:val="28"/>
          <w:szCs w:val="28"/>
          <w:lang w:val="uk-UA"/>
        </w:rPr>
        <w:t>].</w:t>
      </w:r>
    </w:p>
    <w:p w:rsidR="00EB6EBC" w:rsidRPr="00CE0A20" w:rsidRDefault="00EB6EBC" w:rsidP="00EB6EBC">
      <w:pPr>
        <w:pStyle w:val="230"/>
        <w:widowControl w:val="0"/>
        <w:spacing w:after="0" w:line="360" w:lineRule="auto"/>
        <w:ind w:firstLine="709"/>
        <w:jc w:val="both"/>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ГЗТ з використанням екзогенного тестостерону має позитивний вплив не тільки на нормалізацію рівня гормону в крові, але й на усунення сексуальних розладів, на покращення перебігу ЦД, ожиріння, метаболічного синдрому, інсулінорезистентності, порушень ліпідного обміну [</w:t>
      </w:r>
      <w:r w:rsidRPr="00CE0A20">
        <w:rPr>
          <w:rFonts w:ascii="Times New Roman" w:hAnsi="Times New Roman" w:cs="Times New Roman"/>
          <w:color w:val="000000" w:themeColor="text1"/>
          <w:sz w:val="28"/>
          <w:szCs w:val="28"/>
          <w:lang w:val="uk-UA"/>
        </w:rPr>
        <w:t>, 122, 227,  203</w:t>
      </w:r>
      <w:r w:rsidRPr="00CE0A20">
        <w:rPr>
          <w:rFonts w:ascii="Times New Roman" w:hAnsi="Times New Roman" w:cs="Times New Roman"/>
          <w:color w:val="000000"/>
          <w:sz w:val="28"/>
          <w:szCs w:val="28"/>
          <w:lang w:val="uk-UA"/>
        </w:rPr>
        <w:t>]. Лікування тестостероном чоловіків з гіпогонадизмом протягом 12 місяців сприяло нормалізації сексуальної та еректильної функції  [</w:t>
      </w:r>
      <w:r w:rsidRPr="00CE0A20">
        <w:rPr>
          <w:rFonts w:ascii="Times New Roman" w:hAnsi="Times New Roman" w:cs="Times New Roman"/>
          <w:color w:val="000000" w:themeColor="text1"/>
          <w:sz w:val="28"/>
          <w:szCs w:val="28"/>
          <w:lang w:val="uk-UA"/>
        </w:rPr>
        <w:t>368</w:t>
      </w:r>
      <w:r w:rsidRPr="00CE0A20">
        <w:rPr>
          <w:rFonts w:ascii="Times New Roman" w:hAnsi="Times New Roman" w:cs="Times New Roman"/>
          <w:color w:val="000000"/>
          <w:sz w:val="28"/>
          <w:szCs w:val="28"/>
          <w:lang w:val="uk-UA"/>
        </w:rPr>
        <w:t>]. Але ГЗТ має певні незручності для хворого та обмеження, пов’язані з побічною дією та наявністю протипоказань до застосування тестостерону [</w:t>
      </w:r>
      <w:r w:rsidRPr="00CE0A20">
        <w:rPr>
          <w:rStyle w:val="element-citation"/>
          <w:rFonts w:ascii="Times New Roman" w:hAnsi="Times New Roman" w:cs="Times New Roman"/>
          <w:color w:val="000000" w:themeColor="text1"/>
          <w:sz w:val="28"/>
          <w:szCs w:val="28"/>
          <w:lang w:val="uk-UA"/>
        </w:rPr>
        <w:t>256, 376</w:t>
      </w:r>
      <w:r w:rsidRPr="00CE0A20">
        <w:rPr>
          <w:rStyle w:val="element-citation"/>
          <w:rFonts w:ascii="Times New Roman" w:hAnsi="Times New Roman" w:cs="Times New Roman"/>
          <w:color w:val="000000"/>
          <w:sz w:val="28"/>
          <w:szCs w:val="28"/>
          <w:lang w:val="uk-UA"/>
        </w:rPr>
        <w:t xml:space="preserve">]. До того ж, підвищення рівня тестостерону в крові за допомогою екзогенного препарату спричиняє подальше пригнічення функції яєчок та не рекомендується при бажанні зберегти фертильність. Тому цей метод не є оптимальним для лікування чоловічого безпліддя </w:t>
      </w:r>
      <w:r w:rsidRPr="00CE0A20">
        <w:rPr>
          <w:rFonts w:ascii="Times New Roman" w:hAnsi="Times New Roman" w:cs="Times New Roman"/>
          <w:color w:val="000000"/>
          <w:sz w:val="28"/>
          <w:szCs w:val="28"/>
          <w:lang w:val="uk-UA"/>
        </w:rPr>
        <w:t>[</w:t>
      </w:r>
      <w:r w:rsidRPr="00CE0A20">
        <w:rPr>
          <w:rFonts w:ascii="Times New Roman" w:hAnsi="Times New Roman" w:cs="Times New Roman"/>
          <w:color w:val="000000" w:themeColor="text1"/>
          <w:sz w:val="28"/>
          <w:szCs w:val="28"/>
          <w:lang w:val="uk-UA"/>
        </w:rPr>
        <w:t>152, 196</w:t>
      </w:r>
      <w:r w:rsidRPr="00CE0A20">
        <w:rPr>
          <w:rFonts w:ascii="Times New Roman" w:hAnsi="Times New Roman" w:cs="Times New Roman"/>
          <w:color w:val="000000"/>
          <w:sz w:val="28"/>
          <w:szCs w:val="28"/>
          <w:lang w:val="uk-UA"/>
        </w:rPr>
        <w:t>].</w:t>
      </w:r>
    </w:p>
    <w:p w:rsidR="00EB6EBC" w:rsidRPr="00CE0A20" w:rsidRDefault="00EB6EBC" w:rsidP="00EB6EBC">
      <w:pPr>
        <w:pStyle w:val="230"/>
        <w:widowControl w:val="0"/>
        <w:spacing w:after="0" w:line="360" w:lineRule="auto"/>
        <w:ind w:firstLine="709"/>
        <w:jc w:val="both"/>
        <w:rPr>
          <w:rStyle w:val="element-citation"/>
          <w:rFonts w:ascii="Times New Roman" w:hAnsi="Times New Roman" w:cs="Times New Roman"/>
          <w:sz w:val="28"/>
          <w:szCs w:val="28"/>
          <w:lang w:val="uk-UA"/>
        </w:rPr>
      </w:pPr>
      <w:r w:rsidRPr="00CE0A20">
        <w:rPr>
          <w:rFonts w:ascii="Times New Roman" w:hAnsi="Times New Roman" w:cs="Times New Roman"/>
          <w:color w:val="000000"/>
          <w:sz w:val="28"/>
          <w:szCs w:val="28"/>
          <w:lang w:val="uk-UA"/>
        </w:rPr>
        <w:t>Більш фізіологічним та патогенетично виправданим слід вважати метод, спрямований на відновлення функціонально-активних стероїдогенних клітин Лейдіга, що знаходяться в паренхімі яєчок та є основним джерелом тестостерону в організмі чоловіків [</w:t>
      </w:r>
      <w:r w:rsidRPr="00CE0A20">
        <w:rPr>
          <w:rFonts w:ascii="Times New Roman" w:hAnsi="Times New Roman" w:cs="Times New Roman"/>
          <w:color w:val="000000" w:themeColor="text1"/>
          <w:sz w:val="28"/>
          <w:szCs w:val="28"/>
          <w:lang w:val="uk-UA"/>
        </w:rPr>
        <w:t xml:space="preserve">181,  </w:t>
      </w:r>
      <w:r w:rsidRPr="00CE0A20">
        <w:rPr>
          <w:rStyle w:val="element-citation"/>
          <w:rFonts w:ascii="Times New Roman" w:hAnsi="Times New Roman" w:cs="Times New Roman"/>
          <w:color w:val="000000" w:themeColor="text1"/>
          <w:sz w:val="28"/>
          <w:szCs w:val="28"/>
          <w:lang w:val="uk-UA"/>
        </w:rPr>
        <w:t>269,  335</w:t>
      </w:r>
      <w:r w:rsidRPr="00CE0A20">
        <w:rPr>
          <w:rStyle w:val="element-citation"/>
          <w:rFonts w:ascii="Times New Roman" w:hAnsi="Times New Roman" w:cs="Times New Roman"/>
          <w:color w:val="000000"/>
          <w:sz w:val="28"/>
          <w:szCs w:val="28"/>
          <w:lang w:val="uk-UA"/>
        </w:rPr>
        <w:t>]. Відомо, що вони утворюються зі стовбурових клітин, які знаходяться в інтерстиціальному просторі дорослих яєчок уздовж сім’яних протоків та судин та диференціюються у функціональні клітини під впливом різноманітних факторів [</w:t>
      </w:r>
      <w:r w:rsidRPr="00CE0A20">
        <w:rPr>
          <w:rStyle w:val="element-citation"/>
          <w:rFonts w:ascii="Times New Roman" w:hAnsi="Times New Roman" w:cs="Times New Roman"/>
          <w:color w:val="000000" w:themeColor="text1"/>
          <w:sz w:val="28"/>
          <w:szCs w:val="28"/>
          <w:lang w:val="uk-UA"/>
        </w:rPr>
        <w:t>269, 335</w:t>
      </w:r>
      <w:r w:rsidRPr="00CE0A20">
        <w:rPr>
          <w:rStyle w:val="element-citation"/>
          <w:rFonts w:ascii="Times New Roman" w:hAnsi="Times New Roman" w:cs="Times New Roman"/>
          <w:color w:val="000000"/>
          <w:sz w:val="28"/>
          <w:szCs w:val="28"/>
          <w:lang w:val="uk-UA"/>
        </w:rPr>
        <w:t xml:space="preserve">]. При андроген-дефіцитних станах регенераторний потенціал яєчок знижений, завдяки чому зменшується кількість клітин Лейдіга та, відповідно, зменшується рівень тестостерону. </w:t>
      </w:r>
    </w:p>
    <w:p w:rsidR="00EB6EBC" w:rsidRPr="00CE0A20" w:rsidRDefault="00EB6EBC" w:rsidP="00EB6EBC">
      <w:pPr>
        <w:pStyle w:val="230"/>
        <w:widowControl w:val="0"/>
        <w:spacing w:after="0" w:line="360" w:lineRule="auto"/>
        <w:ind w:firstLine="709"/>
        <w:jc w:val="both"/>
        <w:rPr>
          <w:rFonts w:ascii="Times New Roman" w:hAnsi="Times New Roman" w:cs="Times New Roman"/>
          <w:sz w:val="28"/>
          <w:szCs w:val="28"/>
          <w:lang w:val="uk-UA"/>
        </w:rPr>
      </w:pPr>
      <w:r w:rsidRPr="00CE0A20">
        <w:rPr>
          <w:rStyle w:val="element-citation"/>
          <w:rFonts w:ascii="Times New Roman" w:hAnsi="Times New Roman" w:cs="Times New Roman"/>
          <w:color w:val="000000"/>
          <w:sz w:val="28"/>
          <w:szCs w:val="28"/>
          <w:lang w:val="uk-UA"/>
        </w:rPr>
        <w:t>Найбільш перспективною в лікувальній стратегії в таких випадках є клітинна терапія із застосуванням аутологічних клітин строми кісткового мозку (КСКМ). Регенераційний потенціал КСКМ пов’язаний з їх плюрипотентністю – можливістю диференціювання в будь-які клітини організму людини під впливом відповідних стимулюючих факторів. Цей метод знайшов теоретичне та експериментальне обґрунтування та впроваджений в практику при багатьох захворюваннях. В експерименті доведено ефективність застосування стовбурових клітин для відновлення клітин Лейдіга при андрогенному дефіциті [</w:t>
      </w:r>
      <w:r w:rsidRPr="00CE0A20">
        <w:rPr>
          <w:rFonts w:ascii="Times New Roman" w:hAnsi="Times New Roman" w:cs="Times New Roman"/>
          <w:color w:val="000000" w:themeColor="text1"/>
          <w:sz w:val="28"/>
          <w:szCs w:val="28"/>
          <w:lang w:val="uk-UA"/>
        </w:rPr>
        <w:t xml:space="preserve">93,  </w:t>
      </w:r>
      <w:r w:rsidRPr="00CE0A20">
        <w:rPr>
          <w:rFonts w:ascii="Times New Roman" w:eastAsia="Times New Roman" w:hAnsi="Times New Roman" w:cs="Times New Roman"/>
          <w:color w:val="000000" w:themeColor="text1"/>
          <w:sz w:val="28"/>
          <w:szCs w:val="28"/>
          <w:lang w:val="uk-UA"/>
        </w:rPr>
        <w:t xml:space="preserve">146, </w:t>
      </w:r>
      <w:r w:rsidRPr="00CE0A20">
        <w:rPr>
          <w:rStyle w:val="element-citation"/>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169, 372</w:t>
      </w:r>
      <w:r w:rsidRPr="00CE0A20">
        <w:rPr>
          <w:rFonts w:ascii="Times New Roman" w:hAnsi="Times New Roman" w:cs="Times New Roman"/>
          <w:color w:val="000000"/>
          <w:sz w:val="28"/>
          <w:szCs w:val="28"/>
          <w:lang w:val="uk-UA"/>
        </w:rPr>
        <w:t>].</w:t>
      </w:r>
    </w:p>
    <w:p w:rsidR="00EB6EBC" w:rsidRPr="00CE0A20" w:rsidRDefault="00EB6EBC" w:rsidP="00EB6EBC">
      <w:pPr>
        <w:pStyle w:val="230"/>
        <w:widowControl w:val="0"/>
        <w:spacing w:after="0" w:line="360" w:lineRule="auto"/>
        <w:ind w:firstLine="709"/>
        <w:jc w:val="both"/>
        <w:rPr>
          <w:rFonts w:ascii="Times New Roman" w:eastAsia="Newton-Regular"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ЕД та андрогенний дефіцит є дуже поширеними станами, які на цей час виявляються не тільки в чоловіків похилого та старечого віку, але й у більш молодих чоловіків репродуктивного віку. Лікування ЕД у хворих з гіпогонадизмом тільки інгібіторами ФДЕ-5 не завжди ефективне та потребує додаткової ГЗТ, яка при застосуванні екзогенного тестостерону має багато обмежень. Більш фізіологічним та патогенетично виправданим є клітинне відновлення регенераційного потенціалу паренхіми яєчок за допомогою КСКМ. Але цей метод лікування при дефіциті тестостерону ще не знайшов достатнього обґрунтування в аспекті вибору способу культивування стовбурових клітин, ефективного дозування та методу введення й потребує подальшого удосконалення та створення експериментальної моделі андрогенного дефіциту з вивченням динаміки системних та місцевих патологічних змін, що й стало обґрунтуванням вибраної теми дослідження.</w:t>
      </w:r>
    </w:p>
    <w:p w:rsidR="00EB6EBC" w:rsidRPr="00CE0A20" w:rsidRDefault="00EB6EBC" w:rsidP="00EB6EBC">
      <w:pPr>
        <w:pStyle w:val="a9"/>
        <w:spacing w:after="0" w:line="360" w:lineRule="auto"/>
        <w:ind w:left="20" w:right="20" w:firstLine="709"/>
        <w:jc w:val="both"/>
        <w:rPr>
          <w:rFonts w:ascii="Times New Roman" w:hAnsi="Times New Roman" w:cs="Times New Roman"/>
          <w:color w:val="000000"/>
          <w:sz w:val="28"/>
          <w:szCs w:val="28"/>
        </w:rPr>
      </w:pPr>
      <w:r w:rsidRPr="00CE0A20">
        <w:rPr>
          <w:rFonts w:ascii="Times New Roman" w:hAnsi="Times New Roman" w:cs="Times New Roman"/>
          <w:b/>
          <w:bCs/>
          <w:color w:val="000000"/>
          <w:sz w:val="28"/>
          <w:szCs w:val="28"/>
        </w:rPr>
        <w:t>Зв'язок роботи з науковими програмами, планами, темами</w:t>
      </w:r>
      <w:r w:rsidRPr="00CE0A20">
        <w:rPr>
          <w:rFonts w:ascii="Times New Roman" w:hAnsi="Times New Roman" w:cs="Times New Roman"/>
          <w:color w:val="000000"/>
          <w:sz w:val="28"/>
          <w:szCs w:val="28"/>
        </w:rPr>
        <w:t>. Дисертація є фрагментом НДР ХМАПО «Експериментальне вивчення терапевтичного потенціалу інтактних та індукованих стромальних клітин кісткового мозку та жирової тканини, їх використання в створенні тканеінженерних конструкцій та в якості моделі для вивчення молекулярних механізмів та перспективних методів терапії деяких генетичних захворювань» № державної реєстрації 0114U000514 (2014–2016 рр.).</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
          <w:bCs/>
          <w:sz w:val="28"/>
          <w:szCs w:val="28"/>
          <w:lang w:val="uk-UA"/>
        </w:rPr>
        <w:t>Мета дослідження</w:t>
      </w:r>
      <w:r w:rsidRPr="00CE0A20">
        <w:rPr>
          <w:rFonts w:ascii="Times New Roman" w:hAnsi="Times New Roman" w:cs="Times New Roman"/>
          <w:sz w:val="28"/>
          <w:szCs w:val="28"/>
          <w:lang w:val="uk-UA"/>
        </w:rPr>
        <w:t xml:space="preserve"> – </w:t>
      </w:r>
      <w:r w:rsidRPr="00CE0A20">
        <w:rPr>
          <w:rFonts w:ascii="Times New Roman" w:hAnsi="Times New Roman" w:cs="Times New Roman"/>
          <w:sz w:val="28"/>
          <w:szCs w:val="28"/>
          <w:lang w:val="uk-UA" w:eastAsia="uk-UA"/>
        </w:rPr>
        <w:t>поліпшення ефективності лікування еректильної дисфункції на тлі дефіциту тестостерону у хворих з цукровим діабетом та надлишковою масою тіла шляхом експери</w:t>
      </w:r>
      <w:r w:rsidRPr="00CE0A20">
        <w:rPr>
          <w:rFonts w:ascii="Times New Roman" w:hAnsi="Times New Roman" w:cs="Times New Roman"/>
          <w:sz w:val="28"/>
          <w:szCs w:val="28"/>
          <w:lang w:val="uk-UA" w:eastAsia="uk-UA"/>
        </w:rPr>
        <w:softHyphen/>
        <w:t>ментальної розробки та клінічної апробації методу клітинної терапії із застосуванням клітин строми кісткового мозку</w:t>
      </w:r>
      <w:r w:rsidRPr="00CE0A20">
        <w:rPr>
          <w:rFonts w:ascii="Times New Roman" w:hAnsi="Times New Roman" w:cs="Times New Roman"/>
          <w:sz w:val="28"/>
          <w:szCs w:val="28"/>
          <w:lang w:val="uk-UA"/>
        </w:rPr>
        <w:t xml:space="preserve">. </w:t>
      </w:r>
    </w:p>
    <w:p w:rsidR="00EB6EBC" w:rsidRPr="00CE0A20" w:rsidRDefault="00EB6EBC" w:rsidP="00EB6EBC">
      <w:pPr>
        <w:keepNext/>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
          <w:bCs/>
          <w:sz w:val="28"/>
          <w:szCs w:val="28"/>
          <w:lang w:val="uk-UA"/>
        </w:rPr>
        <w:t>Завдання дослідження</w:t>
      </w:r>
      <w:r w:rsidRPr="00CE0A20">
        <w:rPr>
          <w:rFonts w:ascii="Times New Roman" w:hAnsi="Times New Roman" w:cs="Times New Roman"/>
          <w:sz w:val="28"/>
          <w:szCs w:val="28"/>
          <w:lang w:val="uk-UA"/>
        </w:rPr>
        <w:t>:</w:t>
      </w:r>
    </w:p>
    <w:p w:rsidR="00EB6EBC" w:rsidRPr="00CE0A20" w:rsidRDefault="00EB6EBC" w:rsidP="00EB6EBC">
      <w:pPr>
        <w:pStyle w:val="a9"/>
        <w:numPr>
          <w:ilvl w:val="0"/>
          <w:numId w:val="2"/>
        </w:numPr>
        <w:tabs>
          <w:tab w:val="left" w:pos="1134"/>
        </w:tabs>
        <w:spacing w:after="0" w:line="360" w:lineRule="auto"/>
        <w:ind w:left="0" w:right="-2" w:firstLine="709"/>
        <w:jc w:val="both"/>
        <w:rPr>
          <w:rFonts w:ascii="Times New Roman" w:hAnsi="Times New Roman" w:cs="Times New Roman"/>
          <w:color w:val="000000"/>
          <w:sz w:val="28"/>
          <w:szCs w:val="28"/>
        </w:rPr>
      </w:pPr>
      <w:r w:rsidRPr="00CE0A20">
        <w:rPr>
          <w:rFonts w:ascii="Times New Roman" w:hAnsi="Times New Roman" w:cs="Times New Roman"/>
          <w:color w:val="000000"/>
          <w:sz w:val="28"/>
          <w:szCs w:val="28"/>
        </w:rPr>
        <w:t>Розробити експериментальну модель копулятивної дисфункції на тлі  андрогенного дефіциту у самців білих щурів з урахуванням виразності та тривалості загально</w:t>
      </w:r>
      <w:r w:rsidRPr="00CE0A20">
        <w:rPr>
          <w:rFonts w:ascii="Times New Roman" w:hAnsi="Times New Roman" w:cs="Times New Roman"/>
          <w:color w:val="000000"/>
          <w:sz w:val="28"/>
          <w:szCs w:val="28"/>
        </w:rPr>
        <w:softHyphen/>
        <w:t>токсичної та гонадотоксичної дії різних доз хлориду кадмію та оцінити  динаміку рівня статевих гормонів.</w:t>
      </w:r>
    </w:p>
    <w:p w:rsidR="00EB6EBC" w:rsidRPr="00CE0A20" w:rsidRDefault="00EB6EBC" w:rsidP="00EB6EBC">
      <w:pPr>
        <w:pStyle w:val="a9"/>
        <w:numPr>
          <w:ilvl w:val="0"/>
          <w:numId w:val="2"/>
        </w:numPr>
        <w:tabs>
          <w:tab w:val="left" w:pos="1134"/>
        </w:tabs>
        <w:spacing w:after="0" w:line="360" w:lineRule="auto"/>
        <w:ind w:left="0" w:right="-2" w:firstLine="709"/>
        <w:jc w:val="both"/>
        <w:rPr>
          <w:rFonts w:ascii="Times New Roman" w:hAnsi="Times New Roman" w:cs="Times New Roman"/>
          <w:color w:val="000000"/>
          <w:sz w:val="28"/>
          <w:szCs w:val="28"/>
        </w:rPr>
      </w:pPr>
      <w:r w:rsidRPr="00CE0A20">
        <w:rPr>
          <w:rFonts w:ascii="Times New Roman" w:hAnsi="Times New Roman" w:cs="Times New Roman"/>
          <w:color w:val="000000"/>
          <w:sz w:val="28"/>
          <w:szCs w:val="28"/>
        </w:rPr>
        <w:t>Дослідити патоморфологічні зміни в сім'яниках самців білих щурів з експериментальним андрогенним дефіцитом.</w:t>
      </w:r>
    </w:p>
    <w:p w:rsidR="00EB6EBC" w:rsidRPr="00CE0A20" w:rsidRDefault="00EB6EBC" w:rsidP="00EB6EBC">
      <w:pPr>
        <w:pStyle w:val="a9"/>
        <w:numPr>
          <w:ilvl w:val="0"/>
          <w:numId w:val="2"/>
        </w:numPr>
        <w:tabs>
          <w:tab w:val="left" w:pos="1134"/>
        </w:tabs>
        <w:spacing w:after="0" w:line="360" w:lineRule="auto"/>
        <w:ind w:left="0" w:right="-2" w:firstLine="709"/>
        <w:jc w:val="both"/>
        <w:rPr>
          <w:rFonts w:ascii="Times New Roman" w:hAnsi="Times New Roman" w:cs="Times New Roman"/>
          <w:color w:val="000000"/>
          <w:sz w:val="28"/>
          <w:szCs w:val="28"/>
        </w:rPr>
      </w:pPr>
      <w:r w:rsidRPr="00CE0A20">
        <w:rPr>
          <w:rFonts w:ascii="Times New Roman" w:hAnsi="Times New Roman" w:cs="Times New Roman"/>
          <w:color w:val="000000"/>
          <w:sz w:val="28"/>
          <w:szCs w:val="28"/>
        </w:rPr>
        <w:t>Розробити методику клітинної терапії із застосуванням КСКМ та оцінити динаміку статевих гормонів, морфологічних змін у сім’яниках білих щурів з експериментальним андрогенним дефіцитом.</w:t>
      </w:r>
    </w:p>
    <w:p w:rsidR="00EB6EBC" w:rsidRPr="00CE0A20" w:rsidRDefault="00EB6EBC" w:rsidP="00EB6EBC">
      <w:pPr>
        <w:pStyle w:val="a9"/>
        <w:numPr>
          <w:ilvl w:val="0"/>
          <w:numId w:val="2"/>
        </w:numPr>
        <w:tabs>
          <w:tab w:val="left" w:pos="1134"/>
        </w:tabs>
        <w:spacing w:after="0" w:line="360" w:lineRule="auto"/>
        <w:ind w:left="0" w:right="-2" w:firstLine="709"/>
        <w:jc w:val="both"/>
        <w:rPr>
          <w:rFonts w:ascii="Times New Roman" w:hAnsi="Times New Roman" w:cs="Times New Roman"/>
          <w:color w:val="000000"/>
          <w:sz w:val="28"/>
          <w:szCs w:val="28"/>
        </w:rPr>
      </w:pPr>
      <w:r w:rsidRPr="00CE0A20">
        <w:rPr>
          <w:rFonts w:ascii="Times New Roman" w:hAnsi="Times New Roman" w:cs="Times New Roman"/>
          <w:color w:val="000000"/>
          <w:sz w:val="28"/>
          <w:szCs w:val="28"/>
        </w:rPr>
        <w:t>Вивчити особливості копулятивної поведінки тварин з експери</w:t>
      </w:r>
      <w:r w:rsidRPr="00CE0A20">
        <w:rPr>
          <w:rFonts w:ascii="Times New Roman" w:hAnsi="Times New Roman" w:cs="Times New Roman"/>
          <w:color w:val="000000"/>
          <w:sz w:val="28"/>
          <w:szCs w:val="28"/>
        </w:rPr>
        <w:softHyphen/>
        <w:t>ментальним гіпогонадизмом та динаміку його показників під впливом клітинної терапії із застосуванням КСКМ.</w:t>
      </w:r>
    </w:p>
    <w:p w:rsidR="00EB6EBC" w:rsidRPr="00CE0A20" w:rsidRDefault="00EB6EBC" w:rsidP="00EB6EBC">
      <w:pPr>
        <w:pStyle w:val="a3"/>
        <w:numPr>
          <w:ilvl w:val="0"/>
          <w:numId w:val="2"/>
        </w:numPr>
        <w:tabs>
          <w:tab w:val="left" w:pos="1134"/>
        </w:tabs>
        <w:ind w:left="0" w:right="-2" w:firstLine="709"/>
        <w:jc w:val="both"/>
        <w:rPr>
          <w:rFonts w:ascii="Times New Roman" w:hAnsi="Times New Roman" w:cs="Times New Roman"/>
          <w:color w:val="000000"/>
          <w:lang w:val="uk-UA"/>
        </w:rPr>
      </w:pPr>
      <w:r w:rsidRPr="00CE0A20">
        <w:rPr>
          <w:rFonts w:ascii="Times New Roman" w:hAnsi="Times New Roman" w:cs="Times New Roman"/>
          <w:color w:val="000000"/>
          <w:lang w:val="uk-UA"/>
        </w:rPr>
        <w:t>Оцінити інтратестикулярний трекінг КСКМ, які експресують зелений флюоресцентний білок (</w:t>
      </w:r>
      <w:r w:rsidRPr="00CE0A20">
        <w:rPr>
          <w:rFonts w:ascii="Times New Roman" w:hAnsi="Times New Roman" w:cs="Times New Roman"/>
          <w:color w:val="000000"/>
          <w:lang w:val="en-US"/>
        </w:rPr>
        <w:t>GFP</w:t>
      </w:r>
      <w:r w:rsidRPr="00CE0A20">
        <w:rPr>
          <w:rFonts w:ascii="Times New Roman" w:hAnsi="Times New Roman" w:cs="Times New Roman"/>
          <w:color w:val="000000"/>
          <w:lang w:val="uk-UA"/>
        </w:rPr>
        <w:t>).</w:t>
      </w:r>
    </w:p>
    <w:p w:rsidR="00EB6EBC" w:rsidRPr="00CE0A20" w:rsidRDefault="00EB6EBC" w:rsidP="00EB6EBC">
      <w:pPr>
        <w:pStyle w:val="a9"/>
        <w:numPr>
          <w:ilvl w:val="0"/>
          <w:numId w:val="2"/>
        </w:numPr>
        <w:tabs>
          <w:tab w:val="left" w:pos="1134"/>
        </w:tabs>
        <w:spacing w:after="0" w:line="360" w:lineRule="auto"/>
        <w:ind w:left="0" w:right="-2" w:firstLine="709"/>
        <w:jc w:val="both"/>
        <w:rPr>
          <w:rFonts w:ascii="Times New Roman" w:hAnsi="Times New Roman" w:cs="Times New Roman"/>
          <w:color w:val="000000"/>
          <w:sz w:val="28"/>
          <w:szCs w:val="28"/>
        </w:rPr>
      </w:pPr>
      <w:r w:rsidRPr="00CE0A20">
        <w:rPr>
          <w:rFonts w:ascii="Times New Roman" w:hAnsi="Times New Roman" w:cs="Times New Roman"/>
          <w:color w:val="000000"/>
          <w:sz w:val="28"/>
          <w:szCs w:val="28"/>
        </w:rPr>
        <w:t>Дослідити віддалені результати клітинної терапії експеримен</w:t>
      </w:r>
      <w:r w:rsidRPr="00CE0A20">
        <w:rPr>
          <w:rFonts w:ascii="Times New Roman" w:hAnsi="Times New Roman" w:cs="Times New Roman"/>
          <w:color w:val="000000"/>
          <w:sz w:val="28"/>
          <w:szCs w:val="28"/>
        </w:rPr>
        <w:softHyphen/>
        <w:t>тального андрогенного дефіциту.</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7.  Вивчити динаміку гормонального статусу та показників вуглевод</w:t>
      </w:r>
      <w:r w:rsidRPr="00CE0A20">
        <w:rPr>
          <w:rFonts w:ascii="Times New Roman" w:hAnsi="Times New Roman" w:cs="Times New Roman"/>
          <w:sz w:val="28"/>
          <w:szCs w:val="28"/>
          <w:lang w:val="uk-UA"/>
        </w:rPr>
        <w:softHyphen/>
        <w:t>ного та жирового метаболізму під впливом клітинної терапії із застосуванням аутологічних КСКМ у хворих з еректильною дисфункцією та гіпогонадизмом на тлі  цукрового діабету та надлишкової ваги тіла.</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8. Дослідити динаміку еректильної функції під впливом клітинної терапії із застосуванням аутологічних КСКМ у хворих з еректильною дисфункцією та гіпогонадизмом на тлі  цукрового діабету та надлишкової ваги тіла.</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Cs/>
          <w:i/>
          <w:iCs/>
          <w:sz w:val="28"/>
          <w:szCs w:val="28"/>
          <w:lang w:val="uk-UA"/>
        </w:rPr>
        <w:t>Об’єкт дослідження</w:t>
      </w:r>
      <w:r w:rsidRPr="00CE0A20">
        <w:rPr>
          <w:rFonts w:ascii="Times New Roman" w:hAnsi="Times New Roman" w:cs="Times New Roman"/>
          <w:sz w:val="28"/>
          <w:szCs w:val="28"/>
          <w:lang w:val="uk-UA"/>
        </w:rPr>
        <w:t>: еректильна дисфункція та андрогенний дефіцит.</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Cs/>
          <w:i/>
          <w:iCs/>
          <w:sz w:val="28"/>
          <w:szCs w:val="28"/>
          <w:lang w:val="uk-UA"/>
        </w:rPr>
        <w:t>Предмет дослідження</w:t>
      </w:r>
      <w:r w:rsidRPr="00CE0A20">
        <w:rPr>
          <w:rFonts w:ascii="Times New Roman" w:hAnsi="Times New Roman" w:cs="Times New Roman"/>
          <w:sz w:val="28"/>
          <w:szCs w:val="28"/>
          <w:lang w:val="uk-UA"/>
        </w:rPr>
        <w:t xml:space="preserve">: вплив клітин строми кісткового мозку на рівень статевих гормонів, показники метаболізму, копулятивну  поведінку та морфоструктуру статевих органів при експериментальному андрогенному дефіциті </w:t>
      </w:r>
      <w:r w:rsidR="00E414D4" w:rsidRPr="00CE0A20">
        <w:rPr>
          <w:rFonts w:ascii="Times New Roman" w:hAnsi="Times New Roman" w:cs="Times New Roman"/>
          <w:sz w:val="28"/>
          <w:szCs w:val="28"/>
          <w:lang w:val="uk-UA"/>
        </w:rPr>
        <w:t>в</w:t>
      </w:r>
      <w:r w:rsidRPr="00CE0A20">
        <w:rPr>
          <w:rFonts w:ascii="Times New Roman" w:hAnsi="Times New Roman" w:cs="Times New Roman"/>
          <w:sz w:val="28"/>
          <w:szCs w:val="28"/>
          <w:lang w:val="uk-UA"/>
        </w:rPr>
        <w:t xml:space="preserve"> самців білих щурів; ефективність та безпечність застосування аутологічних клітин строми кісткового мозку </w:t>
      </w:r>
      <w:r w:rsidR="00E414D4" w:rsidRPr="00CE0A20">
        <w:rPr>
          <w:rFonts w:ascii="Times New Roman" w:hAnsi="Times New Roman" w:cs="Times New Roman"/>
          <w:sz w:val="28"/>
          <w:szCs w:val="28"/>
          <w:lang w:val="uk-UA"/>
        </w:rPr>
        <w:t>в</w:t>
      </w:r>
      <w:r w:rsidRPr="00CE0A20">
        <w:rPr>
          <w:rFonts w:ascii="Times New Roman" w:hAnsi="Times New Roman" w:cs="Times New Roman"/>
          <w:sz w:val="28"/>
          <w:szCs w:val="28"/>
          <w:lang w:val="uk-UA"/>
        </w:rPr>
        <w:t xml:space="preserve"> чоловіків для корекції еректильної дисфункції внаслідок гіпогонадизму на тлі ЦД та надлишкової ваги тіла.</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Cs/>
          <w:i/>
          <w:iCs/>
          <w:sz w:val="28"/>
          <w:szCs w:val="28"/>
          <w:lang w:val="uk-UA"/>
        </w:rPr>
        <w:t>Методи дослідження</w:t>
      </w:r>
      <w:r w:rsidRPr="00CE0A20">
        <w:rPr>
          <w:rFonts w:ascii="Times New Roman" w:hAnsi="Times New Roman" w:cs="Times New Roman"/>
          <w:sz w:val="28"/>
          <w:szCs w:val="28"/>
          <w:lang w:val="uk-UA"/>
        </w:rPr>
        <w:t>: експериментальні – гістологічні (мікроскопічні та морфометричні дослідження статевих органів), імуноферментні, трекінг КСКМ за допомогою флюоресцентної мікроскопії; клінічні – загально</w:t>
      </w:r>
      <w:r w:rsidRPr="00CE0A20">
        <w:rPr>
          <w:rFonts w:ascii="Times New Roman" w:hAnsi="Times New Roman" w:cs="Times New Roman"/>
          <w:sz w:val="28"/>
          <w:szCs w:val="28"/>
          <w:lang w:val="uk-UA"/>
        </w:rPr>
        <w:softHyphen/>
        <w:t>клінічні, антропометричні, імуноферментні, біохімічні, ультразвукова допплерометрія, математико-статистична обробка даних.</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
          <w:bCs/>
          <w:sz w:val="28"/>
          <w:szCs w:val="28"/>
          <w:lang w:val="uk-UA"/>
        </w:rPr>
        <w:t xml:space="preserve">Наукова новизна отриманих результатів. </w:t>
      </w:r>
      <w:r w:rsidRPr="00CE0A20">
        <w:rPr>
          <w:rFonts w:ascii="Times New Roman" w:hAnsi="Times New Roman" w:cs="Times New Roman"/>
          <w:sz w:val="28"/>
          <w:szCs w:val="28"/>
          <w:lang w:val="uk-UA"/>
        </w:rPr>
        <w:t>Автором удосконалено експериментальну модель пригнічення копуля</w:t>
      </w:r>
      <w:r w:rsidRPr="00CE0A20">
        <w:rPr>
          <w:rFonts w:ascii="Times New Roman" w:hAnsi="Times New Roman" w:cs="Times New Roman"/>
          <w:sz w:val="28"/>
          <w:szCs w:val="28"/>
          <w:lang w:val="uk-UA"/>
        </w:rPr>
        <w:softHyphen/>
        <w:t>тивної поведінки на тлі  андрогенного дефіциту з використанням хлориду кадмію та доведено можливість досягнення необхідного гонадоток</w:t>
      </w:r>
      <w:r w:rsidRPr="00CE0A20">
        <w:rPr>
          <w:rFonts w:ascii="Times New Roman" w:hAnsi="Times New Roman" w:cs="Times New Roman"/>
          <w:sz w:val="28"/>
          <w:szCs w:val="28"/>
          <w:lang w:val="uk-UA"/>
        </w:rPr>
        <w:softHyphen/>
        <w:t>сичного ефекту зі стабільним зниженням рівня тестостерону без суттєвого впливу на гіпоталомо-гіпофізарну вісь статевих гормонів та з відсутністю виразного загальнотоксичного ефекту.</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Виявлено, що одноразове інтраперитонеальне введення експериментальній тварині стерильного розчину хлориду кадмію у дозі 150 мкг/100 г  маси тіла призводить до виникнення стабільного андрогенного дефіциту зі збереженням цього стану на 28-у добу експерименту.</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Доведено, що запропонована модель експериментального андрогенного дефіциту спричиняє деструктивні зміни сім’яних канальців з частковим заміщенням інтерстиціальної тканини сполучною тканиною та ознаками надмірної проліферації клітин Лейдіга з ознаками морфофункціональної недостатності, що свідчить про виснаження регенераційного потенціалу та можливе зменшення кількості стовбурових клітин, необхідних для відновлення тестостерон-продукуючих клітин Лейдіга.</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Розроблено й застосовано методику клітинної терапії експеримен-тального андрогенного дефіциту із застосуванням інтратестикулярної транс</w:t>
      </w:r>
      <w:r w:rsidRPr="00CE0A20">
        <w:rPr>
          <w:rFonts w:ascii="Times New Roman" w:hAnsi="Times New Roman" w:cs="Times New Roman"/>
          <w:sz w:val="28"/>
          <w:szCs w:val="28"/>
          <w:lang w:val="uk-UA"/>
        </w:rPr>
        <w:softHyphen/>
        <w:t xml:space="preserve">плантації КСКМ, та доведено, що найбільший клінічний ефект спостерігається при введенні 200000 КСКМ в обидва яєчка (уздовж їх найбільшої </w:t>
      </w:r>
      <w:r w:rsidR="00E414D4" w:rsidRPr="00CE0A20">
        <w:rPr>
          <w:rFonts w:ascii="Times New Roman" w:hAnsi="Times New Roman" w:cs="Times New Roman"/>
          <w:sz w:val="28"/>
          <w:szCs w:val="28"/>
          <w:lang w:val="uk-UA"/>
        </w:rPr>
        <w:t>о</w:t>
      </w:r>
      <w:r w:rsidRPr="00CE0A20">
        <w:rPr>
          <w:rFonts w:ascii="Times New Roman" w:hAnsi="Times New Roman" w:cs="Times New Roman"/>
          <w:sz w:val="28"/>
          <w:szCs w:val="28"/>
          <w:lang w:val="uk-UA"/>
        </w:rPr>
        <w:t>сі).</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Визначено, що інтратестикулярне введення дослідним тваринам КСКМ за запропонованим методом спричиняє відновлення рівня тестостерону та нормалізації інших статевих гормонів водночас з нормалізацією наслідків загальнотоксичної дії хлориду кадмію (активності АЛТ, АСТ, каталази та супероксиддисмутази - СОД).</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За результатами гістологічного дослідження визначено, що під впливом клітинної терапії із застосуванням КСКМ відбувається відновлення морфологічної структури сім’яників та морфометричних показників клітин яєчок експериментальних тварин з наявністю різних етапів диференціювання сперматид та нормохромних клітин Лейдіга у навколосудинній стромі.</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Запропоновано методику отримання КСКМ, що перманентно експресують зелений флюоресцентний білок </w:t>
      </w:r>
      <w:r w:rsidRPr="00CE0A20">
        <w:rPr>
          <w:rFonts w:ascii="Times New Roman" w:hAnsi="Times New Roman" w:cs="Times New Roman"/>
          <w:sz w:val="28"/>
          <w:szCs w:val="28"/>
          <w:lang w:val="en-US"/>
        </w:rPr>
        <w:t>GFP</w:t>
      </w:r>
      <w:r w:rsidRPr="00CE0A20">
        <w:rPr>
          <w:rFonts w:ascii="Times New Roman" w:hAnsi="Times New Roman" w:cs="Times New Roman"/>
          <w:sz w:val="28"/>
          <w:szCs w:val="28"/>
          <w:lang w:val="uk-UA"/>
        </w:rPr>
        <w:t>, за допомогою якого встановлено розташування та розподіл КСКМ в інтерстиції після їх інтратестикулярної трансплантації. Зареєстровано й констатовано достатню приживлюваність КСКМ після інтратестикулярної трансплантації.</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За результатами гістологічного дослідження сім’яників та перед</w:t>
      </w:r>
      <w:r w:rsidRPr="00CE0A20">
        <w:rPr>
          <w:rFonts w:ascii="Times New Roman" w:hAnsi="Times New Roman" w:cs="Times New Roman"/>
          <w:sz w:val="28"/>
          <w:szCs w:val="28"/>
          <w:lang w:val="uk-UA"/>
        </w:rPr>
        <w:softHyphen/>
        <w:t>міхурової залози експериментальних тварин з андрогенним дефіцитом доведено, що у віддаленому періоді після інтратестикулярної трансплантації КСКМ їхня морфоструктура не відрізняється від структури інтактних тварин аналогічного віку.</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Уперше здійснено клінічну апробацію запропонованого методу клітинної терапії із застосуванням КСКМ у пацієнтів з еректильною дисфункцією та гіпогонадизмом на тлі цукрового діабету та надлишкової ваги. </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Уперше доведено ефективність клітинної терапії із застосуванням КСКМ у лікуванні еректильної дисфункції та гіпогонадизму, про що свідчить позитивна динаміка показників еректильної функції за шкалою МІЕФ-5, концентрації статевих гормонів та показників вуглеводного та жирового метаболізму.</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
          <w:bCs/>
          <w:sz w:val="28"/>
          <w:szCs w:val="28"/>
          <w:lang w:val="uk-UA"/>
        </w:rPr>
        <w:t xml:space="preserve">Практичне значення отриманих результатів. </w:t>
      </w:r>
      <w:r w:rsidRPr="00CE0A20">
        <w:rPr>
          <w:rFonts w:ascii="Times New Roman" w:hAnsi="Times New Roman" w:cs="Times New Roman"/>
          <w:sz w:val="28"/>
          <w:szCs w:val="28"/>
          <w:lang w:val="uk-UA"/>
        </w:rPr>
        <w:t>Запропонований спосіб моделювання андрогенного дефіциту у самців білих щурів дозволяє досягти стійкого патологічного стану та легко відтворюється, що дозволяє застосувати його для створення експери</w:t>
      </w:r>
      <w:r w:rsidRPr="00CE0A20">
        <w:rPr>
          <w:rFonts w:ascii="Times New Roman" w:hAnsi="Times New Roman" w:cs="Times New Roman"/>
          <w:sz w:val="28"/>
          <w:szCs w:val="28"/>
          <w:lang w:val="uk-UA"/>
        </w:rPr>
        <w:softHyphen/>
        <w:t>мен</w:t>
      </w:r>
      <w:r w:rsidRPr="00CE0A20">
        <w:rPr>
          <w:rFonts w:ascii="Times New Roman" w:hAnsi="Times New Roman" w:cs="Times New Roman"/>
          <w:sz w:val="28"/>
          <w:szCs w:val="28"/>
          <w:lang w:val="uk-UA"/>
        </w:rPr>
        <w:softHyphen/>
        <w:t xml:space="preserve">тального гіпогонадизму. Запропонований спосіб отримання КСКМ, що експресують зелений флюоресцентний білок </w:t>
      </w:r>
      <w:r w:rsidRPr="00CE0A20">
        <w:rPr>
          <w:rFonts w:ascii="Times New Roman" w:hAnsi="Times New Roman" w:cs="Times New Roman"/>
          <w:sz w:val="28"/>
          <w:szCs w:val="28"/>
          <w:lang w:val="en-US"/>
        </w:rPr>
        <w:t>GFP</w:t>
      </w:r>
      <w:r w:rsidRPr="00CE0A20">
        <w:rPr>
          <w:rFonts w:ascii="Times New Roman" w:hAnsi="Times New Roman" w:cs="Times New Roman"/>
          <w:sz w:val="28"/>
          <w:szCs w:val="28"/>
          <w:lang w:val="uk-UA"/>
        </w:rPr>
        <w:t>, який дозволяє простежувати розподіл трансплантованих клітини протягом тривалого періоду.</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Запропонований метод клітинної терапії у поєднанні з інгібіторами ФДЕ-5 дозволяє нормалізувати рівень тестостерону та відновити еректильну функцію й може бути перспективним для лікування чоловіків з ЕД та гіпогонадизмом, які бажають зберегти фертильність.</w:t>
      </w:r>
    </w:p>
    <w:p w:rsidR="00EB6EBC" w:rsidRPr="00CE0A20" w:rsidRDefault="00EB6EBC" w:rsidP="00EB6EBC">
      <w:pPr>
        <w:spacing w:line="360" w:lineRule="auto"/>
        <w:ind w:firstLine="680"/>
        <w:jc w:val="both"/>
        <w:rPr>
          <w:rFonts w:ascii="Times New Roman" w:hAnsi="Times New Roman" w:cs="Times New Roman"/>
          <w:iCs/>
          <w:sz w:val="28"/>
          <w:szCs w:val="28"/>
          <w:lang w:val="uk-UA"/>
        </w:rPr>
      </w:pPr>
      <w:r w:rsidRPr="00CE0A20">
        <w:rPr>
          <w:rFonts w:ascii="Times New Roman" w:hAnsi="Times New Roman" w:cs="Times New Roman"/>
          <w:sz w:val="28"/>
          <w:szCs w:val="28"/>
          <w:lang w:val="uk-UA"/>
        </w:rPr>
        <w:t xml:space="preserve">Результати проведених досліджень впроваджено у практику роботи міжвідомчого наукового центру кріобіології та кріомедицини НАН, НАМН та МОЗ України, </w:t>
      </w:r>
      <w:r w:rsidRPr="00CE0A20">
        <w:rPr>
          <w:rFonts w:ascii="Times New Roman" w:hAnsi="Times New Roman" w:cs="Times New Roman"/>
          <w:iCs/>
          <w:sz w:val="28"/>
          <w:szCs w:val="28"/>
          <w:lang w:val="uk-UA"/>
        </w:rPr>
        <w:t>урологічного відділення Хм</w:t>
      </w:r>
      <w:r w:rsidR="007050C0" w:rsidRPr="00CE0A20">
        <w:rPr>
          <w:rFonts w:ascii="Times New Roman" w:hAnsi="Times New Roman" w:cs="Times New Roman"/>
          <w:iCs/>
          <w:sz w:val="28"/>
          <w:szCs w:val="28"/>
          <w:lang w:val="uk-UA"/>
        </w:rPr>
        <w:t xml:space="preserve">ельницької обласної лікарні (м. </w:t>
      </w:r>
      <w:r w:rsidRPr="00CE0A20">
        <w:rPr>
          <w:rFonts w:ascii="Times New Roman" w:hAnsi="Times New Roman" w:cs="Times New Roman"/>
          <w:iCs/>
          <w:sz w:val="28"/>
          <w:szCs w:val="28"/>
          <w:lang w:val="uk-UA"/>
        </w:rPr>
        <w:t>Хмельницький), урологічного відділення Харківської клінічної лікарні залізничного транспорту</w:t>
      </w:r>
      <w:r w:rsidR="007050C0" w:rsidRPr="00CE0A20">
        <w:rPr>
          <w:rFonts w:ascii="Times New Roman" w:hAnsi="Times New Roman" w:cs="Times New Roman"/>
          <w:iCs/>
          <w:sz w:val="28"/>
          <w:szCs w:val="28"/>
          <w:lang w:val="uk-UA"/>
        </w:rPr>
        <w:t xml:space="preserve"> </w:t>
      </w:r>
      <w:r w:rsidRPr="00CE0A20">
        <w:rPr>
          <w:rFonts w:ascii="Times New Roman" w:hAnsi="Times New Roman" w:cs="Times New Roman"/>
          <w:iCs/>
          <w:sz w:val="28"/>
          <w:szCs w:val="28"/>
          <w:lang w:val="uk-UA"/>
        </w:rPr>
        <w:t>№ 2 (м.</w:t>
      </w:r>
      <w:r w:rsidR="007050C0" w:rsidRPr="00CE0A20">
        <w:rPr>
          <w:rFonts w:ascii="Times New Roman" w:hAnsi="Times New Roman" w:cs="Times New Roman"/>
          <w:iCs/>
          <w:sz w:val="28"/>
          <w:szCs w:val="28"/>
          <w:lang w:val="uk-UA"/>
        </w:rPr>
        <w:t xml:space="preserve"> </w:t>
      </w:r>
      <w:r w:rsidRPr="00CE0A20">
        <w:rPr>
          <w:rFonts w:ascii="Times New Roman" w:hAnsi="Times New Roman" w:cs="Times New Roman"/>
          <w:iCs/>
          <w:sz w:val="28"/>
          <w:szCs w:val="28"/>
          <w:lang w:val="uk-UA"/>
        </w:rPr>
        <w:t>Харків), андрологічного відділення КНП ХОР «Обласний медичний клінічний центр урології та нефрології ім.</w:t>
      </w:r>
      <w:r w:rsidR="007050C0" w:rsidRPr="00CE0A20">
        <w:rPr>
          <w:rFonts w:ascii="Times New Roman" w:hAnsi="Times New Roman" w:cs="Times New Roman"/>
          <w:iCs/>
          <w:sz w:val="28"/>
          <w:szCs w:val="28"/>
          <w:lang w:val="uk-UA"/>
        </w:rPr>
        <w:t xml:space="preserve"> </w:t>
      </w:r>
      <w:r w:rsidRPr="00CE0A20">
        <w:rPr>
          <w:rFonts w:ascii="Times New Roman" w:hAnsi="Times New Roman" w:cs="Times New Roman"/>
          <w:iCs/>
          <w:sz w:val="28"/>
          <w:szCs w:val="28"/>
          <w:lang w:val="uk-UA"/>
        </w:rPr>
        <w:t>В.</w:t>
      </w:r>
      <w:r w:rsidR="007050C0" w:rsidRPr="00CE0A20">
        <w:rPr>
          <w:rFonts w:ascii="Times New Roman" w:hAnsi="Times New Roman" w:cs="Times New Roman"/>
          <w:iCs/>
          <w:sz w:val="28"/>
          <w:szCs w:val="28"/>
          <w:lang w:val="uk-UA"/>
        </w:rPr>
        <w:t xml:space="preserve"> І. Шаповала» (м. </w:t>
      </w:r>
      <w:r w:rsidRPr="00CE0A20">
        <w:rPr>
          <w:rFonts w:ascii="Times New Roman" w:hAnsi="Times New Roman" w:cs="Times New Roman"/>
          <w:iCs/>
          <w:sz w:val="28"/>
          <w:szCs w:val="28"/>
          <w:lang w:val="uk-UA"/>
        </w:rPr>
        <w:t>Харків), урологічного відділення Полтавської обласної клінічної ліка</w:t>
      </w:r>
      <w:r w:rsidR="007050C0" w:rsidRPr="00CE0A20">
        <w:rPr>
          <w:rFonts w:ascii="Times New Roman" w:hAnsi="Times New Roman" w:cs="Times New Roman"/>
          <w:iCs/>
          <w:sz w:val="28"/>
          <w:szCs w:val="28"/>
          <w:lang w:val="uk-UA"/>
        </w:rPr>
        <w:t xml:space="preserve">рні ім. М. Скліфосовського» (м. </w:t>
      </w:r>
      <w:r w:rsidRPr="00CE0A20">
        <w:rPr>
          <w:rFonts w:ascii="Times New Roman" w:hAnsi="Times New Roman" w:cs="Times New Roman"/>
          <w:iCs/>
          <w:sz w:val="28"/>
          <w:szCs w:val="28"/>
          <w:lang w:val="uk-UA"/>
        </w:rPr>
        <w:t>Полтава), урологічного відділення Івано-Франківської обласної клінічної лікарні (м.</w:t>
      </w:r>
      <w:r w:rsidR="007050C0" w:rsidRPr="00CE0A20">
        <w:rPr>
          <w:rFonts w:ascii="Times New Roman" w:hAnsi="Times New Roman" w:cs="Times New Roman"/>
          <w:iCs/>
          <w:sz w:val="28"/>
          <w:szCs w:val="28"/>
          <w:lang w:val="uk-UA"/>
        </w:rPr>
        <w:t xml:space="preserve"> </w:t>
      </w:r>
      <w:r w:rsidRPr="00CE0A20">
        <w:rPr>
          <w:rFonts w:ascii="Times New Roman" w:hAnsi="Times New Roman" w:cs="Times New Roman"/>
          <w:iCs/>
          <w:sz w:val="28"/>
          <w:szCs w:val="28"/>
          <w:lang w:val="uk-UA"/>
        </w:rPr>
        <w:t>Івано-Франківськ), урологічного відділення КЗ «ДОКЛ</w:t>
      </w:r>
      <w:r w:rsidR="007050C0" w:rsidRPr="00CE0A20">
        <w:rPr>
          <w:rFonts w:ascii="Times New Roman" w:hAnsi="Times New Roman" w:cs="Times New Roman"/>
          <w:iCs/>
          <w:sz w:val="28"/>
          <w:szCs w:val="28"/>
          <w:lang w:val="uk-UA"/>
        </w:rPr>
        <w:t xml:space="preserve"> </w:t>
      </w:r>
      <w:r w:rsidRPr="00CE0A20">
        <w:rPr>
          <w:rFonts w:ascii="Times New Roman" w:hAnsi="Times New Roman" w:cs="Times New Roman"/>
          <w:iCs/>
          <w:sz w:val="28"/>
          <w:szCs w:val="28"/>
          <w:lang w:val="uk-UA"/>
        </w:rPr>
        <w:t>ім.</w:t>
      </w:r>
      <w:r w:rsidR="007050C0" w:rsidRPr="00CE0A20">
        <w:rPr>
          <w:rFonts w:ascii="Times New Roman" w:hAnsi="Times New Roman" w:cs="Times New Roman"/>
          <w:iCs/>
          <w:sz w:val="28"/>
          <w:szCs w:val="28"/>
          <w:lang w:val="uk-UA"/>
        </w:rPr>
        <w:t xml:space="preserve"> </w:t>
      </w:r>
      <w:r w:rsidRPr="00CE0A20">
        <w:rPr>
          <w:rFonts w:ascii="Times New Roman" w:hAnsi="Times New Roman" w:cs="Times New Roman"/>
          <w:iCs/>
          <w:sz w:val="28"/>
          <w:szCs w:val="28"/>
          <w:lang w:val="uk-UA"/>
        </w:rPr>
        <w:t>І.</w:t>
      </w:r>
      <w:r w:rsidR="007050C0" w:rsidRPr="00CE0A20">
        <w:rPr>
          <w:rFonts w:ascii="Times New Roman" w:hAnsi="Times New Roman" w:cs="Times New Roman"/>
          <w:iCs/>
          <w:sz w:val="28"/>
          <w:szCs w:val="28"/>
        </w:rPr>
        <w:t xml:space="preserve"> </w:t>
      </w:r>
      <w:r w:rsidRPr="00CE0A20">
        <w:rPr>
          <w:rFonts w:ascii="Times New Roman" w:hAnsi="Times New Roman" w:cs="Times New Roman"/>
          <w:iCs/>
          <w:sz w:val="28"/>
          <w:szCs w:val="28"/>
          <w:lang w:val="uk-UA"/>
        </w:rPr>
        <w:t>І.</w:t>
      </w:r>
      <w:r w:rsidR="007050C0" w:rsidRPr="00CE0A20">
        <w:rPr>
          <w:rFonts w:ascii="Times New Roman" w:hAnsi="Times New Roman" w:cs="Times New Roman"/>
          <w:iCs/>
          <w:sz w:val="28"/>
          <w:szCs w:val="28"/>
        </w:rPr>
        <w:t xml:space="preserve"> </w:t>
      </w:r>
      <w:r w:rsidRPr="00CE0A20">
        <w:rPr>
          <w:rFonts w:ascii="Times New Roman" w:hAnsi="Times New Roman" w:cs="Times New Roman"/>
          <w:iCs/>
          <w:sz w:val="28"/>
          <w:szCs w:val="28"/>
          <w:lang w:val="uk-UA"/>
        </w:rPr>
        <w:t>Мечникова» (м.</w:t>
      </w:r>
      <w:r w:rsidR="007050C0" w:rsidRPr="00CE0A20">
        <w:rPr>
          <w:rFonts w:ascii="Times New Roman" w:hAnsi="Times New Roman" w:cs="Times New Roman"/>
          <w:iCs/>
          <w:sz w:val="28"/>
          <w:szCs w:val="28"/>
        </w:rPr>
        <w:t xml:space="preserve"> </w:t>
      </w:r>
      <w:r w:rsidRPr="00CE0A20">
        <w:rPr>
          <w:rFonts w:ascii="Times New Roman" w:hAnsi="Times New Roman" w:cs="Times New Roman"/>
          <w:iCs/>
          <w:sz w:val="28"/>
          <w:szCs w:val="28"/>
          <w:lang w:val="uk-UA"/>
        </w:rPr>
        <w:t>Дніпро), урологічного відділення КМУ МЛ</w:t>
      </w:r>
      <w:r w:rsidR="007050C0" w:rsidRPr="00CE0A20">
        <w:rPr>
          <w:rFonts w:ascii="Times New Roman" w:hAnsi="Times New Roman" w:cs="Times New Roman"/>
          <w:iCs/>
          <w:sz w:val="28"/>
          <w:szCs w:val="28"/>
        </w:rPr>
        <w:t xml:space="preserve"> </w:t>
      </w:r>
      <w:r w:rsidR="007050C0" w:rsidRPr="00CE0A20">
        <w:rPr>
          <w:rFonts w:ascii="Times New Roman" w:hAnsi="Times New Roman" w:cs="Times New Roman"/>
          <w:iCs/>
          <w:sz w:val="28"/>
          <w:szCs w:val="28"/>
          <w:lang w:val="uk-UA"/>
        </w:rPr>
        <w:t>№2 (м.</w:t>
      </w:r>
      <w:r w:rsidR="007050C0" w:rsidRPr="00CE0A20">
        <w:rPr>
          <w:rFonts w:ascii="Times New Roman" w:hAnsi="Times New Roman" w:cs="Times New Roman"/>
          <w:iCs/>
          <w:sz w:val="28"/>
          <w:szCs w:val="28"/>
        </w:rPr>
        <w:t xml:space="preserve"> </w:t>
      </w:r>
      <w:r w:rsidRPr="00CE0A20">
        <w:rPr>
          <w:rFonts w:ascii="Times New Roman" w:hAnsi="Times New Roman" w:cs="Times New Roman"/>
          <w:iCs/>
          <w:sz w:val="28"/>
          <w:szCs w:val="28"/>
          <w:lang w:val="uk-UA"/>
        </w:rPr>
        <w:t>Краматорськ).</w:t>
      </w:r>
    </w:p>
    <w:p w:rsidR="00EB6EBC" w:rsidRPr="00CE0A20" w:rsidRDefault="00EB6EBC" w:rsidP="00EB6EBC">
      <w:pPr>
        <w:spacing w:line="360" w:lineRule="auto"/>
        <w:ind w:firstLine="68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Результати проведених досліджень впроваджені </w:t>
      </w:r>
      <w:r w:rsidRPr="00CE0A20">
        <w:rPr>
          <w:rFonts w:ascii="Times New Roman" w:hAnsi="Times New Roman" w:cs="Times New Roman"/>
          <w:iCs/>
          <w:sz w:val="28"/>
          <w:szCs w:val="28"/>
          <w:lang w:val="uk-UA"/>
        </w:rPr>
        <w:t>в навчальний та науковий процес ДВНЗ «Українська медична стоматологічна академія»</w:t>
      </w:r>
      <w:r w:rsidR="007050C0" w:rsidRPr="00CE0A20">
        <w:rPr>
          <w:rFonts w:ascii="Times New Roman" w:hAnsi="Times New Roman" w:cs="Times New Roman"/>
          <w:iCs/>
          <w:sz w:val="28"/>
          <w:szCs w:val="28"/>
          <w:lang w:val="uk-UA"/>
        </w:rPr>
        <w:t xml:space="preserve"> (м.</w:t>
      </w:r>
      <w:r w:rsidR="007050C0" w:rsidRPr="00CE0A20">
        <w:rPr>
          <w:rFonts w:ascii="Times New Roman" w:hAnsi="Times New Roman" w:cs="Times New Roman"/>
          <w:iCs/>
          <w:sz w:val="28"/>
          <w:szCs w:val="28"/>
        </w:rPr>
        <w:t xml:space="preserve"> </w:t>
      </w:r>
      <w:r w:rsidRPr="00CE0A20">
        <w:rPr>
          <w:rFonts w:ascii="Times New Roman" w:hAnsi="Times New Roman" w:cs="Times New Roman"/>
          <w:iCs/>
          <w:sz w:val="28"/>
          <w:szCs w:val="28"/>
          <w:lang w:val="uk-UA"/>
        </w:rPr>
        <w:t>Полтава), Львівського національного медичного університету ім.</w:t>
      </w:r>
      <w:r w:rsidR="007050C0" w:rsidRPr="00CE0A20">
        <w:rPr>
          <w:rFonts w:ascii="Times New Roman" w:hAnsi="Times New Roman" w:cs="Times New Roman"/>
          <w:iCs/>
          <w:sz w:val="28"/>
          <w:szCs w:val="28"/>
        </w:rPr>
        <w:t xml:space="preserve"> </w:t>
      </w:r>
      <w:r w:rsidRPr="00CE0A20">
        <w:rPr>
          <w:rFonts w:ascii="Times New Roman" w:hAnsi="Times New Roman" w:cs="Times New Roman"/>
          <w:iCs/>
          <w:sz w:val="28"/>
          <w:szCs w:val="28"/>
          <w:lang w:val="uk-UA"/>
        </w:rPr>
        <w:t>Данила Галицького (м.</w:t>
      </w:r>
      <w:r w:rsidR="007050C0" w:rsidRPr="00CE0A20">
        <w:rPr>
          <w:rFonts w:ascii="Times New Roman" w:hAnsi="Times New Roman" w:cs="Times New Roman"/>
          <w:iCs/>
          <w:sz w:val="28"/>
          <w:szCs w:val="28"/>
          <w:lang w:val="uk-UA"/>
        </w:rPr>
        <w:t xml:space="preserve"> </w:t>
      </w:r>
      <w:r w:rsidRPr="00CE0A20">
        <w:rPr>
          <w:rFonts w:ascii="Times New Roman" w:hAnsi="Times New Roman" w:cs="Times New Roman"/>
          <w:iCs/>
          <w:sz w:val="28"/>
          <w:szCs w:val="28"/>
          <w:lang w:val="uk-UA"/>
        </w:rPr>
        <w:t>Львів), ДВНЗ «Івано-Франківський національний медичний університет» (м.</w:t>
      </w:r>
      <w:r w:rsidR="007050C0" w:rsidRPr="00CE0A20">
        <w:rPr>
          <w:rFonts w:ascii="Times New Roman" w:hAnsi="Times New Roman" w:cs="Times New Roman"/>
          <w:iCs/>
          <w:sz w:val="28"/>
          <w:szCs w:val="28"/>
        </w:rPr>
        <w:t xml:space="preserve"> </w:t>
      </w:r>
      <w:r w:rsidRPr="00CE0A20">
        <w:rPr>
          <w:rFonts w:ascii="Times New Roman" w:hAnsi="Times New Roman" w:cs="Times New Roman"/>
          <w:iCs/>
          <w:sz w:val="28"/>
          <w:szCs w:val="28"/>
          <w:lang w:val="uk-UA"/>
        </w:rPr>
        <w:t>Івано-Франківськ), н</w:t>
      </w:r>
      <w:r w:rsidRPr="00CE0A20">
        <w:rPr>
          <w:rFonts w:ascii="Times New Roman" w:hAnsi="Times New Roman" w:cs="Times New Roman"/>
          <w:sz w:val="28"/>
          <w:szCs w:val="28"/>
          <w:lang w:val="uk-UA"/>
        </w:rPr>
        <w:t>авчально-наукового медичного комплексу «Університетська клініка» Харківського національного медичного університету (м.</w:t>
      </w:r>
      <w:r w:rsidR="007050C0" w:rsidRPr="00CE0A20">
        <w:rPr>
          <w:rFonts w:ascii="Times New Roman" w:hAnsi="Times New Roman" w:cs="Times New Roman"/>
          <w:sz w:val="28"/>
          <w:szCs w:val="28"/>
        </w:rPr>
        <w:t xml:space="preserve"> </w:t>
      </w:r>
      <w:r w:rsidRPr="00CE0A20">
        <w:rPr>
          <w:rFonts w:ascii="Times New Roman" w:hAnsi="Times New Roman" w:cs="Times New Roman"/>
          <w:sz w:val="28"/>
          <w:szCs w:val="28"/>
          <w:lang w:val="uk-UA"/>
        </w:rPr>
        <w:t>Харків), Харківської медичної академії післядипломної освіти (м.</w:t>
      </w:r>
      <w:r w:rsidR="007050C0" w:rsidRPr="00CE0A20">
        <w:rPr>
          <w:rFonts w:ascii="Times New Roman" w:hAnsi="Times New Roman" w:cs="Times New Roman"/>
          <w:sz w:val="28"/>
          <w:szCs w:val="28"/>
        </w:rPr>
        <w:t xml:space="preserve"> </w:t>
      </w:r>
      <w:r w:rsidRPr="00CE0A20">
        <w:rPr>
          <w:rFonts w:ascii="Times New Roman" w:hAnsi="Times New Roman" w:cs="Times New Roman"/>
          <w:sz w:val="28"/>
          <w:szCs w:val="28"/>
          <w:lang w:val="uk-UA"/>
        </w:rPr>
        <w:t>Харків), Харківського національного медичного університету (м.</w:t>
      </w:r>
      <w:r w:rsidR="007050C0" w:rsidRPr="00CE0A20">
        <w:rPr>
          <w:rFonts w:ascii="Times New Roman" w:hAnsi="Times New Roman" w:cs="Times New Roman"/>
          <w:sz w:val="28"/>
          <w:szCs w:val="28"/>
        </w:rPr>
        <w:t xml:space="preserve"> </w:t>
      </w:r>
      <w:r w:rsidRPr="00CE0A20">
        <w:rPr>
          <w:rFonts w:ascii="Times New Roman" w:hAnsi="Times New Roman" w:cs="Times New Roman"/>
          <w:sz w:val="28"/>
          <w:szCs w:val="28"/>
          <w:lang w:val="uk-UA"/>
        </w:rPr>
        <w:t>Харків), ДЗ «Дніпропетровська державна ме</w:t>
      </w:r>
      <w:r w:rsidR="007050C0" w:rsidRPr="00CE0A20">
        <w:rPr>
          <w:rFonts w:ascii="Times New Roman" w:hAnsi="Times New Roman" w:cs="Times New Roman"/>
          <w:sz w:val="28"/>
          <w:szCs w:val="28"/>
          <w:lang w:val="uk-UA"/>
        </w:rPr>
        <w:t>дична академія МОЗ України» (м.</w:t>
      </w:r>
      <w:r w:rsidR="007050C0" w:rsidRPr="00CE0A20">
        <w:rPr>
          <w:rFonts w:ascii="Times New Roman" w:hAnsi="Times New Roman" w:cs="Times New Roman"/>
          <w:sz w:val="28"/>
          <w:szCs w:val="28"/>
        </w:rPr>
        <w:t xml:space="preserve"> </w:t>
      </w:r>
      <w:r w:rsidRPr="00CE0A20">
        <w:rPr>
          <w:rFonts w:ascii="Times New Roman" w:hAnsi="Times New Roman" w:cs="Times New Roman"/>
          <w:sz w:val="28"/>
          <w:szCs w:val="28"/>
          <w:lang w:val="uk-UA"/>
        </w:rPr>
        <w:t>Дніпро).</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
          <w:bCs/>
          <w:sz w:val="28"/>
          <w:szCs w:val="28"/>
          <w:lang w:val="uk-UA"/>
        </w:rPr>
        <w:t>Особистий внесок здобувача</w:t>
      </w:r>
      <w:r w:rsidRPr="00CE0A20">
        <w:rPr>
          <w:rFonts w:ascii="Times New Roman" w:hAnsi="Times New Roman" w:cs="Times New Roman"/>
          <w:sz w:val="28"/>
          <w:szCs w:val="28"/>
          <w:lang w:val="uk-UA"/>
        </w:rPr>
        <w:t>. Дисертантом самостійно вибрано напрям дослідження, проведено патентно-інформаційний пошук й аналіз наукової літератури за темою роботи.</w:t>
      </w:r>
    </w:p>
    <w:p w:rsidR="00EB6EBC" w:rsidRPr="00CE0A20" w:rsidRDefault="00EB6EBC" w:rsidP="00EB6EBC">
      <w:pPr>
        <w:spacing w:line="360" w:lineRule="auto"/>
        <w:ind w:firstLine="709"/>
        <w:jc w:val="both"/>
        <w:rPr>
          <w:rFonts w:ascii="Times New Roman" w:hAnsi="Times New Roman" w:cs="Times New Roman"/>
          <w:sz w:val="28"/>
          <w:szCs w:val="28"/>
          <w:lang w:val="uk-UA"/>
        </w:rPr>
      </w:pPr>
      <w:r w:rsidRPr="00CE0A20">
        <w:rPr>
          <w:rStyle w:val="notranslate"/>
          <w:rFonts w:ascii="Times New Roman" w:hAnsi="Times New Roman" w:cs="Times New Roman"/>
          <w:sz w:val="28"/>
          <w:szCs w:val="28"/>
          <w:lang w:val="uk-UA"/>
        </w:rPr>
        <w:t>Ідея й загальна концепція роботи належать автору. Здобувачем самостійно проведено аналіз літератури, здійснено набір та обробку первинного матеріалу. Самостійно автором виконано всі експериментальні дослідження та розроблено методику лікування хворих з еректильною дисфункцією та андрогенним дефіцитом. Лабораторні та гістологічні дослідження виконано разом з фахівцями відповідного профілю.</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Style w:val="notranslate"/>
          <w:rFonts w:ascii="Times New Roman" w:hAnsi="Times New Roman" w:cs="Times New Roman"/>
          <w:sz w:val="28"/>
          <w:szCs w:val="28"/>
          <w:lang w:val="uk-UA"/>
        </w:rPr>
        <w:t>Теоретичне узагальнення даних здійснено спільно з науковим консультантом – членом-кореспондентом НАМН України, доктором медичних наук, професором В. М. Лісовим. Дисертантом не використовувалися ідеї та розробки співавторів публікацій, а також результати й висновки його кандидатської дисертації.</w:t>
      </w:r>
    </w:p>
    <w:p w:rsidR="00EB6EBC" w:rsidRPr="00CE0A20" w:rsidRDefault="00EB6EBC" w:rsidP="00EB6EBC">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b/>
          <w:bCs/>
          <w:sz w:val="28"/>
          <w:szCs w:val="28"/>
          <w:lang w:val="uk-UA"/>
        </w:rPr>
        <w:t>Апробація результатів дисертації</w:t>
      </w:r>
      <w:r w:rsidRPr="00CE0A20">
        <w:rPr>
          <w:rFonts w:ascii="Times New Roman" w:hAnsi="Times New Roman" w:cs="Times New Roman"/>
          <w:sz w:val="28"/>
          <w:szCs w:val="28"/>
          <w:lang w:val="uk-UA"/>
        </w:rPr>
        <w:t xml:space="preserve">. Основні положення дисертаційної роботи оприлюднено та обговорено на </w:t>
      </w:r>
      <w:r w:rsidRPr="00CE0A20">
        <w:rPr>
          <w:rFonts w:ascii="Times New Roman" w:hAnsi="Times New Roman" w:cs="Times New Roman"/>
          <w:sz w:val="28"/>
          <w:szCs w:val="28"/>
          <w:shd w:val="clear" w:color="auto" w:fill="FFFFFF"/>
          <w:lang w:val="uk-UA"/>
        </w:rPr>
        <w:t>V з’їзді трансплантологів України (м. Харків, 2011), н</w:t>
      </w:r>
      <w:r w:rsidRPr="00CE0A20">
        <w:rPr>
          <w:rFonts w:ascii="Times New Roman" w:hAnsi="Times New Roman" w:cs="Times New Roman"/>
          <w:bCs/>
          <w:sz w:val="28"/>
          <w:szCs w:val="28"/>
          <w:lang w:val="uk-UA"/>
        </w:rPr>
        <w:t>ауково-практичній конференції сексопатологів, андрологів та урологів України «</w:t>
      </w:r>
      <w:r w:rsidRPr="00CE0A20">
        <w:rPr>
          <w:rFonts w:ascii="Times New Roman" w:hAnsi="Times New Roman" w:cs="Times New Roman"/>
          <w:iCs/>
          <w:sz w:val="28"/>
          <w:szCs w:val="28"/>
          <w:lang w:val="uk-UA"/>
        </w:rPr>
        <w:t xml:space="preserve">Фармакотерапія в сексопатології, андрології та урології» (м. Харків, 2012), </w:t>
      </w:r>
      <w:r w:rsidRPr="00CE0A20">
        <w:rPr>
          <w:rFonts w:ascii="Times New Roman" w:hAnsi="Times New Roman" w:cs="Times New Roman"/>
          <w:sz w:val="28"/>
          <w:szCs w:val="28"/>
          <w:shd w:val="clear" w:color="auto" w:fill="FFFFFF"/>
          <w:lang w:val="uk-UA"/>
        </w:rPr>
        <w:t>н</w:t>
      </w:r>
      <w:r w:rsidRPr="00CE0A20">
        <w:rPr>
          <w:rFonts w:ascii="Times New Roman" w:hAnsi="Times New Roman" w:cs="Times New Roman"/>
          <w:bCs/>
          <w:sz w:val="28"/>
          <w:szCs w:val="28"/>
          <w:lang w:val="uk-UA"/>
        </w:rPr>
        <w:t xml:space="preserve">ауково-практичній конференції </w:t>
      </w:r>
      <w:r w:rsidRPr="00CE0A20">
        <w:rPr>
          <w:rFonts w:ascii="Times New Roman" w:hAnsi="Times New Roman" w:cs="Times New Roman"/>
          <w:iCs/>
          <w:sz w:val="28"/>
          <w:szCs w:val="28"/>
          <w:lang w:val="uk-UA"/>
        </w:rPr>
        <w:t>«</w:t>
      </w:r>
      <w:r w:rsidRPr="00CE0A20">
        <w:rPr>
          <w:rFonts w:ascii="Times New Roman" w:hAnsi="Times New Roman" w:cs="Times New Roman"/>
          <w:sz w:val="28"/>
          <w:szCs w:val="28"/>
          <w:lang w:val="uk-UA"/>
        </w:rPr>
        <w:t>Урологія, андрологія, нефрологія – 2013» (м. Харків, 2013), ІІІ-му зʼїзді сексопатологів та андрологів України</w:t>
      </w:r>
      <w:r w:rsidR="00296A8F"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 xml:space="preserve">(м. Київ, 2014), </w:t>
      </w:r>
      <w:r w:rsidRPr="00CE0A20">
        <w:rPr>
          <w:rFonts w:ascii="Times New Roman" w:hAnsi="Times New Roman" w:cs="Times New Roman"/>
          <w:bCs/>
          <w:sz w:val="28"/>
          <w:szCs w:val="28"/>
          <w:lang w:val="uk-UA"/>
        </w:rPr>
        <w:t xml:space="preserve">науково-практичній конференції з міжнародною участю «Сучасні методи діагностики та лікування в урології, андрології та онкоурології» (м. Дніпропетровськ, 2015), </w:t>
      </w:r>
      <w:r w:rsidRPr="00CE0A20">
        <w:rPr>
          <w:rFonts w:ascii="Times New Roman" w:hAnsi="Times New Roman" w:cs="Times New Roman"/>
          <w:sz w:val="28"/>
          <w:szCs w:val="28"/>
          <w:lang w:val="uk-UA"/>
        </w:rPr>
        <w:t>міжнародному симпозіумі «Урологія майбутнього» (м. </w:t>
      </w:r>
      <w:r w:rsidRPr="00CE0A20">
        <w:rPr>
          <w:rFonts w:ascii="Times New Roman" w:hAnsi="Times New Roman" w:cs="Times New Roman"/>
          <w:bCs/>
          <w:sz w:val="28"/>
          <w:szCs w:val="28"/>
          <w:lang w:val="uk-UA"/>
        </w:rPr>
        <w:t>Кам</w:t>
      </w:r>
      <w:r w:rsidR="00296A8F" w:rsidRPr="00CE0A20">
        <w:rPr>
          <w:rFonts w:ascii="Times New Roman" w:hAnsi="Times New Roman" w:cs="Times New Roman"/>
          <w:bCs/>
          <w:sz w:val="28"/>
          <w:szCs w:val="28"/>
          <w:lang w:val="uk-UA"/>
        </w:rPr>
        <w:t>’</w:t>
      </w:r>
      <w:r w:rsidRPr="00CE0A20">
        <w:rPr>
          <w:rFonts w:ascii="Times New Roman" w:hAnsi="Times New Roman" w:cs="Times New Roman"/>
          <w:bCs/>
          <w:sz w:val="28"/>
          <w:szCs w:val="28"/>
          <w:lang w:val="uk-UA"/>
        </w:rPr>
        <w:t xml:space="preserve">янець-Подільський, 2015), науково-практичній конференції з міжнародною участю «Сучасні методи діагностики та лікування в урології, андрології та онкоурології» (м. Дніпро, 2016), </w:t>
      </w:r>
      <w:r w:rsidRPr="00CE0A20">
        <w:rPr>
          <w:rFonts w:ascii="Times New Roman" w:hAnsi="Times New Roman" w:cs="Times New Roman"/>
          <w:sz w:val="28"/>
          <w:szCs w:val="28"/>
          <w:shd w:val="clear" w:color="auto" w:fill="FFFFFF"/>
          <w:lang w:val="uk-UA"/>
        </w:rPr>
        <w:t>н</w:t>
      </w:r>
      <w:r w:rsidRPr="00CE0A20">
        <w:rPr>
          <w:rFonts w:ascii="Times New Roman" w:hAnsi="Times New Roman" w:cs="Times New Roman"/>
          <w:bCs/>
          <w:sz w:val="28"/>
          <w:szCs w:val="28"/>
          <w:lang w:val="uk-UA"/>
        </w:rPr>
        <w:t xml:space="preserve">ауково-практичній конференції </w:t>
      </w:r>
      <w:r w:rsidRPr="00CE0A20">
        <w:rPr>
          <w:rFonts w:ascii="Times New Roman" w:hAnsi="Times New Roman" w:cs="Times New Roman"/>
          <w:iCs/>
          <w:sz w:val="28"/>
          <w:szCs w:val="28"/>
          <w:lang w:val="uk-UA"/>
        </w:rPr>
        <w:t xml:space="preserve"> «</w:t>
      </w:r>
      <w:r w:rsidRPr="00CE0A20">
        <w:rPr>
          <w:rFonts w:ascii="Times New Roman" w:hAnsi="Times New Roman" w:cs="Times New Roman"/>
          <w:sz w:val="28"/>
          <w:szCs w:val="28"/>
          <w:lang w:val="uk-UA"/>
        </w:rPr>
        <w:t xml:space="preserve">Урологія, андрологія, нефрологія – 2016» (м. Харків, 2016), </w:t>
      </w:r>
      <w:r w:rsidRPr="00CE0A20">
        <w:rPr>
          <w:rFonts w:ascii="Times New Roman" w:hAnsi="Times New Roman" w:cs="Times New Roman"/>
          <w:bCs/>
          <w:sz w:val="28"/>
          <w:szCs w:val="28"/>
          <w:lang w:val="uk-UA"/>
        </w:rPr>
        <w:t>науково-практичній конференції з міжнародною участю «Сучасні методи діагностики та лікування в урології, андрології та онкоурології» (м. Дніпро, 2017),</w:t>
      </w:r>
      <w:r w:rsidRPr="00CE0A20">
        <w:rPr>
          <w:rFonts w:ascii="Times New Roman" w:hAnsi="Times New Roman" w:cs="Times New Roman"/>
          <w:sz w:val="28"/>
          <w:szCs w:val="28"/>
          <w:lang w:val="uk-UA"/>
        </w:rPr>
        <w:t xml:space="preserve"> ювілейній </w:t>
      </w:r>
      <w:r w:rsidRPr="00CE0A20">
        <w:rPr>
          <w:rFonts w:ascii="Times New Roman" w:hAnsi="Times New Roman" w:cs="Times New Roman"/>
          <w:bCs/>
          <w:sz w:val="28"/>
          <w:szCs w:val="28"/>
          <w:lang w:val="uk-UA"/>
        </w:rPr>
        <w:t xml:space="preserve">науково-практичній конференції  </w:t>
      </w:r>
      <w:r w:rsidRPr="00CE0A20">
        <w:rPr>
          <w:rFonts w:ascii="Times New Roman" w:hAnsi="Times New Roman" w:cs="Times New Roman"/>
          <w:sz w:val="28"/>
          <w:szCs w:val="28"/>
          <w:lang w:val="uk-UA"/>
        </w:rPr>
        <w:t xml:space="preserve">«Урологія, андрологія, нефрологія – досягнення, проблеми, шляхи вирішення» (м. Харків, 2017), </w:t>
      </w:r>
      <w:r w:rsidRPr="00CE0A20">
        <w:rPr>
          <w:rFonts w:ascii="Times New Roman" w:hAnsi="Times New Roman" w:cs="Times New Roman"/>
          <w:sz w:val="28"/>
          <w:szCs w:val="28"/>
          <w:shd w:val="clear" w:color="auto" w:fill="FFFFFF"/>
          <w:lang w:val="uk-UA"/>
        </w:rPr>
        <w:t>VI</w:t>
      </w:r>
      <w:r w:rsidRPr="00CE0A20">
        <w:rPr>
          <w:rFonts w:ascii="Times New Roman" w:hAnsi="Times New Roman" w:cs="Times New Roman"/>
          <w:sz w:val="28"/>
          <w:szCs w:val="28"/>
          <w:shd w:val="clear" w:color="auto" w:fill="FFFFFF"/>
          <w:lang w:val="en-US"/>
        </w:rPr>
        <w:t>I</w:t>
      </w:r>
      <w:r w:rsidRPr="00CE0A20">
        <w:rPr>
          <w:rFonts w:ascii="Times New Roman" w:hAnsi="Times New Roman" w:cs="Times New Roman"/>
          <w:sz w:val="28"/>
          <w:szCs w:val="28"/>
          <w:shd w:val="clear" w:color="auto" w:fill="FFFFFF"/>
          <w:lang w:val="uk-UA"/>
        </w:rPr>
        <w:t xml:space="preserve"> міжнародній науково-практичній конференції «Досягнення та перспективи в онкоурології, пластичній та реконструктивній хірургії сечовивідних шляхів» (м. Київ, 2017), </w:t>
      </w:r>
      <w:r w:rsidRPr="00CE0A20">
        <w:rPr>
          <w:rFonts w:ascii="Times New Roman" w:hAnsi="Times New Roman" w:cs="Times New Roman"/>
          <w:bCs/>
          <w:sz w:val="28"/>
          <w:szCs w:val="28"/>
          <w:lang w:val="uk-UA"/>
        </w:rPr>
        <w:t xml:space="preserve">науково-практичній конференції </w:t>
      </w:r>
      <w:r w:rsidRPr="00CE0A20">
        <w:rPr>
          <w:rFonts w:ascii="Times New Roman" w:hAnsi="Times New Roman" w:cs="Times New Roman"/>
          <w:sz w:val="28"/>
          <w:szCs w:val="28"/>
          <w:lang w:val="uk-UA"/>
        </w:rPr>
        <w:t xml:space="preserve">«Урологія, андрологія, нефрологія – досягнення, проблеми, шляхи вирішення» (м. Харків, 2018), </w:t>
      </w:r>
      <w:r w:rsidRPr="00CE0A20">
        <w:rPr>
          <w:rFonts w:ascii="Times New Roman" w:hAnsi="Times New Roman" w:cs="Times New Roman"/>
          <w:bCs/>
          <w:sz w:val="28"/>
          <w:szCs w:val="28"/>
          <w:lang w:val="uk-UA"/>
        </w:rPr>
        <w:t>науково-практичній конференції з міжнародною участю «Сучасні методи діагностики та лікування в урології, андрології та онкоурології» (м. Дніпро, 2018).</w:t>
      </w:r>
    </w:p>
    <w:p w:rsidR="00EB6EBC" w:rsidRPr="00CE0A20" w:rsidRDefault="00EB6EBC" w:rsidP="00EB6EBC">
      <w:pPr>
        <w:spacing w:line="360" w:lineRule="auto"/>
        <w:ind w:firstLine="709"/>
        <w:jc w:val="both"/>
        <w:rPr>
          <w:rFonts w:ascii="Times New Roman" w:eastAsia="Times New Roman" w:hAnsi="Times New Roman" w:cs="Times New Roman"/>
          <w:sz w:val="28"/>
          <w:szCs w:val="28"/>
          <w:lang w:val="en-US"/>
        </w:rPr>
      </w:pPr>
      <w:r w:rsidRPr="00CE0A20">
        <w:rPr>
          <w:rFonts w:ascii="Times New Roman" w:hAnsi="Times New Roman" w:cs="Times New Roman"/>
          <w:b/>
          <w:bCs/>
          <w:sz w:val="28"/>
          <w:szCs w:val="28"/>
          <w:lang w:val="uk-UA"/>
        </w:rPr>
        <w:t>Публікації.</w:t>
      </w:r>
      <w:r w:rsidRPr="00CE0A20">
        <w:rPr>
          <w:rFonts w:ascii="Times New Roman" w:hAnsi="Times New Roman" w:cs="Times New Roman"/>
          <w:sz w:val="28"/>
          <w:szCs w:val="28"/>
          <w:lang w:val="uk-UA"/>
        </w:rPr>
        <w:t xml:space="preserve"> </w:t>
      </w:r>
      <w:r w:rsidRPr="00CE0A20">
        <w:rPr>
          <w:rFonts w:ascii="Times New Roman" w:eastAsia="Times New Roman" w:hAnsi="Times New Roman" w:cs="Times New Roman"/>
          <w:sz w:val="28"/>
          <w:szCs w:val="28"/>
          <w:lang w:val="uk-UA"/>
        </w:rPr>
        <w:t>За темою дисертації опубліковано 42 друковані роботи, у тому числі 28 статей у спеціалізованих наукових виданнях (з яких 1 стаття – у журналі, що входить до міжнародної наукометричної бази Web of Science, 9 – у виданнях, які входять до наукометричних баз даних, 12 статей – одноосібно), 8 тез доповідей у матеріалах науково-практичних конференцій, 1 методичні рекомендації, 5 патентів України на корисну модель.</w:t>
      </w:r>
    </w:p>
    <w:p w:rsidR="00EB6EBC" w:rsidRPr="00CE0A20" w:rsidRDefault="00EB6EBC" w:rsidP="00EB6EBC">
      <w:pPr>
        <w:widowControl w:val="0"/>
        <w:spacing w:line="360" w:lineRule="auto"/>
        <w:ind w:firstLine="709"/>
        <w:jc w:val="both"/>
        <w:rPr>
          <w:rFonts w:ascii="Times New Roman" w:hAnsi="Times New Roman" w:cs="Times New Roman"/>
          <w:bCs/>
          <w:sz w:val="28"/>
          <w:szCs w:val="28"/>
          <w:lang w:val="uk-UA"/>
        </w:rPr>
      </w:pPr>
      <w:r w:rsidRPr="00CE0A20">
        <w:rPr>
          <w:rFonts w:ascii="Times New Roman" w:hAnsi="Times New Roman" w:cs="Times New Roman"/>
          <w:b/>
          <w:kern w:val="28"/>
          <w:sz w:val="28"/>
          <w:szCs w:val="28"/>
          <w:lang w:val="uk-UA"/>
        </w:rPr>
        <w:t xml:space="preserve">Обсяг і структура дисертації. </w:t>
      </w:r>
      <w:r w:rsidRPr="00CE0A20">
        <w:rPr>
          <w:rFonts w:ascii="Times New Roman" w:hAnsi="Times New Roman" w:cs="Times New Roman"/>
          <w:bCs/>
          <w:sz w:val="28"/>
          <w:szCs w:val="28"/>
          <w:lang w:val="uk-UA"/>
        </w:rPr>
        <w:t xml:space="preserve">Дисертаційна робота викладена на 314 сторінках друкованого тексту і складається з анотації, вступу, огляду літератури, розділу «Матеріали і методи дослідження», 4 розділів власних досліджень, аналізу й узагальнення результатів дослідження, висновків, практичних рекомендацій, списку використаних джерел, який налічує 378 посилань (131 – кирилицею, 247 – іноземних авторів). Роботу проілюстровано 22 таблицями, 108 рисунками.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br w:type="page"/>
      </w:r>
    </w:p>
    <w:p w:rsidR="00EB6EBC" w:rsidRPr="00CE0A20" w:rsidRDefault="00EB6EBC" w:rsidP="00EB6EBC">
      <w:pPr>
        <w:spacing w:after="160" w:line="259" w:lineRule="auto"/>
        <w:jc w:val="center"/>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Розділ 1</w:t>
      </w:r>
    </w:p>
    <w:p w:rsidR="00EB6EBC" w:rsidRPr="00CE0A20" w:rsidRDefault="00EB6EBC" w:rsidP="00EB6EBC">
      <w:pPr>
        <w:spacing w:line="360" w:lineRule="auto"/>
        <w:jc w:val="center"/>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ЕРЕКТИЛЬНА ДИСФУНКЦІЯ ТА ГІПОГОНАДИЗМ: СУЧАСНІ АСПЕКТИ ПАТОГЕНЕЗУ, ДІАГНОСТИКИ ТА ЛІКУВАННЯ</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p>
    <w:p w:rsidR="00EB6EBC" w:rsidRPr="00CE0A20" w:rsidRDefault="00EB6EBC" w:rsidP="00EB6EBC">
      <w:pPr>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1.1 Медико-соціальне значення еректильної дисфункції та тестостерон-дефіцитних станів</w:t>
      </w:r>
    </w:p>
    <w:p w:rsidR="00661B2E" w:rsidRPr="00CE0A20" w:rsidRDefault="00661B2E" w:rsidP="00EB6EBC">
      <w:pPr>
        <w:pStyle w:val="230"/>
        <w:widowControl w:val="0"/>
        <w:spacing w:after="0" w:line="360" w:lineRule="auto"/>
        <w:ind w:firstLine="709"/>
        <w:jc w:val="both"/>
        <w:rPr>
          <w:rFonts w:ascii="Times New Roman" w:hAnsi="Times New Roman" w:cs="Times New Roman"/>
          <w:color w:val="000000" w:themeColor="text1"/>
          <w:sz w:val="28"/>
          <w:szCs w:val="28"/>
          <w:lang w:eastAsia="ru-RU"/>
        </w:rPr>
      </w:pPr>
    </w:p>
    <w:p w:rsidR="00EB6EBC" w:rsidRPr="00CE0A20" w:rsidRDefault="00EB6EBC" w:rsidP="00EB6EBC">
      <w:pPr>
        <w:pStyle w:val="230"/>
        <w:widowControl w:val="0"/>
        <w:spacing w:after="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eastAsia="ru-RU"/>
        </w:rPr>
        <w:t xml:space="preserve">Неухильне збільшення тривалості життя людей, яке спостерігається з початку минулого сторіччя, </w:t>
      </w:r>
      <w:r w:rsidR="00434792" w:rsidRPr="00CE0A20">
        <w:rPr>
          <w:rFonts w:ascii="Times New Roman" w:hAnsi="Times New Roman" w:cs="Times New Roman"/>
          <w:color w:val="000000" w:themeColor="text1"/>
          <w:sz w:val="28"/>
          <w:szCs w:val="28"/>
          <w:lang w:val="uk-UA" w:eastAsia="ru-RU"/>
        </w:rPr>
        <w:t>спричинило</w:t>
      </w:r>
      <w:r w:rsidRPr="00CE0A20">
        <w:rPr>
          <w:rFonts w:ascii="Times New Roman" w:hAnsi="Times New Roman" w:cs="Times New Roman"/>
          <w:color w:val="000000" w:themeColor="text1"/>
          <w:sz w:val="28"/>
          <w:szCs w:val="28"/>
          <w:lang w:val="uk-UA" w:eastAsia="ru-RU"/>
        </w:rPr>
        <w:t xml:space="preserve"> значн</w:t>
      </w:r>
      <w:r w:rsidR="00434792" w:rsidRPr="00CE0A20">
        <w:rPr>
          <w:rFonts w:ascii="Times New Roman" w:hAnsi="Times New Roman" w:cs="Times New Roman"/>
          <w:color w:val="000000" w:themeColor="text1"/>
          <w:sz w:val="28"/>
          <w:szCs w:val="28"/>
          <w:lang w:val="uk-UA" w:eastAsia="ru-RU"/>
        </w:rPr>
        <w:t>е</w:t>
      </w:r>
      <w:r w:rsidRPr="00CE0A20">
        <w:rPr>
          <w:rFonts w:ascii="Times New Roman" w:hAnsi="Times New Roman" w:cs="Times New Roman"/>
          <w:color w:val="000000" w:themeColor="text1"/>
          <w:sz w:val="28"/>
          <w:szCs w:val="28"/>
          <w:lang w:val="uk-UA" w:eastAsia="ru-RU"/>
        </w:rPr>
        <w:t xml:space="preserve"> зростання </w:t>
      </w:r>
      <w:r w:rsidR="00434792" w:rsidRPr="00CE0A20">
        <w:rPr>
          <w:rFonts w:ascii="Times New Roman" w:hAnsi="Times New Roman" w:cs="Times New Roman"/>
          <w:color w:val="000000" w:themeColor="text1"/>
          <w:sz w:val="28"/>
          <w:szCs w:val="28"/>
          <w:lang w:val="uk-UA" w:eastAsia="ru-RU"/>
        </w:rPr>
        <w:t>кількості</w:t>
      </w:r>
      <w:r w:rsidRPr="00CE0A20">
        <w:rPr>
          <w:rFonts w:ascii="Times New Roman" w:hAnsi="Times New Roman" w:cs="Times New Roman"/>
          <w:color w:val="000000" w:themeColor="text1"/>
          <w:sz w:val="28"/>
          <w:szCs w:val="28"/>
          <w:lang w:val="uk-UA" w:eastAsia="ru-RU"/>
        </w:rPr>
        <w:t xml:space="preserve"> осіб похилого та старечого віку. </w:t>
      </w:r>
      <w:r w:rsidRPr="00CE0A20">
        <w:rPr>
          <w:rFonts w:ascii="Times New Roman" w:hAnsi="Times New Roman" w:cs="Times New Roman"/>
          <w:color w:val="000000" w:themeColor="text1"/>
          <w:kern w:val="36"/>
          <w:sz w:val="28"/>
          <w:szCs w:val="28"/>
          <w:lang w:val="uk-UA" w:eastAsia="ru-RU"/>
        </w:rPr>
        <w:t xml:space="preserve"> Кількість чоловіків ві</w:t>
      </w:r>
      <w:r w:rsidR="00434792" w:rsidRPr="00CE0A20">
        <w:rPr>
          <w:rFonts w:ascii="Times New Roman" w:hAnsi="Times New Roman" w:cs="Times New Roman"/>
          <w:color w:val="000000" w:themeColor="text1"/>
          <w:kern w:val="36"/>
          <w:sz w:val="28"/>
          <w:szCs w:val="28"/>
          <w:lang w:val="uk-UA" w:eastAsia="ru-RU"/>
        </w:rPr>
        <w:t>ком</w:t>
      </w:r>
      <w:r w:rsidRPr="00CE0A20">
        <w:rPr>
          <w:rFonts w:ascii="Times New Roman" w:hAnsi="Times New Roman" w:cs="Times New Roman"/>
          <w:color w:val="000000" w:themeColor="text1"/>
          <w:kern w:val="36"/>
          <w:sz w:val="28"/>
          <w:szCs w:val="28"/>
          <w:lang w:val="uk-UA" w:eastAsia="ru-RU"/>
        </w:rPr>
        <w:t xml:space="preserve"> більш</w:t>
      </w:r>
      <w:r w:rsidR="00434792" w:rsidRPr="00CE0A20">
        <w:rPr>
          <w:rFonts w:ascii="Times New Roman" w:hAnsi="Times New Roman" w:cs="Times New Roman"/>
          <w:color w:val="000000" w:themeColor="text1"/>
          <w:kern w:val="36"/>
          <w:sz w:val="28"/>
          <w:szCs w:val="28"/>
          <w:lang w:val="uk-UA" w:eastAsia="ru-RU"/>
        </w:rPr>
        <w:t xml:space="preserve"> ніж</w:t>
      </w:r>
      <w:r w:rsidRPr="00CE0A20">
        <w:rPr>
          <w:rFonts w:ascii="Times New Roman" w:hAnsi="Times New Roman" w:cs="Times New Roman"/>
          <w:color w:val="000000" w:themeColor="text1"/>
          <w:kern w:val="36"/>
          <w:sz w:val="28"/>
          <w:szCs w:val="28"/>
          <w:lang w:val="uk-UA" w:eastAsia="ru-RU"/>
        </w:rPr>
        <w:t xml:space="preserve"> 65 років з 1900 року </w:t>
      </w:r>
      <w:r w:rsidR="00434792" w:rsidRPr="00CE0A20">
        <w:rPr>
          <w:rFonts w:ascii="Times New Roman" w:hAnsi="Times New Roman" w:cs="Times New Roman"/>
          <w:color w:val="000000" w:themeColor="text1"/>
          <w:kern w:val="36"/>
          <w:sz w:val="28"/>
          <w:szCs w:val="28"/>
          <w:lang w:val="uk-UA" w:eastAsia="ru-RU"/>
        </w:rPr>
        <w:t>до початку ХХІ</w:t>
      </w:r>
      <w:r w:rsidRPr="00CE0A20">
        <w:rPr>
          <w:rFonts w:ascii="Times New Roman" w:hAnsi="Times New Roman" w:cs="Times New Roman"/>
          <w:color w:val="000000" w:themeColor="text1"/>
          <w:kern w:val="36"/>
          <w:sz w:val="28"/>
          <w:szCs w:val="28"/>
          <w:lang w:val="uk-UA" w:eastAsia="ru-RU"/>
        </w:rPr>
        <w:t xml:space="preserve"> століття збільшилась у 7 разів, а </w:t>
      </w:r>
      <w:r w:rsidR="00434792" w:rsidRPr="00CE0A20">
        <w:rPr>
          <w:rFonts w:ascii="Times New Roman" w:hAnsi="Times New Roman" w:cs="Times New Roman"/>
          <w:color w:val="000000" w:themeColor="text1"/>
          <w:kern w:val="36"/>
          <w:sz w:val="28"/>
          <w:szCs w:val="28"/>
          <w:lang w:val="uk-UA" w:eastAsia="ru-RU"/>
        </w:rPr>
        <w:t>віком</w:t>
      </w:r>
      <w:r w:rsidRPr="00CE0A20">
        <w:rPr>
          <w:rFonts w:ascii="Times New Roman" w:hAnsi="Times New Roman" w:cs="Times New Roman"/>
          <w:color w:val="000000" w:themeColor="text1"/>
          <w:kern w:val="36"/>
          <w:sz w:val="28"/>
          <w:szCs w:val="28"/>
          <w:lang w:val="uk-UA" w:eastAsia="ru-RU"/>
        </w:rPr>
        <w:t xml:space="preserve"> більш </w:t>
      </w:r>
      <w:r w:rsidR="00434792" w:rsidRPr="00CE0A20">
        <w:rPr>
          <w:rFonts w:ascii="Times New Roman" w:hAnsi="Times New Roman" w:cs="Times New Roman"/>
          <w:color w:val="000000" w:themeColor="text1"/>
          <w:kern w:val="36"/>
          <w:sz w:val="28"/>
          <w:szCs w:val="28"/>
          <w:lang w:val="uk-UA" w:eastAsia="ru-RU"/>
        </w:rPr>
        <w:t xml:space="preserve">ніж </w:t>
      </w:r>
      <w:r w:rsidRPr="00CE0A20">
        <w:rPr>
          <w:rFonts w:ascii="Times New Roman" w:hAnsi="Times New Roman" w:cs="Times New Roman"/>
          <w:color w:val="000000" w:themeColor="text1"/>
          <w:kern w:val="36"/>
          <w:sz w:val="28"/>
          <w:szCs w:val="28"/>
          <w:lang w:val="uk-UA" w:eastAsia="ru-RU"/>
        </w:rPr>
        <w:t xml:space="preserve">85 років – </w:t>
      </w:r>
      <w:r w:rsidR="00434792" w:rsidRPr="00CE0A20">
        <w:rPr>
          <w:rFonts w:ascii="Times New Roman" w:hAnsi="Times New Roman" w:cs="Times New Roman"/>
          <w:color w:val="000000" w:themeColor="text1"/>
          <w:kern w:val="36"/>
          <w:sz w:val="28"/>
          <w:szCs w:val="28"/>
          <w:lang w:val="uk-UA" w:eastAsia="ru-RU"/>
        </w:rPr>
        <w:t>у</w:t>
      </w:r>
      <w:r w:rsidRPr="00CE0A20">
        <w:rPr>
          <w:rFonts w:ascii="Times New Roman" w:hAnsi="Times New Roman" w:cs="Times New Roman"/>
          <w:color w:val="000000" w:themeColor="text1"/>
          <w:kern w:val="36"/>
          <w:sz w:val="28"/>
          <w:szCs w:val="28"/>
          <w:lang w:val="uk-UA" w:eastAsia="ru-RU"/>
        </w:rPr>
        <w:t xml:space="preserve"> 31 раз [</w:t>
      </w:r>
      <w:r w:rsidRPr="00CE0A20">
        <w:rPr>
          <w:rFonts w:ascii="Times New Roman" w:hAnsi="Times New Roman" w:cs="Times New Roman"/>
          <w:color w:val="000000" w:themeColor="text1"/>
          <w:sz w:val="28"/>
          <w:szCs w:val="28"/>
          <w:lang w:val="uk-UA" w:eastAsia="ru-RU"/>
        </w:rPr>
        <w:t>51</w:t>
      </w:r>
      <w:r w:rsidRPr="00CE0A20">
        <w:rPr>
          <w:rFonts w:ascii="Times New Roman" w:hAnsi="Times New Roman" w:cs="Times New Roman"/>
          <w:color w:val="000000" w:themeColor="text1"/>
          <w:kern w:val="36"/>
          <w:sz w:val="28"/>
          <w:szCs w:val="28"/>
          <w:lang w:val="uk-UA" w:eastAsia="ru-RU"/>
        </w:rPr>
        <w:t xml:space="preserve">]. </w:t>
      </w:r>
      <w:r w:rsidRPr="00CE0A20">
        <w:rPr>
          <w:rFonts w:ascii="Times New Roman" w:hAnsi="Times New Roman" w:cs="Times New Roman"/>
          <w:color w:val="000000" w:themeColor="text1"/>
          <w:sz w:val="28"/>
          <w:szCs w:val="28"/>
          <w:lang w:val="uk-UA" w:eastAsia="ru-RU"/>
        </w:rPr>
        <w:t>Поряд з безсумнівно позитивн</w:t>
      </w:r>
      <w:r w:rsidR="00434792" w:rsidRPr="00CE0A20">
        <w:rPr>
          <w:rFonts w:ascii="Times New Roman" w:hAnsi="Times New Roman" w:cs="Times New Roman"/>
          <w:color w:val="000000" w:themeColor="text1"/>
          <w:sz w:val="28"/>
          <w:szCs w:val="28"/>
          <w:lang w:val="uk-UA" w:eastAsia="ru-RU"/>
        </w:rPr>
        <w:t>им аспектом</w:t>
      </w:r>
      <w:r w:rsidRPr="00CE0A20">
        <w:rPr>
          <w:rFonts w:ascii="Times New Roman" w:hAnsi="Times New Roman" w:cs="Times New Roman"/>
          <w:color w:val="000000" w:themeColor="text1"/>
          <w:sz w:val="28"/>
          <w:szCs w:val="28"/>
          <w:lang w:val="uk-UA" w:eastAsia="ru-RU"/>
        </w:rPr>
        <w:t xml:space="preserve"> цього процесу для медичної науки з’явилися нові проблеми, пов’язані з віково</w:t>
      </w:r>
      <w:r w:rsidR="00434792" w:rsidRPr="00CE0A20">
        <w:rPr>
          <w:rFonts w:ascii="Times New Roman" w:hAnsi="Times New Roman" w:cs="Times New Roman"/>
          <w:color w:val="000000" w:themeColor="text1"/>
          <w:sz w:val="28"/>
          <w:szCs w:val="28"/>
          <w:lang w:val="uk-UA" w:eastAsia="ru-RU"/>
        </w:rPr>
        <w:t>ю</w:t>
      </w:r>
      <w:r w:rsidRPr="00CE0A20">
        <w:rPr>
          <w:rFonts w:ascii="Times New Roman" w:hAnsi="Times New Roman" w:cs="Times New Roman"/>
          <w:color w:val="000000" w:themeColor="text1"/>
          <w:sz w:val="28"/>
          <w:szCs w:val="28"/>
          <w:lang w:val="uk-UA" w:eastAsia="ru-RU"/>
        </w:rPr>
        <w:t xml:space="preserve"> патологією. У цьому аспекті особливе значення має еректильна дисфункція (ЕД), яка виявляється більш ніж у третини чоловіків віком 40–70 рр. [111; 264; </w:t>
      </w:r>
      <w:r w:rsidRPr="00CE0A20">
        <w:rPr>
          <w:rFonts w:ascii="Times New Roman" w:hAnsi="Times New Roman" w:cs="Times New Roman"/>
          <w:color w:val="000000" w:themeColor="text1"/>
          <w:sz w:val="28"/>
          <w:szCs w:val="28"/>
          <w:lang w:val="uk-UA"/>
        </w:rPr>
        <w:t>316</w:t>
      </w:r>
      <w:r w:rsidRPr="00CE0A20">
        <w:rPr>
          <w:rFonts w:ascii="Times New Roman" w:hAnsi="Times New Roman" w:cs="Times New Roman"/>
          <w:color w:val="000000" w:themeColor="text1"/>
          <w:sz w:val="28"/>
          <w:szCs w:val="28"/>
          <w:lang w:val="uk-UA" w:eastAsia="ru-RU"/>
        </w:rPr>
        <w:t>]</w:t>
      </w:r>
      <w:r w:rsidRPr="00CE0A20">
        <w:rPr>
          <w:rFonts w:ascii="Times New Roman" w:hAnsi="Times New Roman" w:cs="Times New Roman"/>
          <w:color w:val="000000" w:themeColor="text1"/>
          <w:sz w:val="28"/>
          <w:szCs w:val="28"/>
          <w:lang w:val="uk-UA"/>
        </w:rPr>
        <w:t xml:space="preserve">. Аналіз світових тенденцій </w:t>
      </w:r>
      <w:r w:rsidR="00434792" w:rsidRPr="00CE0A20">
        <w:rPr>
          <w:rFonts w:ascii="Times New Roman" w:hAnsi="Times New Roman" w:cs="Times New Roman"/>
          <w:color w:val="000000" w:themeColor="text1"/>
          <w:sz w:val="28"/>
          <w:szCs w:val="28"/>
          <w:lang w:val="uk-UA"/>
        </w:rPr>
        <w:t>поширенос</w:t>
      </w:r>
      <w:r w:rsidRPr="00CE0A20">
        <w:rPr>
          <w:rFonts w:ascii="Times New Roman" w:hAnsi="Times New Roman" w:cs="Times New Roman"/>
          <w:color w:val="000000" w:themeColor="text1"/>
          <w:sz w:val="28"/>
          <w:szCs w:val="28"/>
          <w:lang w:val="uk-UA"/>
        </w:rPr>
        <w:t xml:space="preserve">ті ЕД дозволив ще </w:t>
      </w:r>
      <w:r w:rsidR="00434792"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1999</w:t>
      </w:r>
      <w:r w:rsidR="00434792" w:rsidRPr="00CE0A20">
        <w:rPr>
          <w:rFonts w:ascii="Times New Roman" w:hAnsi="Times New Roman" w:cs="Times New Roman"/>
          <w:color w:val="000000" w:themeColor="text1"/>
          <w:sz w:val="28"/>
          <w:szCs w:val="28"/>
          <w:lang w:val="uk-UA"/>
        </w:rPr>
        <w:t> </w:t>
      </w:r>
      <w:r w:rsidRPr="00CE0A20">
        <w:rPr>
          <w:rFonts w:ascii="Times New Roman" w:hAnsi="Times New Roman" w:cs="Times New Roman"/>
          <w:color w:val="000000" w:themeColor="text1"/>
          <w:sz w:val="28"/>
          <w:szCs w:val="28"/>
          <w:lang w:val="uk-UA"/>
        </w:rPr>
        <w:t xml:space="preserve">році стверджувати </w:t>
      </w:r>
      <w:r w:rsidR="00434792" w:rsidRPr="00CE0A20">
        <w:rPr>
          <w:rFonts w:ascii="Times New Roman" w:hAnsi="Times New Roman" w:cs="Times New Roman"/>
          <w:color w:val="000000" w:themeColor="text1"/>
          <w:sz w:val="28"/>
          <w:szCs w:val="28"/>
          <w:lang w:val="uk-UA"/>
        </w:rPr>
        <w:t>факт</w:t>
      </w:r>
      <w:r w:rsidRPr="00CE0A20">
        <w:rPr>
          <w:rFonts w:ascii="Times New Roman" w:hAnsi="Times New Roman" w:cs="Times New Roman"/>
          <w:color w:val="000000" w:themeColor="text1"/>
          <w:sz w:val="28"/>
          <w:szCs w:val="28"/>
          <w:lang w:val="uk-UA"/>
        </w:rPr>
        <w:t xml:space="preserve"> її неухильн</w:t>
      </w:r>
      <w:r w:rsidR="00434792" w:rsidRPr="00CE0A20">
        <w:rPr>
          <w:rFonts w:ascii="Times New Roman" w:hAnsi="Times New Roman" w:cs="Times New Roman"/>
          <w:color w:val="000000" w:themeColor="text1"/>
          <w:sz w:val="28"/>
          <w:szCs w:val="28"/>
          <w:lang w:val="uk-UA"/>
        </w:rPr>
        <w:t>ого</w:t>
      </w:r>
      <w:r w:rsidRPr="00CE0A20">
        <w:rPr>
          <w:rFonts w:ascii="Times New Roman" w:hAnsi="Times New Roman" w:cs="Times New Roman"/>
          <w:color w:val="000000" w:themeColor="text1"/>
          <w:sz w:val="28"/>
          <w:szCs w:val="28"/>
          <w:lang w:val="uk-UA"/>
        </w:rPr>
        <w:t xml:space="preserve"> </w:t>
      </w:r>
      <w:r w:rsidR="00434792" w:rsidRPr="00CE0A20">
        <w:rPr>
          <w:rFonts w:ascii="Times New Roman" w:hAnsi="Times New Roman" w:cs="Times New Roman"/>
          <w:color w:val="000000" w:themeColor="text1"/>
          <w:sz w:val="28"/>
          <w:szCs w:val="28"/>
          <w:lang w:val="uk-UA"/>
        </w:rPr>
        <w:t>з</w:t>
      </w:r>
      <w:r w:rsidRPr="00CE0A20">
        <w:rPr>
          <w:rFonts w:ascii="Times New Roman" w:hAnsi="Times New Roman" w:cs="Times New Roman"/>
          <w:color w:val="000000" w:themeColor="text1"/>
          <w:sz w:val="28"/>
          <w:szCs w:val="28"/>
          <w:lang w:val="uk-UA"/>
        </w:rPr>
        <w:t>рост</w:t>
      </w:r>
      <w:r w:rsidR="00434792" w:rsidRPr="00CE0A20">
        <w:rPr>
          <w:rFonts w:ascii="Times New Roman" w:hAnsi="Times New Roman" w:cs="Times New Roman"/>
          <w:color w:val="000000" w:themeColor="text1"/>
          <w:sz w:val="28"/>
          <w:szCs w:val="28"/>
          <w:lang w:val="uk-UA"/>
        </w:rPr>
        <w:t>ання</w:t>
      </w:r>
      <w:r w:rsidRPr="00CE0A20">
        <w:rPr>
          <w:rFonts w:ascii="Times New Roman" w:hAnsi="Times New Roman" w:cs="Times New Roman"/>
          <w:color w:val="000000" w:themeColor="text1"/>
          <w:sz w:val="28"/>
          <w:szCs w:val="28"/>
          <w:lang w:val="uk-UA"/>
        </w:rPr>
        <w:t xml:space="preserve">, що </w:t>
      </w:r>
      <w:r w:rsidR="00434792" w:rsidRPr="00CE0A20">
        <w:rPr>
          <w:rFonts w:ascii="Times New Roman" w:hAnsi="Times New Roman" w:cs="Times New Roman"/>
          <w:color w:val="000000" w:themeColor="text1"/>
          <w:sz w:val="28"/>
          <w:szCs w:val="28"/>
          <w:lang w:val="uk-UA"/>
        </w:rPr>
        <w:t>спричинить</w:t>
      </w:r>
      <w:r w:rsidRPr="00CE0A20">
        <w:rPr>
          <w:rFonts w:ascii="Times New Roman" w:hAnsi="Times New Roman" w:cs="Times New Roman"/>
          <w:color w:val="000000" w:themeColor="text1"/>
          <w:sz w:val="28"/>
          <w:szCs w:val="28"/>
          <w:lang w:val="uk-UA"/>
        </w:rPr>
        <w:t xml:space="preserve"> більш ніж дво</w:t>
      </w:r>
      <w:r w:rsidR="00434792" w:rsidRPr="00CE0A20">
        <w:rPr>
          <w:rFonts w:ascii="Times New Roman" w:hAnsi="Times New Roman" w:cs="Times New Roman"/>
          <w:color w:val="000000" w:themeColor="text1"/>
          <w:sz w:val="28"/>
          <w:szCs w:val="28"/>
          <w:lang w:val="uk-UA"/>
        </w:rPr>
        <w:t>разове</w:t>
      </w:r>
      <w:r w:rsidRPr="00CE0A20">
        <w:rPr>
          <w:rFonts w:ascii="Times New Roman" w:hAnsi="Times New Roman" w:cs="Times New Roman"/>
          <w:color w:val="000000" w:themeColor="text1"/>
          <w:sz w:val="28"/>
          <w:szCs w:val="28"/>
          <w:lang w:val="uk-UA"/>
        </w:rPr>
        <w:t xml:space="preserve"> збільшення захворюваності протягом 30 років (з</w:t>
      </w:r>
      <w:r w:rsidR="00434792"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152 млн</w:t>
      </w:r>
      <w:r w:rsidR="00434792"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у 1995 р. до 320 млн</w:t>
      </w:r>
      <w:r w:rsidR="00434792"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у 2025 р.) [148]. Це знайшло своє підтвердження у більш пізніх дослідженнях [</w:t>
      </w:r>
      <w:r w:rsidRPr="00CE0A20">
        <w:rPr>
          <w:rFonts w:ascii="Times New Roman" w:hAnsi="Times New Roman" w:cs="Times New Roman"/>
          <w:color w:val="000000" w:themeColor="text1"/>
          <w:sz w:val="28"/>
          <w:szCs w:val="28"/>
          <w:lang w:val="uk-UA" w:eastAsia="ru-RU"/>
        </w:rPr>
        <w:t>177; 311]</w:t>
      </w:r>
      <w:r w:rsidRPr="00CE0A20">
        <w:rPr>
          <w:rFonts w:ascii="Times New Roman" w:hAnsi="Times New Roman" w:cs="Times New Roman"/>
          <w:color w:val="000000" w:themeColor="text1"/>
          <w:sz w:val="28"/>
          <w:szCs w:val="28"/>
          <w:lang w:val="uk-UA"/>
        </w:rPr>
        <w:t xml:space="preserve">. </w:t>
      </w:r>
    </w:p>
    <w:p w:rsidR="00EB6EBC" w:rsidRPr="00CE0A20" w:rsidRDefault="00EB6EBC" w:rsidP="00EB6EBC">
      <w:pPr>
        <w:tabs>
          <w:tab w:val="left" w:pos="403"/>
        </w:tabs>
        <w:spacing w:line="360" w:lineRule="auto"/>
        <w:ind w:firstLine="709"/>
        <w:jc w:val="both"/>
        <w:rPr>
          <w:rStyle w:val="11"/>
          <w:color w:val="000000" w:themeColor="text1"/>
          <w:sz w:val="28"/>
          <w:szCs w:val="28"/>
          <w:lang w:val="uk-UA"/>
        </w:rPr>
      </w:pPr>
      <w:r w:rsidRPr="00CE0A20">
        <w:rPr>
          <w:rFonts w:ascii="Times New Roman" w:hAnsi="Times New Roman" w:cs="Times New Roman"/>
          <w:color w:val="000000" w:themeColor="text1"/>
          <w:sz w:val="28"/>
          <w:szCs w:val="28"/>
          <w:lang w:val="uk-UA"/>
        </w:rPr>
        <w:t>ЕД визначається як постійна нездатність досягти та підтримувати ерекцію, достатню для забезпечення адекватної сексуальної активності [</w:t>
      </w:r>
      <w:r w:rsidRPr="00CE0A20">
        <w:rPr>
          <w:rFonts w:ascii="Times New Roman" w:hAnsi="Times New Roman" w:cs="Times New Roman"/>
          <w:color w:val="000000" w:themeColor="text1"/>
          <w:sz w:val="28"/>
          <w:szCs w:val="28"/>
          <w:shd w:val="clear" w:color="auto" w:fill="F5F5F5"/>
          <w:lang w:val="uk-UA"/>
        </w:rPr>
        <w:t>233]</w:t>
      </w:r>
      <w:r w:rsidRPr="00CE0A20">
        <w:rPr>
          <w:rFonts w:ascii="Times New Roman" w:hAnsi="Times New Roman" w:cs="Times New Roman"/>
          <w:color w:val="000000" w:themeColor="text1"/>
          <w:sz w:val="28"/>
          <w:szCs w:val="28"/>
          <w:lang w:val="uk-UA"/>
        </w:rPr>
        <w:t>. ЕД є важливою причиною низької якості життя, психосоціальних розладів у чоловіків та причиною сексуальних розладів у їх</w:t>
      </w:r>
      <w:r w:rsidR="00434792" w:rsidRPr="00CE0A20">
        <w:rPr>
          <w:rFonts w:ascii="Times New Roman" w:hAnsi="Times New Roman" w:cs="Times New Roman"/>
          <w:color w:val="000000" w:themeColor="text1"/>
          <w:sz w:val="28"/>
          <w:szCs w:val="28"/>
          <w:lang w:val="uk-UA"/>
        </w:rPr>
        <w:t>ніх</w:t>
      </w:r>
      <w:r w:rsidRPr="00CE0A20">
        <w:rPr>
          <w:rFonts w:ascii="Times New Roman" w:hAnsi="Times New Roman" w:cs="Times New Roman"/>
          <w:color w:val="000000" w:themeColor="text1"/>
          <w:sz w:val="28"/>
          <w:szCs w:val="28"/>
          <w:lang w:val="uk-UA"/>
        </w:rPr>
        <w:t xml:space="preserve"> партнерок [96].</w:t>
      </w:r>
      <w:r w:rsidRPr="00CE0A20">
        <w:rPr>
          <w:rStyle w:val="11"/>
          <w:color w:val="000000" w:themeColor="text1"/>
          <w:sz w:val="28"/>
          <w:szCs w:val="28"/>
          <w:lang w:val="uk-UA"/>
        </w:rPr>
        <w:t xml:space="preserve"> Ця патологія є однією з провідних ознак порушення статевої функції. </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Нормальна еректильна функція – це баланс між психологічними, гормональними, неврологічними, судинними </w:t>
      </w:r>
      <w:r w:rsidR="00434792"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анатомічними </w:t>
      </w:r>
      <w:r w:rsidR="00434792" w:rsidRPr="00CE0A20">
        <w:rPr>
          <w:rFonts w:ascii="Times New Roman" w:hAnsi="Times New Roman" w:cs="Times New Roman"/>
          <w:color w:val="000000" w:themeColor="text1"/>
          <w:sz w:val="28"/>
          <w:szCs w:val="28"/>
          <w:lang w:val="uk-UA"/>
        </w:rPr>
        <w:t>чинника</w:t>
      </w:r>
      <w:r w:rsidRPr="00CE0A20">
        <w:rPr>
          <w:rFonts w:ascii="Times New Roman" w:hAnsi="Times New Roman" w:cs="Times New Roman"/>
          <w:color w:val="000000" w:themeColor="text1"/>
          <w:sz w:val="28"/>
          <w:szCs w:val="28"/>
          <w:lang w:val="uk-UA"/>
        </w:rPr>
        <w:t>ми. Порушення одного або кількох з цих факторів можуть призвести до порушення ерекції. Це підтверджується частим сполученням ЕД з багатьма ендокринними та соматичними захворюваннями. Зокрема</w:t>
      </w:r>
      <w:r w:rsidR="00434792"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відомо, що цукровий діабет (ЦД) супроводжується розвитком різноманітних ускладнень, у тому числі, ЕД, яка є однією з причин погіршення якості життя хворих [89; 182; 306; 360]. </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Вважають, що ЕД розвивається втри</w:t>
      </w:r>
      <w:r w:rsidR="00434792" w:rsidRPr="00CE0A20">
        <w:rPr>
          <w:rFonts w:ascii="Times New Roman" w:hAnsi="Times New Roman" w:cs="Times New Roman"/>
          <w:color w:val="000000" w:themeColor="text1"/>
          <w:sz w:val="28"/>
          <w:szCs w:val="28"/>
          <w:lang w:val="uk-UA"/>
        </w:rPr>
        <w:t>чі</w:t>
      </w:r>
      <w:r w:rsidRPr="00CE0A20">
        <w:rPr>
          <w:rFonts w:ascii="Times New Roman" w:hAnsi="Times New Roman" w:cs="Times New Roman"/>
          <w:color w:val="000000" w:themeColor="text1"/>
          <w:sz w:val="28"/>
          <w:szCs w:val="28"/>
          <w:lang w:val="uk-UA"/>
        </w:rPr>
        <w:t xml:space="preserve"> частіше і на 10-15 років раніше у хворих </w:t>
      </w:r>
      <w:r w:rsidR="00434792" w:rsidRPr="00CE0A20">
        <w:rPr>
          <w:rFonts w:ascii="Times New Roman" w:hAnsi="Times New Roman" w:cs="Times New Roman"/>
          <w:color w:val="000000" w:themeColor="text1"/>
          <w:sz w:val="28"/>
          <w:szCs w:val="28"/>
          <w:lang w:val="uk-UA"/>
        </w:rPr>
        <w:t>на</w:t>
      </w:r>
      <w:r w:rsidRPr="00CE0A20">
        <w:rPr>
          <w:rFonts w:ascii="Times New Roman" w:hAnsi="Times New Roman" w:cs="Times New Roman"/>
          <w:color w:val="000000" w:themeColor="text1"/>
          <w:sz w:val="28"/>
          <w:szCs w:val="28"/>
          <w:lang w:val="uk-UA"/>
        </w:rPr>
        <w:t xml:space="preserve"> цукрови</w:t>
      </w:r>
      <w:r w:rsidR="00434792"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діабет (ЦД), ніж </w:t>
      </w:r>
      <w:r w:rsidR="00434792" w:rsidRPr="00CE0A20">
        <w:rPr>
          <w:rFonts w:ascii="Times New Roman" w:hAnsi="Times New Roman" w:cs="Times New Roman"/>
          <w:color w:val="000000" w:themeColor="text1"/>
          <w:sz w:val="28"/>
          <w:szCs w:val="28"/>
          <w:lang w:val="uk-UA"/>
        </w:rPr>
        <w:t>за</w:t>
      </w:r>
      <w:r w:rsidRPr="00CE0A20">
        <w:rPr>
          <w:rFonts w:ascii="Times New Roman" w:hAnsi="Times New Roman" w:cs="Times New Roman"/>
          <w:color w:val="000000" w:themeColor="text1"/>
          <w:sz w:val="28"/>
          <w:szCs w:val="28"/>
          <w:lang w:val="uk-UA"/>
        </w:rPr>
        <w:t xml:space="preserve"> його відсутності. Її частота залежить від віку хворого та тривалості захворювання на ЦД, сягаючи 75%. У віці до 30 років ЕД виявляється в 9-15% випадків, 30–60 років - більш ніж </w:t>
      </w:r>
      <w:r w:rsidR="00434792"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55%, а у віці більш</w:t>
      </w:r>
      <w:r w:rsidR="00434792" w:rsidRPr="00CE0A20">
        <w:rPr>
          <w:rFonts w:ascii="Times New Roman" w:hAnsi="Times New Roman" w:cs="Times New Roman"/>
          <w:color w:val="000000" w:themeColor="text1"/>
          <w:sz w:val="28"/>
          <w:szCs w:val="28"/>
          <w:lang w:val="uk-UA"/>
        </w:rPr>
        <w:t>е</w:t>
      </w:r>
      <w:r w:rsidRPr="00CE0A20">
        <w:rPr>
          <w:rFonts w:ascii="Times New Roman" w:hAnsi="Times New Roman" w:cs="Times New Roman"/>
          <w:color w:val="000000" w:themeColor="text1"/>
          <w:sz w:val="28"/>
          <w:szCs w:val="28"/>
          <w:lang w:val="uk-UA"/>
        </w:rPr>
        <w:t xml:space="preserve"> 70 років на ЕД страждають до 95% хворих на ЦД [7</w:t>
      </w:r>
      <w:r w:rsidRPr="00CE0A20">
        <w:rPr>
          <w:rStyle w:val="MicrosoftSansSerif"/>
          <w:rFonts w:ascii="Times New Roman" w:hAnsi="Times New Roman" w:cs="Times New Roman"/>
          <w:color w:val="000000" w:themeColor="text1"/>
          <w:sz w:val="28"/>
          <w:szCs w:val="28"/>
          <w:lang w:val="uk-UA"/>
        </w:rPr>
        <w:t xml:space="preserve">5; </w:t>
      </w:r>
      <w:r w:rsidRPr="00CE0A20">
        <w:rPr>
          <w:rFonts w:ascii="Times New Roman" w:hAnsi="Times New Roman" w:cs="Times New Roman"/>
          <w:color w:val="000000" w:themeColor="text1"/>
          <w:sz w:val="28"/>
          <w:szCs w:val="28"/>
          <w:lang w:val="uk-UA"/>
        </w:rPr>
        <w:t xml:space="preserve">170].  Corona та співавт. (2006) </w:t>
      </w:r>
      <w:r w:rsidR="00434792"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результаті обстеження 1200 чоловіків з ЕД виявили, що 16% з них мали ЦД 2</w:t>
      </w:r>
      <w:r w:rsidR="00434792"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w:t>
      </w:r>
      <w:r w:rsidRPr="00CE0A20">
        <w:rPr>
          <w:rStyle w:val="mixed-citation"/>
          <w:rFonts w:ascii="Times New Roman" w:hAnsi="Times New Roman" w:cs="Times New Roman"/>
          <w:color w:val="000000" w:themeColor="text1"/>
          <w:sz w:val="28"/>
          <w:szCs w:val="28"/>
          <w:lang w:val="uk-UA"/>
        </w:rPr>
        <w:t xml:space="preserve">175]. Доведено, що </w:t>
      </w:r>
      <w:r w:rsidRPr="00CE0A20">
        <w:rPr>
          <w:rFonts w:ascii="Times New Roman" w:hAnsi="Times New Roman" w:cs="Times New Roman"/>
          <w:color w:val="000000" w:themeColor="text1"/>
          <w:sz w:val="28"/>
          <w:szCs w:val="28"/>
          <w:lang w:val="uk-UA"/>
        </w:rPr>
        <w:t>у хворих на ЦД 2</w:t>
      </w:r>
      <w:r w:rsidR="00434792"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з підвищеною вагою частота ЕД (зменшення кількості еректильних епізодів, тривалості та виразності ерекції) збільшується, причому наявність ЦД 1</w:t>
      </w:r>
      <w:r w:rsidR="00434792"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меншо</w:t>
      </w:r>
      <w:r w:rsidR="00434792"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w:t>
      </w:r>
      <w:r w:rsidR="00434792" w:rsidRPr="00CE0A20">
        <w:rPr>
          <w:rFonts w:ascii="Times New Roman" w:hAnsi="Times New Roman" w:cs="Times New Roman"/>
          <w:color w:val="000000" w:themeColor="text1"/>
          <w:sz w:val="28"/>
          <w:szCs w:val="28"/>
          <w:lang w:val="uk-UA"/>
        </w:rPr>
        <w:t>мірою</w:t>
      </w:r>
      <w:r w:rsidRPr="00CE0A20">
        <w:rPr>
          <w:rFonts w:ascii="Times New Roman" w:hAnsi="Times New Roman" w:cs="Times New Roman"/>
          <w:color w:val="000000" w:themeColor="text1"/>
          <w:sz w:val="28"/>
          <w:szCs w:val="28"/>
          <w:lang w:val="uk-UA"/>
        </w:rPr>
        <w:t xml:space="preserve"> впливала на ці показники [139]. За результатами дослідження </w:t>
      </w:r>
      <w:r w:rsidRPr="00CE0A20">
        <w:rPr>
          <w:rStyle w:val="ref-title"/>
          <w:rFonts w:ascii="Times New Roman" w:hAnsi="Times New Roman" w:cs="Times New Roman"/>
          <w:color w:val="000000" w:themeColor="text1"/>
          <w:sz w:val="28"/>
          <w:szCs w:val="28"/>
          <w:lang w:val="uk-UA"/>
        </w:rPr>
        <w:t>Look AHEAD в</w:t>
      </w:r>
      <w:r w:rsidR="00434792" w:rsidRPr="00CE0A20">
        <w:rPr>
          <w:rStyle w:val="ref-title"/>
          <w:rFonts w:ascii="Times New Roman" w:hAnsi="Times New Roman" w:cs="Times New Roman"/>
          <w:color w:val="000000" w:themeColor="text1"/>
          <w:sz w:val="28"/>
          <w:szCs w:val="28"/>
          <w:lang w:val="uk-UA"/>
        </w:rPr>
        <w:t>иявле</w:t>
      </w:r>
      <w:r w:rsidRPr="00CE0A20">
        <w:rPr>
          <w:rStyle w:val="ref-title"/>
          <w:rFonts w:ascii="Times New Roman" w:hAnsi="Times New Roman" w:cs="Times New Roman"/>
          <w:color w:val="000000" w:themeColor="text1"/>
          <w:sz w:val="28"/>
          <w:szCs w:val="28"/>
          <w:lang w:val="uk-UA"/>
        </w:rPr>
        <w:t xml:space="preserve">но, що ЕД була наявна </w:t>
      </w:r>
      <w:r w:rsidR="00434792" w:rsidRPr="00CE0A20">
        <w:rPr>
          <w:rStyle w:val="ref-title"/>
          <w:rFonts w:ascii="Times New Roman" w:hAnsi="Times New Roman" w:cs="Times New Roman"/>
          <w:color w:val="000000" w:themeColor="text1"/>
          <w:sz w:val="28"/>
          <w:szCs w:val="28"/>
          <w:lang w:val="uk-UA"/>
        </w:rPr>
        <w:t xml:space="preserve">в </w:t>
      </w:r>
      <w:r w:rsidRPr="00CE0A20">
        <w:rPr>
          <w:rStyle w:val="ref-title"/>
          <w:rFonts w:ascii="Times New Roman" w:hAnsi="Times New Roman" w:cs="Times New Roman"/>
          <w:color w:val="000000" w:themeColor="text1"/>
          <w:sz w:val="28"/>
          <w:szCs w:val="28"/>
          <w:lang w:val="uk-UA"/>
        </w:rPr>
        <w:t xml:space="preserve">49,8% чоловіків, хворих на ЦД. </w:t>
      </w:r>
      <w:r w:rsidRPr="00CE0A20">
        <w:rPr>
          <w:rFonts w:ascii="Times New Roman" w:hAnsi="Times New Roman" w:cs="Times New Roman"/>
          <w:color w:val="000000" w:themeColor="text1"/>
          <w:sz w:val="28"/>
          <w:szCs w:val="28"/>
          <w:lang w:val="uk-UA"/>
        </w:rPr>
        <w:t>Шанс наявності ЕД був пов'язаний з віком (коефіцієнт шансів 1,05, 95% ДІ 1,01-1,10), збільшеним рівнем HbА1с (1,31, 1,05-1,63), наявністю артеріальної гіпертензії (2,41, 1,34-4,36) та метаболічного синдрому (3,05; 1,31-7,11) [</w:t>
      </w:r>
      <w:r w:rsidRPr="00CE0A20">
        <w:rPr>
          <w:rStyle w:val="mixed-citation"/>
          <w:rFonts w:ascii="Times New Roman" w:hAnsi="Times New Roman" w:cs="Times New Roman"/>
          <w:color w:val="000000" w:themeColor="text1"/>
          <w:sz w:val="28"/>
          <w:szCs w:val="28"/>
          <w:lang w:val="uk-UA"/>
        </w:rPr>
        <w:t>319]</w:t>
      </w:r>
      <w:r w:rsidRPr="00CE0A20">
        <w:rPr>
          <w:rFonts w:ascii="Times New Roman" w:hAnsi="Times New Roman" w:cs="Times New Roman"/>
          <w:color w:val="000000" w:themeColor="text1"/>
          <w:sz w:val="28"/>
          <w:szCs w:val="28"/>
          <w:lang w:val="uk-UA"/>
        </w:rPr>
        <w:t xml:space="preserve">.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Частота розвитку ЕД знаходиться в прямій залежності не тільки від віку хворого, але </w:t>
      </w:r>
      <w:r w:rsidR="00434792"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від </w:t>
      </w:r>
      <w:r w:rsidR="00434792" w:rsidRPr="00CE0A20">
        <w:rPr>
          <w:rFonts w:ascii="Times New Roman" w:hAnsi="Times New Roman" w:cs="Times New Roman"/>
          <w:color w:val="000000" w:themeColor="text1"/>
          <w:sz w:val="28"/>
          <w:szCs w:val="28"/>
          <w:lang w:val="uk-UA"/>
        </w:rPr>
        <w:t>тя</w:t>
      </w:r>
      <w:r w:rsidRPr="00CE0A20">
        <w:rPr>
          <w:rFonts w:ascii="Times New Roman" w:hAnsi="Times New Roman" w:cs="Times New Roman"/>
          <w:color w:val="000000" w:themeColor="text1"/>
          <w:sz w:val="28"/>
          <w:szCs w:val="28"/>
          <w:lang w:val="uk-UA"/>
        </w:rPr>
        <w:t xml:space="preserve">жкості </w:t>
      </w:r>
      <w:r w:rsidR="00434792"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тривалості ЦД та ступеня його корекції [198]. Кількість пацієнтів з </w:t>
      </w:r>
      <w:r w:rsidR="00434792" w:rsidRPr="00CE0A20">
        <w:rPr>
          <w:rFonts w:ascii="Times New Roman" w:hAnsi="Times New Roman" w:cs="Times New Roman"/>
          <w:color w:val="000000" w:themeColor="text1"/>
          <w:sz w:val="28"/>
          <w:szCs w:val="28"/>
          <w:lang w:val="uk-UA"/>
        </w:rPr>
        <w:t>тя</w:t>
      </w:r>
      <w:r w:rsidRPr="00CE0A20">
        <w:rPr>
          <w:rFonts w:ascii="Times New Roman" w:hAnsi="Times New Roman" w:cs="Times New Roman"/>
          <w:color w:val="000000" w:themeColor="text1"/>
          <w:sz w:val="28"/>
          <w:szCs w:val="28"/>
          <w:lang w:val="uk-UA"/>
        </w:rPr>
        <w:t xml:space="preserve">жким ступенем ЕД збільшується від 30,8% для чоловіків з тривалістю ЦД менше 5 років до 72,2% для чоловіків з тривалістю ЦД понад 20 років [332]. Більш висока поширеність ЕД серед хворих на ЦД обумовлена наявністю факторів ризику </w:t>
      </w:r>
      <w:r w:rsidR="00434792"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високою частотою супутньої патології: серцево-судинних захворювань (ССЗ), порушень ліпідного обміну, нирковою та печінковою недостатністю; дефіцитом тестостерону, діабетичною нейропатією та ангіопатією, а також з необхідністю прийому великої </w:t>
      </w:r>
      <w:r w:rsidR="00A17718" w:rsidRPr="00CE0A20">
        <w:rPr>
          <w:rFonts w:ascii="Times New Roman" w:hAnsi="Times New Roman" w:cs="Times New Roman"/>
          <w:color w:val="000000" w:themeColor="text1"/>
          <w:sz w:val="28"/>
          <w:szCs w:val="28"/>
          <w:lang w:val="uk-UA"/>
        </w:rPr>
        <w:t>кількості</w:t>
      </w:r>
      <w:r w:rsidRPr="00CE0A20">
        <w:rPr>
          <w:rFonts w:ascii="Times New Roman" w:hAnsi="Times New Roman" w:cs="Times New Roman"/>
          <w:color w:val="000000" w:themeColor="text1"/>
          <w:sz w:val="28"/>
          <w:szCs w:val="28"/>
          <w:lang w:val="uk-UA"/>
        </w:rPr>
        <w:t xml:space="preserve"> лікарських препаратів [278].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Крім ЕД</w:t>
      </w:r>
      <w:r w:rsidR="00A17718"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у чоловіків із ЦД 2</w:t>
      </w:r>
      <w:r w:rsidR="00A17718"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виявляють інші сексуальні розладі, зокрема, зниження лібідо, передчасн</w:t>
      </w:r>
      <w:r w:rsidR="00A17718"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еякуляці</w:t>
      </w:r>
      <w:r w:rsidR="00A17718"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та ін. В обсерваційному дослідженні 253 чоловік</w:t>
      </w:r>
      <w:r w:rsidR="00A17718"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 з ЦД 2</w:t>
      </w:r>
      <w:r w:rsidR="00A17718"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ЕД виявлено в 33% випадків. При цьому, зниження лібідо зареєстровано у 25% хворих, передчасн</w:t>
      </w:r>
      <w:r w:rsidR="00A17718"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еякуляці</w:t>
      </w:r>
      <w:r w:rsidR="00A17718"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 у 40% хворих </w:t>
      </w:r>
      <w:r w:rsidR="00A17718" w:rsidRPr="00CE0A20">
        <w:rPr>
          <w:rFonts w:ascii="Times New Roman" w:hAnsi="Times New Roman" w:cs="Times New Roman"/>
          <w:color w:val="000000" w:themeColor="text1"/>
          <w:sz w:val="28"/>
          <w:szCs w:val="28"/>
          <w:lang w:val="uk-UA"/>
        </w:rPr>
        <w:t>за</w:t>
      </w:r>
      <w:r w:rsidRPr="00CE0A20">
        <w:rPr>
          <w:rFonts w:ascii="Times New Roman" w:hAnsi="Times New Roman" w:cs="Times New Roman"/>
          <w:color w:val="000000" w:themeColor="text1"/>
          <w:sz w:val="28"/>
          <w:szCs w:val="28"/>
          <w:lang w:val="uk-UA"/>
        </w:rPr>
        <w:t xml:space="preserve"> відсутності виразної ЕД [</w:t>
      </w:r>
      <w:r w:rsidRPr="00CE0A20">
        <w:rPr>
          <w:rStyle w:val="mixed-citation"/>
          <w:rFonts w:ascii="Times New Roman" w:hAnsi="Times New Roman" w:cs="Times New Roman"/>
          <w:color w:val="000000" w:themeColor="text1"/>
          <w:sz w:val="28"/>
          <w:szCs w:val="28"/>
          <w:lang w:val="uk-UA"/>
        </w:rPr>
        <w:t>277]</w:t>
      </w:r>
      <w:r w:rsidRPr="00CE0A20">
        <w:rPr>
          <w:rFonts w:ascii="Times New Roman" w:hAnsi="Times New Roman" w:cs="Times New Roman"/>
          <w:color w:val="000000" w:themeColor="text1"/>
          <w:sz w:val="28"/>
          <w:szCs w:val="28"/>
          <w:lang w:val="uk-UA"/>
        </w:rPr>
        <w:t>.</w:t>
      </w:r>
    </w:p>
    <w:p w:rsidR="00EB6EBC" w:rsidRPr="00CE0A20" w:rsidRDefault="00EB6EBC" w:rsidP="00EB6EBC">
      <w:pPr>
        <w:spacing w:line="360" w:lineRule="auto"/>
        <w:ind w:firstLine="709"/>
        <w:jc w:val="both"/>
        <w:outlineLvl w:val="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Також доведено, що існує зв’язок ЕД з ожирінням та метаболічним синдромом [</w:t>
      </w:r>
      <w:r w:rsidRPr="00CE0A20">
        <w:rPr>
          <w:rStyle w:val="mixed-citation"/>
          <w:rFonts w:ascii="Times New Roman" w:hAnsi="Times New Roman" w:cs="Times New Roman"/>
          <w:color w:val="000000" w:themeColor="text1"/>
          <w:sz w:val="28"/>
          <w:szCs w:val="28"/>
          <w:lang w:val="uk-UA"/>
        </w:rPr>
        <w:t xml:space="preserve">188]. </w:t>
      </w:r>
      <w:r w:rsidRPr="00CE0A20">
        <w:rPr>
          <w:rFonts w:ascii="Times New Roman" w:hAnsi="Times New Roman" w:cs="Times New Roman"/>
          <w:color w:val="000000" w:themeColor="text1"/>
          <w:sz w:val="28"/>
          <w:szCs w:val="28"/>
          <w:lang w:val="uk-UA"/>
        </w:rPr>
        <w:t>У дослідженні ММАS виявлено, що ЕД є предиктором метаболічного синдрому, причому асоціація залежала від індексу маси тіла (ІМТ) – найбільш сильна кореляція  спостерігалася при ІМТ менш</w:t>
      </w:r>
      <w:r w:rsidR="00A17718" w:rsidRPr="00CE0A20">
        <w:rPr>
          <w:rFonts w:ascii="Times New Roman" w:hAnsi="Times New Roman" w:cs="Times New Roman"/>
          <w:color w:val="000000" w:themeColor="text1"/>
          <w:sz w:val="28"/>
          <w:szCs w:val="28"/>
          <w:lang w:val="uk-UA"/>
        </w:rPr>
        <w:t xml:space="preserve">е </w:t>
      </w:r>
      <w:r w:rsidRPr="00CE0A20">
        <w:rPr>
          <w:rFonts w:ascii="Times New Roman" w:hAnsi="Times New Roman" w:cs="Times New Roman"/>
          <w:color w:val="000000" w:themeColor="text1"/>
          <w:sz w:val="28"/>
          <w:szCs w:val="28"/>
          <w:lang w:val="uk-UA"/>
        </w:rPr>
        <w:t xml:space="preserve">25 [259].  За даними  G. Corona  та співавт. (2009), у хворих з метаболічним синдромом ЕД спостерігалася в 96,5% випадків, зниження лібідо – у 39,6%, причому зі зростанням компонентів метаболічного синдрому зростала недостатність тестостерону [174].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 результатами досліджень ONTARGET та TRANSCEND в</w:t>
      </w:r>
      <w:r w:rsidR="00A17718" w:rsidRPr="00CE0A20">
        <w:rPr>
          <w:rFonts w:ascii="Times New Roman" w:hAnsi="Times New Roman" w:cs="Times New Roman"/>
          <w:color w:val="000000" w:themeColor="text1"/>
          <w:sz w:val="28"/>
          <w:szCs w:val="28"/>
          <w:lang w:val="uk-UA"/>
        </w:rPr>
        <w:t>иявле</w:t>
      </w:r>
      <w:r w:rsidRPr="00CE0A20">
        <w:rPr>
          <w:rFonts w:ascii="Times New Roman" w:hAnsi="Times New Roman" w:cs="Times New Roman"/>
          <w:color w:val="000000" w:themeColor="text1"/>
          <w:sz w:val="28"/>
          <w:szCs w:val="28"/>
          <w:lang w:val="uk-UA"/>
        </w:rPr>
        <w:t xml:space="preserve">но, що чоловіки з ЕД мають більший ризик смертності від ССЗ, інфаркту міокарда та смертності від усіх причин, ніж чоловіки без ЕД [206; 362]. З цим погоджуються результати метааналізу Guo W і співавт. [224], згідно </w:t>
      </w:r>
      <w:r w:rsidR="00A17718" w:rsidRPr="00CE0A20">
        <w:rPr>
          <w:rFonts w:ascii="Times New Roman" w:hAnsi="Times New Roman" w:cs="Times New Roman"/>
          <w:color w:val="000000" w:themeColor="text1"/>
          <w:sz w:val="28"/>
          <w:szCs w:val="28"/>
          <w:lang w:val="uk-UA"/>
        </w:rPr>
        <w:t xml:space="preserve">з </w:t>
      </w:r>
      <w:r w:rsidRPr="00CE0A20">
        <w:rPr>
          <w:rFonts w:ascii="Times New Roman" w:hAnsi="Times New Roman" w:cs="Times New Roman"/>
          <w:color w:val="000000" w:themeColor="text1"/>
          <w:sz w:val="28"/>
          <w:szCs w:val="28"/>
          <w:lang w:val="uk-UA"/>
        </w:rPr>
        <w:t>як</w:t>
      </w:r>
      <w:r w:rsidR="00A17718" w:rsidRPr="00CE0A20">
        <w:rPr>
          <w:rFonts w:ascii="Times New Roman" w:hAnsi="Times New Roman" w:cs="Times New Roman"/>
          <w:color w:val="000000" w:themeColor="text1"/>
          <w:sz w:val="28"/>
          <w:szCs w:val="28"/>
          <w:lang w:val="uk-UA"/>
        </w:rPr>
        <w:t>им</w:t>
      </w:r>
      <w:r w:rsidRPr="00CE0A20">
        <w:rPr>
          <w:rFonts w:ascii="Times New Roman" w:hAnsi="Times New Roman" w:cs="Times New Roman"/>
          <w:color w:val="000000" w:themeColor="text1"/>
          <w:sz w:val="28"/>
          <w:szCs w:val="28"/>
          <w:lang w:val="uk-UA"/>
        </w:rPr>
        <w:t xml:space="preserve"> чоловіки з ЕД мають більший відносний ризик розвитку смертності від ССЗ на 47%, а відносний ризик ССЗ на 41% порівня</w:t>
      </w:r>
      <w:r w:rsidR="00A17718" w:rsidRPr="00CE0A20">
        <w:rPr>
          <w:rFonts w:ascii="Times New Roman" w:hAnsi="Times New Roman" w:cs="Times New Roman"/>
          <w:color w:val="000000" w:themeColor="text1"/>
          <w:sz w:val="28"/>
          <w:szCs w:val="28"/>
          <w:lang w:val="uk-UA"/>
        </w:rPr>
        <w:t>но</w:t>
      </w:r>
      <w:r w:rsidRPr="00CE0A20">
        <w:rPr>
          <w:rFonts w:ascii="Times New Roman" w:hAnsi="Times New Roman" w:cs="Times New Roman"/>
          <w:color w:val="000000" w:themeColor="text1"/>
          <w:sz w:val="28"/>
          <w:szCs w:val="28"/>
          <w:lang w:val="uk-UA"/>
        </w:rPr>
        <w:t xml:space="preserve"> зі здоровими людьми. </w:t>
      </w:r>
      <w:r w:rsidR="00A17718"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метааналізі Dong JY та ін. [190] виявлено, що ЕД збільшує ризик ССЗ на 48%, ІХС – на 35%, інсульту – на 35%, смертності від усіх причин – на 19%. C.V. Vlochopoulos та співавт. (2013) повідомили, що ЕД є самостійним фактором збільшення ризику сумарних серцево-судинних подій на 44%, збільшення ІМ – на 62%, збільшення цереброваскулярних подій – на 39% та смертності від усіх причин – на 25% [363]. Наявність ЕД є предиктором смерті та повторної госпіталізації  хворих після інфаркту міокарда, сво</w:t>
      </w:r>
      <w:r w:rsidR="00705DC6" w:rsidRPr="00CE0A20">
        <w:rPr>
          <w:rFonts w:ascii="Times New Roman" w:hAnsi="Times New Roman" w:cs="Times New Roman"/>
          <w:color w:val="000000" w:themeColor="text1"/>
          <w:sz w:val="28"/>
          <w:szCs w:val="28"/>
          <w:lang w:val="uk-UA"/>
        </w:rPr>
        <w:t>єю</w:t>
      </w:r>
      <w:r w:rsidRPr="00CE0A20">
        <w:rPr>
          <w:rFonts w:ascii="Times New Roman" w:hAnsi="Times New Roman" w:cs="Times New Roman"/>
          <w:color w:val="000000" w:themeColor="text1"/>
          <w:sz w:val="28"/>
          <w:szCs w:val="28"/>
          <w:lang w:val="uk-UA"/>
        </w:rPr>
        <w:t xml:space="preserve"> черг</w:t>
      </w:r>
      <w:r w:rsidR="00705DC6" w:rsidRPr="00CE0A20">
        <w:rPr>
          <w:rFonts w:ascii="Times New Roman" w:hAnsi="Times New Roman" w:cs="Times New Roman"/>
          <w:color w:val="000000" w:themeColor="text1"/>
          <w:sz w:val="28"/>
          <w:szCs w:val="28"/>
          <w:lang w:val="uk-UA"/>
        </w:rPr>
        <w:t>ою</w:t>
      </w:r>
      <w:r w:rsidRPr="00CE0A20">
        <w:rPr>
          <w:rFonts w:ascii="Times New Roman" w:hAnsi="Times New Roman" w:cs="Times New Roman"/>
          <w:color w:val="000000" w:themeColor="text1"/>
          <w:sz w:val="28"/>
          <w:szCs w:val="28"/>
          <w:lang w:val="uk-UA"/>
        </w:rPr>
        <w:t xml:space="preserve">, її маркером є зниження рівня оксиду азоту [141]. </w:t>
      </w:r>
    </w:p>
    <w:p w:rsidR="00EB6EBC" w:rsidRPr="00CE0A20" w:rsidRDefault="00EB6EBC" w:rsidP="00EB6EBC">
      <w:pPr>
        <w:pStyle w:val="1c"/>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CE0A20">
        <w:rPr>
          <w:color w:val="000000" w:themeColor="text1"/>
          <w:sz w:val="28"/>
          <w:szCs w:val="28"/>
          <w:lang w:val="uk-UA"/>
        </w:rPr>
        <w:t xml:space="preserve">Серед причин ЕД згадують гіпертонічну хворобу та надлишкову масу тіла. </w:t>
      </w:r>
      <w:r w:rsidR="00705DC6" w:rsidRPr="00CE0A20">
        <w:rPr>
          <w:color w:val="000000" w:themeColor="text1"/>
          <w:sz w:val="28"/>
          <w:szCs w:val="28"/>
          <w:lang w:val="uk-UA"/>
        </w:rPr>
        <w:t>З</w:t>
      </w:r>
      <w:r w:rsidR="00705DC6" w:rsidRPr="00CE0A20">
        <w:rPr>
          <w:color w:val="000000" w:themeColor="text1"/>
          <w:sz w:val="28"/>
          <w:szCs w:val="28"/>
        </w:rPr>
        <w:t>’</w:t>
      </w:r>
      <w:r w:rsidR="00705DC6" w:rsidRPr="00CE0A20">
        <w:rPr>
          <w:color w:val="000000" w:themeColor="text1"/>
          <w:sz w:val="28"/>
          <w:szCs w:val="28"/>
          <w:lang w:val="uk-UA"/>
        </w:rPr>
        <w:t>ясова</w:t>
      </w:r>
      <w:r w:rsidRPr="00CE0A20">
        <w:rPr>
          <w:color w:val="000000" w:themeColor="text1"/>
          <w:sz w:val="28"/>
          <w:szCs w:val="28"/>
          <w:lang w:val="uk-UA"/>
        </w:rPr>
        <w:t xml:space="preserve">но, що ЕД не залежить від тривалості захворювання, але корелює з добовою варіабельністю АТ [59]. Показано, що на тлі артеріальної гіпертонії ЕД зустрічається частіше, ніж у загальній популяції. За даними A.J. Cuellar De Leon та співавт. (2002), отриманими в результаті анкетування 512 пацієнтів </w:t>
      </w:r>
      <w:r w:rsidR="00705DC6" w:rsidRPr="00CE0A20">
        <w:rPr>
          <w:color w:val="000000" w:themeColor="text1"/>
          <w:sz w:val="28"/>
          <w:szCs w:val="28"/>
          <w:lang w:val="uk-UA"/>
        </w:rPr>
        <w:t>віком</w:t>
      </w:r>
      <w:r w:rsidRPr="00CE0A20">
        <w:rPr>
          <w:color w:val="000000" w:themeColor="text1"/>
          <w:sz w:val="28"/>
          <w:szCs w:val="28"/>
          <w:lang w:val="uk-UA"/>
        </w:rPr>
        <w:t xml:space="preserve"> від 30 до 86 років (середній вік 63,4 року), ЕД зустрічалась у 46,5% пацієнтів з артеріальною гіпертензією [179]. У багатоцентровому міжнародному дослідженні в</w:t>
      </w:r>
      <w:r w:rsidR="00705DC6" w:rsidRPr="00CE0A20">
        <w:rPr>
          <w:color w:val="000000" w:themeColor="text1"/>
          <w:sz w:val="28"/>
          <w:szCs w:val="28"/>
          <w:lang w:val="uk-UA"/>
        </w:rPr>
        <w:t>изначе</w:t>
      </w:r>
      <w:r w:rsidRPr="00CE0A20">
        <w:rPr>
          <w:color w:val="000000" w:themeColor="text1"/>
          <w:sz w:val="28"/>
          <w:szCs w:val="28"/>
          <w:lang w:val="uk-UA"/>
        </w:rPr>
        <w:t xml:space="preserve">но, що </w:t>
      </w:r>
      <w:r w:rsidR="00705DC6" w:rsidRPr="00CE0A20">
        <w:rPr>
          <w:color w:val="000000" w:themeColor="text1"/>
          <w:sz w:val="28"/>
          <w:szCs w:val="28"/>
          <w:lang w:val="uk-UA"/>
        </w:rPr>
        <w:t>в</w:t>
      </w:r>
      <w:r w:rsidRPr="00CE0A20">
        <w:rPr>
          <w:color w:val="000000" w:themeColor="text1"/>
          <w:sz w:val="28"/>
          <w:szCs w:val="28"/>
          <w:lang w:val="uk-UA"/>
        </w:rPr>
        <w:t xml:space="preserve"> чоловіків з ЕД серед супутньої патології зустрічалися артеріальна гіпертензія (36%), гіперхолестеринемія (30%), патологія простати (26%), ЦД (19%) та депресія (22%) [293].</w:t>
      </w:r>
    </w:p>
    <w:p w:rsidR="00EB6EBC" w:rsidRPr="00CE0A20" w:rsidRDefault="00EB6EBC" w:rsidP="00EB6EBC">
      <w:pPr>
        <w:widowControl w:val="0"/>
        <w:spacing w:line="360" w:lineRule="auto"/>
        <w:ind w:firstLine="709"/>
        <w:jc w:val="both"/>
        <w:outlineLvl w:val="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Тобто існує тісний зв’язок між ССЗ, ЦД 2</w:t>
      </w:r>
      <w:r w:rsidR="00705DC6"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та ЕД, які вважають основними проявами та наслідками старіння. ЕД є наслідком ендотеліальної дисфункції, а гіпогонадизм пов’язаний зі збільшенням частоти ССЗ та ЦД, які част</w:t>
      </w:r>
      <w:r w:rsidR="00705DC6"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 xml:space="preserve"> є подовженням метаболічного синдрому. Одн</w:t>
      </w:r>
      <w:r w:rsidR="00705DC6" w:rsidRPr="00CE0A20">
        <w:rPr>
          <w:rFonts w:ascii="Times New Roman" w:hAnsi="Times New Roman" w:cs="Times New Roman"/>
          <w:color w:val="000000" w:themeColor="text1"/>
          <w:sz w:val="28"/>
          <w:szCs w:val="28"/>
          <w:lang w:val="uk-UA"/>
        </w:rPr>
        <w:t>им</w:t>
      </w:r>
      <w:r w:rsidRPr="00CE0A20">
        <w:rPr>
          <w:rFonts w:ascii="Times New Roman" w:hAnsi="Times New Roman" w:cs="Times New Roman"/>
          <w:color w:val="000000" w:themeColor="text1"/>
          <w:sz w:val="28"/>
          <w:szCs w:val="28"/>
          <w:lang w:val="uk-UA"/>
        </w:rPr>
        <w:t xml:space="preserve"> з головних проявів метаболічного синдрому є вісцеральне ожиріння, наслідком якого вважається пригнічення гіпоталамо-гіпофізарно-тестикулярної осі з розвитком гіпогонадизму. І навпаки, значний дефіцит андрогенів </w:t>
      </w:r>
      <w:r w:rsidR="00705DC6" w:rsidRPr="00CE0A20">
        <w:rPr>
          <w:rFonts w:ascii="Times New Roman" w:hAnsi="Times New Roman" w:cs="Times New Roman"/>
          <w:color w:val="000000" w:themeColor="text1"/>
          <w:sz w:val="28"/>
          <w:szCs w:val="28"/>
          <w:lang w:val="uk-UA"/>
        </w:rPr>
        <w:t>спричиняє</w:t>
      </w:r>
      <w:r w:rsidRPr="00CE0A20">
        <w:rPr>
          <w:rFonts w:ascii="Times New Roman" w:hAnsi="Times New Roman" w:cs="Times New Roman"/>
          <w:color w:val="000000" w:themeColor="text1"/>
          <w:sz w:val="28"/>
          <w:szCs w:val="28"/>
          <w:lang w:val="uk-UA"/>
        </w:rPr>
        <w:t xml:space="preserve"> розвит</w:t>
      </w:r>
      <w:r w:rsidR="00705DC6"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 xml:space="preserve">к метаболічного синдрому [373]. На думку окремих  авторів, виявлення ЕД може свідчити про наявність у пацієнта одного з цих захворювань у прихованій доклінічній формі [297]. За даними M.K. Waiczak et al. (2002), з 154 чоловіків, які звернулися </w:t>
      </w:r>
      <w:r w:rsidR="00705DC6" w:rsidRPr="00CE0A20">
        <w:rPr>
          <w:rFonts w:ascii="Times New Roman" w:hAnsi="Times New Roman" w:cs="Times New Roman"/>
          <w:color w:val="000000" w:themeColor="text1"/>
          <w:sz w:val="28"/>
          <w:szCs w:val="28"/>
          <w:lang w:val="uk-UA"/>
        </w:rPr>
        <w:t>по</w:t>
      </w:r>
      <w:r w:rsidRPr="00CE0A20">
        <w:rPr>
          <w:rFonts w:ascii="Times New Roman" w:hAnsi="Times New Roman" w:cs="Times New Roman"/>
          <w:color w:val="000000" w:themeColor="text1"/>
          <w:sz w:val="28"/>
          <w:szCs w:val="28"/>
          <w:lang w:val="uk-UA"/>
        </w:rPr>
        <w:t xml:space="preserve"> допомог</w:t>
      </w:r>
      <w:r w:rsidR="00705DC6"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у зв'язку з ЕД, у 44% була діагностована АГ і у 23% ЦД [364]. Тому на цей час </w:t>
      </w:r>
      <w:r w:rsidRPr="00CE0A20">
        <w:rPr>
          <w:rStyle w:val="af4"/>
          <w:rFonts w:ascii="Times New Roman" w:hAnsi="Times New Roman" w:cs="Times New Roman"/>
          <w:b w:val="0"/>
          <w:bCs w:val="0"/>
          <w:color w:val="000000" w:themeColor="text1"/>
          <w:sz w:val="28"/>
          <w:szCs w:val="28"/>
          <w:bdr w:val="none" w:sz="0" w:space="0" w:color="auto" w:frame="1"/>
          <w:lang w:val="uk-UA"/>
        </w:rPr>
        <w:t>ЕД розглядають не як окрему проблему сексології, а як важлив</w:t>
      </w:r>
      <w:r w:rsidR="00705DC6" w:rsidRPr="00CE0A20">
        <w:rPr>
          <w:rStyle w:val="af4"/>
          <w:rFonts w:ascii="Times New Roman" w:hAnsi="Times New Roman" w:cs="Times New Roman"/>
          <w:b w:val="0"/>
          <w:bCs w:val="0"/>
          <w:color w:val="000000" w:themeColor="text1"/>
          <w:sz w:val="28"/>
          <w:szCs w:val="28"/>
          <w:bdr w:val="none" w:sz="0" w:space="0" w:color="auto" w:frame="1"/>
          <w:lang w:val="uk-UA"/>
        </w:rPr>
        <w:t>ий</w:t>
      </w:r>
      <w:r w:rsidRPr="00CE0A20">
        <w:rPr>
          <w:rStyle w:val="af4"/>
          <w:rFonts w:ascii="Times New Roman" w:hAnsi="Times New Roman" w:cs="Times New Roman"/>
          <w:b w:val="0"/>
          <w:bCs w:val="0"/>
          <w:color w:val="000000" w:themeColor="text1"/>
          <w:sz w:val="28"/>
          <w:szCs w:val="28"/>
          <w:bdr w:val="none" w:sz="0" w:space="0" w:color="auto" w:frame="1"/>
          <w:lang w:val="uk-UA"/>
        </w:rPr>
        <w:t xml:space="preserve"> склад</w:t>
      </w:r>
      <w:r w:rsidR="00705DC6" w:rsidRPr="00CE0A20">
        <w:rPr>
          <w:rStyle w:val="af4"/>
          <w:rFonts w:ascii="Times New Roman" w:hAnsi="Times New Roman" w:cs="Times New Roman"/>
          <w:b w:val="0"/>
          <w:bCs w:val="0"/>
          <w:color w:val="000000" w:themeColor="text1"/>
          <w:sz w:val="28"/>
          <w:szCs w:val="28"/>
          <w:bdr w:val="none" w:sz="0" w:space="0" w:color="auto" w:frame="1"/>
          <w:lang w:val="uk-UA"/>
        </w:rPr>
        <w:t>ник</w:t>
      </w:r>
      <w:r w:rsidRPr="00CE0A20">
        <w:rPr>
          <w:rStyle w:val="af4"/>
          <w:rFonts w:ascii="Times New Roman" w:hAnsi="Times New Roman" w:cs="Times New Roman"/>
          <w:b w:val="0"/>
          <w:bCs w:val="0"/>
          <w:color w:val="000000" w:themeColor="text1"/>
          <w:sz w:val="28"/>
          <w:szCs w:val="28"/>
          <w:bdr w:val="none" w:sz="0" w:space="0" w:color="auto" w:frame="1"/>
          <w:lang w:val="uk-UA"/>
        </w:rPr>
        <w:t xml:space="preserve"> загальносоматичного стану чоловіків [53</w:t>
      </w:r>
      <w:r w:rsidRPr="00CE0A20">
        <w:rPr>
          <w:rFonts w:ascii="Times New Roman" w:hAnsi="Times New Roman" w:cs="Times New Roman"/>
          <w:color w:val="000000" w:themeColor="text1"/>
          <w:sz w:val="28"/>
          <w:szCs w:val="28"/>
          <w:lang w:val="uk-UA"/>
        </w:rPr>
        <w:t xml:space="preserve">; 127]. </w:t>
      </w:r>
    </w:p>
    <w:p w:rsidR="00EB6EBC" w:rsidRPr="00CE0A20" w:rsidRDefault="00EB6EBC" w:rsidP="00EB6EBC">
      <w:pPr>
        <w:pStyle w:val="1"/>
        <w:keepNext w:val="0"/>
        <w:keepLines w:val="0"/>
        <w:widowControl w:val="0"/>
        <w:shd w:val="clear" w:color="auto" w:fill="FFFFFF"/>
        <w:spacing w:before="0" w:line="360" w:lineRule="auto"/>
        <w:ind w:firstLine="709"/>
        <w:jc w:val="both"/>
        <w:rPr>
          <w:rFonts w:ascii="Times New Roman" w:hAnsi="Times New Roman" w:cs="Times New Roman"/>
          <w:b w:val="0"/>
          <w:bCs w:val="0"/>
          <w:color w:val="000000" w:themeColor="text1"/>
          <w:lang w:val="uk-UA"/>
        </w:rPr>
      </w:pPr>
      <w:r w:rsidRPr="00CE0A20">
        <w:rPr>
          <w:rFonts w:ascii="Times New Roman" w:hAnsi="Times New Roman" w:cs="Times New Roman"/>
          <w:b w:val="0"/>
          <w:bCs w:val="0"/>
          <w:color w:val="000000" w:themeColor="text1"/>
          <w:lang w:val="uk-UA"/>
        </w:rPr>
        <w:t xml:space="preserve">Найважливішою причиною розвитку ЕД вважають гормональні порушення, особливо андрогенний дефіцит зі зниженням рівня тестостерону </w:t>
      </w:r>
      <w:r w:rsidRPr="00CE0A20">
        <w:rPr>
          <w:rFonts w:ascii="Times New Roman" w:eastAsia="Newton-Regular" w:hAnsi="Times New Roman" w:cs="Times New Roman"/>
          <w:b w:val="0"/>
          <w:bCs w:val="0"/>
          <w:color w:val="000000" w:themeColor="text1"/>
          <w:lang w:val="uk-UA"/>
        </w:rPr>
        <w:t>[</w:t>
      </w:r>
      <w:r w:rsidRPr="00CE0A20">
        <w:rPr>
          <w:rFonts w:ascii="Times New Roman" w:eastAsia="Newton-Italic" w:hAnsi="Times New Roman" w:cs="Times New Roman"/>
          <w:b w:val="0"/>
          <w:bCs w:val="0"/>
          <w:color w:val="000000" w:themeColor="text1"/>
          <w:lang w:val="uk-UA"/>
        </w:rPr>
        <w:t>289</w:t>
      </w:r>
      <w:r w:rsidRPr="00CE0A20">
        <w:rPr>
          <w:rFonts w:ascii="Times New Roman" w:eastAsia="Newton-Regular" w:hAnsi="Times New Roman" w:cs="Times New Roman"/>
          <w:b w:val="0"/>
          <w:bCs w:val="0"/>
          <w:color w:val="000000" w:themeColor="text1"/>
          <w:lang w:val="uk-UA"/>
        </w:rPr>
        <w:t xml:space="preserve">]. </w:t>
      </w:r>
      <w:r w:rsidRPr="00CE0A20">
        <w:rPr>
          <w:rFonts w:ascii="Times New Roman" w:hAnsi="Times New Roman" w:cs="Times New Roman"/>
          <w:b w:val="0"/>
          <w:bCs w:val="0"/>
          <w:color w:val="000000" w:themeColor="text1"/>
          <w:lang w:val="uk-UA"/>
        </w:rPr>
        <w:t>У широкомасштабному  європейському дослідженні старіння чоловіків</w:t>
      </w:r>
      <w:r w:rsidR="00705DC6" w:rsidRPr="00CE0A20">
        <w:rPr>
          <w:rFonts w:ascii="Times New Roman" w:hAnsi="Times New Roman" w:cs="Times New Roman"/>
          <w:b w:val="0"/>
          <w:bCs w:val="0"/>
          <w:color w:val="000000" w:themeColor="text1"/>
          <w:lang w:val="uk-UA"/>
        </w:rPr>
        <w:t>,</w:t>
      </w:r>
      <w:r w:rsidRPr="00CE0A20">
        <w:rPr>
          <w:rFonts w:ascii="Times New Roman" w:hAnsi="Times New Roman" w:cs="Times New Roman"/>
          <w:b w:val="0"/>
          <w:bCs w:val="0"/>
          <w:color w:val="000000" w:themeColor="text1"/>
          <w:lang w:val="uk-UA"/>
        </w:rPr>
        <w:t xml:space="preserve"> за результатами аналізу стану здоров’я 3369 пацієнтів віком від 40 до 79 років</w:t>
      </w:r>
      <w:r w:rsidR="00705DC6" w:rsidRPr="00CE0A20">
        <w:rPr>
          <w:rFonts w:ascii="Times New Roman" w:hAnsi="Times New Roman" w:cs="Times New Roman"/>
          <w:b w:val="0"/>
          <w:bCs w:val="0"/>
          <w:color w:val="000000" w:themeColor="text1"/>
          <w:lang w:val="uk-UA"/>
        </w:rPr>
        <w:t>,</w:t>
      </w:r>
      <w:r w:rsidRPr="00CE0A20">
        <w:rPr>
          <w:rFonts w:ascii="Times New Roman" w:hAnsi="Times New Roman" w:cs="Times New Roman"/>
          <w:b w:val="0"/>
          <w:bCs w:val="0"/>
          <w:color w:val="000000" w:themeColor="text1"/>
          <w:lang w:val="uk-UA"/>
        </w:rPr>
        <w:t xml:space="preserve"> в</w:t>
      </w:r>
      <w:r w:rsidR="00705DC6" w:rsidRPr="00CE0A20">
        <w:rPr>
          <w:rFonts w:ascii="Times New Roman" w:hAnsi="Times New Roman" w:cs="Times New Roman"/>
          <w:b w:val="0"/>
          <w:bCs w:val="0"/>
          <w:color w:val="000000" w:themeColor="text1"/>
          <w:lang w:val="uk-UA"/>
        </w:rPr>
        <w:t>иявле</w:t>
      </w:r>
      <w:r w:rsidRPr="00CE0A20">
        <w:rPr>
          <w:rFonts w:ascii="Times New Roman" w:hAnsi="Times New Roman" w:cs="Times New Roman"/>
          <w:b w:val="0"/>
          <w:bCs w:val="0"/>
          <w:color w:val="000000" w:themeColor="text1"/>
          <w:lang w:val="uk-UA"/>
        </w:rPr>
        <w:t>но, що сексуальні симптоми (погана ранкова ерекція, знижений сексуальний потяг та ЕД) мали синдромні зв'язки зі зниженням концентрації тестостерону, а низький вміст сироваткового тестостерону був частішим у чоловіків з ожирінням, метаболічним синдромом та ЦД 2</w:t>
      </w:r>
      <w:r w:rsidR="00705DC6" w:rsidRPr="00CE0A20">
        <w:rPr>
          <w:rFonts w:ascii="Times New Roman" w:hAnsi="Times New Roman" w:cs="Times New Roman"/>
          <w:b w:val="0"/>
          <w:bCs w:val="0"/>
          <w:color w:val="000000" w:themeColor="text1"/>
          <w:lang w:val="uk-UA"/>
        </w:rPr>
        <w:t>-го</w:t>
      </w:r>
      <w:r w:rsidRPr="00CE0A20">
        <w:rPr>
          <w:rFonts w:ascii="Times New Roman" w:hAnsi="Times New Roman" w:cs="Times New Roman"/>
          <w:b w:val="0"/>
          <w:bCs w:val="0"/>
          <w:color w:val="000000" w:themeColor="text1"/>
          <w:lang w:val="uk-UA"/>
        </w:rPr>
        <w:t xml:space="preserve"> типу [</w:t>
      </w:r>
      <w:r w:rsidRPr="00CE0A20">
        <w:rPr>
          <w:rStyle w:val="mixed-citation"/>
          <w:rFonts w:ascii="Times New Roman" w:hAnsi="Times New Roman" w:cs="Times New Roman"/>
          <w:b w:val="0"/>
          <w:bCs w:val="0"/>
          <w:color w:val="000000" w:themeColor="text1"/>
          <w:lang w:val="uk-UA"/>
        </w:rPr>
        <w:t>369]</w:t>
      </w:r>
      <w:r w:rsidRPr="00CE0A20">
        <w:rPr>
          <w:rFonts w:ascii="Times New Roman" w:hAnsi="Times New Roman" w:cs="Times New Roman"/>
          <w:b w:val="0"/>
          <w:bCs w:val="0"/>
          <w:color w:val="000000" w:themeColor="text1"/>
          <w:lang w:val="uk-UA"/>
        </w:rPr>
        <w:t>. В</w:t>
      </w:r>
      <w:r w:rsidR="00705DC6" w:rsidRPr="00CE0A20">
        <w:rPr>
          <w:rFonts w:ascii="Times New Roman" w:hAnsi="Times New Roman" w:cs="Times New Roman"/>
          <w:b w:val="0"/>
          <w:bCs w:val="0"/>
          <w:color w:val="000000" w:themeColor="text1"/>
          <w:lang w:val="uk-UA"/>
        </w:rPr>
        <w:t>иявле</w:t>
      </w:r>
      <w:r w:rsidRPr="00CE0A20">
        <w:rPr>
          <w:rFonts w:ascii="Times New Roman" w:hAnsi="Times New Roman" w:cs="Times New Roman"/>
          <w:b w:val="0"/>
          <w:bCs w:val="0"/>
          <w:color w:val="000000" w:themeColor="text1"/>
          <w:lang w:val="uk-UA"/>
        </w:rPr>
        <w:t>но, що близько третини чоловіків з ЕД мають андрогенний дефіцит [161]. Схожі результати отримано іншими дослідниками, причому відмічається, що чим більш низьким був рівень сироваткового тестостерону, тим більш виразною була ЕД [</w:t>
      </w:r>
      <w:r w:rsidRPr="00CE0A20">
        <w:rPr>
          <w:rStyle w:val="mixed-citation"/>
          <w:rFonts w:ascii="Times New Roman" w:hAnsi="Times New Roman" w:cs="Times New Roman"/>
          <w:b w:val="0"/>
          <w:bCs w:val="0"/>
          <w:color w:val="000000" w:themeColor="text1"/>
          <w:lang w:val="uk-UA"/>
        </w:rPr>
        <w:t xml:space="preserve">246; 247; </w:t>
      </w:r>
      <w:r w:rsidRPr="00CE0A20">
        <w:rPr>
          <w:rFonts w:ascii="Times New Roman" w:hAnsi="Times New Roman" w:cs="Times New Roman"/>
          <w:b w:val="0"/>
          <w:bCs w:val="0"/>
          <w:color w:val="000000" w:themeColor="text1"/>
          <w:lang w:val="uk-UA"/>
        </w:rPr>
        <w:t>365</w:t>
      </w:r>
      <w:r w:rsidRPr="00CE0A20">
        <w:rPr>
          <w:rStyle w:val="mixed-citation"/>
          <w:rFonts w:ascii="Times New Roman" w:hAnsi="Times New Roman" w:cs="Times New Roman"/>
          <w:b w:val="0"/>
          <w:bCs w:val="0"/>
          <w:color w:val="000000" w:themeColor="text1"/>
          <w:lang w:val="uk-UA"/>
        </w:rPr>
        <w:t>]</w:t>
      </w:r>
      <w:r w:rsidRPr="00CE0A20">
        <w:rPr>
          <w:rFonts w:ascii="Times New Roman" w:hAnsi="Times New Roman" w:cs="Times New Roman"/>
          <w:b w:val="0"/>
          <w:bCs w:val="0"/>
          <w:color w:val="000000" w:themeColor="text1"/>
          <w:lang w:val="uk-UA"/>
        </w:rPr>
        <w:t xml:space="preserve">. </w:t>
      </w:r>
      <w:r w:rsidR="00705DC6" w:rsidRPr="00CE0A20">
        <w:rPr>
          <w:rFonts w:ascii="Times New Roman" w:hAnsi="Times New Roman" w:cs="Times New Roman"/>
          <w:b w:val="0"/>
          <w:bCs w:val="0"/>
          <w:color w:val="000000" w:themeColor="text1"/>
          <w:lang w:val="uk-UA"/>
        </w:rPr>
        <w:t>Наявні відомості про те</w:t>
      </w:r>
      <w:r w:rsidRPr="00CE0A20">
        <w:rPr>
          <w:rFonts w:ascii="Times New Roman" w:eastAsia="Newton-Regular" w:hAnsi="Times New Roman" w:cs="Times New Roman"/>
          <w:b w:val="0"/>
          <w:bCs w:val="0"/>
          <w:color w:val="000000" w:themeColor="text1"/>
          <w:lang w:val="uk-UA"/>
        </w:rPr>
        <w:t>, що ЕД виявля</w:t>
      </w:r>
      <w:r w:rsidR="00705DC6" w:rsidRPr="00CE0A20">
        <w:rPr>
          <w:rFonts w:ascii="Times New Roman" w:eastAsia="Newton-Regular" w:hAnsi="Times New Roman" w:cs="Times New Roman"/>
          <w:b w:val="0"/>
          <w:bCs w:val="0"/>
          <w:color w:val="000000" w:themeColor="text1"/>
          <w:lang w:val="uk-UA"/>
        </w:rPr>
        <w:t>ю</w:t>
      </w:r>
      <w:r w:rsidRPr="00CE0A20">
        <w:rPr>
          <w:rFonts w:ascii="Times New Roman" w:eastAsia="Newton-Regular" w:hAnsi="Times New Roman" w:cs="Times New Roman"/>
          <w:b w:val="0"/>
          <w:bCs w:val="0"/>
          <w:color w:val="000000" w:themeColor="text1"/>
          <w:lang w:val="uk-UA"/>
        </w:rPr>
        <w:t xml:space="preserve">ть у всіх пацієнтів з гіпогонадизмом та ЦД, </w:t>
      </w:r>
      <w:r w:rsidR="00705DC6" w:rsidRPr="00CE0A20">
        <w:rPr>
          <w:rFonts w:ascii="Times New Roman" w:eastAsia="Newton-Regular" w:hAnsi="Times New Roman" w:cs="Times New Roman"/>
          <w:b w:val="0"/>
          <w:bCs w:val="0"/>
          <w:color w:val="000000" w:themeColor="text1"/>
          <w:lang w:val="uk-UA"/>
        </w:rPr>
        <w:t>тим</w:t>
      </w:r>
      <w:r w:rsidRPr="00CE0A20">
        <w:rPr>
          <w:rFonts w:ascii="Times New Roman" w:eastAsia="Newton-Regular" w:hAnsi="Times New Roman" w:cs="Times New Roman"/>
          <w:b w:val="0"/>
          <w:bCs w:val="0"/>
          <w:color w:val="000000" w:themeColor="text1"/>
          <w:lang w:val="uk-UA"/>
        </w:rPr>
        <w:t>час</w:t>
      </w:r>
      <w:r w:rsidR="00705DC6" w:rsidRPr="00CE0A20">
        <w:rPr>
          <w:rFonts w:ascii="Times New Roman" w:eastAsia="Newton-Regular" w:hAnsi="Times New Roman" w:cs="Times New Roman"/>
          <w:b w:val="0"/>
          <w:bCs w:val="0"/>
          <w:color w:val="000000" w:themeColor="text1"/>
          <w:lang w:val="uk-UA"/>
        </w:rPr>
        <w:t>ом як</w:t>
      </w:r>
      <w:r w:rsidRPr="00CE0A20">
        <w:rPr>
          <w:rFonts w:ascii="Times New Roman" w:eastAsia="Newton-Regular" w:hAnsi="Times New Roman" w:cs="Times New Roman"/>
          <w:b w:val="0"/>
          <w:bCs w:val="0"/>
          <w:color w:val="000000" w:themeColor="text1"/>
          <w:lang w:val="uk-UA"/>
        </w:rPr>
        <w:t xml:space="preserve"> при нормальному рівні тестостерону у хворих на ЦД – </w:t>
      </w:r>
      <w:r w:rsidR="00705DC6" w:rsidRPr="00CE0A20">
        <w:rPr>
          <w:rFonts w:ascii="Times New Roman" w:eastAsia="Newton-Regular" w:hAnsi="Times New Roman" w:cs="Times New Roman"/>
          <w:b w:val="0"/>
          <w:bCs w:val="0"/>
          <w:color w:val="000000" w:themeColor="text1"/>
          <w:lang w:val="uk-UA"/>
        </w:rPr>
        <w:t>у</w:t>
      </w:r>
      <w:r w:rsidRPr="00CE0A20">
        <w:rPr>
          <w:rFonts w:ascii="Times New Roman" w:eastAsia="Newton-Regular" w:hAnsi="Times New Roman" w:cs="Times New Roman"/>
          <w:b w:val="0"/>
          <w:bCs w:val="0"/>
          <w:color w:val="000000" w:themeColor="text1"/>
          <w:lang w:val="uk-UA"/>
        </w:rPr>
        <w:t xml:space="preserve"> 78% випадків [</w:t>
      </w:r>
      <w:r w:rsidRPr="00CE0A20">
        <w:rPr>
          <w:rFonts w:ascii="Times New Roman" w:eastAsia="Newton-Italic" w:hAnsi="Times New Roman" w:cs="Times New Roman"/>
          <w:b w:val="0"/>
          <w:bCs w:val="0"/>
          <w:color w:val="000000" w:themeColor="text1"/>
          <w:lang w:val="uk-UA"/>
        </w:rPr>
        <w:t>40</w:t>
      </w:r>
      <w:r w:rsidRPr="00CE0A20">
        <w:rPr>
          <w:rFonts w:ascii="Times New Roman" w:eastAsia="Newton-Regular" w:hAnsi="Times New Roman" w:cs="Times New Roman"/>
          <w:b w:val="0"/>
          <w:bCs w:val="0"/>
          <w:color w:val="000000" w:themeColor="text1"/>
          <w:lang w:val="uk-UA"/>
        </w:rPr>
        <w:t xml:space="preserve">]. </w:t>
      </w:r>
      <w:r w:rsidRPr="00CE0A20">
        <w:rPr>
          <w:rFonts w:ascii="Times New Roman" w:hAnsi="Times New Roman" w:cs="Times New Roman"/>
          <w:b w:val="0"/>
          <w:bCs w:val="0"/>
          <w:color w:val="000000" w:themeColor="text1"/>
          <w:lang w:val="uk-UA"/>
        </w:rPr>
        <w:t xml:space="preserve">У дослідженні E.O.A.El Saghier та співавт. (2015) гіпогонадизм спостерігався у 40% чоловіків з ЦД у віці 30–50 років. При цьому ЕД зафіксовано у 85,7% пацієнтів з гіпогонадизмом та у 31% пацієнтів з нормальними  рівнем загального тестостерону. Середній рівень загального тестостерону при наявності ЕД був достовірно меншим, ніж у пацієнтів без ЕД. Крім цього, авторами виявлено негативну кореляцію  рівня загального тестостерону з віком, ІМТ, окружністю талії, артеріальним тиском та концентрацією HBA1c [194]. S. Ghazy та співавт. (2012) [208] виявили, що 94,4% хворих на діабет, </w:t>
      </w:r>
      <w:r w:rsidR="00705DC6" w:rsidRPr="00CE0A20">
        <w:rPr>
          <w:rFonts w:ascii="Times New Roman" w:hAnsi="Times New Roman" w:cs="Times New Roman"/>
          <w:b w:val="0"/>
          <w:bCs w:val="0"/>
          <w:color w:val="000000" w:themeColor="text1"/>
          <w:lang w:val="uk-UA"/>
        </w:rPr>
        <w:t>які</w:t>
      </w:r>
      <w:r w:rsidRPr="00CE0A20">
        <w:rPr>
          <w:rFonts w:ascii="Times New Roman" w:hAnsi="Times New Roman" w:cs="Times New Roman"/>
          <w:b w:val="0"/>
          <w:bCs w:val="0"/>
          <w:color w:val="000000" w:themeColor="text1"/>
          <w:lang w:val="uk-UA"/>
        </w:rPr>
        <w:t xml:space="preserve"> страждали на гіпогонадизм, мали ЕД (порівнян</w:t>
      </w:r>
      <w:r w:rsidR="00705DC6" w:rsidRPr="00CE0A20">
        <w:rPr>
          <w:rFonts w:ascii="Times New Roman" w:hAnsi="Times New Roman" w:cs="Times New Roman"/>
          <w:b w:val="0"/>
          <w:bCs w:val="0"/>
          <w:color w:val="000000" w:themeColor="text1"/>
          <w:lang w:val="uk-UA"/>
        </w:rPr>
        <w:t>о</w:t>
      </w:r>
      <w:r w:rsidRPr="00CE0A20">
        <w:rPr>
          <w:rFonts w:ascii="Times New Roman" w:hAnsi="Times New Roman" w:cs="Times New Roman"/>
          <w:b w:val="0"/>
          <w:bCs w:val="0"/>
          <w:color w:val="000000" w:themeColor="text1"/>
          <w:lang w:val="uk-UA"/>
        </w:rPr>
        <w:t xml:space="preserve"> з 61,0% хворих з нормальним рівнем тестостерону).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eastAsia="Newton-Regular" w:hAnsi="Times New Roman" w:cs="Times New Roman"/>
          <w:color w:val="000000" w:themeColor="text1"/>
          <w:sz w:val="28"/>
          <w:szCs w:val="28"/>
          <w:lang w:val="uk-UA"/>
        </w:rPr>
        <w:t>Але з</w:t>
      </w:r>
      <w:r w:rsidR="00705DC6" w:rsidRPr="00CE0A20">
        <w:rPr>
          <w:rFonts w:ascii="Times New Roman" w:eastAsia="Newton-Regular" w:hAnsi="Times New Roman" w:cs="Times New Roman"/>
          <w:color w:val="000000" w:themeColor="text1"/>
          <w:sz w:val="28"/>
          <w:szCs w:val="28"/>
          <w:lang w:val="uk-UA"/>
        </w:rPr>
        <w:t>ниже</w:t>
      </w:r>
      <w:r w:rsidRPr="00CE0A20">
        <w:rPr>
          <w:rFonts w:ascii="Times New Roman" w:eastAsia="Newton-Regular" w:hAnsi="Times New Roman" w:cs="Times New Roman"/>
          <w:color w:val="000000" w:themeColor="text1"/>
          <w:sz w:val="28"/>
          <w:szCs w:val="28"/>
          <w:lang w:val="uk-UA"/>
        </w:rPr>
        <w:t xml:space="preserve">ння рівня тестостерону має значення не тільки у виникненні сексуальних розладів. На цей час низький рівень тестостерону вважається найбільш </w:t>
      </w:r>
      <w:r w:rsidR="00705DC6" w:rsidRPr="00CE0A20">
        <w:rPr>
          <w:rFonts w:ascii="Times New Roman" w:eastAsia="Newton-Regular" w:hAnsi="Times New Roman" w:cs="Times New Roman"/>
          <w:color w:val="000000" w:themeColor="text1"/>
          <w:sz w:val="28"/>
          <w:szCs w:val="28"/>
          <w:lang w:val="uk-UA"/>
        </w:rPr>
        <w:t>пошире</w:t>
      </w:r>
      <w:r w:rsidRPr="00CE0A20">
        <w:rPr>
          <w:rFonts w:ascii="Times New Roman" w:eastAsia="Newton-Regular" w:hAnsi="Times New Roman" w:cs="Times New Roman"/>
          <w:color w:val="000000" w:themeColor="text1"/>
          <w:sz w:val="28"/>
          <w:szCs w:val="28"/>
          <w:lang w:val="uk-UA"/>
        </w:rPr>
        <w:t xml:space="preserve">ним ендокринним розладом у чоловіків. </w:t>
      </w:r>
      <w:r w:rsidRPr="00CE0A20">
        <w:rPr>
          <w:rFonts w:ascii="Times New Roman" w:hAnsi="Times New Roman" w:cs="Times New Roman"/>
          <w:color w:val="000000" w:themeColor="text1"/>
          <w:sz w:val="28"/>
          <w:szCs w:val="28"/>
          <w:lang w:val="uk-UA"/>
        </w:rPr>
        <w:t>Андрогенний дефіцит у чоловіків вважають глобальним питанням охорони здоров'я [220]. У сучасній літературі використовують досить багато термінів, що визначають цей стан. Крім термін</w:t>
      </w:r>
      <w:r w:rsidR="00705DC6"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w:t>
      </w:r>
      <w:r w:rsidR="00705DC6"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віковий андрогенний дефіцит</w:t>
      </w:r>
      <w:r w:rsidR="00705DC6"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(ВАД), що найбільш часто використовується у вітчизняній літературі, в англомовній літератури застосовують «гіпогонадизм, що пізно </w:t>
      </w:r>
      <w:r w:rsidR="00705DC6" w:rsidRPr="00CE0A20">
        <w:rPr>
          <w:rFonts w:ascii="Times New Roman" w:hAnsi="Times New Roman" w:cs="Times New Roman"/>
          <w:color w:val="000000" w:themeColor="text1"/>
          <w:sz w:val="28"/>
          <w:szCs w:val="28"/>
          <w:lang w:val="uk-UA"/>
        </w:rPr>
        <w:t>роз</w:t>
      </w:r>
      <w:r w:rsidRPr="00CE0A20">
        <w:rPr>
          <w:rFonts w:ascii="Times New Roman" w:hAnsi="Times New Roman" w:cs="Times New Roman"/>
          <w:color w:val="000000" w:themeColor="text1"/>
          <w:sz w:val="28"/>
          <w:szCs w:val="28"/>
          <w:lang w:val="uk-UA"/>
        </w:rPr>
        <w:t>почався» (Late On-set Hypogonadism – LOH); «частковий андрогенн</w:t>
      </w:r>
      <w:r w:rsidR="00705DC6"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й дефіцит у чоловіків, що старіють» (Partial AnrogenoDeficit at Alding Men – PADAM);  «синдром дефіциту тестостерону» (Testosterone Deficit Syndrome – TDS) [46; 69; 70]. Згідно </w:t>
      </w:r>
      <w:r w:rsidR="00705DC6" w:rsidRPr="00CE0A20">
        <w:rPr>
          <w:rFonts w:ascii="Times New Roman" w:hAnsi="Times New Roman" w:cs="Times New Roman"/>
          <w:color w:val="000000" w:themeColor="text1"/>
          <w:sz w:val="28"/>
          <w:szCs w:val="28"/>
          <w:lang w:val="uk-UA"/>
        </w:rPr>
        <w:t xml:space="preserve">з </w:t>
      </w:r>
      <w:r w:rsidRPr="00CE0A20">
        <w:rPr>
          <w:rFonts w:ascii="Times New Roman" w:hAnsi="Times New Roman" w:cs="Times New Roman"/>
          <w:color w:val="000000" w:themeColor="text1"/>
          <w:sz w:val="28"/>
          <w:szCs w:val="28"/>
          <w:lang w:val="uk-UA"/>
        </w:rPr>
        <w:t>визначенн</w:t>
      </w:r>
      <w:r w:rsidR="00705DC6" w:rsidRPr="00CE0A20">
        <w:rPr>
          <w:rFonts w:ascii="Times New Roman" w:hAnsi="Times New Roman" w:cs="Times New Roman"/>
          <w:color w:val="000000" w:themeColor="text1"/>
          <w:sz w:val="28"/>
          <w:szCs w:val="28"/>
          <w:lang w:val="uk-UA"/>
        </w:rPr>
        <w:t>ям</w:t>
      </w:r>
      <w:r w:rsidRPr="00CE0A20">
        <w:rPr>
          <w:rFonts w:ascii="Times New Roman" w:hAnsi="Times New Roman" w:cs="Times New Roman"/>
          <w:color w:val="000000" w:themeColor="text1"/>
          <w:sz w:val="28"/>
          <w:szCs w:val="28"/>
          <w:lang w:val="uk-UA"/>
        </w:rPr>
        <w:t xml:space="preserve"> Міжнародного товариства з досліджень дорослих чоловіків (International Society for the Study of the Aging Male – ISSAM) гіпогонадизм у чоловіків (або дефіцит тестостерону) – це клінічний синдром, пов’язаний з низьким рівнем тестостерону  у сироватці крові, що негативно впливає на функцію багатьох органів та систем організму та супроводжується характерними симптомами  [273]. Європейське товариство ендокринологів визначає гіпогонадизм у чоловіків за наявністю симптомів та ознак дефіциту тестостерону з однозначно </w:t>
      </w:r>
      <w:r w:rsidR="00705DC6"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постійно низьким вмістом загального та / або вільного тестостерону в сироватці крові. Інше визначення – це клінічний синдром, який виникає внаслідок неспроможності сім’яників виробляти фізіологічну концентрацію тестостерону у зв’язку з патологією в гіпотоламо-гіпофізарно-тестикулярній осі [152]. Тобто, незважаючи на велику кількість термінів, найважливіш</w:t>
      </w:r>
      <w:r w:rsidR="00705DC6" w:rsidRPr="00CE0A20">
        <w:rPr>
          <w:rFonts w:ascii="Times New Roman" w:hAnsi="Times New Roman" w:cs="Times New Roman"/>
          <w:color w:val="000000" w:themeColor="text1"/>
          <w:sz w:val="28"/>
          <w:szCs w:val="28"/>
          <w:lang w:val="uk-UA"/>
        </w:rPr>
        <w:t>им</w:t>
      </w:r>
      <w:r w:rsidRPr="00CE0A20">
        <w:rPr>
          <w:rFonts w:ascii="Times New Roman" w:hAnsi="Times New Roman" w:cs="Times New Roman"/>
          <w:color w:val="000000" w:themeColor="text1"/>
          <w:sz w:val="28"/>
          <w:szCs w:val="28"/>
          <w:lang w:val="uk-UA"/>
        </w:rPr>
        <w:t xml:space="preserve"> склад</w:t>
      </w:r>
      <w:r w:rsidR="00705DC6" w:rsidRPr="00CE0A20">
        <w:rPr>
          <w:rFonts w:ascii="Times New Roman" w:hAnsi="Times New Roman" w:cs="Times New Roman"/>
          <w:color w:val="000000" w:themeColor="text1"/>
          <w:sz w:val="28"/>
          <w:szCs w:val="28"/>
          <w:lang w:val="uk-UA"/>
        </w:rPr>
        <w:t>ником</w:t>
      </w:r>
      <w:r w:rsidRPr="00CE0A20">
        <w:rPr>
          <w:rFonts w:ascii="Times New Roman" w:hAnsi="Times New Roman" w:cs="Times New Roman"/>
          <w:color w:val="000000" w:themeColor="text1"/>
          <w:sz w:val="28"/>
          <w:szCs w:val="28"/>
          <w:lang w:val="uk-UA"/>
        </w:rPr>
        <w:t xml:space="preserve"> гіпогонадизму є низький рівень тестостерону, але підкреслюється важливість наявності відповідних клінічних симптомів. До гіпогонадизму </w:t>
      </w:r>
      <w:r w:rsidR="00705DC6"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відносять рівень загального тестостерону</w:t>
      </w:r>
      <w:r w:rsidR="00705DC6" w:rsidRPr="00CE0A20">
        <w:rPr>
          <w:rFonts w:ascii="Times New Roman" w:hAnsi="Times New Roman" w:cs="Times New Roman"/>
          <w:color w:val="000000" w:themeColor="text1"/>
          <w:sz w:val="28"/>
          <w:szCs w:val="28"/>
          <w:lang w:val="uk-UA"/>
        </w:rPr>
        <w:t xml:space="preserve">, нижчий ніж </w:t>
      </w:r>
      <w:r w:rsidRPr="00CE0A20">
        <w:rPr>
          <w:rFonts w:ascii="Times New Roman" w:hAnsi="Times New Roman" w:cs="Times New Roman"/>
          <w:color w:val="000000" w:themeColor="text1"/>
          <w:sz w:val="28"/>
          <w:szCs w:val="28"/>
          <w:lang w:val="uk-UA"/>
        </w:rPr>
        <w:t>12 нмоль/л, що супроводжується характерними клінічними симптомами, включаючи ЕД, втрату лібідо та / або саркопенію (атрофію скелетної мускулатури)  [153; 257; 366].</w:t>
      </w:r>
    </w:p>
    <w:p w:rsidR="00EB6EBC" w:rsidRPr="00CE0A20" w:rsidRDefault="00EB6EBC" w:rsidP="00EB6EBC">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Максимальний вміст тестостерону у чоловіків спостерігається в 25–30 років, а починаючи вже з 30–35-річного віку концентрація загального тестостерону знижується на 0,8%, біодоступного – на 2-3% щороку, при цьому рівень ГЗСГ зростає на 1,6%. Це було доведено в Мас</w:t>
      </w:r>
      <w:r w:rsidR="00B830CB" w:rsidRPr="00CE0A20">
        <w:rPr>
          <w:rFonts w:ascii="Times New Roman" w:hAnsi="Times New Roman" w:cs="Times New Roman"/>
          <w:color w:val="000000" w:themeColor="text1"/>
          <w:sz w:val="28"/>
          <w:szCs w:val="28"/>
          <w:lang w:val="uk-UA"/>
        </w:rPr>
        <w:t>с</w:t>
      </w:r>
      <w:r w:rsidRPr="00CE0A20">
        <w:rPr>
          <w:rFonts w:ascii="Times New Roman" w:hAnsi="Times New Roman" w:cs="Times New Roman"/>
          <w:color w:val="000000" w:themeColor="text1"/>
          <w:sz w:val="28"/>
          <w:szCs w:val="28"/>
          <w:lang w:val="uk-UA"/>
        </w:rPr>
        <w:t>ачу</w:t>
      </w:r>
      <w:r w:rsidR="00705DC6" w:rsidRPr="00CE0A20">
        <w:rPr>
          <w:rFonts w:ascii="Times New Roman" w:hAnsi="Times New Roman" w:cs="Times New Roman"/>
          <w:color w:val="000000" w:themeColor="text1"/>
          <w:sz w:val="28"/>
          <w:szCs w:val="28"/>
          <w:lang w:val="uk-UA"/>
        </w:rPr>
        <w:t>се</w:t>
      </w:r>
      <w:r w:rsidRPr="00CE0A20">
        <w:rPr>
          <w:rFonts w:ascii="Times New Roman" w:hAnsi="Times New Roman" w:cs="Times New Roman"/>
          <w:color w:val="000000" w:themeColor="text1"/>
          <w:sz w:val="28"/>
          <w:szCs w:val="28"/>
          <w:lang w:val="uk-UA"/>
        </w:rPr>
        <w:t xml:space="preserve">тському дослідженні (Massachusetts Male Aging Study – MMAS) та іншими авторами  [200; 250; 370].  Як наслідок, андрогенний дефіцит спостерігається </w:t>
      </w:r>
      <w:r w:rsidR="00B830CB"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30% чоловіків </w:t>
      </w:r>
      <w:r w:rsidR="00B830CB" w:rsidRPr="00CE0A20">
        <w:rPr>
          <w:rFonts w:ascii="Times New Roman" w:hAnsi="Times New Roman" w:cs="Times New Roman"/>
          <w:color w:val="000000" w:themeColor="text1"/>
          <w:sz w:val="28"/>
          <w:szCs w:val="28"/>
          <w:lang w:val="uk-UA"/>
        </w:rPr>
        <w:t>до</w:t>
      </w:r>
      <w:r w:rsidRPr="00CE0A20">
        <w:rPr>
          <w:rFonts w:ascii="Times New Roman" w:hAnsi="Times New Roman" w:cs="Times New Roman"/>
          <w:color w:val="000000" w:themeColor="text1"/>
          <w:sz w:val="28"/>
          <w:szCs w:val="28"/>
          <w:lang w:val="uk-UA"/>
        </w:rPr>
        <w:t xml:space="preserve"> 60 рок</w:t>
      </w:r>
      <w:r w:rsidR="00B830CB" w:rsidRPr="00CE0A20">
        <w:rPr>
          <w:rFonts w:ascii="Times New Roman" w:hAnsi="Times New Roman" w:cs="Times New Roman"/>
          <w:color w:val="000000" w:themeColor="text1"/>
          <w:sz w:val="28"/>
          <w:szCs w:val="28"/>
          <w:lang w:val="uk-UA"/>
        </w:rPr>
        <w:t>ів</w:t>
      </w:r>
      <w:r w:rsidRPr="00CE0A20">
        <w:rPr>
          <w:rFonts w:ascii="Times New Roman" w:hAnsi="Times New Roman" w:cs="Times New Roman"/>
          <w:color w:val="000000" w:themeColor="text1"/>
          <w:sz w:val="28"/>
          <w:szCs w:val="28"/>
          <w:lang w:val="uk-UA"/>
        </w:rPr>
        <w:t xml:space="preserve"> та у 80% – </w:t>
      </w:r>
      <w:r w:rsidR="00B830CB" w:rsidRPr="00CE0A20">
        <w:rPr>
          <w:rFonts w:ascii="Times New Roman" w:hAnsi="Times New Roman" w:cs="Times New Roman"/>
          <w:color w:val="000000" w:themeColor="text1"/>
          <w:sz w:val="28"/>
          <w:szCs w:val="28"/>
          <w:lang w:val="uk-UA"/>
        </w:rPr>
        <w:t>до</w:t>
      </w:r>
      <w:r w:rsidRPr="00CE0A20">
        <w:rPr>
          <w:rFonts w:ascii="Times New Roman" w:hAnsi="Times New Roman" w:cs="Times New Roman"/>
          <w:color w:val="000000" w:themeColor="text1"/>
          <w:sz w:val="28"/>
          <w:szCs w:val="28"/>
          <w:lang w:val="uk-UA"/>
        </w:rPr>
        <w:t xml:space="preserve"> 80 рок</w:t>
      </w:r>
      <w:r w:rsidR="00B830CB" w:rsidRPr="00CE0A20">
        <w:rPr>
          <w:rFonts w:ascii="Times New Roman" w:hAnsi="Times New Roman" w:cs="Times New Roman"/>
          <w:color w:val="000000" w:themeColor="text1"/>
          <w:sz w:val="28"/>
          <w:szCs w:val="28"/>
          <w:lang w:val="uk-UA"/>
        </w:rPr>
        <w:t>ів</w:t>
      </w:r>
      <w:r w:rsidRPr="00CE0A20">
        <w:rPr>
          <w:rFonts w:ascii="Times New Roman" w:hAnsi="Times New Roman" w:cs="Times New Roman"/>
          <w:color w:val="000000" w:themeColor="text1"/>
          <w:sz w:val="28"/>
          <w:szCs w:val="28"/>
          <w:lang w:val="uk-UA"/>
        </w:rPr>
        <w:t xml:space="preserve">. [338].  Цей процес може посилюватися </w:t>
      </w:r>
      <w:r w:rsidR="00B830CB" w:rsidRPr="00CE0A20">
        <w:rPr>
          <w:rFonts w:ascii="Times New Roman" w:hAnsi="Times New Roman" w:cs="Times New Roman"/>
          <w:color w:val="000000" w:themeColor="text1"/>
          <w:sz w:val="28"/>
          <w:szCs w:val="28"/>
          <w:lang w:val="uk-UA"/>
        </w:rPr>
        <w:t>за</w:t>
      </w:r>
      <w:r w:rsidRPr="00CE0A20">
        <w:rPr>
          <w:rFonts w:ascii="Times New Roman" w:hAnsi="Times New Roman" w:cs="Times New Roman"/>
          <w:color w:val="000000" w:themeColor="text1"/>
          <w:sz w:val="28"/>
          <w:szCs w:val="28"/>
          <w:lang w:val="uk-UA"/>
        </w:rPr>
        <w:t xml:space="preserve"> наявності супутньої патології, шкідливих звичок, негативних факторів зовнішнього середовища, індивідуальних генетичних особливостей та ін. [35; 47; 64]. Крім цього, прояви андрогенного дефіциту не є специфічними, тому його діагностика залишається запізнілою, а справжня </w:t>
      </w:r>
      <w:r w:rsidR="00B830CB" w:rsidRPr="00CE0A20">
        <w:rPr>
          <w:rFonts w:ascii="Times New Roman" w:hAnsi="Times New Roman" w:cs="Times New Roman"/>
          <w:color w:val="000000" w:themeColor="text1"/>
          <w:sz w:val="28"/>
          <w:szCs w:val="28"/>
          <w:lang w:val="uk-UA"/>
        </w:rPr>
        <w:t>пошире</w:t>
      </w:r>
      <w:r w:rsidRPr="00CE0A20">
        <w:rPr>
          <w:rFonts w:ascii="Times New Roman" w:hAnsi="Times New Roman" w:cs="Times New Roman"/>
          <w:color w:val="000000" w:themeColor="text1"/>
          <w:sz w:val="28"/>
          <w:szCs w:val="28"/>
          <w:lang w:val="uk-UA"/>
        </w:rPr>
        <w:t>ність може бути оцінена лише орієнтовно [281].</w:t>
      </w:r>
    </w:p>
    <w:p w:rsidR="00EB6EBC" w:rsidRPr="00CE0A20" w:rsidRDefault="00EB6EBC" w:rsidP="00EB6EBC">
      <w:pPr>
        <w:shd w:val="clear" w:color="auto" w:fill="FFFFFF"/>
        <w:spacing w:line="360" w:lineRule="auto"/>
        <w:ind w:firstLine="709"/>
        <w:jc w:val="both"/>
        <w:textAlignment w:val="baseline"/>
        <w:rPr>
          <w:rStyle w:val="element-citation"/>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Раніше такі стани діагностувалися, як правило, у людей похилого віку, але зараз все частіше андрогенна недостатність зустрічається </w:t>
      </w:r>
      <w:r w:rsidR="00B830CB"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віком як до</w:t>
      </w:r>
      <w:r w:rsidR="00B830CB"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та</w:t>
      </w:r>
      <w:r w:rsidR="00B830CB" w:rsidRPr="00CE0A20">
        <w:rPr>
          <w:rFonts w:ascii="Times New Roman" w:hAnsi="Times New Roman" w:cs="Times New Roman"/>
          <w:color w:val="000000" w:themeColor="text1"/>
          <w:sz w:val="28"/>
          <w:szCs w:val="28"/>
          <w:lang w:val="uk-UA"/>
        </w:rPr>
        <w:t>к</w:t>
      </w:r>
      <w:r w:rsidRPr="00CE0A20">
        <w:rPr>
          <w:rFonts w:ascii="Times New Roman" w:hAnsi="Times New Roman" w:cs="Times New Roman"/>
          <w:color w:val="000000" w:themeColor="text1"/>
          <w:sz w:val="28"/>
          <w:szCs w:val="28"/>
          <w:lang w:val="uk-UA"/>
        </w:rPr>
        <w:t xml:space="preserve"> і після 30 років [86]. У середньому віці дефіцит тестостерону виявля</w:t>
      </w:r>
      <w:r w:rsidR="00B830CB"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ть у 6% чоловіків [144; 145; 231]. Р.В. Роживанов (2014) повідомляє, що віковий гіпогонадизм спостерігається у 10–15% чоловіків </w:t>
      </w:r>
      <w:r w:rsidR="00B830CB" w:rsidRPr="00CE0A20">
        <w:rPr>
          <w:rFonts w:ascii="Times New Roman" w:hAnsi="Times New Roman" w:cs="Times New Roman"/>
          <w:color w:val="000000" w:themeColor="text1"/>
          <w:sz w:val="28"/>
          <w:szCs w:val="28"/>
          <w:lang w:val="uk-UA"/>
        </w:rPr>
        <w:t>віком</w:t>
      </w:r>
      <w:r w:rsidRPr="00CE0A20">
        <w:rPr>
          <w:rFonts w:ascii="Times New Roman" w:hAnsi="Times New Roman" w:cs="Times New Roman"/>
          <w:color w:val="000000" w:themeColor="text1"/>
          <w:sz w:val="28"/>
          <w:szCs w:val="28"/>
          <w:lang w:val="uk-UA"/>
        </w:rPr>
        <w:t xml:space="preserve"> від 30 до 40 р., збільшуючись до 15–25% у віці 40–50 р. та до 30–40% у віці більш</w:t>
      </w:r>
      <w:r w:rsidR="00B830CB" w:rsidRPr="00CE0A20">
        <w:rPr>
          <w:rFonts w:ascii="Times New Roman" w:hAnsi="Times New Roman" w:cs="Times New Roman"/>
          <w:color w:val="000000" w:themeColor="text1"/>
          <w:sz w:val="28"/>
          <w:szCs w:val="28"/>
          <w:lang w:val="uk-UA"/>
        </w:rPr>
        <w:t>е</w:t>
      </w:r>
      <w:r w:rsidRPr="00CE0A20">
        <w:rPr>
          <w:rFonts w:ascii="Times New Roman" w:hAnsi="Times New Roman" w:cs="Times New Roman"/>
          <w:color w:val="000000" w:themeColor="text1"/>
          <w:sz w:val="28"/>
          <w:szCs w:val="28"/>
          <w:lang w:val="uk-UA"/>
        </w:rPr>
        <w:t xml:space="preserve"> 50</w:t>
      </w:r>
      <w:r w:rsidR="00B830CB" w:rsidRPr="00CE0A20">
        <w:rPr>
          <w:rFonts w:ascii="Times New Roman" w:hAnsi="Times New Roman" w:cs="Times New Roman"/>
          <w:color w:val="000000" w:themeColor="text1"/>
          <w:sz w:val="28"/>
          <w:szCs w:val="28"/>
          <w:lang w:val="uk-UA"/>
        </w:rPr>
        <w:t> </w:t>
      </w:r>
      <w:r w:rsidRPr="00CE0A20">
        <w:rPr>
          <w:rFonts w:ascii="Times New Roman" w:hAnsi="Times New Roman" w:cs="Times New Roman"/>
          <w:color w:val="000000" w:themeColor="text1"/>
          <w:sz w:val="28"/>
          <w:szCs w:val="28"/>
          <w:lang w:val="uk-UA"/>
        </w:rPr>
        <w:t xml:space="preserve">р. [114]. Traish A.M. та співавт. (2011) вважають, що дефіцит тестостерону спостерігається </w:t>
      </w:r>
      <w:r w:rsidR="00B830CB"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30% чоловіків </w:t>
      </w:r>
      <w:r w:rsidR="00B830CB" w:rsidRPr="00CE0A20">
        <w:rPr>
          <w:rFonts w:ascii="Times New Roman" w:hAnsi="Times New Roman" w:cs="Times New Roman"/>
          <w:color w:val="000000" w:themeColor="text1"/>
          <w:sz w:val="28"/>
          <w:szCs w:val="28"/>
          <w:lang w:val="uk-UA"/>
        </w:rPr>
        <w:t>віком</w:t>
      </w:r>
      <w:r w:rsidRPr="00CE0A20">
        <w:rPr>
          <w:rFonts w:ascii="Times New Roman" w:hAnsi="Times New Roman" w:cs="Times New Roman"/>
          <w:color w:val="000000" w:themeColor="text1"/>
          <w:sz w:val="28"/>
          <w:szCs w:val="28"/>
          <w:lang w:val="uk-UA"/>
        </w:rPr>
        <w:t xml:space="preserve"> 40–79 р. [354]. За даними И.</w:t>
      </w:r>
      <w:r w:rsidR="00B830CB" w:rsidRPr="00CE0A20">
        <w:rPr>
          <w:rFonts w:ascii="Times New Roman" w:hAnsi="Times New Roman" w:cs="Times New Roman"/>
          <w:color w:val="000000" w:themeColor="text1"/>
          <w:sz w:val="28"/>
          <w:szCs w:val="28"/>
          <w:lang w:val="uk-UA"/>
        </w:rPr>
        <w:t> </w:t>
      </w:r>
      <w:r w:rsidRPr="00CE0A20">
        <w:rPr>
          <w:rFonts w:ascii="Times New Roman" w:hAnsi="Times New Roman" w:cs="Times New Roman"/>
          <w:color w:val="000000" w:themeColor="text1"/>
          <w:sz w:val="28"/>
          <w:szCs w:val="28"/>
          <w:lang w:val="uk-UA"/>
        </w:rPr>
        <w:t>И.</w:t>
      </w:r>
      <w:r w:rsidR="00B830CB" w:rsidRPr="00CE0A20">
        <w:rPr>
          <w:rFonts w:ascii="Times New Roman" w:hAnsi="Times New Roman" w:cs="Times New Roman"/>
          <w:color w:val="000000" w:themeColor="text1"/>
          <w:sz w:val="28"/>
          <w:szCs w:val="28"/>
          <w:lang w:val="uk-UA"/>
        </w:rPr>
        <w:t> </w:t>
      </w:r>
      <w:r w:rsidRPr="00CE0A20">
        <w:rPr>
          <w:rFonts w:ascii="Times New Roman" w:hAnsi="Times New Roman" w:cs="Times New Roman"/>
          <w:color w:val="000000" w:themeColor="text1"/>
          <w:sz w:val="28"/>
          <w:szCs w:val="28"/>
          <w:lang w:val="uk-UA"/>
        </w:rPr>
        <w:t xml:space="preserve">Горпинченко (2007), ознаки гіпогонадизму виявляють у 12% сексуально здорових чоловіків, а </w:t>
      </w:r>
      <w:r w:rsidR="00B830CB" w:rsidRPr="00CE0A20">
        <w:rPr>
          <w:rFonts w:ascii="Times New Roman" w:hAnsi="Times New Roman" w:cs="Times New Roman"/>
          <w:color w:val="000000" w:themeColor="text1"/>
          <w:sz w:val="28"/>
          <w:szCs w:val="28"/>
          <w:lang w:val="uk-UA"/>
        </w:rPr>
        <w:t>за</w:t>
      </w:r>
      <w:r w:rsidRPr="00CE0A20">
        <w:rPr>
          <w:rFonts w:ascii="Times New Roman" w:hAnsi="Times New Roman" w:cs="Times New Roman"/>
          <w:color w:val="000000" w:themeColor="text1"/>
          <w:sz w:val="28"/>
          <w:szCs w:val="28"/>
          <w:lang w:val="uk-UA"/>
        </w:rPr>
        <w:t xml:space="preserve"> наявності сексуальних порушень його частота сягає 70% [47]. </w:t>
      </w:r>
      <w:r w:rsidRPr="00CE0A20">
        <w:rPr>
          <w:rStyle w:val="element-citation"/>
          <w:rFonts w:ascii="Times New Roman" w:hAnsi="Times New Roman" w:cs="Times New Roman"/>
          <w:color w:val="000000" w:themeColor="text1"/>
          <w:sz w:val="28"/>
          <w:szCs w:val="28"/>
          <w:lang w:val="uk-UA"/>
        </w:rPr>
        <w:t>Тобто на цей час ВАД має значення не тільки для чоловіків похилого та старечого віку, але й для значної кількості чоловіків зрілого та репродуктивного віку. Це дало підстави стверджувати, що дефіцит тестостерону є найбільш поширеним гормональним розладом у чоловіків, як</w:t>
      </w:r>
      <w:r w:rsidR="00B830CB" w:rsidRPr="00CE0A20">
        <w:rPr>
          <w:rStyle w:val="element-citation"/>
          <w:rFonts w:ascii="Times New Roman" w:hAnsi="Times New Roman" w:cs="Times New Roman"/>
          <w:color w:val="000000" w:themeColor="text1"/>
          <w:sz w:val="28"/>
          <w:szCs w:val="28"/>
          <w:lang w:val="uk-UA"/>
        </w:rPr>
        <w:t>ий</w:t>
      </w:r>
      <w:r w:rsidRPr="00CE0A20">
        <w:rPr>
          <w:rStyle w:val="element-citation"/>
          <w:rFonts w:ascii="Times New Roman" w:hAnsi="Times New Roman" w:cs="Times New Roman"/>
          <w:color w:val="000000" w:themeColor="text1"/>
          <w:sz w:val="28"/>
          <w:szCs w:val="28"/>
          <w:lang w:val="uk-UA"/>
        </w:rPr>
        <w:t xml:space="preserve"> найменш часто діагностується та ще менш часто лікується. У західноєвропейських державах, в Австралії, Японії та Росії дефіцит тестостерону можна підозрювати у 20% чоловіків у віці від 50 р. та більше [165]. </w:t>
      </w:r>
      <w:r w:rsidRPr="00CE0A20">
        <w:rPr>
          <w:rFonts w:ascii="Times New Roman" w:hAnsi="Times New Roman" w:cs="Times New Roman"/>
          <w:color w:val="000000" w:themeColor="text1"/>
          <w:sz w:val="28"/>
          <w:szCs w:val="28"/>
          <w:lang w:val="uk-UA"/>
        </w:rPr>
        <w:t>У той же час зростає кількість доказів того, що фізіологічне старіння призводить до зниження рівня тестостерону [</w:t>
      </w:r>
      <w:r w:rsidRPr="00CE0A20">
        <w:rPr>
          <w:rStyle w:val="element-citation"/>
          <w:rFonts w:ascii="Times New Roman" w:hAnsi="Times New Roman" w:cs="Times New Roman"/>
          <w:color w:val="000000" w:themeColor="text1"/>
          <w:sz w:val="28"/>
          <w:szCs w:val="28"/>
          <w:lang w:val="uk-UA"/>
        </w:rPr>
        <w:t>320].</w:t>
      </w:r>
    </w:p>
    <w:p w:rsidR="00EB6EBC" w:rsidRPr="00CE0A20" w:rsidRDefault="00EB6EBC" w:rsidP="00EB6EBC">
      <w:pPr>
        <w:widowControl w:val="0"/>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На цей час </w:t>
      </w:r>
      <w:r w:rsidR="00B830CB" w:rsidRPr="00CE0A20">
        <w:rPr>
          <w:rFonts w:ascii="Times New Roman" w:hAnsi="Times New Roman" w:cs="Times New Roman"/>
          <w:color w:val="000000" w:themeColor="text1"/>
          <w:sz w:val="28"/>
          <w:szCs w:val="28"/>
          <w:lang w:val="uk-UA"/>
        </w:rPr>
        <w:t xml:space="preserve">є </w:t>
      </w:r>
      <w:r w:rsidRPr="00CE0A20">
        <w:rPr>
          <w:rFonts w:ascii="Times New Roman" w:hAnsi="Times New Roman" w:cs="Times New Roman"/>
          <w:color w:val="000000" w:themeColor="text1"/>
          <w:sz w:val="28"/>
          <w:szCs w:val="28"/>
          <w:lang w:val="uk-UA"/>
        </w:rPr>
        <w:t>загальновизнан</w:t>
      </w:r>
      <w:r w:rsidR="00B830CB" w:rsidRPr="00CE0A20">
        <w:rPr>
          <w:rFonts w:ascii="Times New Roman" w:hAnsi="Times New Roman" w:cs="Times New Roman"/>
          <w:color w:val="000000" w:themeColor="text1"/>
          <w:sz w:val="28"/>
          <w:szCs w:val="28"/>
          <w:lang w:val="uk-UA"/>
        </w:rPr>
        <w:t>им факт</w:t>
      </w:r>
      <w:r w:rsidRPr="00CE0A20">
        <w:rPr>
          <w:rFonts w:ascii="Times New Roman" w:hAnsi="Times New Roman" w:cs="Times New Roman"/>
          <w:color w:val="000000" w:themeColor="text1"/>
          <w:sz w:val="28"/>
          <w:szCs w:val="28"/>
          <w:lang w:val="uk-UA"/>
        </w:rPr>
        <w:t>, що сексуальні розлади, зокрема, зниження лібідо та ЕД, а також порушення репродуктивної функції чоловіків, не єдиний наслідок дефіциту тестостерону [</w:t>
      </w:r>
      <w:r w:rsidRPr="00CE0A20">
        <w:rPr>
          <w:rStyle w:val="element-citation"/>
          <w:rFonts w:ascii="Times New Roman" w:hAnsi="Times New Roman" w:cs="Times New Roman"/>
          <w:color w:val="000000" w:themeColor="text1"/>
          <w:sz w:val="28"/>
          <w:szCs w:val="28"/>
          <w:lang w:val="uk-UA"/>
        </w:rPr>
        <w:t xml:space="preserve">199; </w:t>
      </w:r>
      <w:r w:rsidRPr="00CE0A20">
        <w:rPr>
          <w:rFonts w:ascii="Times New Roman" w:hAnsi="Times New Roman" w:cs="Times New Roman"/>
          <w:color w:val="000000" w:themeColor="text1"/>
          <w:sz w:val="28"/>
          <w:szCs w:val="28"/>
          <w:lang w:val="uk-UA"/>
        </w:rPr>
        <w:t>359</w:t>
      </w:r>
      <w:r w:rsidRPr="00CE0A20">
        <w:rPr>
          <w:rStyle w:val="element-citation"/>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Гіпогонадизм  </w:t>
      </w:r>
      <w:r w:rsidR="00B830CB" w:rsidRPr="00CE0A20">
        <w:rPr>
          <w:rFonts w:ascii="Times New Roman" w:hAnsi="Times New Roman" w:cs="Times New Roman"/>
          <w:color w:val="000000" w:themeColor="text1"/>
          <w:sz w:val="28"/>
          <w:szCs w:val="28"/>
          <w:lang w:val="uk-UA"/>
        </w:rPr>
        <w:t xml:space="preserve">обумовлює </w:t>
      </w:r>
      <w:r w:rsidRPr="00CE0A20">
        <w:rPr>
          <w:rFonts w:ascii="Times New Roman" w:hAnsi="Times New Roman" w:cs="Times New Roman"/>
          <w:color w:val="000000" w:themeColor="text1"/>
          <w:sz w:val="28"/>
          <w:szCs w:val="28"/>
          <w:lang w:val="uk-UA"/>
        </w:rPr>
        <w:t>різноманітн</w:t>
      </w:r>
      <w:r w:rsidR="00B830CB"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змін</w:t>
      </w:r>
      <w:r w:rsidR="00B830CB"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 метаболізму, наслідком яких є зниження м'язової маси тіла, мінеральної щільності кісткової тканини, збільшення внутрішньо</w:t>
      </w:r>
      <w:r w:rsidRPr="00CE0A20">
        <w:rPr>
          <w:rFonts w:ascii="Times New Roman" w:hAnsi="Times New Roman" w:cs="Times New Roman"/>
          <w:color w:val="000000" w:themeColor="text1"/>
          <w:sz w:val="28"/>
          <w:szCs w:val="28"/>
          <w:lang w:val="uk-UA"/>
        </w:rPr>
        <w:softHyphen/>
        <w:t xml:space="preserve">черевного жиру, зниження лібідо </w:t>
      </w:r>
      <w:r w:rsidR="00B830CB"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статевої функції, депресивним розладам та зниження працездатності та життєвої активності [</w:t>
      </w:r>
      <w:r w:rsidRPr="00CE0A20">
        <w:rPr>
          <w:rStyle w:val="element-citation"/>
          <w:rFonts w:ascii="Times New Roman" w:hAnsi="Times New Roman" w:cs="Times New Roman"/>
          <w:color w:val="000000" w:themeColor="text1"/>
          <w:sz w:val="28"/>
          <w:szCs w:val="28"/>
          <w:lang w:val="uk-UA"/>
        </w:rPr>
        <w:t>165</w:t>
      </w:r>
      <w:r w:rsidRPr="00CE0A20">
        <w:rPr>
          <w:rFonts w:ascii="Times New Roman" w:hAnsi="Times New Roman" w:cs="Times New Roman"/>
          <w:color w:val="000000" w:themeColor="text1"/>
          <w:sz w:val="28"/>
          <w:szCs w:val="28"/>
          <w:lang w:val="uk-UA"/>
        </w:rPr>
        <w:t xml:space="preserve">; </w:t>
      </w:r>
      <w:r w:rsidRPr="00CE0A20">
        <w:rPr>
          <w:rStyle w:val="element-citation"/>
          <w:rFonts w:ascii="Times New Roman" w:hAnsi="Times New Roman" w:cs="Times New Roman"/>
          <w:color w:val="000000" w:themeColor="text1"/>
          <w:sz w:val="28"/>
          <w:szCs w:val="28"/>
          <w:lang w:val="uk-UA"/>
        </w:rPr>
        <w:t>260</w:t>
      </w:r>
      <w:r w:rsidRPr="00CE0A20">
        <w:rPr>
          <w:rFonts w:ascii="Times New Roman" w:hAnsi="Times New Roman" w:cs="Times New Roman"/>
          <w:color w:val="000000" w:themeColor="text1"/>
          <w:sz w:val="28"/>
          <w:szCs w:val="28"/>
          <w:lang w:val="uk-UA"/>
        </w:rPr>
        <w:t xml:space="preserve">; </w:t>
      </w:r>
      <w:r w:rsidRPr="00CE0A20">
        <w:rPr>
          <w:rStyle w:val="element-citation"/>
          <w:rFonts w:ascii="Times New Roman" w:hAnsi="Times New Roman" w:cs="Times New Roman"/>
          <w:color w:val="000000" w:themeColor="text1"/>
          <w:sz w:val="28"/>
          <w:szCs w:val="28"/>
          <w:lang w:val="uk-UA"/>
        </w:rPr>
        <w:t>291]</w:t>
      </w:r>
      <w:r w:rsidRPr="00CE0A20">
        <w:rPr>
          <w:rFonts w:ascii="Times New Roman" w:hAnsi="Times New Roman" w:cs="Times New Roman"/>
          <w:color w:val="000000" w:themeColor="text1"/>
          <w:sz w:val="28"/>
          <w:szCs w:val="28"/>
          <w:lang w:val="uk-UA"/>
        </w:rPr>
        <w:t xml:space="preserve">.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 З дефіцитом тестостерону пов’язують  розвиток метаболічного синдрому, ожиріння, ЦД 2</w:t>
      </w:r>
      <w:r w:rsidR="00B830CB"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серцево-судинних захворювань, остеопорозу, депресивних станів, хвороби Альцгеймера, зниження якості життя та збільшення ризику передчасної смерті [64; 74; 131; 192; 200; 201; 276; 329; 334; </w:t>
      </w:r>
      <w:r w:rsidRPr="00CE0A20">
        <w:rPr>
          <w:rStyle w:val="element-citation"/>
          <w:rFonts w:ascii="Times New Roman" w:hAnsi="Times New Roman" w:cs="Times New Roman"/>
          <w:color w:val="000000" w:themeColor="text1"/>
          <w:sz w:val="28"/>
          <w:szCs w:val="28"/>
          <w:lang w:val="uk-UA"/>
        </w:rPr>
        <w:t>350</w:t>
      </w:r>
      <w:r w:rsidRPr="00CE0A20">
        <w:rPr>
          <w:rFonts w:ascii="Times New Roman" w:hAnsi="Times New Roman" w:cs="Times New Roman"/>
          <w:color w:val="000000" w:themeColor="text1"/>
          <w:sz w:val="28"/>
          <w:szCs w:val="28"/>
          <w:lang w:val="uk-UA"/>
        </w:rPr>
        <w:t>]. З іншого боку, нормалізація рівня тестостерону за допомогою гормон-замісної терапії сприяє не тільки відновленню сексу</w:t>
      </w:r>
      <w:r w:rsidRPr="00CE0A20">
        <w:rPr>
          <w:rFonts w:ascii="Times New Roman" w:hAnsi="Times New Roman" w:cs="Times New Roman"/>
          <w:color w:val="000000" w:themeColor="text1"/>
          <w:sz w:val="28"/>
          <w:szCs w:val="28"/>
          <w:lang w:val="uk-UA"/>
        </w:rPr>
        <w:softHyphen/>
        <w:t>аль</w:t>
      </w:r>
      <w:r w:rsidRPr="00CE0A20">
        <w:rPr>
          <w:rFonts w:ascii="Times New Roman" w:hAnsi="Times New Roman" w:cs="Times New Roman"/>
          <w:color w:val="000000" w:themeColor="text1"/>
          <w:sz w:val="28"/>
          <w:szCs w:val="28"/>
          <w:lang w:val="uk-UA"/>
        </w:rPr>
        <w:softHyphen/>
        <w:t xml:space="preserve">ної та репродуктивної функції, але й поліпшує перебіг соматичних та метаболічних захворювань [201; 276; 329; 334; </w:t>
      </w:r>
      <w:r w:rsidRPr="00CE0A20">
        <w:rPr>
          <w:rStyle w:val="element-citation"/>
          <w:rFonts w:ascii="Times New Roman" w:hAnsi="Times New Roman" w:cs="Times New Roman"/>
          <w:color w:val="000000" w:themeColor="text1"/>
          <w:sz w:val="28"/>
          <w:szCs w:val="28"/>
          <w:lang w:val="uk-UA"/>
        </w:rPr>
        <w:t>348; 350; 351</w:t>
      </w:r>
      <w:r w:rsidRPr="00CE0A20">
        <w:rPr>
          <w:rFonts w:ascii="Times New Roman" w:hAnsi="Times New Roman" w:cs="Times New Roman"/>
          <w:color w:val="000000" w:themeColor="text1"/>
          <w:sz w:val="28"/>
          <w:szCs w:val="28"/>
          <w:lang w:val="uk-UA"/>
        </w:rPr>
        <w:t>]. Але внаслідок недостатньої уваги до андрогенодефіциту не тільки лікарів загальної практики, але й ендокринологів та андрологів, цей стан нерідко не вияв</w:t>
      </w:r>
      <w:r w:rsidRPr="00CE0A20">
        <w:rPr>
          <w:rFonts w:ascii="Times New Roman" w:hAnsi="Times New Roman" w:cs="Times New Roman"/>
          <w:color w:val="000000" w:themeColor="text1"/>
          <w:sz w:val="28"/>
          <w:szCs w:val="28"/>
          <w:lang w:val="uk-UA"/>
        </w:rPr>
        <w:softHyphen/>
        <w:t>ля</w:t>
      </w:r>
      <w:r w:rsidRPr="00CE0A20">
        <w:rPr>
          <w:rFonts w:ascii="Times New Roman" w:hAnsi="Times New Roman" w:cs="Times New Roman"/>
          <w:color w:val="000000" w:themeColor="text1"/>
          <w:sz w:val="28"/>
          <w:szCs w:val="28"/>
          <w:lang w:val="uk-UA"/>
        </w:rPr>
        <w:softHyphen/>
        <w:t>ється та, відповідно, не корегується [95].</w:t>
      </w:r>
    </w:p>
    <w:p w:rsidR="00EB6EBC" w:rsidRPr="00CE0A20" w:rsidRDefault="00EB6EBC" w:rsidP="00EB6EBC">
      <w:pPr>
        <w:widowControl w:val="0"/>
        <w:spacing w:line="360" w:lineRule="auto"/>
        <w:ind w:firstLine="709"/>
        <w:jc w:val="both"/>
        <w:rPr>
          <w:rStyle w:val="11"/>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Дефіцит тестостерону </w:t>
      </w:r>
      <w:r w:rsidR="00B830CB" w:rsidRPr="00CE0A20">
        <w:rPr>
          <w:rFonts w:ascii="Times New Roman" w:hAnsi="Times New Roman" w:cs="Times New Roman"/>
          <w:color w:val="000000" w:themeColor="text1"/>
          <w:sz w:val="28"/>
          <w:szCs w:val="28"/>
          <w:lang w:val="uk-UA"/>
        </w:rPr>
        <w:t>віді</w:t>
      </w:r>
      <w:r w:rsidRPr="00CE0A20">
        <w:rPr>
          <w:rFonts w:ascii="Times New Roman" w:hAnsi="Times New Roman" w:cs="Times New Roman"/>
          <w:color w:val="000000" w:themeColor="text1"/>
          <w:sz w:val="28"/>
          <w:szCs w:val="28"/>
          <w:lang w:val="uk-UA"/>
        </w:rPr>
        <w:t xml:space="preserve">грає важливу роль у патогенезі метаболічних порушень та ЦД </w:t>
      </w:r>
      <w:r w:rsidR="00B830CB" w:rsidRPr="00CE0A20">
        <w:rPr>
          <w:rFonts w:ascii="Times New Roman" w:eastAsia="Newton-Regular" w:hAnsi="Times New Roman" w:cs="Times New Roman"/>
          <w:color w:val="000000" w:themeColor="text1"/>
          <w:sz w:val="28"/>
          <w:szCs w:val="28"/>
          <w:lang w:val="uk-UA"/>
        </w:rPr>
        <w:t>2-го</w:t>
      </w:r>
      <w:r w:rsidRPr="00CE0A20">
        <w:rPr>
          <w:rFonts w:ascii="Times New Roman" w:hAnsi="Times New Roman" w:cs="Times New Roman"/>
          <w:color w:val="000000" w:themeColor="text1"/>
          <w:sz w:val="28"/>
          <w:szCs w:val="28"/>
          <w:lang w:val="uk-UA"/>
        </w:rPr>
        <w:t xml:space="preserve"> типу, а сполучення цих станів збільшує ризик ССЗ. [95; </w:t>
      </w:r>
      <w:r w:rsidRPr="00CE0A20">
        <w:rPr>
          <w:rStyle w:val="element-citation"/>
          <w:rFonts w:ascii="Times New Roman" w:hAnsi="Times New Roman" w:cs="Times New Roman"/>
          <w:color w:val="000000" w:themeColor="text1"/>
          <w:sz w:val="28"/>
          <w:szCs w:val="28"/>
          <w:lang w:val="uk-UA"/>
        </w:rPr>
        <w:t>199</w:t>
      </w:r>
      <w:r w:rsidRPr="00CE0A20">
        <w:rPr>
          <w:rFonts w:ascii="Times New Roman" w:hAnsi="Times New Roman" w:cs="Times New Roman"/>
          <w:color w:val="000000" w:themeColor="text1"/>
          <w:sz w:val="28"/>
          <w:szCs w:val="28"/>
          <w:lang w:val="uk-UA"/>
        </w:rPr>
        <w:t xml:space="preserve">; </w:t>
      </w:r>
      <w:r w:rsidRPr="00CE0A20">
        <w:rPr>
          <w:rStyle w:val="element-citation"/>
          <w:rFonts w:ascii="Times New Roman" w:hAnsi="Times New Roman" w:cs="Times New Roman"/>
          <w:color w:val="000000" w:themeColor="text1"/>
          <w:sz w:val="28"/>
          <w:szCs w:val="28"/>
          <w:lang w:val="uk-UA"/>
        </w:rPr>
        <w:t>348; 351</w:t>
      </w:r>
      <w:r w:rsidRPr="00CE0A20">
        <w:rPr>
          <w:rFonts w:ascii="Times New Roman" w:hAnsi="Times New Roman" w:cs="Times New Roman"/>
          <w:color w:val="000000" w:themeColor="text1"/>
          <w:sz w:val="28"/>
          <w:szCs w:val="28"/>
          <w:lang w:val="uk-UA"/>
        </w:rPr>
        <w:t xml:space="preserve">]. </w:t>
      </w:r>
      <w:r w:rsidRPr="00CE0A20">
        <w:rPr>
          <w:rFonts w:ascii="Times New Roman" w:eastAsia="Newton-Regular" w:hAnsi="Times New Roman" w:cs="Times New Roman"/>
          <w:color w:val="000000" w:themeColor="text1"/>
          <w:sz w:val="28"/>
          <w:szCs w:val="28"/>
          <w:lang w:val="uk-UA"/>
        </w:rPr>
        <w:t>За даними А.Л. Верткина та співавт (2009)</w:t>
      </w:r>
      <w:r w:rsidR="00B830CB" w:rsidRPr="00CE0A20">
        <w:rPr>
          <w:rFonts w:ascii="Times New Roman" w:eastAsia="Newton-Regular" w:hAnsi="Times New Roman" w:cs="Times New Roman"/>
          <w:color w:val="000000" w:themeColor="text1"/>
          <w:sz w:val="28"/>
          <w:szCs w:val="28"/>
          <w:lang w:val="uk-UA"/>
        </w:rPr>
        <w:t>,</w:t>
      </w:r>
      <w:r w:rsidRPr="00CE0A20">
        <w:rPr>
          <w:rFonts w:ascii="Times New Roman" w:eastAsia="Newton-Regular" w:hAnsi="Times New Roman" w:cs="Times New Roman"/>
          <w:color w:val="000000" w:themeColor="text1"/>
          <w:sz w:val="28"/>
          <w:szCs w:val="28"/>
          <w:lang w:val="uk-UA"/>
        </w:rPr>
        <w:t xml:space="preserve"> ознаки ВАД виявляють у  43,7% чоловіків з ЦД 2</w:t>
      </w:r>
      <w:r w:rsidR="00B830CB" w:rsidRPr="00CE0A20">
        <w:rPr>
          <w:rFonts w:ascii="Times New Roman" w:eastAsia="Newton-Regular" w:hAnsi="Times New Roman" w:cs="Times New Roman"/>
          <w:color w:val="000000" w:themeColor="text1"/>
          <w:sz w:val="28"/>
          <w:szCs w:val="28"/>
          <w:lang w:val="uk-UA"/>
        </w:rPr>
        <w:t>-го</w:t>
      </w:r>
      <w:r w:rsidRPr="00CE0A20">
        <w:rPr>
          <w:rFonts w:ascii="Times New Roman" w:eastAsia="Newton-Regular" w:hAnsi="Times New Roman" w:cs="Times New Roman"/>
          <w:color w:val="000000" w:themeColor="text1"/>
          <w:sz w:val="28"/>
          <w:szCs w:val="28"/>
          <w:lang w:val="uk-UA"/>
        </w:rPr>
        <w:t xml:space="preserve"> типу. Вони виявили зворотню кореляцію між віком та рівнем тестостерону, яка зростає </w:t>
      </w:r>
      <w:r w:rsidR="00B830CB" w:rsidRPr="00CE0A20">
        <w:rPr>
          <w:rFonts w:ascii="Times New Roman" w:eastAsia="Newton-Regular" w:hAnsi="Times New Roman" w:cs="Times New Roman"/>
          <w:color w:val="000000" w:themeColor="text1"/>
          <w:sz w:val="28"/>
          <w:szCs w:val="28"/>
          <w:lang w:val="uk-UA"/>
        </w:rPr>
        <w:t>за</w:t>
      </w:r>
      <w:r w:rsidRPr="00CE0A20">
        <w:rPr>
          <w:rFonts w:ascii="Times New Roman" w:eastAsia="Newton-Regular" w:hAnsi="Times New Roman" w:cs="Times New Roman"/>
          <w:color w:val="000000" w:themeColor="text1"/>
          <w:sz w:val="28"/>
          <w:szCs w:val="28"/>
          <w:lang w:val="uk-UA"/>
        </w:rPr>
        <w:t xml:space="preserve"> наявності інших факторів ризику, зокрема, ЦД [</w:t>
      </w:r>
      <w:r w:rsidRPr="00CE0A20">
        <w:rPr>
          <w:rFonts w:ascii="Times New Roman" w:eastAsia="Newton-Italic" w:hAnsi="Times New Roman" w:cs="Times New Roman"/>
          <w:color w:val="000000" w:themeColor="text1"/>
          <w:sz w:val="28"/>
          <w:szCs w:val="28"/>
          <w:lang w:val="uk-UA"/>
        </w:rPr>
        <w:t>40</w:t>
      </w:r>
      <w:r w:rsidRPr="00CE0A20">
        <w:rPr>
          <w:rFonts w:ascii="Times New Roman" w:eastAsia="Newton-Regular" w:hAnsi="Times New Roman" w:cs="Times New Roman"/>
          <w:color w:val="000000" w:themeColor="text1"/>
          <w:sz w:val="28"/>
          <w:szCs w:val="28"/>
          <w:lang w:val="uk-UA"/>
        </w:rPr>
        <w:t xml:space="preserve">]. </w:t>
      </w:r>
      <w:r w:rsidRPr="00CE0A20">
        <w:rPr>
          <w:rStyle w:val="11"/>
          <w:color w:val="000000" w:themeColor="text1"/>
          <w:sz w:val="28"/>
          <w:szCs w:val="28"/>
          <w:lang w:val="uk-UA"/>
        </w:rPr>
        <w:t xml:space="preserve">При цьому слід </w:t>
      </w:r>
      <w:r w:rsidR="00B830CB" w:rsidRPr="00CE0A20">
        <w:rPr>
          <w:rStyle w:val="11"/>
          <w:color w:val="000000" w:themeColor="text1"/>
          <w:sz w:val="28"/>
          <w:szCs w:val="28"/>
          <w:lang w:val="uk-UA"/>
        </w:rPr>
        <w:t>у</w:t>
      </w:r>
      <w:r w:rsidRPr="00CE0A20">
        <w:rPr>
          <w:rStyle w:val="11"/>
          <w:color w:val="000000" w:themeColor="text1"/>
          <w:sz w:val="28"/>
          <w:szCs w:val="28"/>
          <w:lang w:val="uk-UA"/>
        </w:rPr>
        <w:t>раховувати, що ЦД – одна з найбільш поширених ендокринних патологій сучасності. За даними ВООЗ, кількість людей з ЦД зросла з</w:t>
      </w:r>
      <w:r w:rsidR="00B830CB" w:rsidRPr="00CE0A20">
        <w:rPr>
          <w:rStyle w:val="11"/>
          <w:color w:val="000000" w:themeColor="text1"/>
          <w:sz w:val="28"/>
          <w:szCs w:val="28"/>
          <w:lang w:val="uk-UA"/>
        </w:rPr>
        <w:t>і</w:t>
      </w:r>
      <w:r w:rsidRPr="00CE0A20">
        <w:rPr>
          <w:rStyle w:val="11"/>
          <w:color w:val="000000" w:themeColor="text1"/>
          <w:sz w:val="28"/>
          <w:szCs w:val="28"/>
          <w:lang w:val="uk-UA"/>
        </w:rPr>
        <w:t xml:space="preserve"> 108 млн</w:t>
      </w:r>
      <w:r w:rsidR="00B830CB" w:rsidRPr="00CE0A20">
        <w:rPr>
          <w:rStyle w:val="11"/>
          <w:color w:val="000000" w:themeColor="text1"/>
          <w:sz w:val="28"/>
          <w:szCs w:val="28"/>
          <w:lang w:val="uk-UA"/>
        </w:rPr>
        <w:t>.</w:t>
      </w:r>
      <w:r w:rsidRPr="00CE0A20">
        <w:rPr>
          <w:rStyle w:val="11"/>
          <w:color w:val="000000" w:themeColor="text1"/>
          <w:sz w:val="28"/>
          <w:szCs w:val="28"/>
          <w:lang w:val="uk-UA"/>
        </w:rPr>
        <w:t xml:space="preserve"> </w:t>
      </w:r>
      <w:r w:rsidR="00B830CB" w:rsidRPr="00CE0A20">
        <w:rPr>
          <w:rStyle w:val="11"/>
          <w:color w:val="000000" w:themeColor="text1"/>
          <w:sz w:val="28"/>
          <w:szCs w:val="28"/>
          <w:lang w:val="uk-UA"/>
        </w:rPr>
        <w:t>у</w:t>
      </w:r>
      <w:r w:rsidRPr="00CE0A20">
        <w:rPr>
          <w:rStyle w:val="11"/>
          <w:color w:val="000000" w:themeColor="text1"/>
          <w:sz w:val="28"/>
          <w:szCs w:val="28"/>
          <w:lang w:val="uk-UA"/>
        </w:rPr>
        <w:t xml:space="preserve"> 1980 р</w:t>
      </w:r>
      <w:r w:rsidR="00B830CB" w:rsidRPr="00CE0A20">
        <w:rPr>
          <w:rStyle w:val="11"/>
          <w:color w:val="000000" w:themeColor="text1"/>
          <w:sz w:val="28"/>
          <w:szCs w:val="28"/>
          <w:lang w:val="uk-UA"/>
        </w:rPr>
        <w:t>.</w:t>
      </w:r>
      <w:r w:rsidRPr="00CE0A20">
        <w:rPr>
          <w:rStyle w:val="11"/>
          <w:color w:val="000000" w:themeColor="text1"/>
          <w:sz w:val="28"/>
          <w:szCs w:val="28"/>
          <w:lang w:val="uk-UA"/>
        </w:rPr>
        <w:t xml:space="preserve"> до 422 млн</w:t>
      </w:r>
      <w:r w:rsidR="00B830CB" w:rsidRPr="00CE0A20">
        <w:rPr>
          <w:rStyle w:val="11"/>
          <w:color w:val="000000" w:themeColor="text1"/>
          <w:sz w:val="28"/>
          <w:szCs w:val="28"/>
          <w:lang w:val="uk-UA"/>
        </w:rPr>
        <w:t>.</w:t>
      </w:r>
      <w:r w:rsidRPr="00CE0A20">
        <w:rPr>
          <w:rStyle w:val="11"/>
          <w:color w:val="000000" w:themeColor="text1"/>
          <w:sz w:val="28"/>
          <w:szCs w:val="28"/>
          <w:lang w:val="uk-UA"/>
        </w:rPr>
        <w:t xml:space="preserve"> </w:t>
      </w:r>
      <w:r w:rsidR="00B830CB" w:rsidRPr="00CE0A20">
        <w:rPr>
          <w:rStyle w:val="11"/>
          <w:color w:val="000000" w:themeColor="text1"/>
          <w:sz w:val="28"/>
          <w:szCs w:val="28"/>
          <w:lang w:val="uk-UA"/>
        </w:rPr>
        <w:t>у</w:t>
      </w:r>
      <w:r w:rsidRPr="00CE0A20">
        <w:rPr>
          <w:rStyle w:val="11"/>
          <w:color w:val="000000" w:themeColor="text1"/>
          <w:sz w:val="28"/>
          <w:szCs w:val="28"/>
          <w:lang w:val="uk-UA"/>
        </w:rPr>
        <w:t xml:space="preserve"> 2014 р. Глобальна поширеність ЦД серед людей старше 18 років збільшилась з 4,7% в 1980 р</w:t>
      </w:r>
      <w:r w:rsidR="00B830CB" w:rsidRPr="00CE0A20">
        <w:rPr>
          <w:rStyle w:val="11"/>
          <w:color w:val="000000" w:themeColor="text1"/>
          <w:sz w:val="28"/>
          <w:szCs w:val="28"/>
          <w:lang w:val="uk-UA"/>
        </w:rPr>
        <w:t>.</w:t>
      </w:r>
      <w:r w:rsidRPr="00CE0A20">
        <w:rPr>
          <w:rStyle w:val="11"/>
          <w:color w:val="000000" w:themeColor="text1"/>
          <w:sz w:val="28"/>
          <w:szCs w:val="28"/>
          <w:lang w:val="uk-UA"/>
        </w:rPr>
        <w:t xml:space="preserve"> до 8,5% </w:t>
      </w:r>
      <w:r w:rsidR="00B830CB" w:rsidRPr="00CE0A20">
        <w:rPr>
          <w:rStyle w:val="11"/>
          <w:color w:val="000000" w:themeColor="text1"/>
          <w:sz w:val="28"/>
          <w:szCs w:val="28"/>
          <w:lang w:val="uk-UA"/>
        </w:rPr>
        <w:t>у</w:t>
      </w:r>
      <w:r w:rsidRPr="00CE0A20">
        <w:rPr>
          <w:rStyle w:val="11"/>
          <w:color w:val="000000" w:themeColor="text1"/>
          <w:sz w:val="28"/>
          <w:szCs w:val="28"/>
          <w:lang w:val="uk-UA"/>
        </w:rPr>
        <w:t xml:space="preserve"> 2014 р. За даними Міжнародної діабетичної федерації - IDF (The International Diabetes Federation), кількість хворих на ЦД серед дорослого населення (20-79 років) </w:t>
      </w:r>
      <w:r w:rsidR="00B830CB" w:rsidRPr="00CE0A20">
        <w:rPr>
          <w:rStyle w:val="11"/>
          <w:color w:val="000000" w:themeColor="text1"/>
          <w:sz w:val="28"/>
          <w:szCs w:val="28"/>
          <w:lang w:val="uk-UA"/>
        </w:rPr>
        <w:t>у</w:t>
      </w:r>
      <w:r w:rsidRPr="00CE0A20">
        <w:rPr>
          <w:rStyle w:val="11"/>
          <w:color w:val="000000" w:themeColor="text1"/>
          <w:sz w:val="28"/>
          <w:szCs w:val="28"/>
          <w:lang w:val="uk-UA"/>
        </w:rPr>
        <w:t xml:space="preserve"> світі у 2030 р. досягне 439 млн</w:t>
      </w:r>
      <w:r w:rsidR="00B830CB" w:rsidRPr="00CE0A20">
        <w:rPr>
          <w:rStyle w:val="11"/>
          <w:color w:val="000000" w:themeColor="text1"/>
          <w:sz w:val="28"/>
          <w:szCs w:val="28"/>
          <w:lang w:val="uk-UA"/>
        </w:rPr>
        <w:t>.</w:t>
      </w:r>
      <w:r w:rsidRPr="00CE0A20">
        <w:rPr>
          <w:rStyle w:val="11"/>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327</w:t>
      </w:r>
      <w:r w:rsidRPr="00CE0A20">
        <w:rPr>
          <w:rStyle w:val="11"/>
          <w:color w:val="000000" w:themeColor="text1"/>
          <w:sz w:val="28"/>
          <w:szCs w:val="28"/>
          <w:lang w:val="uk-UA"/>
        </w:rPr>
        <w:t>].</w:t>
      </w:r>
    </w:p>
    <w:p w:rsidR="00EB6EBC" w:rsidRPr="00CE0A20" w:rsidRDefault="00EB6EBC" w:rsidP="00EB6EBC">
      <w:pPr>
        <w:shd w:val="clear" w:color="auto" w:fill="FFFFFF"/>
        <w:spacing w:line="360" w:lineRule="auto"/>
        <w:ind w:firstLine="709"/>
        <w:jc w:val="both"/>
        <w:textAlignment w:val="baseline"/>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 даними метааналізу G. Corona та співавт. (2011), наявність ЦД 2</w:t>
      </w:r>
      <w:r w:rsidR="00B830CB"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асоціюється з низькою концентрацією загального тестостерону, що виявлялося у третини пацієнтів. Причому середня концентрація в групі пацієнтів з ЦД 2</w:t>
      </w:r>
      <w:r w:rsidR="00B830CB"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була меншою</w:t>
      </w:r>
      <w:r w:rsidR="00B830CB"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ніж </w:t>
      </w:r>
      <w:r w:rsidR="00B830CB"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контролі [176]. У більш ранньому дослідженні </w:t>
      </w:r>
      <w:r w:rsidRPr="00CE0A20">
        <w:rPr>
          <w:rStyle w:val="element-citation"/>
          <w:rFonts w:ascii="Times New Roman" w:hAnsi="Times New Roman" w:cs="Times New Roman"/>
          <w:color w:val="000000" w:themeColor="text1"/>
          <w:sz w:val="28"/>
          <w:szCs w:val="28"/>
          <w:lang w:val="uk-UA"/>
        </w:rPr>
        <w:t>R. Stanworth та співавт. (2009)</w:t>
      </w:r>
      <w:r w:rsidR="00B830CB" w:rsidRPr="00CE0A20">
        <w:rPr>
          <w:rStyle w:val="element-citation"/>
          <w:rFonts w:ascii="Times New Roman" w:hAnsi="Times New Roman" w:cs="Times New Roman"/>
          <w:color w:val="000000" w:themeColor="text1"/>
          <w:sz w:val="28"/>
          <w:szCs w:val="28"/>
          <w:lang w:val="uk-UA"/>
        </w:rPr>
        <w:t>,</w:t>
      </w:r>
      <w:r w:rsidRPr="00CE0A20">
        <w:rPr>
          <w:rStyle w:val="element-citation"/>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низький вміст тестостерону у хворих на ЦД виявлений у 50% випадків, причому застосування екзогенного тестостерону сприяло зменшенню частоти ускладнень ЦД [</w:t>
      </w:r>
      <w:r w:rsidRPr="00CE0A20">
        <w:rPr>
          <w:rStyle w:val="element-citation"/>
          <w:rFonts w:ascii="Times New Roman" w:hAnsi="Times New Roman" w:cs="Times New Roman"/>
          <w:color w:val="000000" w:themeColor="text1"/>
          <w:sz w:val="28"/>
          <w:szCs w:val="28"/>
          <w:lang w:val="uk-UA"/>
        </w:rPr>
        <w:t>336</w:t>
      </w:r>
      <w:r w:rsidRPr="00CE0A20">
        <w:rPr>
          <w:rFonts w:ascii="Times New Roman" w:hAnsi="Times New Roman" w:cs="Times New Roman"/>
          <w:color w:val="000000" w:themeColor="text1"/>
          <w:sz w:val="28"/>
          <w:szCs w:val="28"/>
          <w:lang w:val="uk-UA"/>
        </w:rPr>
        <w:t xml:space="preserve">]. </w:t>
      </w:r>
      <w:r w:rsidRPr="00CE0A20">
        <w:rPr>
          <w:rFonts w:ascii="Times New Roman" w:eastAsia="Newton-Regular" w:hAnsi="Times New Roman" w:cs="Times New Roman"/>
          <w:color w:val="000000" w:themeColor="text1"/>
          <w:sz w:val="28"/>
          <w:szCs w:val="28"/>
          <w:lang w:val="uk-UA"/>
        </w:rPr>
        <w:t>Як свідчать дослідження, майже половина чоловіків із ЦД 2</w:t>
      </w:r>
      <w:r w:rsidR="00B830CB" w:rsidRPr="00CE0A20">
        <w:rPr>
          <w:rFonts w:ascii="Times New Roman" w:eastAsia="Newton-Regular" w:hAnsi="Times New Roman" w:cs="Times New Roman"/>
          <w:color w:val="000000" w:themeColor="text1"/>
          <w:sz w:val="28"/>
          <w:szCs w:val="28"/>
          <w:lang w:val="uk-UA"/>
        </w:rPr>
        <w:t>-го</w:t>
      </w:r>
      <w:r w:rsidRPr="00CE0A20">
        <w:rPr>
          <w:rFonts w:ascii="Times New Roman" w:eastAsia="Newton-Regular" w:hAnsi="Times New Roman" w:cs="Times New Roman"/>
          <w:color w:val="000000" w:themeColor="text1"/>
          <w:sz w:val="28"/>
          <w:szCs w:val="28"/>
          <w:lang w:val="uk-UA"/>
        </w:rPr>
        <w:t xml:space="preserve"> типу має віковий гіпогонадизм, частота якого збільшується з віком.</w:t>
      </w:r>
      <w:r w:rsidR="00B830CB" w:rsidRPr="00CE0A20">
        <w:rPr>
          <w:rFonts w:ascii="Times New Roman" w:eastAsia="Newton-Regular" w:hAnsi="Times New Roman" w:cs="Times New Roman"/>
          <w:color w:val="000000" w:themeColor="text1"/>
          <w:sz w:val="28"/>
          <w:szCs w:val="28"/>
          <w:lang w:val="uk-UA"/>
        </w:rPr>
        <w:t xml:space="preserve"> </w:t>
      </w:r>
      <w:r w:rsidRPr="00CE0A20">
        <w:rPr>
          <w:rStyle w:val="mixed-citation"/>
          <w:rFonts w:ascii="Times New Roman" w:hAnsi="Times New Roman" w:cs="Times New Roman"/>
          <w:color w:val="000000" w:themeColor="text1"/>
          <w:sz w:val="28"/>
          <w:szCs w:val="28"/>
          <w:lang w:val="uk-UA"/>
        </w:rPr>
        <w:t>Н</w:t>
      </w:r>
      <w:r w:rsidRPr="00CE0A20">
        <w:rPr>
          <w:rFonts w:ascii="Times New Roman" w:hAnsi="Times New Roman" w:cs="Times New Roman"/>
          <w:color w:val="000000" w:themeColor="text1"/>
          <w:sz w:val="28"/>
          <w:szCs w:val="28"/>
          <w:lang w:val="uk-UA"/>
        </w:rPr>
        <w:t>изький рівень загального тестостерону є предиктором ЦД 2</w:t>
      </w:r>
      <w:r w:rsidR="00B830CB"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незалежно від віку, раси, наявності ожиріння та критеріїв діагностики діабету  [172; </w:t>
      </w:r>
      <w:r w:rsidRPr="00CE0A20">
        <w:rPr>
          <w:rStyle w:val="mixed-citation"/>
          <w:rFonts w:ascii="Times New Roman" w:hAnsi="Times New Roman" w:cs="Times New Roman"/>
          <w:color w:val="000000" w:themeColor="text1"/>
          <w:sz w:val="28"/>
          <w:szCs w:val="28"/>
          <w:lang w:val="uk-UA"/>
        </w:rPr>
        <w:t>176]</w:t>
      </w:r>
      <w:r w:rsidRPr="00CE0A20">
        <w:rPr>
          <w:rFonts w:ascii="Times New Roman" w:hAnsi="Times New Roman" w:cs="Times New Roman"/>
          <w:color w:val="000000" w:themeColor="text1"/>
          <w:sz w:val="28"/>
          <w:szCs w:val="28"/>
          <w:lang w:val="uk-UA"/>
        </w:rPr>
        <w:t xml:space="preserve">. </w:t>
      </w:r>
      <w:r w:rsidRPr="00CE0A20">
        <w:rPr>
          <w:rFonts w:ascii="Times New Roman" w:eastAsia="Newton-Regular" w:hAnsi="Times New Roman" w:cs="Times New Roman"/>
          <w:color w:val="000000" w:themeColor="text1"/>
          <w:sz w:val="28"/>
          <w:szCs w:val="28"/>
          <w:lang w:val="uk-UA"/>
        </w:rPr>
        <w:t xml:space="preserve">При поєднанні ЦД з гіпогонадизмом зростає виразність основних факторів ризику ССЗ та погіршується прогноз </w:t>
      </w:r>
      <w:r w:rsidRPr="00CE0A20">
        <w:rPr>
          <w:rFonts w:ascii="Times New Roman" w:hAnsi="Times New Roman" w:cs="Times New Roman"/>
          <w:color w:val="000000" w:themeColor="text1"/>
          <w:sz w:val="28"/>
          <w:szCs w:val="28"/>
          <w:lang w:val="uk-UA"/>
        </w:rPr>
        <w:t xml:space="preserve">[89].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 результатами широкомасштабного дослідження 1461 чоловіка ві</w:t>
      </w:r>
      <w:r w:rsidR="00B830CB" w:rsidRPr="00CE0A20">
        <w:rPr>
          <w:rFonts w:ascii="Times New Roman" w:hAnsi="Times New Roman" w:cs="Times New Roman"/>
          <w:color w:val="000000" w:themeColor="text1"/>
          <w:sz w:val="28"/>
          <w:szCs w:val="28"/>
          <w:lang w:val="uk-UA"/>
        </w:rPr>
        <w:t>ком</w:t>
      </w:r>
      <w:r w:rsidRPr="00CE0A20">
        <w:rPr>
          <w:rFonts w:ascii="Times New Roman" w:hAnsi="Times New Roman" w:cs="Times New Roman"/>
          <w:color w:val="000000" w:themeColor="text1"/>
          <w:sz w:val="28"/>
          <w:szCs w:val="28"/>
          <w:lang w:val="uk-UA"/>
        </w:rPr>
        <w:t xml:space="preserve"> </w:t>
      </w:r>
      <w:r w:rsidR="00B830CB" w:rsidRPr="00CE0A20">
        <w:rPr>
          <w:rFonts w:ascii="Times New Roman" w:hAnsi="Times New Roman" w:cs="Times New Roman"/>
          <w:color w:val="000000" w:themeColor="text1"/>
          <w:sz w:val="28"/>
          <w:szCs w:val="28"/>
          <w:lang w:val="uk-UA"/>
        </w:rPr>
        <w:t xml:space="preserve"> старше </w:t>
      </w:r>
      <w:r w:rsidRPr="00CE0A20">
        <w:rPr>
          <w:rFonts w:ascii="Times New Roman" w:hAnsi="Times New Roman" w:cs="Times New Roman"/>
          <w:color w:val="000000" w:themeColor="text1"/>
          <w:sz w:val="28"/>
          <w:szCs w:val="28"/>
          <w:lang w:val="uk-UA"/>
        </w:rPr>
        <w:t>20 років в</w:t>
      </w:r>
      <w:r w:rsidR="00B830CB" w:rsidRPr="00CE0A20">
        <w:rPr>
          <w:rFonts w:ascii="Times New Roman" w:hAnsi="Times New Roman" w:cs="Times New Roman"/>
          <w:color w:val="000000" w:themeColor="text1"/>
          <w:sz w:val="28"/>
          <w:szCs w:val="28"/>
          <w:lang w:val="uk-UA"/>
        </w:rPr>
        <w:t>изначе</w:t>
      </w:r>
      <w:r w:rsidRPr="00CE0A20">
        <w:rPr>
          <w:rFonts w:ascii="Times New Roman" w:hAnsi="Times New Roman" w:cs="Times New Roman"/>
          <w:color w:val="000000" w:themeColor="text1"/>
          <w:sz w:val="28"/>
          <w:szCs w:val="28"/>
          <w:lang w:val="uk-UA"/>
        </w:rPr>
        <w:t>но, що низькій рівень тестостерону та високий рівень естрадіолу збільшує ризик розвитку інсулінорезистеності, ЦД та ожиріння. Відносний ризик (ВР) цих захворювань для загального тестостерону с</w:t>
      </w:r>
      <w:r w:rsidR="00C85152" w:rsidRPr="00CE0A20">
        <w:rPr>
          <w:rFonts w:ascii="Times New Roman" w:hAnsi="Times New Roman" w:cs="Times New Roman"/>
          <w:color w:val="000000" w:themeColor="text1"/>
          <w:sz w:val="28"/>
          <w:szCs w:val="28"/>
          <w:lang w:val="uk-UA"/>
        </w:rPr>
        <w:t>танови</w:t>
      </w:r>
      <w:r w:rsidRPr="00CE0A20">
        <w:rPr>
          <w:rFonts w:ascii="Times New Roman" w:hAnsi="Times New Roman" w:cs="Times New Roman"/>
          <w:color w:val="000000" w:themeColor="text1"/>
          <w:sz w:val="28"/>
          <w:szCs w:val="28"/>
          <w:lang w:val="uk-UA"/>
        </w:rPr>
        <w:t>в 2,75 (95% ДІ = 0,92,–4,59), для  ГЗСГ – 5,71 (95% ДІ = 0,77, – 10,64), для естрадіолу – -9,96 (95% ДІ = -19,18, -0,74) [268]. Рандомізовані проспективні дослідження також підтвердили, що низький рівень тестостерону – фактор ризику розвитку інсулінорезистентності та ЦД 2</w:t>
      </w:r>
      <w:r w:rsidR="00C85152"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[227; 228].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хворих на ЦД 2</w:t>
      </w:r>
      <w:r w:rsidR="00C85152"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у сполученні з ожирінням зафіксовано значне зниження концентрації тестостерону, що також спостерігається у хворих, які отримують пероральну гіпоглікемічну терапію [134; 285; 294]. У 24,5% чоловіків з ЦД загальний вміст тестостерону в сироватці крові був нижчим &lt;10,4 нмоль/л, </w:t>
      </w:r>
      <w:r w:rsidR="00C85152" w:rsidRPr="00CE0A20">
        <w:rPr>
          <w:rFonts w:ascii="Times New Roman" w:hAnsi="Times New Roman" w:cs="Times New Roman"/>
          <w:color w:val="000000" w:themeColor="text1"/>
          <w:sz w:val="28"/>
          <w:szCs w:val="28"/>
          <w:lang w:val="uk-UA"/>
        </w:rPr>
        <w:t>тимч</w:t>
      </w:r>
      <w:r w:rsidRPr="00CE0A20">
        <w:rPr>
          <w:rFonts w:ascii="Times New Roman" w:hAnsi="Times New Roman" w:cs="Times New Roman"/>
          <w:color w:val="000000" w:themeColor="text1"/>
          <w:sz w:val="28"/>
          <w:szCs w:val="28"/>
          <w:lang w:val="uk-UA"/>
        </w:rPr>
        <w:t>ас</w:t>
      </w:r>
      <w:r w:rsidR="00C85152" w:rsidRPr="00CE0A20">
        <w:rPr>
          <w:rFonts w:ascii="Times New Roman" w:hAnsi="Times New Roman" w:cs="Times New Roman"/>
          <w:color w:val="000000" w:themeColor="text1"/>
          <w:sz w:val="28"/>
          <w:szCs w:val="28"/>
          <w:lang w:val="uk-UA"/>
        </w:rPr>
        <w:t>ом</w:t>
      </w:r>
      <w:r w:rsidRPr="00CE0A20">
        <w:rPr>
          <w:rFonts w:ascii="Times New Roman" w:hAnsi="Times New Roman" w:cs="Times New Roman"/>
          <w:color w:val="000000" w:themeColor="text1"/>
          <w:sz w:val="28"/>
          <w:szCs w:val="28"/>
          <w:lang w:val="uk-UA"/>
        </w:rPr>
        <w:t xml:space="preserve"> як у пацієнтів без ЦД це спостерігалося в 12,6% випадків незалежно </w:t>
      </w:r>
      <w:r w:rsidR="00C85152" w:rsidRPr="00CE0A20">
        <w:rPr>
          <w:rFonts w:ascii="Times New Roman" w:hAnsi="Times New Roman" w:cs="Times New Roman"/>
          <w:color w:val="000000" w:themeColor="text1"/>
          <w:sz w:val="28"/>
          <w:szCs w:val="28"/>
          <w:lang w:val="uk-UA"/>
        </w:rPr>
        <w:t xml:space="preserve">від </w:t>
      </w:r>
      <w:r w:rsidRPr="00CE0A20">
        <w:rPr>
          <w:rFonts w:ascii="Times New Roman" w:hAnsi="Times New Roman" w:cs="Times New Roman"/>
          <w:color w:val="000000" w:themeColor="text1"/>
          <w:sz w:val="28"/>
          <w:szCs w:val="28"/>
          <w:lang w:val="uk-UA"/>
        </w:rPr>
        <w:t>віку та ІМТ. Крім того, гіпогонадизм у чоловіків із ЦД 2</w:t>
      </w:r>
      <w:r w:rsidR="00C85152"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був пов'язаний зі зниженням статевого потягу, більшою кількістю симптомів депресії та зниженням рівня ЛГ [</w:t>
      </w:r>
      <w:r w:rsidRPr="00CE0A20">
        <w:rPr>
          <w:rStyle w:val="mixed-citation"/>
          <w:rFonts w:ascii="Times New Roman" w:hAnsi="Times New Roman" w:cs="Times New Roman"/>
          <w:color w:val="000000" w:themeColor="text1"/>
          <w:sz w:val="28"/>
          <w:szCs w:val="28"/>
          <w:lang w:val="uk-UA"/>
        </w:rPr>
        <w:t xml:space="preserve">178]. </w:t>
      </w:r>
      <w:r w:rsidRPr="00CE0A20">
        <w:rPr>
          <w:rFonts w:ascii="Times New Roman" w:hAnsi="Times New Roman" w:cs="Times New Roman"/>
          <w:color w:val="000000" w:themeColor="text1"/>
          <w:sz w:val="28"/>
          <w:szCs w:val="28"/>
          <w:lang w:val="uk-UA"/>
        </w:rPr>
        <w:t>Гіпогонадизм діагностовано у 57% чоловіків, які відвідували амбулаторно-поліклінічні установи з приводу ЦД [</w:t>
      </w:r>
      <w:r w:rsidRPr="00CE0A20">
        <w:rPr>
          <w:rStyle w:val="element-citation"/>
          <w:rFonts w:ascii="Times New Roman" w:hAnsi="Times New Roman" w:cs="Times New Roman"/>
          <w:color w:val="000000" w:themeColor="text1"/>
          <w:sz w:val="28"/>
          <w:szCs w:val="28"/>
          <w:lang w:val="uk-UA"/>
        </w:rPr>
        <w:t>222], причому ЕД спостерігається у 75% цих пацієнтів [</w:t>
      </w:r>
      <w:r w:rsidRPr="00CE0A20">
        <w:rPr>
          <w:rFonts w:ascii="Times New Roman" w:hAnsi="Times New Roman" w:cs="Times New Roman"/>
          <w:color w:val="000000" w:themeColor="text1"/>
          <w:sz w:val="28"/>
          <w:szCs w:val="28"/>
          <w:lang w:val="uk-UA"/>
        </w:rPr>
        <w:t>223]. Крім цього, результати багатьох досліджень свідчать про суттєве зниження інсулінорезистентності у чоловіків з ЦД 2</w:t>
      </w:r>
      <w:r w:rsidR="00C85152"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та з гіпогонадизмом. [235; </w:t>
      </w:r>
      <w:r w:rsidRPr="00CE0A20">
        <w:rPr>
          <w:rStyle w:val="mixed-citation"/>
          <w:rFonts w:ascii="Times New Roman" w:hAnsi="Times New Roman" w:cs="Times New Roman"/>
          <w:color w:val="000000" w:themeColor="text1"/>
          <w:sz w:val="28"/>
          <w:szCs w:val="28"/>
          <w:lang w:val="uk-UA"/>
        </w:rPr>
        <w:t>242; 243; 248</w:t>
      </w:r>
      <w:r w:rsidRPr="00CE0A20">
        <w:rPr>
          <w:rFonts w:ascii="Times New Roman" w:hAnsi="Times New Roman" w:cs="Times New Roman"/>
          <w:color w:val="000000" w:themeColor="text1"/>
          <w:sz w:val="28"/>
          <w:szCs w:val="28"/>
          <w:lang w:val="uk-UA"/>
        </w:rPr>
        <w:t xml:space="preserve">]. </w:t>
      </w:r>
    </w:p>
    <w:p w:rsidR="00EB6EBC" w:rsidRPr="00CE0A20" w:rsidRDefault="00C85152"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Деяк</w:t>
      </w:r>
      <w:r w:rsidR="00EB6EBC" w:rsidRPr="00CE0A20">
        <w:rPr>
          <w:rFonts w:ascii="Times New Roman" w:hAnsi="Times New Roman" w:cs="Times New Roman"/>
          <w:color w:val="000000" w:themeColor="text1"/>
          <w:sz w:val="28"/>
          <w:szCs w:val="28"/>
          <w:lang w:val="uk-UA"/>
        </w:rPr>
        <w:t xml:space="preserve">і автори також повідомляють, що дефіцит тестостерону </w:t>
      </w:r>
      <w:r w:rsidRPr="00CE0A20">
        <w:rPr>
          <w:rFonts w:ascii="Times New Roman" w:hAnsi="Times New Roman" w:cs="Times New Roman"/>
          <w:color w:val="000000" w:themeColor="text1"/>
          <w:sz w:val="28"/>
          <w:szCs w:val="28"/>
          <w:lang w:val="uk-UA"/>
        </w:rPr>
        <w:t>в</w:t>
      </w:r>
      <w:r w:rsidR="00EB6EBC" w:rsidRPr="00CE0A20">
        <w:rPr>
          <w:rFonts w:ascii="Times New Roman" w:hAnsi="Times New Roman" w:cs="Times New Roman"/>
          <w:color w:val="000000" w:themeColor="text1"/>
          <w:sz w:val="28"/>
          <w:szCs w:val="28"/>
          <w:lang w:val="uk-UA"/>
        </w:rPr>
        <w:t xml:space="preserve"> чоловіків  є предиктором ожиріння </w:t>
      </w:r>
      <w:r w:rsidRPr="00CE0A20">
        <w:rPr>
          <w:rFonts w:ascii="Times New Roman" w:hAnsi="Times New Roman" w:cs="Times New Roman"/>
          <w:color w:val="000000" w:themeColor="text1"/>
          <w:sz w:val="28"/>
          <w:szCs w:val="28"/>
          <w:lang w:val="uk-UA"/>
        </w:rPr>
        <w:t>й</w:t>
      </w:r>
      <w:r w:rsidR="00EB6EBC" w:rsidRPr="00CE0A20">
        <w:rPr>
          <w:rFonts w:ascii="Times New Roman" w:hAnsi="Times New Roman" w:cs="Times New Roman"/>
          <w:color w:val="000000" w:themeColor="text1"/>
          <w:sz w:val="28"/>
          <w:szCs w:val="28"/>
          <w:lang w:val="uk-UA"/>
        </w:rPr>
        <w:t xml:space="preserve"> розвитку інших метаболічних порушень [126]. З іншого боку, збільшення ІМТ та метаболічний синдром пов’язані з високим ризиком гіпогонадизму [232; 357]. Повідомля</w:t>
      </w:r>
      <w:r w:rsidRPr="00CE0A20">
        <w:rPr>
          <w:rFonts w:ascii="Times New Roman" w:hAnsi="Times New Roman" w:cs="Times New Roman"/>
          <w:color w:val="000000" w:themeColor="text1"/>
          <w:sz w:val="28"/>
          <w:szCs w:val="28"/>
          <w:lang w:val="uk-UA"/>
        </w:rPr>
        <w:t>ю</w:t>
      </w:r>
      <w:r w:rsidR="00EB6EBC" w:rsidRPr="00CE0A20">
        <w:rPr>
          <w:rFonts w:ascii="Times New Roman" w:hAnsi="Times New Roman" w:cs="Times New Roman"/>
          <w:color w:val="000000" w:themeColor="text1"/>
          <w:sz w:val="28"/>
          <w:szCs w:val="28"/>
          <w:lang w:val="uk-UA"/>
        </w:rPr>
        <w:t>ть про пряму залежність частоти гіпогонадизму від наявності ожиріння: у 25–30% чоловіків з ожирінням І ст. та майже у 90–100% чоловіків з ожирінням ІІІ ст. [114]. Клінічні спостереження демонструють виразну асоціацію між гіпог</w:t>
      </w:r>
      <w:r w:rsidRPr="00CE0A20">
        <w:rPr>
          <w:rFonts w:ascii="Times New Roman" w:hAnsi="Times New Roman" w:cs="Times New Roman"/>
          <w:color w:val="000000" w:themeColor="text1"/>
          <w:sz w:val="28"/>
          <w:szCs w:val="28"/>
          <w:lang w:val="uk-UA"/>
        </w:rPr>
        <w:t>о</w:t>
      </w:r>
      <w:r w:rsidR="00EB6EBC" w:rsidRPr="00CE0A20">
        <w:rPr>
          <w:rFonts w:ascii="Times New Roman" w:hAnsi="Times New Roman" w:cs="Times New Roman"/>
          <w:color w:val="000000" w:themeColor="text1"/>
          <w:sz w:val="28"/>
          <w:szCs w:val="28"/>
          <w:lang w:val="uk-UA"/>
        </w:rPr>
        <w:t>над</w:t>
      </w:r>
      <w:r w:rsidRPr="00CE0A20">
        <w:rPr>
          <w:rFonts w:ascii="Times New Roman" w:hAnsi="Times New Roman" w:cs="Times New Roman"/>
          <w:color w:val="000000" w:themeColor="text1"/>
          <w:sz w:val="28"/>
          <w:szCs w:val="28"/>
          <w:lang w:val="uk-UA"/>
        </w:rPr>
        <w:t>и</w:t>
      </w:r>
      <w:r w:rsidR="00EB6EBC" w:rsidRPr="00CE0A20">
        <w:rPr>
          <w:rFonts w:ascii="Times New Roman" w:hAnsi="Times New Roman" w:cs="Times New Roman"/>
          <w:color w:val="000000" w:themeColor="text1"/>
          <w:sz w:val="28"/>
          <w:szCs w:val="28"/>
          <w:lang w:val="uk-UA"/>
        </w:rPr>
        <w:t xml:space="preserve">змом та вісцеральним ожирінням – зі зменшенням концентрації тестостерону збільшується ІМТ  [321; 344] та окружність талії [231].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Багато клінічних досліджень виявили прямий та зворотній зв’язок ожиріння та гіпогонадизму </w:t>
      </w:r>
      <w:r w:rsidR="00C85152"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[136; 279</w:t>
      </w:r>
      <w:r w:rsidRPr="00CE0A20">
        <w:rPr>
          <w:rStyle w:val="element-citation"/>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Зокрема</w:t>
      </w:r>
      <w:r w:rsidR="00C85152"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у Європейському дослідженні старіння чоловіків (EMAS), до якого </w:t>
      </w:r>
      <w:r w:rsidR="00C85152" w:rsidRPr="00CE0A20">
        <w:rPr>
          <w:rFonts w:ascii="Times New Roman" w:hAnsi="Times New Roman" w:cs="Times New Roman"/>
          <w:color w:val="000000" w:themeColor="text1"/>
          <w:sz w:val="28"/>
          <w:szCs w:val="28"/>
          <w:lang w:val="uk-UA"/>
        </w:rPr>
        <w:t xml:space="preserve">було залучено </w:t>
      </w:r>
      <w:r w:rsidRPr="00CE0A20">
        <w:rPr>
          <w:rFonts w:ascii="Times New Roman" w:hAnsi="Times New Roman" w:cs="Times New Roman"/>
          <w:color w:val="000000" w:themeColor="text1"/>
          <w:sz w:val="28"/>
          <w:szCs w:val="28"/>
          <w:lang w:val="uk-UA"/>
        </w:rPr>
        <w:t>3219 чоловіків, ожиріння збільшувало відносний ризик  гіпогонадизму в 8,7 раз</w:t>
      </w:r>
      <w:r w:rsidR="00C85152"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а надмірна вага в 3,3 раз</w:t>
      </w:r>
      <w:r w:rsidR="00C85152"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w:t>
      </w:r>
      <w:r w:rsidRPr="00CE0A20">
        <w:rPr>
          <w:rStyle w:val="element-citation"/>
          <w:rFonts w:ascii="Times New Roman" w:hAnsi="Times New Roman" w:cs="Times New Roman"/>
          <w:color w:val="000000" w:themeColor="text1"/>
          <w:sz w:val="28"/>
          <w:szCs w:val="28"/>
          <w:lang w:val="uk-UA"/>
        </w:rPr>
        <w:t>343]</w:t>
      </w:r>
      <w:r w:rsidRPr="00CE0A20">
        <w:rPr>
          <w:rFonts w:ascii="Times New Roman" w:hAnsi="Times New Roman" w:cs="Times New Roman"/>
          <w:color w:val="000000" w:themeColor="text1"/>
          <w:sz w:val="28"/>
          <w:szCs w:val="28"/>
          <w:lang w:val="uk-UA"/>
        </w:rPr>
        <w:t xml:space="preserve">. Рівні загального та вільного тестостерону були меншими </w:t>
      </w:r>
      <w:r w:rsidR="00C85152"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з ожирінням порівняно з худими [136; 163; </w:t>
      </w:r>
      <w:r w:rsidRPr="00CE0A20">
        <w:rPr>
          <w:rStyle w:val="element-citation"/>
          <w:rFonts w:ascii="Times New Roman" w:hAnsi="Times New Roman" w:cs="Times New Roman"/>
          <w:color w:val="000000" w:themeColor="text1"/>
          <w:sz w:val="28"/>
          <w:szCs w:val="28"/>
          <w:lang w:val="uk-UA"/>
        </w:rPr>
        <w:t>370]</w:t>
      </w:r>
      <w:r w:rsidRPr="00CE0A20">
        <w:rPr>
          <w:rFonts w:ascii="Times New Roman" w:hAnsi="Times New Roman" w:cs="Times New Roman"/>
          <w:color w:val="000000" w:themeColor="text1"/>
          <w:sz w:val="28"/>
          <w:szCs w:val="28"/>
          <w:lang w:val="uk-UA"/>
        </w:rPr>
        <w:t xml:space="preserve">.  </w:t>
      </w:r>
      <w:r w:rsidR="00C85152"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США </w:t>
      </w:r>
      <w:r w:rsidR="00C85152"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з ожирінням </w:t>
      </w:r>
      <w:r w:rsidR="00C85152"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40% випадків спостерігався низький рівень тестостерону [</w:t>
      </w:r>
      <w:r w:rsidRPr="00CE0A20">
        <w:rPr>
          <w:rStyle w:val="element-citation"/>
          <w:rFonts w:ascii="Times New Roman" w:hAnsi="Times New Roman" w:cs="Times New Roman"/>
          <w:color w:val="000000" w:themeColor="text1"/>
          <w:sz w:val="28"/>
          <w:szCs w:val="28"/>
          <w:lang w:val="uk-UA"/>
        </w:rPr>
        <w:t>187]. Іншими дослідниками також в</w:t>
      </w:r>
      <w:r w:rsidRPr="00CE0A20">
        <w:rPr>
          <w:rFonts w:ascii="Times New Roman" w:hAnsi="Times New Roman" w:cs="Times New Roman"/>
          <w:color w:val="000000" w:themeColor="text1"/>
          <w:sz w:val="28"/>
          <w:szCs w:val="28"/>
          <w:lang w:val="uk-UA"/>
        </w:rPr>
        <w:t>иявлено негативну кореляцію між рівнем загального тестостерону та ІМТ [194; 252].</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w:t>
      </w:r>
      <w:r w:rsidR="00C85152" w:rsidRPr="00CE0A20">
        <w:rPr>
          <w:rFonts w:ascii="Times New Roman" w:hAnsi="Times New Roman" w:cs="Times New Roman"/>
          <w:color w:val="000000" w:themeColor="text1"/>
          <w:sz w:val="28"/>
          <w:szCs w:val="28"/>
          <w:lang w:val="uk-UA"/>
        </w:rPr>
        <w:t>иявле</w:t>
      </w:r>
      <w:r w:rsidRPr="00CE0A20">
        <w:rPr>
          <w:rFonts w:ascii="Times New Roman" w:hAnsi="Times New Roman" w:cs="Times New Roman"/>
          <w:color w:val="000000" w:themeColor="text1"/>
          <w:sz w:val="28"/>
          <w:szCs w:val="28"/>
          <w:lang w:val="uk-UA"/>
        </w:rPr>
        <w:t xml:space="preserve">но, що при ожирінні на тлі  ЦД та </w:t>
      </w:r>
      <w:r w:rsidR="00C85152"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з ожирінням без ЦД спостерігається зниження циркулюючого естрадіолу, що корелює з низькою концентрацією тестостерону [</w:t>
      </w:r>
      <w:r w:rsidRPr="00CE0A20">
        <w:rPr>
          <w:rStyle w:val="element-citation"/>
          <w:rFonts w:ascii="Times New Roman" w:hAnsi="Times New Roman" w:cs="Times New Roman"/>
          <w:color w:val="000000" w:themeColor="text1"/>
          <w:sz w:val="28"/>
          <w:szCs w:val="28"/>
          <w:lang w:val="uk-UA"/>
        </w:rPr>
        <w:t xml:space="preserve">186; 237; 344]. Існує думка, що </w:t>
      </w:r>
      <w:r w:rsidRPr="00CE0A20">
        <w:rPr>
          <w:rFonts w:ascii="Times New Roman" w:hAnsi="Times New Roman" w:cs="Times New Roman"/>
          <w:color w:val="000000" w:themeColor="text1"/>
          <w:sz w:val="28"/>
          <w:szCs w:val="28"/>
          <w:lang w:val="uk-UA"/>
        </w:rPr>
        <w:t>ожиріння є основним предиктором низького рівня тестостерону [</w:t>
      </w:r>
      <w:r w:rsidRPr="00CE0A20">
        <w:rPr>
          <w:rStyle w:val="element-citation"/>
          <w:rFonts w:ascii="Times New Roman" w:hAnsi="Times New Roman" w:cs="Times New Roman"/>
          <w:color w:val="000000" w:themeColor="text1"/>
          <w:sz w:val="28"/>
          <w:szCs w:val="28"/>
          <w:lang w:val="uk-UA"/>
        </w:rPr>
        <w:t>370]</w:t>
      </w:r>
      <w:r w:rsidRPr="00CE0A20">
        <w:rPr>
          <w:rFonts w:ascii="Times New Roman" w:hAnsi="Times New Roman" w:cs="Times New Roman"/>
          <w:color w:val="000000" w:themeColor="text1"/>
          <w:sz w:val="28"/>
          <w:szCs w:val="28"/>
          <w:lang w:val="uk-UA"/>
        </w:rPr>
        <w:t xml:space="preserve">.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G. Prévost та співавт. відмічають, що частота ЦД та/або метаболічного синдрому зростає одночасно з показником індексу маси тіла (ІМТ), а рівень тестостерону, навпаки</w:t>
      </w:r>
      <w:r w:rsidR="00C85152"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зменшується одночасно зі збільшенням ІМТ. Концентрація загального та вільного тестостерону, ГЗСГ у дорослих чоловіків з метаболічним синдромом та ЦД менша</w:t>
      </w:r>
      <w:r w:rsidR="00C85152"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ніж </w:t>
      </w:r>
      <w:r w:rsidR="00C85152" w:rsidRPr="00CE0A20">
        <w:rPr>
          <w:rFonts w:ascii="Times New Roman" w:hAnsi="Times New Roman" w:cs="Times New Roman"/>
          <w:color w:val="000000" w:themeColor="text1"/>
          <w:sz w:val="28"/>
          <w:szCs w:val="28"/>
          <w:lang w:val="uk-UA"/>
        </w:rPr>
        <w:t>за</w:t>
      </w:r>
      <w:r w:rsidRPr="00CE0A20">
        <w:rPr>
          <w:rFonts w:ascii="Times New Roman" w:hAnsi="Times New Roman" w:cs="Times New Roman"/>
          <w:color w:val="000000" w:themeColor="text1"/>
          <w:sz w:val="28"/>
          <w:szCs w:val="28"/>
          <w:lang w:val="uk-UA"/>
        </w:rPr>
        <w:t xml:space="preserve"> їх відсутності</w:t>
      </w:r>
      <w:r w:rsidR="00C85152"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навіть за виключенням інших факторів, що впливають на ці показники. При цьому у чоловіків старше 65 років зниження рівня тестостерону пов'язане з підвищеним ризиком інсульту або серцево-судинної смерті [308].</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shd w:val="clear" w:color="auto" w:fill="FFFFFF"/>
          <w:lang w:val="uk-UA"/>
        </w:rPr>
      </w:pPr>
      <w:r w:rsidRPr="00CE0A20">
        <w:rPr>
          <w:rFonts w:ascii="Times New Roman" w:hAnsi="Times New Roman" w:cs="Times New Roman"/>
          <w:color w:val="000000" w:themeColor="text1"/>
          <w:sz w:val="28"/>
          <w:szCs w:val="28"/>
          <w:lang w:val="uk-UA"/>
        </w:rPr>
        <w:t xml:space="preserve">Показано, що низький рівень тестостерону є сильним предиктором метаболічного синдрому </w:t>
      </w:r>
      <w:r w:rsidR="00C85152"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ві</w:t>
      </w:r>
      <w:r w:rsidR="00C85152" w:rsidRPr="00CE0A20">
        <w:rPr>
          <w:rFonts w:ascii="Times New Roman" w:hAnsi="Times New Roman" w:cs="Times New Roman"/>
          <w:color w:val="000000" w:themeColor="text1"/>
          <w:sz w:val="28"/>
          <w:szCs w:val="28"/>
          <w:lang w:val="uk-UA"/>
        </w:rPr>
        <w:t>ком</w:t>
      </w:r>
      <w:r w:rsidRPr="00CE0A20">
        <w:rPr>
          <w:rFonts w:ascii="Times New Roman" w:hAnsi="Times New Roman" w:cs="Times New Roman"/>
          <w:color w:val="000000" w:themeColor="text1"/>
          <w:sz w:val="28"/>
          <w:szCs w:val="28"/>
          <w:lang w:val="uk-UA"/>
        </w:rPr>
        <w:t xml:space="preserve"> 20-40 років, хоча основні біологічні механізми погано зрозумілі [261</w:t>
      </w:r>
      <w:r w:rsidRPr="00CE0A20">
        <w:rPr>
          <w:rStyle w:val="mixed-citation"/>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Часте сполучення метаболічного синдрому та дефіциту тестостерону спонукало окремих дослідників до введення нового визначення – тестостерон-дефіцитний метаболічний синдром (Testosterone-Deficient Metabolic Syndrome) [191</w:t>
      </w:r>
      <w:r w:rsidRPr="00CE0A20">
        <w:rPr>
          <w:rFonts w:ascii="Times New Roman" w:hAnsi="Times New Roman" w:cs="Times New Roman"/>
          <w:color w:val="000000" w:themeColor="text1"/>
          <w:sz w:val="28"/>
          <w:szCs w:val="28"/>
          <w:shd w:val="clear" w:color="auto" w:fill="FFFFFF"/>
          <w:lang w:val="uk-UA"/>
        </w:rPr>
        <w:t>].</w:t>
      </w:r>
    </w:p>
    <w:p w:rsidR="00EB6EBC" w:rsidRPr="00CE0A20" w:rsidRDefault="00EB6EBC" w:rsidP="00EB6EBC">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eastAsia="Newton-Regular" w:hAnsi="Times New Roman" w:cs="Times New Roman"/>
          <w:color w:val="000000" w:themeColor="text1"/>
          <w:sz w:val="28"/>
          <w:szCs w:val="28"/>
          <w:lang w:val="uk-UA"/>
        </w:rPr>
        <w:t>У дослідженні HIM study (США) в</w:t>
      </w:r>
      <w:r w:rsidR="00C85152" w:rsidRPr="00CE0A20">
        <w:rPr>
          <w:rFonts w:ascii="Times New Roman" w:eastAsia="Newton-Regular" w:hAnsi="Times New Roman" w:cs="Times New Roman"/>
          <w:color w:val="000000" w:themeColor="text1"/>
          <w:sz w:val="28"/>
          <w:szCs w:val="28"/>
          <w:lang w:val="uk-UA"/>
        </w:rPr>
        <w:t>изнач</w:t>
      </w:r>
      <w:r w:rsidRPr="00CE0A20">
        <w:rPr>
          <w:rFonts w:ascii="Times New Roman" w:eastAsia="Newton-Regular" w:hAnsi="Times New Roman" w:cs="Times New Roman"/>
          <w:color w:val="000000" w:themeColor="text1"/>
          <w:sz w:val="28"/>
          <w:szCs w:val="28"/>
          <w:lang w:val="uk-UA"/>
        </w:rPr>
        <w:t>ено</w:t>
      </w:r>
      <w:r w:rsidR="00C85152" w:rsidRPr="00CE0A20">
        <w:rPr>
          <w:rFonts w:ascii="Times New Roman" w:eastAsia="Newton-Regular" w:hAnsi="Times New Roman" w:cs="Times New Roman"/>
          <w:color w:val="000000" w:themeColor="text1"/>
          <w:sz w:val="28"/>
          <w:szCs w:val="28"/>
          <w:lang w:val="uk-UA"/>
        </w:rPr>
        <w:t>,</w:t>
      </w:r>
      <w:r w:rsidRPr="00CE0A20">
        <w:rPr>
          <w:rFonts w:ascii="Times New Roman" w:eastAsia="Newton-Regular" w:hAnsi="Times New Roman" w:cs="Times New Roman"/>
          <w:color w:val="000000" w:themeColor="text1"/>
          <w:sz w:val="28"/>
          <w:szCs w:val="28"/>
          <w:lang w:val="uk-UA"/>
        </w:rPr>
        <w:t xml:space="preserve"> що імовірність гіпогонадизму (загальний тестостерон &lt;300 нг/дл) серед чоловіків старше 45</w:t>
      </w:r>
      <w:r w:rsidR="00C85152" w:rsidRPr="00CE0A20">
        <w:rPr>
          <w:rFonts w:ascii="Times New Roman" w:eastAsia="Newton-Regular" w:hAnsi="Times New Roman" w:cs="Times New Roman"/>
          <w:color w:val="000000" w:themeColor="text1"/>
          <w:sz w:val="28"/>
          <w:szCs w:val="28"/>
          <w:lang w:val="uk-UA"/>
        </w:rPr>
        <w:t> </w:t>
      </w:r>
      <w:r w:rsidRPr="00CE0A20">
        <w:rPr>
          <w:rFonts w:ascii="Times New Roman" w:eastAsia="Newton-Regular" w:hAnsi="Times New Roman" w:cs="Times New Roman"/>
          <w:color w:val="000000" w:themeColor="text1"/>
          <w:sz w:val="28"/>
          <w:szCs w:val="28"/>
          <w:lang w:val="uk-UA"/>
        </w:rPr>
        <w:t>років зростала при артеріальній гіпертензії (АГ) (відносний ризик (ВР) – 1,84), гіперліпідемії (ВР – 1,47), при ЦД (ВР – 2,09), ожирінні (ВР – 2,38), захворюваннях передміхурової залози (ВР – 1,29), хронічних обструктивних захворюваннях легень (ХОЗЛ) (ВР – 1,40) [</w:t>
      </w:r>
      <w:r w:rsidRPr="00CE0A20">
        <w:rPr>
          <w:rFonts w:ascii="Times New Roman" w:eastAsia="Newton-Italic" w:hAnsi="Times New Roman" w:cs="Times New Roman"/>
          <w:color w:val="000000" w:themeColor="text1"/>
          <w:sz w:val="28"/>
          <w:szCs w:val="28"/>
          <w:lang w:val="uk-UA"/>
        </w:rPr>
        <w:t>294</w:t>
      </w:r>
      <w:r w:rsidRPr="00CE0A20">
        <w:rPr>
          <w:rFonts w:ascii="Times New Roman" w:eastAsia="Newton-Regular" w:hAnsi="Times New Roman" w:cs="Times New Roman"/>
          <w:color w:val="000000" w:themeColor="text1"/>
          <w:sz w:val="28"/>
          <w:szCs w:val="28"/>
          <w:lang w:val="uk-UA"/>
        </w:rPr>
        <w:t>].</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Взаємозв’язок  гіпогонадизму з ожирінням та метаболічним синдромом підтверджують результати кількох досліджень, </w:t>
      </w:r>
      <w:r w:rsidR="00C85152" w:rsidRPr="00CE0A20">
        <w:rPr>
          <w:rFonts w:ascii="Times New Roman" w:hAnsi="Times New Roman" w:cs="Times New Roman"/>
          <w:color w:val="000000" w:themeColor="text1"/>
          <w:sz w:val="28"/>
          <w:szCs w:val="28"/>
          <w:lang w:val="uk-UA"/>
        </w:rPr>
        <w:t xml:space="preserve">у </w:t>
      </w:r>
      <w:r w:rsidRPr="00CE0A20">
        <w:rPr>
          <w:rFonts w:ascii="Times New Roman" w:hAnsi="Times New Roman" w:cs="Times New Roman"/>
          <w:color w:val="000000" w:themeColor="text1"/>
          <w:sz w:val="28"/>
          <w:szCs w:val="28"/>
          <w:lang w:val="uk-UA"/>
        </w:rPr>
        <w:t xml:space="preserve">яких доведено, що дефіцит тестостерону </w:t>
      </w:r>
      <w:r w:rsidR="00C85152" w:rsidRPr="00CE0A20">
        <w:rPr>
          <w:rFonts w:ascii="Times New Roman" w:hAnsi="Times New Roman" w:cs="Times New Roman"/>
          <w:color w:val="000000" w:themeColor="text1"/>
          <w:sz w:val="28"/>
          <w:szCs w:val="28"/>
          <w:lang w:val="uk-UA"/>
        </w:rPr>
        <w:t xml:space="preserve">спричиняє </w:t>
      </w:r>
      <w:r w:rsidRPr="00CE0A20">
        <w:rPr>
          <w:rFonts w:ascii="Times New Roman" w:hAnsi="Times New Roman" w:cs="Times New Roman"/>
          <w:color w:val="000000" w:themeColor="text1"/>
          <w:sz w:val="28"/>
          <w:szCs w:val="28"/>
          <w:lang w:val="uk-UA"/>
        </w:rPr>
        <w:t>розвит</w:t>
      </w:r>
      <w:r w:rsidR="00C85152"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к центрального ожиріння та накопиченн</w:t>
      </w:r>
      <w:r w:rsidR="00C85152" w:rsidRPr="00CE0A20">
        <w:rPr>
          <w:rFonts w:ascii="Times New Roman" w:hAnsi="Times New Roman" w:cs="Times New Roman"/>
          <w:color w:val="000000" w:themeColor="text1"/>
          <w:sz w:val="28"/>
          <w:szCs w:val="28"/>
          <w:lang w:val="uk-UA"/>
        </w:rPr>
        <w:t>я</w:t>
      </w:r>
      <w:r w:rsidRPr="00CE0A20">
        <w:rPr>
          <w:rFonts w:ascii="Times New Roman" w:hAnsi="Times New Roman" w:cs="Times New Roman"/>
          <w:color w:val="000000" w:themeColor="text1"/>
          <w:sz w:val="28"/>
          <w:szCs w:val="28"/>
          <w:lang w:val="uk-UA"/>
        </w:rPr>
        <w:t xml:space="preserve"> внутрішньочерев</w:t>
      </w:r>
      <w:r w:rsidR="00C85152" w:rsidRPr="00CE0A20">
        <w:rPr>
          <w:rFonts w:ascii="Times New Roman" w:hAnsi="Times New Roman" w:cs="Times New Roman"/>
          <w:color w:val="000000" w:themeColor="text1"/>
          <w:sz w:val="28"/>
          <w:szCs w:val="28"/>
          <w:lang w:val="uk-UA"/>
        </w:rPr>
        <w:t>ин</w:t>
      </w:r>
      <w:r w:rsidRPr="00CE0A20">
        <w:rPr>
          <w:rFonts w:ascii="Times New Roman" w:hAnsi="Times New Roman" w:cs="Times New Roman"/>
          <w:color w:val="000000" w:themeColor="text1"/>
          <w:sz w:val="28"/>
          <w:szCs w:val="28"/>
          <w:lang w:val="uk-UA"/>
        </w:rPr>
        <w:t>ного жиру, а також розвит</w:t>
      </w:r>
      <w:r w:rsidR="00C85152"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к метаболічного синдрому та ожиріння незалежно від віку. І навпаки, високий ІМТ, центральне ожиріння та метаболічний синдром прогнозують низький загальний вміст загального тестостерону та, менш</w:t>
      </w:r>
      <w:r w:rsidR="00C85152" w:rsidRPr="00CE0A20">
        <w:rPr>
          <w:rFonts w:ascii="Times New Roman" w:hAnsi="Times New Roman" w:cs="Times New Roman"/>
          <w:color w:val="000000" w:themeColor="text1"/>
          <w:sz w:val="28"/>
          <w:szCs w:val="28"/>
          <w:lang w:val="uk-UA"/>
        </w:rPr>
        <w:t>ою</w:t>
      </w:r>
      <w:r w:rsidRPr="00CE0A20">
        <w:rPr>
          <w:rFonts w:ascii="Times New Roman" w:hAnsi="Times New Roman" w:cs="Times New Roman"/>
          <w:color w:val="000000" w:themeColor="text1"/>
          <w:sz w:val="28"/>
          <w:szCs w:val="28"/>
          <w:lang w:val="uk-UA"/>
        </w:rPr>
        <w:t xml:space="preserve"> мір</w:t>
      </w:r>
      <w:r w:rsidR="00C85152" w:rsidRPr="00CE0A20">
        <w:rPr>
          <w:rFonts w:ascii="Times New Roman" w:hAnsi="Times New Roman" w:cs="Times New Roman"/>
          <w:color w:val="000000" w:themeColor="text1"/>
          <w:sz w:val="28"/>
          <w:szCs w:val="28"/>
          <w:lang w:val="uk-UA"/>
        </w:rPr>
        <w:t>ою</w:t>
      </w:r>
      <w:r w:rsidRPr="00CE0A20">
        <w:rPr>
          <w:rFonts w:ascii="Times New Roman" w:hAnsi="Times New Roman" w:cs="Times New Roman"/>
          <w:color w:val="000000" w:themeColor="text1"/>
          <w:sz w:val="28"/>
          <w:szCs w:val="28"/>
          <w:lang w:val="uk-UA"/>
        </w:rPr>
        <w:t>, вільного тестостерону та ГЗСГ.  [</w:t>
      </w:r>
      <w:r w:rsidRPr="00CE0A20">
        <w:rPr>
          <w:rStyle w:val="mixed-citation"/>
          <w:rFonts w:ascii="Times New Roman" w:hAnsi="Times New Roman" w:cs="Times New Roman"/>
          <w:color w:val="000000" w:themeColor="text1"/>
          <w:sz w:val="28"/>
          <w:szCs w:val="28"/>
          <w:lang w:val="uk-UA"/>
        </w:rPr>
        <w:t>136; 158; 274]</w:t>
      </w:r>
      <w:r w:rsidRPr="00CE0A20">
        <w:rPr>
          <w:rFonts w:ascii="Times New Roman" w:hAnsi="Times New Roman" w:cs="Times New Roman"/>
          <w:color w:val="000000" w:themeColor="text1"/>
          <w:sz w:val="28"/>
          <w:szCs w:val="28"/>
          <w:lang w:val="uk-UA"/>
        </w:rPr>
        <w:t>. Зв’язок ожиріння, метаболічного синдрому та ЦД 2</w:t>
      </w:r>
      <w:r w:rsidR="00C85152"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з низьким вмістом сироваткового тестостерону підтверджено </w:t>
      </w:r>
      <w:r w:rsidR="00C85152" w:rsidRPr="00CE0A20">
        <w:rPr>
          <w:rFonts w:ascii="Times New Roman" w:hAnsi="Times New Roman" w:cs="Times New Roman"/>
          <w:color w:val="000000" w:themeColor="text1"/>
          <w:sz w:val="28"/>
          <w:szCs w:val="28"/>
          <w:lang w:val="uk-UA"/>
        </w:rPr>
        <w:t>також</w:t>
      </w:r>
      <w:r w:rsidRPr="00CE0A20">
        <w:rPr>
          <w:rFonts w:ascii="Times New Roman" w:hAnsi="Times New Roman" w:cs="Times New Roman"/>
          <w:color w:val="000000" w:themeColor="text1"/>
          <w:sz w:val="28"/>
          <w:szCs w:val="28"/>
          <w:lang w:val="uk-UA"/>
        </w:rPr>
        <w:t xml:space="preserve"> в інших епідеміологічних дослідженнях [149; </w:t>
      </w:r>
      <w:r w:rsidRPr="00CE0A20">
        <w:rPr>
          <w:rStyle w:val="mixed-citation"/>
          <w:rFonts w:ascii="Times New Roman" w:hAnsi="Times New Roman" w:cs="Times New Roman"/>
          <w:color w:val="000000" w:themeColor="text1"/>
          <w:sz w:val="28"/>
          <w:szCs w:val="28"/>
          <w:lang w:val="uk-UA"/>
        </w:rPr>
        <w:t>150; 278; 369]</w:t>
      </w:r>
      <w:r w:rsidRPr="00CE0A20">
        <w:rPr>
          <w:rFonts w:ascii="Times New Roman" w:hAnsi="Times New Roman" w:cs="Times New Roman"/>
          <w:color w:val="000000" w:themeColor="text1"/>
          <w:sz w:val="28"/>
          <w:szCs w:val="28"/>
          <w:lang w:val="uk-UA"/>
        </w:rPr>
        <w:t xml:space="preserve">.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Деякі автори вважають, що гіпогонадизм асоціюється не стільки з віком, скільки з віковою патологією [321], але виявлений зв’язок рівня дефіциту тестостерону саме з віком пацієнтів, є непрямим доказом участі тестостерону у формуванні вікової патології.</w:t>
      </w:r>
    </w:p>
    <w:p w:rsidR="00EB6EBC" w:rsidRPr="00CE0A20" w:rsidRDefault="00EB6EBC" w:rsidP="00EB6EBC">
      <w:pPr>
        <w:shd w:val="clear" w:color="auto" w:fill="FFFFFF"/>
        <w:spacing w:line="360" w:lineRule="auto"/>
        <w:ind w:firstLine="709"/>
        <w:jc w:val="both"/>
        <w:textAlignment w:val="baseline"/>
        <w:rPr>
          <w:rFonts w:ascii="Times New Roman" w:hAnsi="Times New Roman" w:cs="Times New Roman"/>
          <w:color w:val="000000" w:themeColor="text1"/>
          <w:sz w:val="28"/>
          <w:szCs w:val="28"/>
          <w:lang w:val="uk-UA"/>
        </w:rPr>
      </w:pPr>
      <w:r w:rsidRPr="00CE0A20">
        <w:rPr>
          <w:rStyle w:val="element-citation"/>
          <w:rFonts w:ascii="Times New Roman" w:hAnsi="Times New Roman" w:cs="Times New Roman"/>
          <w:color w:val="000000" w:themeColor="text1"/>
          <w:sz w:val="28"/>
          <w:szCs w:val="28"/>
          <w:lang w:val="uk-UA"/>
        </w:rPr>
        <w:t xml:space="preserve">Іншим важливим наслідком ЕД та гіпогонадизму є  безпліддя чоловіків – одна з причин безплідних шлюбів [108, 109]. </w:t>
      </w:r>
      <w:r w:rsidRPr="00CE0A20">
        <w:rPr>
          <w:rFonts w:ascii="Times New Roman" w:hAnsi="Times New Roman" w:cs="Times New Roman"/>
          <w:color w:val="000000" w:themeColor="text1"/>
          <w:sz w:val="28"/>
          <w:szCs w:val="28"/>
          <w:lang w:val="uk-UA"/>
        </w:rPr>
        <w:t>П</w:t>
      </w:r>
      <w:r w:rsidRPr="00CE0A20">
        <w:rPr>
          <w:rStyle w:val="2310"/>
          <w:rFonts w:ascii="Times New Roman" w:hAnsi="Times New Roman" w:cs="Times New Roman"/>
          <w:i w:val="0"/>
          <w:iCs w:val="0"/>
          <w:color w:val="000000" w:themeColor="text1"/>
          <w:sz w:val="28"/>
          <w:szCs w:val="28"/>
          <w:lang w:val="uk-UA"/>
        </w:rPr>
        <w:t xml:space="preserve">ід безпліддям розуміють відсутність протягом 1 року і більше вагітності </w:t>
      </w:r>
      <w:r w:rsidR="003216D2" w:rsidRPr="00CE0A20">
        <w:rPr>
          <w:rStyle w:val="2310"/>
          <w:rFonts w:ascii="Times New Roman" w:hAnsi="Times New Roman" w:cs="Times New Roman"/>
          <w:i w:val="0"/>
          <w:iCs w:val="0"/>
          <w:color w:val="000000" w:themeColor="text1"/>
          <w:sz w:val="28"/>
          <w:szCs w:val="28"/>
          <w:lang w:val="uk-UA"/>
        </w:rPr>
        <w:t>в</w:t>
      </w:r>
      <w:r w:rsidRPr="00CE0A20">
        <w:rPr>
          <w:rStyle w:val="2310"/>
          <w:rFonts w:ascii="Times New Roman" w:hAnsi="Times New Roman" w:cs="Times New Roman"/>
          <w:i w:val="0"/>
          <w:iCs w:val="0"/>
          <w:color w:val="000000" w:themeColor="text1"/>
          <w:sz w:val="28"/>
          <w:szCs w:val="28"/>
          <w:lang w:val="uk-UA"/>
        </w:rPr>
        <w:t xml:space="preserve"> жінки в сексуально активній парі, яка не застосовує протизаплідних засобів</w:t>
      </w:r>
      <w:r w:rsidRPr="00CE0A20">
        <w:rPr>
          <w:rFonts w:ascii="Times New Roman" w:hAnsi="Times New Roman" w:cs="Times New Roman"/>
          <w:color w:val="000000" w:themeColor="text1"/>
          <w:sz w:val="28"/>
          <w:szCs w:val="28"/>
          <w:lang w:val="uk-UA"/>
        </w:rPr>
        <w:t xml:space="preserve">. На сьогодні безплідними виявляються приблизно 15% </w:t>
      </w:r>
      <w:r w:rsidR="003216D2" w:rsidRPr="00CE0A20">
        <w:rPr>
          <w:rFonts w:ascii="Times New Roman" w:hAnsi="Times New Roman" w:cs="Times New Roman"/>
          <w:color w:val="000000" w:themeColor="text1"/>
          <w:sz w:val="28"/>
          <w:szCs w:val="28"/>
          <w:lang w:val="uk-UA"/>
        </w:rPr>
        <w:t>подружн</w:t>
      </w:r>
      <w:r w:rsidRPr="00CE0A20">
        <w:rPr>
          <w:rFonts w:ascii="Times New Roman" w:hAnsi="Times New Roman" w:cs="Times New Roman"/>
          <w:color w:val="000000" w:themeColor="text1"/>
          <w:sz w:val="28"/>
          <w:szCs w:val="28"/>
          <w:lang w:val="uk-UA"/>
        </w:rPr>
        <w:t>іх пар, тому безпліддя визнано однією з найважливіших проблем сучасної медицини [</w:t>
      </w:r>
      <w:r w:rsidRPr="00CE0A20">
        <w:rPr>
          <w:rStyle w:val="162"/>
          <w:i w:val="0"/>
          <w:iCs w:val="0"/>
          <w:color w:val="000000" w:themeColor="text1"/>
          <w:spacing w:val="0"/>
          <w:sz w:val="28"/>
          <w:szCs w:val="28"/>
          <w:lang w:val="uk-UA"/>
        </w:rPr>
        <w:t>4</w:t>
      </w:r>
      <w:r w:rsidRPr="00CE0A20">
        <w:rPr>
          <w:rFonts w:ascii="Times New Roman" w:hAnsi="Times New Roman" w:cs="Times New Roman"/>
          <w:color w:val="000000" w:themeColor="text1"/>
          <w:sz w:val="28"/>
          <w:szCs w:val="28"/>
          <w:lang w:val="uk-UA"/>
        </w:rPr>
        <w:t xml:space="preserve">2; </w:t>
      </w:r>
      <w:r w:rsidRPr="00CE0A20">
        <w:rPr>
          <w:rStyle w:val="29pt2"/>
          <w:rFonts w:ascii="Times New Roman" w:hAnsi="Times New Roman" w:cs="Times New Roman"/>
          <w:b w:val="0"/>
          <w:bCs w:val="0"/>
          <w:color w:val="000000" w:themeColor="text1"/>
          <w:sz w:val="28"/>
          <w:szCs w:val="28"/>
          <w:lang w:val="uk-UA"/>
        </w:rPr>
        <w:t>56;</w:t>
      </w:r>
      <w:r w:rsidRPr="00CE0A20">
        <w:rPr>
          <w:rFonts w:ascii="Times New Roman" w:hAnsi="Times New Roman" w:cs="Times New Roman"/>
          <w:color w:val="000000" w:themeColor="text1"/>
          <w:sz w:val="28"/>
          <w:szCs w:val="28"/>
          <w:lang w:val="uk-UA"/>
        </w:rPr>
        <w:t xml:space="preserve"> </w:t>
      </w:r>
      <w:r w:rsidRPr="00CE0A20">
        <w:rPr>
          <w:rStyle w:val="162"/>
          <w:i w:val="0"/>
          <w:iCs w:val="0"/>
          <w:color w:val="000000" w:themeColor="text1"/>
          <w:spacing w:val="0"/>
          <w:sz w:val="28"/>
          <w:szCs w:val="28"/>
          <w:lang w:val="uk-UA"/>
        </w:rPr>
        <w:t>101</w:t>
      </w:r>
      <w:r w:rsidRPr="00CE0A20">
        <w:rPr>
          <w:rFonts w:ascii="Times New Roman" w:hAnsi="Times New Roman" w:cs="Times New Roman"/>
          <w:color w:val="000000" w:themeColor="text1"/>
          <w:sz w:val="28"/>
          <w:szCs w:val="28"/>
          <w:lang w:val="uk-UA"/>
        </w:rPr>
        <w:t xml:space="preserve">]. Якщо раніше більшість дослідників пояснювали зростання кількості безплідних шлюбів нездатністю жінок до народження дитини, то на цей час доведено, що в 50% випадків безпліддя провідним виявляється  «чоловічий фактор» [48; 52; 97; 99; 121]. Безпліддя є актуальним для 50–100 млн. людей [38], тобто для однієї з 5–7 пар репродуктивного віку, і у половині випадків причиною цього є чоловічий фактор. </w:t>
      </w:r>
    </w:p>
    <w:p w:rsidR="00EB6EBC" w:rsidRPr="00CE0A20" w:rsidRDefault="00EB6EBC" w:rsidP="00EB6EBC">
      <w:pPr>
        <w:pStyle w:val="230"/>
        <w:widowControl w:val="0"/>
        <w:shd w:val="clear" w:color="auto" w:fill="auto"/>
        <w:spacing w:after="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Гіпогонадизм призводить до порушень </w:t>
      </w:r>
      <w:r w:rsidR="003216D2"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сіх фаз копулятивного циклу та репродуктивної функції чоловіка, які є причиною депресивних станів, розладів у сім’ї та інферт</w:t>
      </w:r>
      <w:r w:rsidR="003216D2"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льності [35].  На сьогодні серед пацієнтів з ВАД частка чоловіків віком до 35 років значно збільшилась, що суттєво впливає на їх</w:t>
      </w:r>
      <w:r w:rsidR="003216D2" w:rsidRPr="00CE0A20">
        <w:rPr>
          <w:rFonts w:ascii="Times New Roman" w:hAnsi="Times New Roman" w:cs="Times New Roman"/>
          <w:color w:val="000000" w:themeColor="text1"/>
          <w:sz w:val="28"/>
          <w:szCs w:val="28"/>
          <w:lang w:val="uk-UA"/>
        </w:rPr>
        <w:t>ню</w:t>
      </w:r>
      <w:r w:rsidRPr="00CE0A20">
        <w:rPr>
          <w:rFonts w:ascii="Times New Roman" w:hAnsi="Times New Roman" w:cs="Times New Roman"/>
          <w:color w:val="000000" w:themeColor="text1"/>
          <w:sz w:val="28"/>
          <w:szCs w:val="28"/>
          <w:lang w:val="uk-UA"/>
        </w:rPr>
        <w:t xml:space="preserve"> фертильність та є однією з причин погіршення демографічної ситуації в країні [156].  Оскільки  ВАД виявля</w:t>
      </w:r>
      <w:r w:rsidR="003216D2"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ть у чоловіків середнього й молодого віку, все більше подружніх пар звертаються до лікарів з проблемою нездатності мати дітей і, як виявляється, </w:t>
      </w:r>
      <w:r w:rsidR="003216D2"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се частіше винними виявляються чоловіки, які страждають на ВАД [38;  52].  </w:t>
      </w:r>
    </w:p>
    <w:p w:rsidR="00EB6EBC" w:rsidRPr="00CE0A20" w:rsidRDefault="00EB6EBC" w:rsidP="00EB6EBC">
      <w:pPr>
        <w:pStyle w:val="230"/>
        <w:widowControl w:val="0"/>
        <w:shd w:val="clear" w:color="auto" w:fill="auto"/>
        <w:spacing w:after="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Цей аспект надає проблемі андрогенного дефіциту соціального значення. За багатьма прогнозами при збереженні сучасних тенденцій у найближчі роки корінне населення </w:t>
      </w:r>
      <w:r w:rsidR="003216D2" w:rsidRPr="00CE0A20">
        <w:rPr>
          <w:rFonts w:ascii="Times New Roman" w:hAnsi="Times New Roman" w:cs="Times New Roman"/>
          <w:color w:val="000000" w:themeColor="text1"/>
          <w:sz w:val="28"/>
          <w:szCs w:val="28"/>
          <w:lang w:val="uk-UA"/>
        </w:rPr>
        <w:t>є</w:t>
      </w:r>
      <w:r w:rsidRPr="00CE0A20">
        <w:rPr>
          <w:rFonts w:ascii="Times New Roman" w:hAnsi="Times New Roman" w:cs="Times New Roman"/>
          <w:color w:val="000000" w:themeColor="text1"/>
          <w:sz w:val="28"/>
          <w:szCs w:val="28"/>
          <w:lang w:val="uk-UA"/>
        </w:rPr>
        <w:t xml:space="preserve">вропейських держав буде скорочуватися навіть за умови збільшення тривалості життя. Крім багатьох соціально-економічних та ментальних проблем сучасного суспільства, однією з причин погіршення демографічної ситуації є безплідні шлюби.  Безплідні шлюби є проблемою  й для нашої держави, </w:t>
      </w:r>
      <w:r w:rsidR="003216D2" w:rsidRPr="00CE0A20">
        <w:rPr>
          <w:rFonts w:ascii="Times New Roman" w:hAnsi="Times New Roman" w:cs="Times New Roman"/>
          <w:color w:val="000000" w:themeColor="text1"/>
          <w:sz w:val="28"/>
          <w:szCs w:val="28"/>
          <w:lang w:val="uk-UA"/>
        </w:rPr>
        <w:t>у якій</w:t>
      </w:r>
      <w:r w:rsidRPr="00CE0A20">
        <w:rPr>
          <w:rFonts w:ascii="Times New Roman" w:hAnsi="Times New Roman" w:cs="Times New Roman"/>
          <w:color w:val="000000" w:themeColor="text1"/>
          <w:sz w:val="28"/>
          <w:szCs w:val="28"/>
          <w:lang w:val="uk-UA"/>
        </w:rPr>
        <w:t xml:space="preserve"> демографічна ситуації </w:t>
      </w:r>
      <w:r w:rsidR="003216D2" w:rsidRPr="00CE0A20">
        <w:rPr>
          <w:rFonts w:ascii="Times New Roman" w:hAnsi="Times New Roman" w:cs="Times New Roman"/>
          <w:color w:val="000000" w:themeColor="text1"/>
          <w:sz w:val="28"/>
          <w:szCs w:val="28"/>
          <w:lang w:val="uk-UA"/>
        </w:rPr>
        <w:t>упродовж</w:t>
      </w:r>
      <w:r w:rsidRPr="00CE0A20">
        <w:rPr>
          <w:rFonts w:ascii="Times New Roman" w:hAnsi="Times New Roman" w:cs="Times New Roman"/>
          <w:color w:val="000000" w:themeColor="text1"/>
          <w:sz w:val="28"/>
          <w:szCs w:val="28"/>
          <w:lang w:val="uk-UA"/>
        </w:rPr>
        <w:t xml:space="preserve"> останні</w:t>
      </w:r>
      <w:r w:rsidR="003216D2" w:rsidRPr="00CE0A20">
        <w:rPr>
          <w:rFonts w:ascii="Times New Roman" w:hAnsi="Times New Roman" w:cs="Times New Roman"/>
          <w:color w:val="000000" w:themeColor="text1"/>
          <w:sz w:val="28"/>
          <w:szCs w:val="28"/>
          <w:lang w:val="uk-UA"/>
        </w:rPr>
        <w:t>х</w:t>
      </w:r>
      <w:r w:rsidRPr="00CE0A20">
        <w:rPr>
          <w:rFonts w:ascii="Times New Roman" w:hAnsi="Times New Roman" w:cs="Times New Roman"/>
          <w:color w:val="000000" w:themeColor="text1"/>
          <w:sz w:val="28"/>
          <w:szCs w:val="28"/>
          <w:lang w:val="uk-UA"/>
        </w:rPr>
        <w:t xml:space="preserve"> рок</w:t>
      </w:r>
      <w:r w:rsidR="003216D2" w:rsidRPr="00CE0A20">
        <w:rPr>
          <w:rFonts w:ascii="Times New Roman" w:hAnsi="Times New Roman" w:cs="Times New Roman"/>
          <w:color w:val="000000" w:themeColor="text1"/>
          <w:sz w:val="28"/>
          <w:szCs w:val="28"/>
          <w:lang w:val="uk-UA"/>
        </w:rPr>
        <w:t>ів</w:t>
      </w:r>
      <w:r w:rsidRPr="00CE0A20">
        <w:rPr>
          <w:rFonts w:ascii="Times New Roman" w:hAnsi="Times New Roman" w:cs="Times New Roman"/>
          <w:color w:val="000000" w:themeColor="text1"/>
          <w:sz w:val="28"/>
          <w:szCs w:val="28"/>
          <w:lang w:val="uk-UA"/>
        </w:rPr>
        <w:t xml:space="preserve"> різко погіршилася [36; 38; 98; 99]. За даними державної служби статистики України</w:t>
      </w:r>
      <w:r w:rsidR="003216D2"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тільки за перший квартал 2018 року чисельність наявного населення  зменшилася на 85,7 тис. осіб, причому залишається суттєвим перевищення кількості померлих над кількістю живонароджених: на 100 померлих – 54 живонароджені [61]. </w:t>
      </w:r>
    </w:p>
    <w:p w:rsidR="00EB6EBC" w:rsidRPr="00CE0A20" w:rsidRDefault="00EB6EBC" w:rsidP="00EB6EBC">
      <w:pPr>
        <w:pStyle w:val="230"/>
        <w:widowControl w:val="0"/>
        <w:shd w:val="clear" w:color="auto" w:fill="auto"/>
        <w:spacing w:after="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Цікаво відмітити, що протягом 2008–2012 рр. захворюваність чоловіків на безпліддя в Україні мала тенденцію до зниження, але </w:t>
      </w:r>
      <w:r w:rsidRPr="00CE0A20">
        <w:rPr>
          <w:rFonts w:ascii="Times New Roman" w:hAnsi="Times New Roman" w:cs="Times New Roman"/>
          <w:color w:val="000000" w:themeColor="text1"/>
          <w:sz w:val="28"/>
          <w:szCs w:val="28"/>
          <w:shd w:val="clear" w:color="auto" w:fill="F9F9F9"/>
          <w:lang w:val="uk-UA"/>
        </w:rPr>
        <w:t>Нікітін О. Д.</w:t>
      </w:r>
      <w:r w:rsidRPr="00CE0A20">
        <w:rPr>
          <w:rFonts w:ascii="Times New Roman" w:hAnsi="Times New Roman" w:cs="Times New Roman"/>
          <w:color w:val="000000" w:themeColor="text1"/>
          <w:sz w:val="28"/>
          <w:szCs w:val="28"/>
          <w:lang w:val="uk-UA"/>
        </w:rPr>
        <w:t xml:space="preserve"> це пов’язує зі зниженням звернень до лікаря-спеціаліста й вважає за необхідне залучення до діагностики безпліддя фахівців інших спеціальностей [</w:t>
      </w:r>
      <w:r w:rsidRPr="00CE0A20">
        <w:rPr>
          <w:rFonts w:ascii="Times New Roman" w:hAnsi="Times New Roman" w:cs="Times New Roman"/>
          <w:color w:val="000000" w:themeColor="text1"/>
          <w:sz w:val="28"/>
          <w:szCs w:val="28"/>
          <w:shd w:val="clear" w:color="auto" w:fill="F9F9F9"/>
          <w:lang w:val="uk-UA"/>
        </w:rPr>
        <w:t>100]</w:t>
      </w:r>
      <w:r w:rsidRPr="00CE0A20">
        <w:rPr>
          <w:rFonts w:ascii="Times New Roman" w:hAnsi="Times New Roman" w:cs="Times New Roman"/>
          <w:color w:val="000000" w:themeColor="text1"/>
          <w:sz w:val="28"/>
          <w:szCs w:val="28"/>
          <w:lang w:val="uk-UA"/>
        </w:rPr>
        <w:t>. Варто відмітити, що ч</w:t>
      </w:r>
      <w:r w:rsidRPr="00CE0A20">
        <w:rPr>
          <w:rStyle w:val="29pt"/>
          <w:rFonts w:ascii="Times New Roman" w:hAnsi="Times New Roman" w:cs="Times New Roman"/>
          <w:b w:val="0"/>
          <w:bCs w:val="0"/>
          <w:i w:val="0"/>
          <w:iCs w:val="0"/>
          <w:color w:val="000000" w:themeColor="text1"/>
          <w:sz w:val="28"/>
          <w:szCs w:val="28"/>
          <w:lang w:val="uk-UA"/>
        </w:rPr>
        <w:t>оловіч</w:t>
      </w:r>
      <w:r w:rsidR="003216D2" w:rsidRPr="00CE0A20">
        <w:rPr>
          <w:rStyle w:val="29pt"/>
          <w:rFonts w:ascii="Times New Roman" w:hAnsi="Times New Roman" w:cs="Times New Roman"/>
          <w:b w:val="0"/>
          <w:bCs w:val="0"/>
          <w:i w:val="0"/>
          <w:iCs w:val="0"/>
          <w:color w:val="000000" w:themeColor="text1"/>
          <w:sz w:val="28"/>
          <w:szCs w:val="28"/>
          <w:lang w:val="uk-UA"/>
        </w:rPr>
        <w:t>е</w:t>
      </w:r>
      <w:r w:rsidRPr="00CE0A20">
        <w:rPr>
          <w:rStyle w:val="29pt"/>
          <w:rFonts w:ascii="Times New Roman" w:hAnsi="Times New Roman" w:cs="Times New Roman"/>
          <w:b w:val="0"/>
          <w:bCs w:val="0"/>
          <w:i w:val="0"/>
          <w:iCs w:val="0"/>
          <w:color w:val="000000" w:themeColor="text1"/>
          <w:sz w:val="28"/>
          <w:szCs w:val="28"/>
          <w:lang w:val="uk-UA"/>
        </w:rPr>
        <w:t xml:space="preserve"> безплід</w:t>
      </w:r>
      <w:r w:rsidR="003216D2" w:rsidRPr="00CE0A20">
        <w:rPr>
          <w:rStyle w:val="29pt"/>
          <w:rFonts w:ascii="Times New Roman" w:hAnsi="Times New Roman" w:cs="Times New Roman"/>
          <w:b w:val="0"/>
          <w:bCs w:val="0"/>
          <w:i w:val="0"/>
          <w:iCs w:val="0"/>
          <w:color w:val="000000" w:themeColor="text1"/>
          <w:sz w:val="28"/>
          <w:szCs w:val="28"/>
          <w:lang w:val="uk-UA"/>
        </w:rPr>
        <w:t>дя</w:t>
      </w:r>
      <w:r w:rsidRPr="00CE0A20">
        <w:rPr>
          <w:rStyle w:val="29pt"/>
          <w:rFonts w:ascii="Times New Roman" w:hAnsi="Times New Roman" w:cs="Times New Roman"/>
          <w:b w:val="0"/>
          <w:bCs w:val="0"/>
          <w:i w:val="0"/>
          <w:iCs w:val="0"/>
          <w:color w:val="000000" w:themeColor="text1"/>
          <w:sz w:val="28"/>
          <w:szCs w:val="28"/>
          <w:lang w:val="uk-UA"/>
        </w:rPr>
        <w:t xml:space="preserve"> може бути обумовлен</w:t>
      </w:r>
      <w:r w:rsidR="003216D2" w:rsidRPr="00CE0A20">
        <w:rPr>
          <w:rStyle w:val="29pt"/>
          <w:rFonts w:ascii="Times New Roman" w:hAnsi="Times New Roman" w:cs="Times New Roman"/>
          <w:b w:val="0"/>
          <w:bCs w:val="0"/>
          <w:i w:val="0"/>
          <w:iCs w:val="0"/>
          <w:color w:val="000000" w:themeColor="text1"/>
          <w:sz w:val="28"/>
          <w:szCs w:val="28"/>
          <w:lang w:val="uk-UA"/>
        </w:rPr>
        <w:t>е</w:t>
      </w:r>
      <w:r w:rsidRPr="00CE0A20">
        <w:rPr>
          <w:rStyle w:val="29pt"/>
          <w:rFonts w:ascii="Times New Roman" w:hAnsi="Times New Roman" w:cs="Times New Roman"/>
          <w:b w:val="0"/>
          <w:bCs w:val="0"/>
          <w:i w:val="0"/>
          <w:iCs w:val="0"/>
          <w:color w:val="000000" w:themeColor="text1"/>
          <w:sz w:val="28"/>
          <w:szCs w:val="28"/>
          <w:lang w:val="uk-UA"/>
        </w:rPr>
        <w:t xml:space="preserve"> багатьма </w:t>
      </w:r>
      <w:r w:rsidR="003216D2" w:rsidRPr="00CE0A20">
        <w:rPr>
          <w:rStyle w:val="29pt"/>
          <w:rFonts w:ascii="Times New Roman" w:hAnsi="Times New Roman" w:cs="Times New Roman"/>
          <w:b w:val="0"/>
          <w:bCs w:val="0"/>
          <w:i w:val="0"/>
          <w:iCs w:val="0"/>
          <w:color w:val="000000" w:themeColor="text1"/>
          <w:sz w:val="28"/>
          <w:szCs w:val="28"/>
          <w:lang w:val="uk-UA"/>
        </w:rPr>
        <w:t>чинника</w:t>
      </w:r>
      <w:r w:rsidRPr="00CE0A20">
        <w:rPr>
          <w:rStyle w:val="29pt"/>
          <w:rFonts w:ascii="Times New Roman" w:hAnsi="Times New Roman" w:cs="Times New Roman"/>
          <w:b w:val="0"/>
          <w:bCs w:val="0"/>
          <w:i w:val="0"/>
          <w:iCs w:val="0"/>
          <w:color w:val="000000" w:themeColor="text1"/>
          <w:sz w:val="28"/>
          <w:szCs w:val="28"/>
          <w:lang w:val="uk-UA"/>
        </w:rPr>
        <w:t xml:space="preserve">ми, такими як вроджені вади розвитку, вплив шкідливих факторів, різні набуті захворювання, які безпосередньо впливають на функціонування статевих органів </w:t>
      </w:r>
      <w:r w:rsidR="003216D2" w:rsidRPr="00CE0A20">
        <w:rPr>
          <w:rStyle w:val="29pt"/>
          <w:rFonts w:ascii="Times New Roman" w:hAnsi="Times New Roman" w:cs="Times New Roman"/>
          <w:b w:val="0"/>
          <w:bCs w:val="0"/>
          <w:i w:val="0"/>
          <w:iCs w:val="0"/>
          <w:color w:val="000000" w:themeColor="text1"/>
          <w:sz w:val="28"/>
          <w:szCs w:val="28"/>
          <w:lang w:val="uk-UA"/>
        </w:rPr>
        <w:t>та</w:t>
      </w:r>
      <w:r w:rsidRPr="00CE0A20">
        <w:rPr>
          <w:rStyle w:val="29pt"/>
          <w:rFonts w:ascii="Times New Roman" w:hAnsi="Times New Roman" w:cs="Times New Roman"/>
          <w:b w:val="0"/>
          <w:bCs w:val="0"/>
          <w:i w:val="0"/>
          <w:iCs w:val="0"/>
          <w:color w:val="000000" w:themeColor="text1"/>
          <w:sz w:val="28"/>
          <w:szCs w:val="28"/>
          <w:lang w:val="uk-UA"/>
        </w:rPr>
        <w:t xml:space="preserve"> ендокринної системи [44; 56; </w:t>
      </w:r>
      <w:r w:rsidRPr="00CE0A20">
        <w:rPr>
          <w:rFonts w:ascii="Times New Roman" w:hAnsi="Times New Roman" w:cs="Times New Roman"/>
          <w:color w:val="000000" w:themeColor="text1"/>
          <w:sz w:val="28"/>
          <w:szCs w:val="28"/>
          <w:lang w:val="uk-UA"/>
        </w:rPr>
        <w:t xml:space="preserve">68; </w:t>
      </w:r>
      <w:r w:rsidRPr="00CE0A20">
        <w:rPr>
          <w:rStyle w:val="29pt"/>
          <w:rFonts w:ascii="Times New Roman" w:hAnsi="Times New Roman" w:cs="Times New Roman"/>
          <w:b w:val="0"/>
          <w:bCs w:val="0"/>
          <w:i w:val="0"/>
          <w:iCs w:val="0"/>
          <w:color w:val="000000" w:themeColor="text1"/>
          <w:sz w:val="28"/>
          <w:szCs w:val="28"/>
          <w:lang w:val="uk-UA"/>
        </w:rPr>
        <w:t xml:space="preserve">85; 91; </w:t>
      </w:r>
      <w:r w:rsidRPr="00CE0A20">
        <w:rPr>
          <w:rStyle w:val="29pt2"/>
          <w:rFonts w:ascii="Times New Roman" w:hAnsi="Times New Roman" w:cs="Times New Roman"/>
          <w:b w:val="0"/>
          <w:bCs w:val="0"/>
          <w:color w:val="000000" w:themeColor="text1"/>
          <w:sz w:val="28"/>
          <w:szCs w:val="28"/>
          <w:lang w:val="uk-UA"/>
        </w:rPr>
        <w:t>101</w:t>
      </w:r>
      <w:r w:rsidRPr="00CE0A20">
        <w:rPr>
          <w:rStyle w:val="29pt"/>
          <w:rFonts w:ascii="Times New Roman" w:hAnsi="Times New Roman" w:cs="Times New Roman"/>
          <w:b w:val="0"/>
          <w:bCs w:val="0"/>
          <w:i w:val="0"/>
          <w:iCs w:val="0"/>
          <w:color w:val="000000" w:themeColor="text1"/>
          <w:sz w:val="28"/>
          <w:szCs w:val="28"/>
          <w:lang w:val="uk-UA"/>
        </w:rPr>
        <w:t>], але вагому частку серед таких порушень с</w:t>
      </w:r>
      <w:r w:rsidR="003216D2" w:rsidRPr="00CE0A20">
        <w:rPr>
          <w:rStyle w:val="29pt"/>
          <w:rFonts w:ascii="Times New Roman" w:hAnsi="Times New Roman" w:cs="Times New Roman"/>
          <w:b w:val="0"/>
          <w:bCs w:val="0"/>
          <w:i w:val="0"/>
          <w:iCs w:val="0"/>
          <w:color w:val="000000" w:themeColor="text1"/>
          <w:sz w:val="28"/>
          <w:szCs w:val="28"/>
          <w:lang w:val="uk-UA"/>
        </w:rPr>
        <w:t>тановить</w:t>
      </w:r>
      <w:r w:rsidRPr="00CE0A20">
        <w:rPr>
          <w:rStyle w:val="29pt"/>
          <w:rFonts w:ascii="Times New Roman" w:hAnsi="Times New Roman" w:cs="Times New Roman"/>
          <w:b w:val="0"/>
          <w:bCs w:val="0"/>
          <w:i w:val="0"/>
          <w:iCs w:val="0"/>
          <w:color w:val="000000" w:themeColor="text1"/>
          <w:sz w:val="28"/>
          <w:szCs w:val="28"/>
          <w:lang w:val="uk-UA"/>
        </w:rPr>
        <w:t xml:space="preserve"> саме андрогенний дефіцит [64; 97; 296</w:t>
      </w:r>
      <w:r w:rsidRPr="00CE0A20">
        <w:rPr>
          <w:rFonts w:ascii="Times New Roman" w:hAnsi="Times New Roman" w:cs="Times New Roman"/>
          <w:color w:val="000000" w:themeColor="text1"/>
          <w:sz w:val="28"/>
          <w:szCs w:val="28"/>
          <w:lang w:val="uk-UA"/>
        </w:rPr>
        <w:t>].</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Питома вага пацієнтів з низьким рівнем тестостерону, що отримують необхідне лікування, значно менша</w:t>
      </w:r>
      <w:r w:rsidR="0070670F"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r w:rsidR="0070670F" w:rsidRPr="00CE0A20">
        <w:rPr>
          <w:rFonts w:ascii="Times New Roman" w:hAnsi="Times New Roman" w:cs="Times New Roman"/>
          <w:color w:val="000000" w:themeColor="text1"/>
          <w:sz w:val="28"/>
          <w:szCs w:val="28"/>
          <w:lang w:val="uk-UA"/>
        </w:rPr>
        <w:t xml:space="preserve">ніж </w:t>
      </w:r>
      <w:r w:rsidRPr="00CE0A20">
        <w:rPr>
          <w:rFonts w:ascii="Times New Roman" w:hAnsi="Times New Roman" w:cs="Times New Roman"/>
          <w:color w:val="000000" w:themeColor="text1"/>
          <w:sz w:val="28"/>
          <w:szCs w:val="28"/>
          <w:lang w:val="uk-UA"/>
        </w:rPr>
        <w:t>загальн</w:t>
      </w:r>
      <w:r w:rsidR="0070670F"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кільк</w:t>
      </w:r>
      <w:r w:rsidR="0070670F"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ст</w:t>
      </w:r>
      <w:r w:rsidR="0070670F" w:rsidRPr="00CE0A20">
        <w:rPr>
          <w:rFonts w:ascii="Times New Roman" w:hAnsi="Times New Roman" w:cs="Times New Roman"/>
          <w:color w:val="000000" w:themeColor="text1"/>
          <w:sz w:val="28"/>
          <w:szCs w:val="28"/>
          <w:lang w:val="uk-UA"/>
        </w:rPr>
        <w:t>ь</w:t>
      </w:r>
      <w:r w:rsidRPr="00CE0A20">
        <w:rPr>
          <w:rFonts w:ascii="Times New Roman" w:hAnsi="Times New Roman" w:cs="Times New Roman"/>
          <w:color w:val="000000" w:themeColor="text1"/>
          <w:sz w:val="28"/>
          <w:szCs w:val="28"/>
          <w:lang w:val="uk-UA"/>
        </w:rPr>
        <w:t xml:space="preserve"> хворих з гіпогонадизмом. За даними </w:t>
      </w:r>
      <w:r w:rsidRPr="00CE0A20">
        <w:rPr>
          <w:rStyle w:val="element-citation"/>
          <w:rFonts w:ascii="Times New Roman" w:hAnsi="Times New Roman" w:cs="Times New Roman"/>
          <w:color w:val="000000" w:themeColor="text1"/>
          <w:sz w:val="28"/>
          <w:szCs w:val="28"/>
          <w:lang w:val="uk-UA"/>
        </w:rPr>
        <w:t>M.Carruthers</w:t>
      </w:r>
      <w:r w:rsidR="0070670F" w:rsidRPr="00CE0A20">
        <w:rPr>
          <w:rStyle w:val="element-citation"/>
          <w:rFonts w:ascii="Times New Roman" w:hAnsi="Times New Roman" w:cs="Times New Roman"/>
          <w:color w:val="000000" w:themeColor="text1"/>
          <w:sz w:val="28"/>
          <w:szCs w:val="28"/>
          <w:lang w:val="uk-UA"/>
        </w:rPr>
        <w:t>,</w:t>
      </w:r>
      <w:r w:rsidRPr="00CE0A20">
        <w:rPr>
          <w:rStyle w:val="element-citation"/>
          <w:rFonts w:ascii="Times New Roman" w:hAnsi="Times New Roman" w:cs="Times New Roman"/>
          <w:color w:val="000000" w:themeColor="text1"/>
          <w:sz w:val="28"/>
          <w:szCs w:val="28"/>
          <w:lang w:val="uk-UA"/>
        </w:rPr>
        <w:t xml:space="preserve"> відповідне лікування отримують лише 1% цих пацієнтів  [165].  </w:t>
      </w:r>
      <w:r w:rsidRPr="00CE0A20">
        <w:rPr>
          <w:rFonts w:ascii="Times New Roman" w:hAnsi="Times New Roman" w:cs="Times New Roman"/>
          <w:color w:val="000000" w:themeColor="text1"/>
          <w:sz w:val="28"/>
          <w:szCs w:val="28"/>
          <w:lang w:val="uk-UA"/>
        </w:rPr>
        <w:t>S.A. Hall (2008) повідомля</w:t>
      </w:r>
      <w:r w:rsidR="0070670F" w:rsidRPr="00CE0A20">
        <w:rPr>
          <w:rFonts w:ascii="Times New Roman" w:hAnsi="Times New Roman" w:cs="Times New Roman"/>
          <w:color w:val="000000" w:themeColor="text1"/>
          <w:sz w:val="28"/>
          <w:szCs w:val="28"/>
          <w:lang w:val="uk-UA"/>
        </w:rPr>
        <w:t>є</w:t>
      </w:r>
      <w:r w:rsidRPr="00CE0A20">
        <w:rPr>
          <w:rFonts w:ascii="Times New Roman" w:hAnsi="Times New Roman" w:cs="Times New Roman"/>
          <w:color w:val="000000" w:themeColor="text1"/>
          <w:sz w:val="28"/>
          <w:szCs w:val="28"/>
          <w:lang w:val="uk-UA"/>
        </w:rPr>
        <w:t xml:space="preserve">, що </w:t>
      </w:r>
      <w:r w:rsidR="0070670F"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США лише 12% з клінічно знач</w:t>
      </w:r>
      <w:r w:rsidR="0070670F" w:rsidRPr="00CE0A20">
        <w:rPr>
          <w:rFonts w:ascii="Times New Roman" w:hAnsi="Times New Roman" w:cs="Times New Roman"/>
          <w:color w:val="000000" w:themeColor="text1"/>
          <w:sz w:val="28"/>
          <w:szCs w:val="28"/>
          <w:lang w:val="uk-UA"/>
        </w:rPr>
        <w:t>ущ</w:t>
      </w:r>
      <w:r w:rsidRPr="00CE0A20">
        <w:rPr>
          <w:rFonts w:ascii="Times New Roman" w:hAnsi="Times New Roman" w:cs="Times New Roman"/>
          <w:color w:val="000000" w:themeColor="text1"/>
          <w:sz w:val="28"/>
          <w:szCs w:val="28"/>
          <w:lang w:val="uk-UA"/>
        </w:rPr>
        <w:t xml:space="preserve">им гіпогонадизмом отримують тестостерон-замісну терапію, а інші не лікуються, незважаючи на доступ до медичної допомоги  [230]. Цей парадокс можна пояснити недооцінкою клінічного значення гіпогонадизму, яке полягає не тільки в порушенні репродуктивної та сексуальної сфери життєдіяльності. </w:t>
      </w:r>
    </w:p>
    <w:p w:rsidR="00EB6EBC" w:rsidRPr="00CE0A20" w:rsidRDefault="00EB6EBC" w:rsidP="00EB6EBC">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Узагальнюючи вищевикладені дані, можна стверджувати, що ЕД та андрогенний дефіцит є дуже </w:t>
      </w:r>
      <w:r w:rsidR="0070670F" w:rsidRPr="00CE0A20">
        <w:rPr>
          <w:rFonts w:ascii="Times New Roman" w:hAnsi="Times New Roman" w:cs="Times New Roman"/>
          <w:color w:val="000000" w:themeColor="text1"/>
          <w:sz w:val="28"/>
          <w:szCs w:val="28"/>
          <w:lang w:val="uk-UA"/>
        </w:rPr>
        <w:t>поширен</w:t>
      </w:r>
      <w:r w:rsidRPr="00CE0A20">
        <w:rPr>
          <w:rFonts w:ascii="Times New Roman" w:hAnsi="Times New Roman" w:cs="Times New Roman"/>
          <w:color w:val="000000" w:themeColor="text1"/>
          <w:sz w:val="28"/>
          <w:szCs w:val="28"/>
          <w:lang w:val="uk-UA"/>
        </w:rPr>
        <w:t>ими патологічними станами, що виявля</w:t>
      </w:r>
      <w:r w:rsidR="0070670F"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ться не тільки </w:t>
      </w:r>
      <w:r w:rsidR="0070670F"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похилого та старечого віку, але й у більш молодих чоловіків репродуктивного віку. Часте сполучення гіпогонадизму та ЕД з багатьма загальносоматичними та ендокринними розладами свідчить про наявність взаємозв’язку між ними. Тому механізми цих кореляцій потребують ретельного вивчення.</w:t>
      </w:r>
    </w:p>
    <w:p w:rsidR="00EB6EBC" w:rsidRPr="00CE0A20" w:rsidRDefault="00EB6EBC" w:rsidP="00EB6EBC">
      <w:pPr>
        <w:widowControl w:val="0"/>
        <w:autoSpaceDE w:val="0"/>
        <w:autoSpaceDN w:val="0"/>
        <w:adjustRightInd w:val="0"/>
        <w:spacing w:line="360" w:lineRule="auto"/>
        <w:ind w:firstLine="709"/>
        <w:jc w:val="both"/>
        <w:rPr>
          <w:rFonts w:ascii="Times New Roman" w:eastAsia="Newton-Regular" w:hAnsi="Times New Roman" w:cs="Times New Roman"/>
          <w:color w:val="000000" w:themeColor="text1"/>
          <w:sz w:val="28"/>
          <w:szCs w:val="28"/>
          <w:lang w:val="uk-UA"/>
        </w:rPr>
      </w:pPr>
    </w:p>
    <w:p w:rsidR="00EB6EBC" w:rsidRPr="00CE0A20" w:rsidRDefault="00EB6EBC" w:rsidP="00EB6EBC">
      <w:pPr>
        <w:pStyle w:val="a4"/>
        <w:keepNext/>
        <w:shd w:val="clear" w:color="auto" w:fill="FFFFFF"/>
        <w:spacing w:before="0" w:beforeAutospacing="0" w:after="0" w:afterAutospacing="0" w:line="360" w:lineRule="auto"/>
        <w:ind w:firstLine="709"/>
        <w:jc w:val="both"/>
        <w:textAlignment w:val="baseline"/>
        <w:rPr>
          <w:b/>
          <w:color w:val="000000" w:themeColor="text1"/>
          <w:sz w:val="28"/>
          <w:szCs w:val="28"/>
        </w:rPr>
      </w:pPr>
      <w:r w:rsidRPr="00CE0A20">
        <w:rPr>
          <w:b/>
          <w:color w:val="000000" w:themeColor="text1"/>
          <w:sz w:val="28"/>
          <w:szCs w:val="28"/>
        </w:rPr>
        <w:t xml:space="preserve">1.2 Патогенетичні механізми еректильної дисфункції та дефіциту тестостерону </w:t>
      </w:r>
    </w:p>
    <w:p w:rsidR="00EB6EBC" w:rsidRPr="00CE0A20" w:rsidRDefault="00EB6EBC" w:rsidP="00EB6EBC">
      <w:pPr>
        <w:pStyle w:val="46"/>
        <w:keepNext/>
        <w:spacing w:before="0" w:line="360" w:lineRule="auto"/>
        <w:ind w:firstLine="709"/>
        <w:rPr>
          <w:rFonts w:ascii="Times New Roman" w:hAnsi="Times New Roman" w:cs="Times New Roman"/>
          <w:color w:val="000000" w:themeColor="text1"/>
          <w:sz w:val="28"/>
          <w:szCs w:val="28"/>
          <w:lang w:val="uk-UA" w:eastAsia="ru-RU"/>
        </w:rPr>
      </w:pP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Виникнення ерекції – багатофазний процес, що складається з артеріальної д</w:t>
      </w:r>
      <w:r w:rsidR="0070670F"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лятації, розслаблення гладкої трабекулярної мускулатури та активації корпоровенооклюзійного механізму та реалізується за участю центральних </w:t>
      </w:r>
      <w:r w:rsidR="0070670F"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периферичних нейрогуморальних реакцій [71]. Судинні реакції, що призводять до кровонаповнення та затвердіння пеніса, зумовлені впливом нейромедіаторів на гладком’язові клітини судин та кавернозних тіл. Основним нейромедіатором </w:t>
      </w:r>
      <w:r w:rsidR="0070670F"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цьому процесі є оксид азоту (NO), який утворюється в ендотеліальній тканині синусоїдальних просторів кавернозних тіл з амінокислоти L-аргініну за допомогою ферменту NO-синтетази (NOS). NO активує гуанілатциклазу, яка збільшує концентрацію циклічного гуанозинмонофосфату (цГМФ) в гладком'язових клітинах. Подальший каскад біохімічних реакцій </w:t>
      </w:r>
      <w:r w:rsidR="00876996" w:rsidRPr="00CE0A20">
        <w:rPr>
          <w:rFonts w:ascii="Times New Roman" w:hAnsi="Times New Roman" w:cs="Times New Roman"/>
          <w:color w:val="000000" w:themeColor="text1"/>
          <w:sz w:val="28"/>
          <w:szCs w:val="28"/>
          <w:lang w:val="uk-UA"/>
        </w:rPr>
        <w:t xml:space="preserve">спричиняє </w:t>
      </w:r>
      <w:r w:rsidRPr="00CE0A20">
        <w:rPr>
          <w:rFonts w:ascii="Times New Roman" w:hAnsi="Times New Roman" w:cs="Times New Roman"/>
          <w:color w:val="000000" w:themeColor="text1"/>
          <w:sz w:val="28"/>
          <w:szCs w:val="28"/>
          <w:lang w:val="uk-UA"/>
        </w:rPr>
        <w:t>релаксаці</w:t>
      </w:r>
      <w:r w:rsidR="00876996"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гладких м’язів судин, що забезпечує вазодилятацію. Цей механізм обмежується ферментом фосфодіестеразою 5-го типу (ФДЕ-5), у той час як інгібітори цього ферменту пролонгують ефект цГМФ [2; 58; 87].</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Причинами виникнення ЕД можуть бути багато різноманітних патологічних станів. Залежно від основного етіологічного </w:t>
      </w:r>
      <w:r w:rsidR="00876996" w:rsidRPr="00CE0A20">
        <w:rPr>
          <w:rFonts w:ascii="Times New Roman" w:hAnsi="Times New Roman" w:cs="Times New Roman"/>
          <w:color w:val="000000" w:themeColor="text1"/>
          <w:sz w:val="28"/>
          <w:szCs w:val="28"/>
          <w:lang w:val="uk-UA"/>
        </w:rPr>
        <w:t>чинник</w:t>
      </w:r>
      <w:r w:rsidRPr="00CE0A20">
        <w:rPr>
          <w:rFonts w:ascii="Times New Roman" w:hAnsi="Times New Roman" w:cs="Times New Roman"/>
          <w:color w:val="000000" w:themeColor="text1"/>
          <w:sz w:val="28"/>
          <w:szCs w:val="28"/>
          <w:lang w:val="uk-UA"/>
        </w:rPr>
        <w:t>а розріз</w:t>
      </w:r>
      <w:r w:rsidRPr="00CE0A20">
        <w:rPr>
          <w:rFonts w:ascii="Times New Roman" w:hAnsi="Times New Roman" w:cs="Times New Roman"/>
          <w:color w:val="000000" w:themeColor="text1"/>
          <w:sz w:val="28"/>
          <w:szCs w:val="28"/>
          <w:lang w:val="uk-UA"/>
        </w:rPr>
        <w:softHyphen/>
        <w:t>няють васкулогенну, нейрогенну центральну та периферичну, анатомічну (структурну), гормональну, психогенну та травматичну форми ЕД. Крім цього, вона може бути ускладненням медикаментозної терапії</w:t>
      </w:r>
      <w:r w:rsidRPr="00CE0A20">
        <w:rPr>
          <w:rFonts w:ascii="Times New Roman" w:hAnsi="Times New Roman" w:cs="Times New Roman"/>
          <w:color w:val="000000" w:themeColor="text1"/>
          <w:sz w:val="28"/>
          <w:szCs w:val="28"/>
          <w:lang w:val="uk-UA" w:eastAsia="en-US"/>
        </w:rPr>
        <w:t xml:space="preserve">. Однак незалежно від етіології кінцевою точкою впливу є порушення ерекції в результаті порушення механізмів артеріальної дилятації та венозної оклюзії, а також релаксації м’язів кавернозних тіл </w:t>
      </w:r>
      <w:r w:rsidRPr="00CE0A20">
        <w:rPr>
          <w:rFonts w:ascii="Times New Roman" w:hAnsi="Times New Roman" w:cs="Times New Roman"/>
          <w:color w:val="000000" w:themeColor="text1"/>
          <w:sz w:val="28"/>
          <w:szCs w:val="28"/>
          <w:lang w:val="uk-UA"/>
        </w:rPr>
        <w:t xml:space="preserve">[71; </w:t>
      </w:r>
      <w:r w:rsidRPr="00CE0A20">
        <w:rPr>
          <w:rFonts w:ascii="Times New Roman" w:hAnsi="Times New Roman" w:cs="Times New Roman"/>
          <w:color w:val="000000" w:themeColor="text1"/>
          <w:sz w:val="28"/>
          <w:szCs w:val="28"/>
          <w:lang w:val="uk-UA" w:eastAsia="en-US"/>
        </w:rPr>
        <w:t>233].</w:t>
      </w:r>
    </w:p>
    <w:p w:rsidR="00EB6EBC" w:rsidRPr="00CE0A20" w:rsidRDefault="00EB6EBC" w:rsidP="00EB6EBC">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Ендотелій судин пеніс</w:t>
      </w:r>
      <w:r w:rsidR="00876996"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та гладком'язових клітин дуже чутливий до структурних та функціональних змін. Причиною васкулогенної ЕД вважають порушення ендотелій-залежної релаксації гладких м'язів та/або атеросклероз кавернозних артерій. Нові дослідження підтверджують комплексну взаємозалежність ендотеліальної дисфункції, запалення та андрогенного дефіциту [362]. Причинами органічної ЕД у хворих на ЦД є судинні та неврологічні порушення з превалюванням судинного механізму. Діабетичні ангіопатії виявлено у 18,8 % хворих на ЦД віком до 60 років і у 45,1 % віком більш 60 років. Також суттєву роль у розвитку ЕД в цих випадках </w:t>
      </w:r>
      <w:r w:rsidR="00876996" w:rsidRPr="00CE0A20">
        <w:rPr>
          <w:rFonts w:ascii="Times New Roman" w:hAnsi="Times New Roman" w:cs="Times New Roman"/>
          <w:color w:val="000000" w:themeColor="text1"/>
          <w:sz w:val="28"/>
          <w:szCs w:val="28"/>
          <w:lang w:val="uk-UA"/>
        </w:rPr>
        <w:t>віді</w:t>
      </w:r>
      <w:r w:rsidRPr="00CE0A20">
        <w:rPr>
          <w:rFonts w:ascii="Times New Roman" w:hAnsi="Times New Roman" w:cs="Times New Roman"/>
          <w:color w:val="000000" w:themeColor="text1"/>
          <w:sz w:val="28"/>
          <w:szCs w:val="28"/>
          <w:lang w:val="uk-UA"/>
        </w:rPr>
        <w:t>грає андрогенний дефіцит, виразність якого зростає з віком [178]. У дослідженні A.  Petroianu та співавт. (2009) в</w:t>
      </w:r>
      <w:r w:rsidR="00876996" w:rsidRPr="00CE0A20">
        <w:rPr>
          <w:rFonts w:ascii="Times New Roman" w:hAnsi="Times New Roman" w:cs="Times New Roman"/>
          <w:color w:val="000000" w:themeColor="text1"/>
          <w:sz w:val="28"/>
          <w:szCs w:val="28"/>
          <w:lang w:val="uk-UA"/>
        </w:rPr>
        <w:t>изначе</w:t>
      </w:r>
      <w:r w:rsidRPr="00CE0A20">
        <w:rPr>
          <w:rFonts w:ascii="Times New Roman" w:hAnsi="Times New Roman" w:cs="Times New Roman"/>
          <w:color w:val="000000" w:themeColor="text1"/>
          <w:sz w:val="28"/>
          <w:szCs w:val="28"/>
          <w:lang w:val="uk-UA"/>
        </w:rPr>
        <w:t xml:space="preserve">но, що ЕД спостерігалась у третини пацієнтів </w:t>
      </w:r>
      <w:r w:rsidR="00876996" w:rsidRPr="00CE0A20">
        <w:rPr>
          <w:rFonts w:ascii="Times New Roman" w:hAnsi="Times New Roman" w:cs="Times New Roman"/>
          <w:color w:val="000000" w:themeColor="text1"/>
          <w:sz w:val="28"/>
          <w:szCs w:val="28"/>
          <w:lang w:val="uk-UA"/>
        </w:rPr>
        <w:t>з</w:t>
      </w:r>
      <w:r w:rsidRPr="00CE0A20">
        <w:rPr>
          <w:rFonts w:ascii="Times New Roman" w:hAnsi="Times New Roman" w:cs="Times New Roman"/>
          <w:color w:val="000000" w:themeColor="text1"/>
          <w:sz w:val="28"/>
          <w:szCs w:val="28"/>
          <w:lang w:val="uk-UA"/>
        </w:rPr>
        <w:t xml:space="preserve"> ЦД. Її причинами автори вважають нейропатію та судинні ураження, які виявлено у 50% пацієнтів з ЦД  [304</w:t>
      </w:r>
      <w:r w:rsidRPr="00CE0A20">
        <w:rPr>
          <w:rStyle w:val="italic"/>
          <w:rFonts w:ascii="Times New Roman" w:hAnsi="Times New Roman" w:cs="Times New Roman"/>
          <w:color w:val="000000" w:themeColor="text1"/>
          <w:sz w:val="28"/>
          <w:szCs w:val="28"/>
          <w:bdr w:val="none" w:sz="0" w:space="0" w:color="auto" w:frame="1"/>
          <w:lang w:val="uk-UA"/>
        </w:rPr>
        <w:t>]</w:t>
      </w:r>
      <w:r w:rsidRPr="00CE0A20">
        <w:rPr>
          <w:rFonts w:ascii="Times New Roman" w:hAnsi="Times New Roman" w:cs="Times New Roman"/>
          <w:color w:val="000000" w:themeColor="text1"/>
          <w:sz w:val="28"/>
          <w:szCs w:val="28"/>
          <w:lang w:val="uk-UA"/>
        </w:rPr>
        <w:t xml:space="preserve">. Дослідження тварин показали, </w:t>
      </w:r>
      <w:r w:rsidR="00876996" w:rsidRPr="00CE0A20">
        <w:rPr>
          <w:rFonts w:ascii="Times New Roman" w:hAnsi="Times New Roman" w:cs="Times New Roman"/>
          <w:color w:val="000000" w:themeColor="text1"/>
          <w:sz w:val="28"/>
          <w:szCs w:val="28"/>
          <w:lang w:val="uk-UA"/>
        </w:rPr>
        <w:t xml:space="preserve">що </w:t>
      </w:r>
      <w:r w:rsidRPr="00CE0A20">
        <w:rPr>
          <w:rFonts w:ascii="Times New Roman" w:hAnsi="Times New Roman" w:cs="Times New Roman"/>
          <w:color w:val="000000" w:themeColor="text1"/>
          <w:sz w:val="28"/>
          <w:szCs w:val="28"/>
          <w:lang w:val="uk-UA"/>
        </w:rPr>
        <w:t xml:space="preserve">тестостерон впливає на структуру та функції нервової системи, активність NO-синтетази та зростання </w:t>
      </w:r>
      <w:r w:rsidR="00876996"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диференціювання гладких м'язів, що сприяють ерекції пеніса [</w:t>
      </w:r>
      <w:r w:rsidRPr="00CE0A20">
        <w:rPr>
          <w:rStyle w:val="mixed-citation"/>
          <w:rFonts w:ascii="Times New Roman" w:hAnsi="Times New Roman" w:cs="Times New Roman"/>
          <w:color w:val="000000" w:themeColor="text1"/>
          <w:sz w:val="28"/>
          <w:szCs w:val="28"/>
          <w:lang w:val="uk-UA"/>
        </w:rPr>
        <w:t>353]</w:t>
      </w:r>
      <w:r w:rsidRPr="00CE0A20">
        <w:rPr>
          <w:rFonts w:ascii="Times New Roman" w:hAnsi="Times New Roman" w:cs="Times New Roman"/>
          <w:color w:val="000000" w:themeColor="text1"/>
          <w:sz w:val="28"/>
          <w:szCs w:val="28"/>
          <w:lang w:val="uk-UA"/>
        </w:rPr>
        <w:t>. Розвиток ЕД у хворих з метаболічним синдромом пов’язують з ожирінням. З одного боку, адипоцити, кількість яких збільшується при ожирінні, продукують пептиди, що пригнічують секрецію тестостерону або збільшують його ароматизацію в естрогени, з іншого боку, андрогенний дефіцит посилює метаболічні розлади. Це призводить не тільки до функціональних, але й до структурних уражень статевих органів, зокрема, функціонально активних клітин паренхіми яєчок [87].</w:t>
      </w:r>
    </w:p>
    <w:p w:rsidR="00EB6EBC" w:rsidRPr="00CE0A20" w:rsidRDefault="00EB6EBC" w:rsidP="00EB6EBC">
      <w:pPr>
        <w:shd w:val="clear" w:color="auto" w:fill="FFFFFF"/>
        <w:spacing w:line="360" w:lineRule="auto"/>
        <w:ind w:firstLine="709"/>
        <w:jc w:val="both"/>
        <w:textAlignment w:val="baseline"/>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Регуляція сексуальної функції організму людини, у тому числі еректильної функції у чоловіків, знаходиться під прямим впливом статевих гормонів. Серед них важливе значення має тестостерон, який </w:t>
      </w:r>
      <w:r w:rsidR="00876996" w:rsidRPr="00CE0A20">
        <w:rPr>
          <w:rFonts w:ascii="Times New Roman" w:hAnsi="Times New Roman" w:cs="Times New Roman"/>
          <w:color w:val="000000" w:themeColor="text1"/>
          <w:sz w:val="28"/>
          <w:szCs w:val="28"/>
          <w:lang w:val="uk-UA"/>
        </w:rPr>
        <w:t>ма</w:t>
      </w:r>
      <w:r w:rsidRPr="00CE0A20">
        <w:rPr>
          <w:rFonts w:ascii="Times New Roman" w:hAnsi="Times New Roman" w:cs="Times New Roman"/>
          <w:color w:val="000000" w:themeColor="text1"/>
          <w:sz w:val="28"/>
          <w:szCs w:val="28"/>
          <w:lang w:val="uk-UA"/>
        </w:rPr>
        <w:t>є багат</w:t>
      </w:r>
      <w:r w:rsidR="00876996"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 xml:space="preserve"> ефект</w:t>
      </w:r>
      <w:r w:rsidR="00876996" w:rsidRPr="00CE0A20">
        <w:rPr>
          <w:rFonts w:ascii="Times New Roman" w:hAnsi="Times New Roman" w:cs="Times New Roman"/>
          <w:color w:val="000000" w:themeColor="text1"/>
          <w:sz w:val="28"/>
          <w:szCs w:val="28"/>
          <w:lang w:val="uk-UA"/>
        </w:rPr>
        <w:t>ів</w:t>
      </w:r>
      <w:r w:rsidRPr="00CE0A20">
        <w:rPr>
          <w:rFonts w:ascii="Times New Roman" w:hAnsi="Times New Roman" w:cs="Times New Roman"/>
          <w:color w:val="000000" w:themeColor="text1"/>
          <w:sz w:val="28"/>
          <w:szCs w:val="28"/>
          <w:lang w:val="uk-UA"/>
        </w:rPr>
        <w:t>. На цей час вкрай важлив</w:t>
      </w:r>
      <w:r w:rsidR="00876996"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роль тестостерону в життєдіяльності організму людини не викликає сумнівів. Різноманітні ефекти тестостерону зумовлені наявністю кількох шляхів його метаболізму: перший – перетворення </w:t>
      </w:r>
      <w:r w:rsidR="00876996" w:rsidRPr="00CE0A20">
        <w:rPr>
          <w:rFonts w:ascii="Times New Roman" w:hAnsi="Times New Roman" w:cs="Times New Roman"/>
          <w:color w:val="000000" w:themeColor="text1"/>
          <w:sz w:val="28"/>
          <w:szCs w:val="28"/>
          <w:lang w:val="uk-UA"/>
        </w:rPr>
        <w:t>на</w:t>
      </w:r>
      <w:r w:rsidRPr="00CE0A20">
        <w:rPr>
          <w:rFonts w:ascii="Times New Roman" w:hAnsi="Times New Roman" w:cs="Times New Roman"/>
          <w:color w:val="000000" w:themeColor="text1"/>
          <w:sz w:val="28"/>
          <w:szCs w:val="28"/>
          <w:lang w:val="uk-UA"/>
        </w:rPr>
        <w:t xml:space="preserve"> 5α-дегідротестостерон під впливом 5α-редуктази; другий – ароматизація до естрідолу під впливом ароматази та третій – перетворення </w:t>
      </w:r>
      <w:r w:rsidR="00876996" w:rsidRPr="00CE0A20">
        <w:rPr>
          <w:rFonts w:ascii="Times New Roman" w:hAnsi="Times New Roman" w:cs="Times New Roman"/>
          <w:color w:val="000000" w:themeColor="text1"/>
          <w:sz w:val="28"/>
          <w:szCs w:val="28"/>
          <w:lang w:val="uk-UA"/>
        </w:rPr>
        <w:t>на</w:t>
      </w:r>
      <w:r w:rsidRPr="00CE0A20">
        <w:rPr>
          <w:rFonts w:ascii="Times New Roman" w:hAnsi="Times New Roman" w:cs="Times New Roman"/>
          <w:color w:val="000000" w:themeColor="text1"/>
          <w:sz w:val="28"/>
          <w:szCs w:val="28"/>
          <w:lang w:val="uk-UA"/>
        </w:rPr>
        <w:t xml:space="preserve"> гемопоетичні гормони під впливом 5α-редуктази [47]. З цим пов’язані основні ефекти тестостерону, до яких відносять регуляцію сексуального життя та репродуктивної функції, зокрема, розвиток статевих органів, вторинних статевих ознак, підтримання сперматогенезу, еректильної функції, формування та регуляцію лібідо та стеореотипу статевої поведінки – андрогенний вплив [90]. </w:t>
      </w:r>
    </w:p>
    <w:p w:rsidR="00EB6EBC" w:rsidRPr="00CE0A20" w:rsidRDefault="00EB6EBC" w:rsidP="00EB6EBC">
      <w:pPr>
        <w:pStyle w:val="1"/>
        <w:keepNext w:val="0"/>
        <w:keepLines w:val="0"/>
        <w:widowControl w:val="0"/>
        <w:shd w:val="clear" w:color="auto" w:fill="FFFFFF"/>
        <w:spacing w:before="0" w:line="360" w:lineRule="auto"/>
        <w:ind w:firstLine="709"/>
        <w:jc w:val="both"/>
        <w:rPr>
          <w:rStyle w:val="a5"/>
          <w:rFonts w:ascii="Times New Roman" w:hAnsi="Times New Roman" w:cs="Times New Roman"/>
          <w:b w:val="0"/>
          <w:bCs w:val="0"/>
          <w:color w:val="000000" w:themeColor="text1"/>
          <w:lang w:val="uk-UA"/>
        </w:rPr>
      </w:pPr>
      <w:r w:rsidRPr="00CE0A20">
        <w:rPr>
          <w:rFonts w:ascii="Times New Roman" w:hAnsi="Times New Roman" w:cs="Times New Roman"/>
          <w:b w:val="0"/>
          <w:bCs w:val="0"/>
          <w:color w:val="000000" w:themeColor="text1"/>
          <w:lang w:val="uk-UA"/>
        </w:rPr>
        <w:t xml:space="preserve">Залежність еректильної функції від рівня тестостерону отримала багато доказів </w:t>
      </w:r>
      <w:r w:rsidR="00876996" w:rsidRPr="00CE0A20">
        <w:rPr>
          <w:rFonts w:ascii="Times New Roman" w:hAnsi="Times New Roman" w:cs="Times New Roman"/>
          <w:b w:val="0"/>
          <w:bCs w:val="0"/>
          <w:color w:val="000000" w:themeColor="text1"/>
          <w:lang w:val="uk-UA"/>
        </w:rPr>
        <w:t xml:space="preserve">як </w:t>
      </w:r>
      <w:r w:rsidRPr="00CE0A20">
        <w:rPr>
          <w:rFonts w:ascii="Times New Roman" w:hAnsi="Times New Roman" w:cs="Times New Roman"/>
          <w:b w:val="0"/>
          <w:bCs w:val="0"/>
          <w:color w:val="000000" w:themeColor="text1"/>
          <w:lang w:val="uk-UA"/>
        </w:rPr>
        <w:t xml:space="preserve">в експериментальних дослідженнях з фізіології та молекулярної біології статевого акту, так </w:t>
      </w:r>
      <w:r w:rsidR="00876996" w:rsidRPr="00CE0A20">
        <w:rPr>
          <w:rFonts w:ascii="Times New Roman" w:hAnsi="Times New Roman" w:cs="Times New Roman"/>
          <w:b w:val="0"/>
          <w:bCs w:val="0"/>
          <w:color w:val="000000" w:themeColor="text1"/>
          <w:lang w:val="uk-UA"/>
        </w:rPr>
        <w:t>і</w:t>
      </w:r>
      <w:r w:rsidRPr="00CE0A20">
        <w:rPr>
          <w:rFonts w:ascii="Times New Roman" w:hAnsi="Times New Roman" w:cs="Times New Roman"/>
          <w:b w:val="0"/>
          <w:bCs w:val="0"/>
          <w:color w:val="000000" w:themeColor="text1"/>
          <w:lang w:val="uk-UA"/>
        </w:rPr>
        <w:t xml:space="preserve"> в дослідженнях щодо впливу дефіциту тестостерону на тканини пеніс</w:t>
      </w:r>
      <w:r w:rsidR="00876996" w:rsidRPr="00CE0A20">
        <w:rPr>
          <w:rFonts w:ascii="Times New Roman" w:hAnsi="Times New Roman" w:cs="Times New Roman"/>
          <w:b w:val="0"/>
          <w:bCs w:val="0"/>
          <w:color w:val="000000" w:themeColor="text1"/>
          <w:lang w:val="uk-UA"/>
        </w:rPr>
        <w:t>а</w:t>
      </w:r>
      <w:r w:rsidRPr="00CE0A20">
        <w:rPr>
          <w:rFonts w:ascii="Times New Roman" w:hAnsi="Times New Roman" w:cs="Times New Roman"/>
          <w:b w:val="0"/>
          <w:bCs w:val="0"/>
          <w:color w:val="000000" w:themeColor="text1"/>
          <w:lang w:val="uk-UA"/>
        </w:rPr>
        <w:t xml:space="preserve">. Доведено існування рецепторів андрогенів </w:t>
      </w:r>
      <w:r w:rsidR="00876996" w:rsidRPr="00CE0A20">
        <w:rPr>
          <w:rFonts w:ascii="Times New Roman" w:hAnsi="Times New Roman" w:cs="Times New Roman"/>
          <w:b w:val="0"/>
          <w:bCs w:val="0"/>
          <w:color w:val="000000" w:themeColor="text1"/>
          <w:lang w:val="uk-UA"/>
        </w:rPr>
        <w:t>у</w:t>
      </w:r>
      <w:r w:rsidRPr="00CE0A20">
        <w:rPr>
          <w:rFonts w:ascii="Times New Roman" w:hAnsi="Times New Roman" w:cs="Times New Roman"/>
          <w:b w:val="0"/>
          <w:bCs w:val="0"/>
          <w:color w:val="000000" w:themeColor="text1"/>
          <w:lang w:val="uk-UA"/>
        </w:rPr>
        <w:t xml:space="preserve"> кавернозних тілах пеніс</w:t>
      </w:r>
      <w:r w:rsidR="00876996" w:rsidRPr="00CE0A20">
        <w:rPr>
          <w:rFonts w:ascii="Times New Roman" w:hAnsi="Times New Roman" w:cs="Times New Roman"/>
          <w:b w:val="0"/>
          <w:bCs w:val="0"/>
          <w:color w:val="000000" w:themeColor="text1"/>
          <w:lang w:val="uk-UA"/>
        </w:rPr>
        <w:t>а</w:t>
      </w:r>
      <w:r w:rsidRPr="00CE0A20">
        <w:rPr>
          <w:rFonts w:ascii="Times New Roman" w:hAnsi="Times New Roman" w:cs="Times New Roman"/>
          <w:b w:val="0"/>
          <w:bCs w:val="0"/>
          <w:color w:val="000000" w:themeColor="text1"/>
          <w:lang w:val="uk-UA"/>
        </w:rPr>
        <w:t xml:space="preserve"> та наявність андрогенного впливу на активність NO-синтетази. Хоча немає чітких даних про безпосередній вплив андрогенів та кавернозні тіла, але виявлено безсумнівний вплив їх дефіциту на якість ерекції [266]. Андрогени </w:t>
      </w:r>
      <w:r w:rsidR="00876996" w:rsidRPr="00CE0A20">
        <w:rPr>
          <w:rFonts w:ascii="Times New Roman" w:hAnsi="Times New Roman" w:cs="Times New Roman"/>
          <w:b w:val="0"/>
          <w:bCs w:val="0"/>
          <w:color w:val="000000" w:themeColor="text1"/>
          <w:lang w:val="uk-UA"/>
        </w:rPr>
        <w:t>віді</w:t>
      </w:r>
      <w:r w:rsidRPr="00CE0A20">
        <w:rPr>
          <w:rFonts w:ascii="Times New Roman" w:hAnsi="Times New Roman" w:cs="Times New Roman"/>
          <w:b w:val="0"/>
          <w:bCs w:val="0"/>
          <w:color w:val="000000" w:themeColor="text1"/>
          <w:lang w:val="uk-UA"/>
        </w:rPr>
        <w:t>грають значну роль у модуляції тканинної архітектури та функції пеніс</w:t>
      </w:r>
      <w:r w:rsidR="00876996" w:rsidRPr="00CE0A20">
        <w:rPr>
          <w:rFonts w:ascii="Times New Roman" w:hAnsi="Times New Roman" w:cs="Times New Roman"/>
          <w:b w:val="0"/>
          <w:bCs w:val="0"/>
          <w:color w:val="000000" w:themeColor="text1"/>
          <w:lang w:val="uk-UA"/>
        </w:rPr>
        <w:t>а</w:t>
      </w:r>
      <w:r w:rsidRPr="00CE0A20">
        <w:rPr>
          <w:rFonts w:ascii="Times New Roman" w:hAnsi="Times New Roman" w:cs="Times New Roman"/>
          <w:b w:val="0"/>
          <w:bCs w:val="0"/>
          <w:color w:val="000000" w:themeColor="text1"/>
          <w:lang w:val="uk-UA"/>
        </w:rPr>
        <w:t>, зокрема, периферійної нервової системи, кавернозних тіл, білкової оболонки та ендотелію кавернозних просторів, а також у регуляції диференціації клітин-попередників у функціональні гладком’язові клітини [355]. В експериментальному дослідженні в</w:t>
      </w:r>
      <w:r w:rsidR="003F4250" w:rsidRPr="00CE0A20">
        <w:rPr>
          <w:rFonts w:ascii="Times New Roman" w:hAnsi="Times New Roman" w:cs="Times New Roman"/>
          <w:b w:val="0"/>
          <w:bCs w:val="0"/>
          <w:color w:val="000000" w:themeColor="text1"/>
          <w:lang w:val="uk-UA"/>
        </w:rPr>
        <w:t>изнач</w:t>
      </w:r>
      <w:r w:rsidRPr="00CE0A20">
        <w:rPr>
          <w:rFonts w:ascii="Times New Roman" w:hAnsi="Times New Roman" w:cs="Times New Roman"/>
          <w:b w:val="0"/>
          <w:bCs w:val="0"/>
          <w:color w:val="000000" w:themeColor="text1"/>
          <w:lang w:val="uk-UA"/>
        </w:rPr>
        <w:t xml:space="preserve">ено, що кастрація щурів призводить до зниження еректильної функції, зменшення </w:t>
      </w:r>
      <w:r w:rsidR="003F4250" w:rsidRPr="00CE0A20">
        <w:rPr>
          <w:rFonts w:ascii="Times New Roman" w:hAnsi="Times New Roman" w:cs="Times New Roman"/>
          <w:b w:val="0"/>
          <w:bCs w:val="0"/>
          <w:color w:val="000000" w:themeColor="text1"/>
          <w:lang w:val="uk-UA"/>
        </w:rPr>
        <w:t xml:space="preserve">рівня </w:t>
      </w:r>
      <w:r w:rsidRPr="00CE0A20">
        <w:rPr>
          <w:rFonts w:ascii="Times New Roman" w:hAnsi="Times New Roman" w:cs="Times New Roman"/>
          <w:b w:val="0"/>
          <w:bCs w:val="0"/>
          <w:color w:val="000000" w:themeColor="text1"/>
          <w:lang w:val="uk-UA"/>
        </w:rPr>
        <w:t>NO-синтетази, до розвитку фіброзу кавернозної тканини пеніс</w:t>
      </w:r>
      <w:r w:rsidR="003F4250" w:rsidRPr="00CE0A20">
        <w:rPr>
          <w:rFonts w:ascii="Times New Roman" w:hAnsi="Times New Roman" w:cs="Times New Roman"/>
          <w:b w:val="0"/>
          <w:bCs w:val="0"/>
          <w:color w:val="000000" w:themeColor="text1"/>
          <w:lang w:val="uk-UA"/>
        </w:rPr>
        <w:t>а,</w:t>
      </w:r>
      <w:r w:rsidRPr="00CE0A20">
        <w:rPr>
          <w:rFonts w:ascii="Times New Roman" w:hAnsi="Times New Roman" w:cs="Times New Roman"/>
          <w:b w:val="0"/>
          <w:bCs w:val="0"/>
          <w:color w:val="000000" w:themeColor="text1"/>
          <w:lang w:val="uk-UA"/>
        </w:rPr>
        <w:t xml:space="preserve"> зменшенн</w:t>
      </w:r>
      <w:r w:rsidR="003F4250" w:rsidRPr="00CE0A20">
        <w:rPr>
          <w:rFonts w:ascii="Times New Roman" w:hAnsi="Times New Roman" w:cs="Times New Roman"/>
          <w:b w:val="0"/>
          <w:bCs w:val="0"/>
          <w:color w:val="000000" w:themeColor="text1"/>
          <w:lang w:val="uk-UA"/>
        </w:rPr>
        <w:t>я</w:t>
      </w:r>
      <w:r w:rsidRPr="00CE0A20">
        <w:rPr>
          <w:rFonts w:ascii="Times New Roman" w:hAnsi="Times New Roman" w:cs="Times New Roman"/>
          <w:b w:val="0"/>
          <w:bCs w:val="0"/>
          <w:color w:val="000000" w:themeColor="text1"/>
          <w:lang w:val="uk-UA"/>
        </w:rPr>
        <w:t xml:space="preserve"> кількості аутофагосом та до посилення процесів апоптозу кавернозних тіл. При введенні екзогенного тестостерону ці ефекти кастрації були менш значні.  [367]. Показано, що андрогени мають регулюючий вплив на експресію ФДЕ-5 та його функціональну активність </w:t>
      </w:r>
      <w:r w:rsidR="003F4250" w:rsidRPr="00CE0A20">
        <w:rPr>
          <w:rFonts w:ascii="Times New Roman" w:hAnsi="Times New Roman" w:cs="Times New Roman"/>
          <w:b w:val="0"/>
          <w:bCs w:val="0"/>
          <w:color w:val="000000" w:themeColor="text1"/>
          <w:lang w:val="uk-UA"/>
        </w:rPr>
        <w:t>у</w:t>
      </w:r>
      <w:r w:rsidRPr="00CE0A20">
        <w:rPr>
          <w:rFonts w:ascii="Times New Roman" w:hAnsi="Times New Roman" w:cs="Times New Roman"/>
          <w:b w:val="0"/>
          <w:bCs w:val="0"/>
          <w:color w:val="000000" w:themeColor="text1"/>
          <w:lang w:val="uk-UA"/>
        </w:rPr>
        <w:t xml:space="preserve"> кавернозних тілах пеніс</w:t>
      </w:r>
      <w:r w:rsidR="003F4250" w:rsidRPr="00CE0A20">
        <w:rPr>
          <w:rFonts w:ascii="Times New Roman" w:hAnsi="Times New Roman" w:cs="Times New Roman"/>
          <w:b w:val="0"/>
          <w:bCs w:val="0"/>
          <w:color w:val="000000" w:themeColor="text1"/>
          <w:lang w:val="uk-UA"/>
        </w:rPr>
        <w:t>а</w:t>
      </w:r>
      <w:r w:rsidRPr="00CE0A20">
        <w:rPr>
          <w:rFonts w:ascii="Times New Roman" w:hAnsi="Times New Roman" w:cs="Times New Roman"/>
          <w:b w:val="0"/>
          <w:bCs w:val="0"/>
          <w:color w:val="000000" w:themeColor="text1"/>
          <w:lang w:val="uk-UA"/>
        </w:rPr>
        <w:t xml:space="preserve"> [290</w:t>
      </w:r>
      <w:r w:rsidRPr="00CE0A20">
        <w:rPr>
          <w:rStyle w:val="a5"/>
          <w:rFonts w:ascii="Times New Roman" w:hAnsi="Times New Roman" w:cs="Times New Roman"/>
          <w:b w:val="0"/>
          <w:bCs w:val="0"/>
          <w:color w:val="000000" w:themeColor="text1"/>
          <w:lang w:val="uk-UA"/>
        </w:rPr>
        <w:t xml:space="preserve">]. </w:t>
      </w:r>
    </w:p>
    <w:p w:rsidR="00EB6EBC" w:rsidRPr="00CE0A20" w:rsidRDefault="00EB6EBC" w:rsidP="00EB6EBC">
      <w:pPr>
        <w:pStyle w:val="1"/>
        <w:keepNext w:val="0"/>
        <w:keepLines w:val="0"/>
        <w:widowControl w:val="0"/>
        <w:shd w:val="clear" w:color="auto" w:fill="FFFFFF"/>
        <w:spacing w:before="0" w:line="360" w:lineRule="auto"/>
        <w:ind w:firstLine="709"/>
        <w:jc w:val="both"/>
        <w:rPr>
          <w:rFonts w:ascii="Times New Roman" w:hAnsi="Times New Roman" w:cs="Times New Roman"/>
          <w:b w:val="0"/>
          <w:bCs w:val="0"/>
          <w:color w:val="000000" w:themeColor="text1"/>
          <w:lang w:val="uk-UA"/>
        </w:rPr>
      </w:pPr>
      <w:r w:rsidRPr="00CE0A20">
        <w:rPr>
          <w:rFonts w:ascii="Times New Roman" w:hAnsi="Times New Roman" w:cs="Times New Roman"/>
          <w:b w:val="0"/>
          <w:bCs w:val="0"/>
          <w:color w:val="000000" w:themeColor="text1"/>
          <w:lang w:val="uk-UA"/>
        </w:rPr>
        <w:t xml:space="preserve">В експериментальній тваринній моделі показано, що дефіцит тестостерону </w:t>
      </w:r>
      <w:r w:rsidR="003F4250" w:rsidRPr="00CE0A20">
        <w:rPr>
          <w:rFonts w:ascii="Times New Roman" w:hAnsi="Times New Roman" w:cs="Times New Roman"/>
          <w:b w:val="0"/>
          <w:bCs w:val="0"/>
          <w:color w:val="000000" w:themeColor="text1"/>
          <w:lang w:val="uk-UA"/>
        </w:rPr>
        <w:t>спричиняє</w:t>
      </w:r>
      <w:r w:rsidRPr="00CE0A20">
        <w:rPr>
          <w:rFonts w:ascii="Times New Roman" w:hAnsi="Times New Roman" w:cs="Times New Roman"/>
          <w:b w:val="0"/>
          <w:bCs w:val="0"/>
          <w:color w:val="000000" w:themeColor="text1"/>
          <w:lang w:val="uk-UA"/>
        </w:rPr>
        <w:t xml:space="preserve"> атрофі</w:t>
      </w:r>
      <w:r w:rsidR="003F4250" w:rsidRPr="00CE0A20">
        <w:rPr>
          <w:rFonts w:ascii="Times New Roman" w:hAnsi="Times New Roman" w:cs="Times New Roman"/>
          <w:b w:val="0"/>
          <w:bCs w:val="0"/>
          <w:color w:val="000000" w:themeColor="text1"/>
          <w:lang w:val="uk-UA"/>
        </w:rPr>
        <w:t>ю</w:t>
      </w:r>
      <w:r w:rsidRPr="00CE0A20">
        <w:rPr>
          <w:rFonts w:ascii="Times New Roman" w:hAnsi="Times New Roman" w:cs="Times New Roman"/>
          <w:b w:val="0"/>
          <w:bCs w:val="0"/>
          <w:color w:val="000000" w:themeColor="text1"/>
          <w:lang w:val="uk-UA"/>
        </w:rPr>
        <w:t xml:space="preserve"> гладкої мускулатури пеніс</w:t>
      </w:r>
      <w:r w:rsidR="003F4250" w:rsidRPr="00CE0A20">
        <w:rPr>
          <w:rFonts w:ascii="Times New Roman" w:hAnsi="Times New Roman" w:cs="Times New Roman"/>
          <w:b w:val="0"/>
          <w:bCs w:val="0"/>
          <w:color w:val="000000" w:themeColor="text1"/>
          <w:lang w:val="uk-UA"/>
        </w:rPr>
        <w:t>а</w:t>
      </w:r>
      <w:r w:rsidRPr="00CE0A20">
        <w:rPr>
          <w:rFonts w:ascii="Times New Roman" w:hAnsi="Times New Roman" w:cs="Times New Roman"/>
          <w:b w:val="0"/>
          <w:bCs w:val="0"/>
          <w:color w:val="000000" w:themeColor="text1"/>
          <w:lang w:val="uk-UA"/>
        </w:rPr>
        <w:t>, структурних змін ендотелію судин, зменшенн</w:t>
      </w:r>
      <w:r w:rsidR="003F4250" w:rsidRPr="00CE0A20">
        <w:rPr>
          <w:rFonts w:ascii="Times New Roman" w:hAnsi="Times New Roman" w:cs="Times New Roman"/>
          <w:b w:val="0"/>
          <w:bCs w:val="0"/>
          <w:color w:val="000000" w:themeColor="text1"/>
          <w:lang w:val="uk-UA"/>
        </w:rPr>
        <w:t>я</w:t>
      </w:r>
      <w:r w:rsidRPr="00CE0A20">
        <w:rPr>
          <w:rFonts w:ascii="Times New Roman" w:hAnsi="Times New Roman" w:cs="Times New Roman"/>
          <w:b w:val="0"/>
          <w:bCs w:val="0"/>
          <w:color w:val="000000" w:themeColor="text1"/>
          <w:lang w:val="uk-UA"/>
        </w:rPr>
        <w:t xml:space="preserve"> кількості трабекул </w:t>
      </w:r>
      <w:r w:rsidR="003F4250" w:rsidRPr="00CE0A20">
        <w:rPr>
          <w:rFonts w:ascii="Times New Roman" w:hAnsi="Times New Roman" w:cs="Times New Roman"/>
          <w:b w:val="0"/>
          <w:bCs w:val="0"/>
          <w:color w:val="000000" w:themeColor="text1"/>
          <w:lang w:val="uk-UA"/>
        </w:rPr>
        <w:t>у</w:t>
      </w:r>
      <w:r w:rsidRPr="00CE0A20">
        <w:rPr>
          <w:rFonts w:ascii="Times New Roman" w:hAnsi="Times New Roman" w:cs="Times New Roman"/>
          <w:b w:val="0"/>
          <w:bCs w:val="0"/>
          <w:color w:val="000000" w:themeColor="text1"/>
          <w:lang w:val="uk-UA"/>
        </w:rPr>
        <w:t xml:space="preserve"> гладких м’язах, збільшенн</w:t>
      </w:r>
      <w:r w:rsidR="003F4250" w:rsidRPr="00CE0A20">
        <w:rPr>
          <w:rFonts w:ascii="Times New Roman" w:hAnsi="Times New Roman" w:cs="Times New Roman"/>
          <w:b w:val="0"/>
          <w:bCs w:val="0"/>
          <w:color w:val="000000" w:themeColor="text1"/>
          <w:lang w:val="uk-UA"/>
        </w:rPr>
        <w:t>я</w:t>
      </w:r>
      <w:r w:rsidRPr="00CE0A20">
        <w:rPr>
          <w:rFonts w:ascii="Times New Roman" w:hAnsi="Times New Roman" w:cs="Times New Roman"/>
          <w:b w:val="0"/>
          <w:bCs w:val="0"/>
          <w:color w:val="000000" w:themeColor="text1"/>
          <w:lang w:val="uk-UA"/>
        </w:rPr>
        <w:t xml:space="preserve"> позаклитинної матриці та накопиченн</w:t>
      </w:r>
      <w:r w:rsidR="003F4250" w:rsidRPr="00CE0A20">
        <w:rPr>
          <w:rFonts w:ascii="Times New Roman" w:hAnsi="Times New Roman" w:cs="Times New Roman"/>
          <w:b w:val="0"/>
          <w:bCs w:val="0"/>
          <w:color w:val="000000" w:themeColor="text1"/>
          <w:lang w:val="uk-UA"/>
        </w:rPr>
        <w:t>я</w:t>
      </w:r>
      <w:r w:rsidRPr="00CE0A20">
        <w:rPr>
          <w:rFonts w:ascii="Times New Roman" w:hAnsi="Times New Roman" w:cs="Times New Roman"/>
          <w:b w:val="0"/>
          <w:bCs w:val="0"/>
          <w:color w:val="000000" w:themeColor="text1"/>
          <w:lang w:val="uk-UA"/>
        </w:rPr>
        <w:t xml:space="preserve"> адипоцитів </w:t>
      </w:r>
      <w:r w:rsidR="003F4250" w:rsidRPr="00CE0A20">
        <w:rPr>
          <w:rFonts w:ascii="Times New Roman" w:hAnsi="Times New Roman" w:cs="Times New Roman"/>
          <w:b w:val="0"/>
          <w:bCs w:val="0"/>
          <w:color w:val="000000" w:themeColor="text1"/>
          <w:lang w:val="uk-UA"/>
        </w:rPr>
        <w:t>у</w:t>
      </w:r>
      <w:r w:rsidRPr="00CE0A20">
        <w:rPr>
          <w:rFonts w:ascii="Times New Roman" w:hAnsi="Times New Roman" w:cs="Times New Roman"/>
          <w:b w:val="0"/>
          <w:bCs w:val="0"/>
          <w:color w:val="000000" w:themeColor="text1"/>
          <w:lang w:val="uk-UA"/>
        </w:rPr>
        <w:t xml:space="preserve"> підоболонковому просторі кавернозного тіла. Також </w:t>
      </w:r>
      <w:r w:rsidR="003F4250" w:rsidRPr="00CE0A20">
        <w:rPr>
          <w:rFonts w:ascii="Times New Roman" w:hAnsi="Times New Roman" w:cs="Times New Roman"/>
          <w:b w:val="0"/>
          <w:bCs w:val="0"/>
          <w:color w:val="000000" w:themeColor="text1"/>
          <w:lang w:val="uk-UA"/>
        </w:rPr>
        <w:t>з’ясова</w:t>
      </w:r>
      <w:r w:rsidRPr="00CE0A20">
        <w:rPr>
          <w:rFonts w:ascii="Times New Roman" w:hAnsi="Times New Roman" w:cs="Times New Roman"/>
          <w:b w:val="0"/>
          <w:bCs w:val="0"/>
          <w:color w:val="000000" w:themeColor="text1"/>
          <w:lang w:val="uk-UA"/>
        </w:rPr>
        <w:t>но, що дефіцит андрогенів зменшує експресію та ферментативну активність NO-синтетази та ФЕД-5 [349].</w:t>
      </w:r>
    </w:p>
    <w:p w:rsidR="00EB6EBC" w:rsidRPr="00CE0A20" w:rsidRDefault="00EB6EBC" w:rsidP="00EB6EBC">
      <w:pPr>
        <w:spacing w:line="360" w:lineRule="auto"/>
        <w:ind w:firstLine="709"/>
        <w:jc w:val="both"/>
        <w:outlineLvl w:val="0"/>
        <w:rPr>
          <w:rFonts w:ascii="Times New Roman" w:hAnsi="Times New Roman" w:cs="Times New Roman"/>
          <w:color w:val="000000" w:themeColor="text1"/>
          <w:kern w:val="36"/>
          <w:sz w:val="28"/>
          <w:szCs w:val="28"/>
          <w:lang w:val="uk-UA"/>
        </w:rPr>
      </w:pPr>
      <w:r w:rsidRPr="00CE0A20">
        <w:rPr>
          <w:rFonts w:ascii="Times New Roman" w:hAnsi="Times New Roman" w:cs="Times New Roman"/>
          <w:color w:val="000000" w:themeColor="text1"/>
          <w:sz w:val="28"/>
          <w:szCs w:val="28"/>
          <w:lang w:val="uk-UA"/>
        </w:rPr>
        <w:t>У нещодавньому дослідженні було показано, що дефіцит тестостерону призводить до погіршення реактивності та структури внутрішніх пудендальних артерій, які забезпечують артеріальний крово</w:t>
      </w:r>
      <w:r w:rsidR="003F4250" w:rsidRPr="00CE0A20">
        <w:rPr>
          <w:rFonts w:ascii="Times New Roman" w:hAnsi="Times New Roman" w:cs="Times New Roman"/>
          <w:color w:val="000000" w:themeColor="text1"/>
          <w:sz w:val="28"/>
          <w:szCs w:val="28"/>
          <w:lang w:val="uk-UA"/>
        </w:rPr>
        <w:t>плин</w:t>
      </w:r>
      <w:r w:rsidRPr="00CE0A20">
        <w:rPr>
          <w:rFonts w:ascii="Times New Roman" w:hAnsi="Times New Roman" w:cs="Times New Roman"/>
          <w:color w:val="000000" w:themeColor="text1"/>
          <w:sz w:val="28"/>
          <w:szCs w:val="28"/>
          <w:lang w:val="uk-UA"/>
        </w:rPr>
        <w:t xml:space="preserve"> статевого член</w:t>
      </w:r>
      <w:r w:rsidR="003F4250"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В</w:t>
      </w:r>
      <w:r w:rsidR="003F4250" w:rsidRPr="00CE0A20">
        <w:rPr>
          <w:rFonts w:ascii="Times New Roman" w:hAnsi="Times New Roman" w:cs="Times New Roman"/>
          <w:color w:val="000000" w:themeColor="text1"/>
          <w:sz w:val="28"/>
          <w:szCs w:val="28"/>
          <w:lang w:val="uk-UA"/>
        </w:rPr>
        <w:t>изначе</w:t>
      </w:r>
      <w:r w:rsidRPr="00CE0A20">
        <w:rPr>
          <w:rFonts w:ascii="Times New Roman" w:hAnsi="Times New Roman" w:cs="Times New Roman"/>
          <w:color w:val="000000" w:themeColor="text1"/>
          <w:sz w:val="28"/>
          <w:szCs w:val="28"/>
          <w:lang w:val="uk-UA"/>
        </w:rPr>
        <w:t xml:space="preserve">но, що це пов’язано зі зменшенням експресії NO-синтетази та α-актину та збільшенням експресії колагену, фосфорилювання Р38 та з розщепленням каспази. Як наслідок цього зменшується внутрішній та зовнішній діаметри </w:t>
      </w:r>
      <w:r w:rsidR="003F4250"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товщина стінки цих артерій. Автори вважають, що судинна дисфункція при гіпогонадизмі пов’язана з гіпотрофічним ремоделюванням артерій [137]. Також в</w:t>
      </w:r>
      <w:r w:rsidR="003F4250" w:rsidRPr="00CE0A20">
        <w:rPr>
          <w:rFonts w:ascii="Times New Roman" w:hAnsi="Times New Roman" w:cs="Times New Roman"/>
          <w:color w:val="000000" w:themeColor="text1"/>
          <w:sz w:val="28"/>
          <w:szCs w:val="28"/>
          <w:lang w:val="uk-UA"/>
        </w:rPr>
        <w:t>иявл</w:t>
      </w:r>
      <w:r w:rsidRPr="00CE0A20">
        <w:rPr>
          <w:rFonts w:ascii="Times New Roman" w:hAnsi="Times New Roman" w:cs="Times New Roman"/>
          <w:color w:val="000000" w:themeColor="text1"/>
          <w:sz w:val="28"/>
          <w:szCs w:val="28"/>
          <w:lang w:val="uk-UA"/>
        </w:rPr>
        <w:t>ено, що гіпогонадизм може викликати венооклюзивну дисфункцію через структурні та біохімічні зміни кавернозної тканини [193].</w:t>
      </w:r>
    </w:p>
    <w:p w:rsidR="00EB6EBC" w:rsidRPr="00CE0A20" w:rsidRDefault="00EB6EBC" w:rsidP="00EB6EBC">
      <w:pPr>
        <w:widowControl w:val="0"/>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Крім цього, с</w:t>
      </w:r>
      <w:r w:rsidRPr="00CE0A20">
        <w:rPr>
          <w:rFonts w:ascii="Times New Roman" w:hAnsi="Times New Roman" w:cs="Times New Roman"/>
          <w:color w:val="000000" w:themeColor="text1"/>
          <w:sz w:val="28"/>
          <w:szCs w:val="28"/>
          <w:shd w:val="clear" w:color="auto" w:fill="FFFFFF"/>
          <w:lang w:val="uk-UA"/>
        </w:rPr>
        <w:t xml:space="preserve">татеві гормони значно впливають на когнітивні функції  і є важливими у виникненні сексуального бажання. Тому одним з проявів гіпогонадизму є зменшення лібідо. </w:t>
      </w:r>
      <w:r w:rsidR="003F4250" w:rsidRPr="00CE0A20">
        <w:rPr>
          <w:rFonts w:ascii="Times New Roman" w:hAnsi="Times New Roman" w:cs="Times New Roman"/>
          <w:color w:val="000000" w:themeColor="text1"/>
          <w:sz w:val="28"/>
          <w:szCs w:val="28"/>
          <w:shd w:val="clear" w:color="auto" w:fill="FFFFFF"/>
          <w:lang w:val="uk-UA"/>
        </w:rPr>
        <w:t>До</w:t>
      </w:r>
      <w:r w:rsidRPr="00CE0A20">
        <w:rPr>
          <w:rFonts w:ascii="Times New Roman" w:hAnsi="Times New Roman" w:cs="Times New Roman"/>
          <w:color w:val="000000" w:themeColor="text1"/>
          <w:sz w:val="28"/>
          <w:szCs w:val="28"/>
          <w:shd w:val="clear" w:color="auto" w:fill="FFFFFF"/>
          <w:lang w:val="uk-UA"/>
        </w:rPr>
        <w:t xml:space="preserve"> того</w:t>
      </w:r>
      <w:r w:rsidR="003F4250" w:rsidRPr="00CE0A20">
        <w:rPr>
          <w:rFonts w:ascii="Times New Roman" w:hAnsi="Times New Roman" w:cs="Times New Roman"/>
          <w:color w:val="000000" w:themeColor="text1"/>
          <w:sz w:val="28"/>
          <w:szCs w:val="28"/>
          <w:shd w:val="clear" w:color="auto" w:fill="FFFFFF"/>
          <w:lang w:val="uk-UA"/>
        </w:rPr>
        <w:t xml:space="preserve"> ж</w:t>
      </w:r>
      <w:r w:rsidRPr="00CE0A20">
        <w:rPr>
          <w:rFonts w:ascii="Times New Roman" w:hAnsi="Times New Roman" w:cs="Times New Roman"/>
          <w:color w:val="000000" w:themeColor="text1"/>
          <w:sz w:val="28"/>
          <w:szCs w:val="28"/>
          <w:shd w:val="clear" w:color="auto" w:fill="FFFFFF"/>
          <w:lang w:val="uk-UA"/>
        </w:rPr>
        <w:t>, андрогени також діють периферично, зберігаючи цілісність структур статевого член</w:t>
      </w:r>
      <w:r w:rsidR="003F4250" w:rsidRPr="00CE0A20">
        <w:rPr>
          <w:rFonts w:ascii="Times New Roman" w:hAnsi="Times New Roman" w:cs="Times New Roman"/>
          <w:color w:val="000000" w:themeColor="text1"/>
          <w:sz w:val="28"/>
          <w:szCs w:val="28"/>
          <w:shd w:val="clear" w:color="auto" w:fill="FFFFFF"/>
          <w:lang w:val="uk-UA"/>
        </w:rPr>
        <w:t>а</w:t>
      </w:r>
      <w:r w:rsidRPr="00CE0A20">
        <w:rPr>
          <w:rFonts w:ascii="Times New Roman" w:hAnsi="Times New Roman" w:cs="Times New Roman"/>
          <w:color w:val="000000" w:themeColor="text1"/>
          <w:sz w:val="28"/>
          <w:szCs w:val="28"/>
          <w:shd w:val="clear" w:color="auto" w:fill="FFFFFF"/>
          <w:lang w:val="uk-UA"/>
        </w:rPr>
        <w:t xml:space="preserve"> та полегшуючи еректильні механізми. Тяжкий дефіцит андрогенів </w:t>
      </w:r>
      <w:r w:rsidR="003F4250" w:rsidRPr="00CE0A20">
        <w:rPr>
          <w:rFonts w:ascii="Times New Roman" w:hAnsi="Times New Roman" w:cs="Times New Roman"/>
          <w:color w:val="000000" w:themeColor="text1"/>
          <w:sz w:val="28"/>
          <w:szCs w:val="28"/>
          <w:shd w:val="clear" w:color="auto" w:fill="FFFFFF"/>
          <w:lang w:val="uk-UA"/>
        </w:rPr>
        <w:t>спричиняє</w:t>
      </w:r>
      <w:r w:rsidRPr="00CE0A20">
        <w:rPr>
          <w:rFonts w:ascii="Times New Roman" w:hAnsi="Times New Roman" w:cs="Times New Roman"/>
          <w:color w:val="000000" w:themeColor="text1"/>
          <w:sz w:val="28"/>
          <w:szCs w:val="28"/>
          <w:shd w:val="clear" w:color="auto" w:fill="FFFFFF"/>
          <w:lang w:val="uk-UA"/>
        </w:rPr>
        <w:t xml:space="preserve"> анатомічн</w:t>
      </w:r>
      <w:r w:rsidR="003F4250" w:rsidRPr="00CE0A20">
        <w:rPr>
          <w:rFonts w:ascii="Times New Roman" w:hAnsi="Times New Roman" w:cs="Times New Roman"/>
          <w:color w:val="000000" w:themeColor="text1"/>
          <w:sz w:val="28"/>
          <w:szCs w:val="28"/>
          <w:shd w:val="clear" w:color="auto" w:fill="FFFFFF"/>
          <w:lang w:val="uk-UA"/>
        </w:rPr>
        <w:t>і</w:t>
      </w:r>
      <w:r w:rsidRPr="00CE0A20">
        <w:rPr>
          <w:rFonts w:ascii="Times New Roman" w:hAnsi="Times New Roman" w:cs="Times New Roman"/>
          <w:color w:val="000000" w:themeColor="text1"/>
          <w:sz w:val="28"/>
          <w:szCs w:val="28"/>
          <w:shd w:val="clear" w:color="auto" w:fill="FFFFFF"/>
          <w:lang w:val="uk-UA"/>
        </w:rPr>
        <w:t xml:space="preserve"> та гемодинамічн</w:t>
      </w:r>
      <w:r w:rsidR="003F4250" w:rsidRPr="00CE0A20">
        <w:rPr>
          <w:rFonts w:ascii="Times New Roman" w:hAnsi="Times New Roman" w:cs="Times New Roman"/>
          <w:color w:val="000000" w:themeColor="text1"/>
          <w:sz w:val="28"/>
          <w:szCs w:val="28"/>
          <w:shd w:val="clear" w:color="auto" w:fill="FFFFFF"/>
          <w:lang w:val="uk-UA"/>
        </w:rPr>
        <w:t>і</w:t>
      </w:r>
      <w:r w:rsidRPr="00CE0A20">
        <w:rPr>
          <w:rFonts w:ascii="Times New Roman" w:hAnsi="Times New Roman" w:cs="Times New Roman"/>
          <w:color w:val="000000" w:themeColor="text1"/>
          <w:sz w:val="28"/>
          <w:szCs w:val="28"/>
          <w:shd w:val="clear" w:color="auto" w:fill="FFFFFF"/>
          <w:lang w:val="uk-UA"/>
        </w:rPr>
        <w:t xml:space="preserve"> змін</w:t>
      </w:r>
      <w:r w:rsidR="003F4250" w:rsidRPr="00CE0A20">
        <w:rPr>
          <w:rFonts w:ascii="Times New Roman" w:hAnsi="Times New Roman" w:cs="Times New Roman"/>
          <w:color w:val="000000" w:themeColor="text1"/>
          <w:sz w:val="28"/>
          <w:szCs w:val="28"/>
          <w:shd w:val="clear" w:color="auto" w:fill="FFFFFF"/>
          <w:lang w:val="uk-UA"/>
        </w:rPr>
        <w:t>и</w:t>
      </w:r>
      <w:r w:rsidRPr="00CE0A20">
        <w:rPr>
          <w:rFonts w:ascii="Times New Roman" w:hAnsi="Times New Roman" w:cs="Times New Roman"/>
          <w:color w:val="000000" w:themeColor="text1"/>
          <w:sz w:val="28"/>
          <w:szCs w:val="28"/>
          <w:shd w:val="clear" w:color="auto" w:fill="FFFFFF"/>
          <w:lang w:val="uk-UA"/>
        </w:rPr>
        <w:t xml:space="preserve">, що </w:t>
      </w:r>
      <w:r w:rsidR="003F4250" w:rsidRPr="00CE0A20">
        <w:rPr>
          <w:rFonts w:ascii="Times New Roman" w:hAnsi="Times New Roman" w:cs="Times New Roman"/>
          <w:color w:val="000000" w:themeColor="text1"/>
          <w:sz w:val="28"/>
          <w:szCs w:val="28"/>
          <w:shd w:val="clear" w:color="auto" w:fill="FFFFFF"/>
          <w:lang w:val="uk-UA"/>
        </w:rPr>
        <w:t>викликають</w:t>
      </w:r>
      <w:r w:rsidRPr="00CE0A20">
        <w:rPr>
          <w:rFonts w:ascii="Times New Roman" w:hAnsi="Times New Roman" w:cs="Times New Roman"/>
          <w:color w:val="000000" w:themeColor="text1"/>
          <w:sz w:val="28"/>
          <w:szCs w:val="28"/>
          <w:shd w:val="clear" w:color="auto" w:fill="FFFFFF"/>
          <w:lang w:val="uk-UA"/>
        </w:rPr>
        <w:t xml:space="preserve"> ЕД [288</w:t>
      </w:r>
      <w:r w:rsidRPr="00CE0A20">
        <w:rPr>
          <w:rFonts w:ascii="Times New Roman" w:hAnsi="Times New Roman" w:cs="Times New Roman"/>
          <w:color w:val="000000" w:themeColor="text1"/>
          <w:sz w:val="28"/>
          <w:szCs w:val="28"/>
          <w:lang w:val="uk-UA"/>
        </w:rPr>
        <w:t>].</w:t>
      </w:r>
    </w:p>
    <w:p w:rsidR="00EB6EBC" w:rsidRPr="00CE0A20" w:rsidRDefault="00EB6EBC" w:rsidP="00EB6EBC">
      <w:pPr>
        <w:shd w:val="clear" w:color="auto" w:fill="FFFFFF"/>
        <w:spacing w:line="360" w:lineRule="auto"/>
        <w:ind w:firstLine="709"/>
        <w:jc w:val="both"/>
        <w:textAlignment w:val="baseline"/>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Іншим важливим ефектом тестостерону є метаболічний – підтримка м’язової маси, щільності кісткової тканини, участь у ліпідному, вуглеводному та білковому метаболізмі, гемопоезі та формуванні психофізіології [35; 47]. До метаболічних ефектів тестостерону відносять вплив на інсуліно</w:t>
      </w:r>
      <w:r w:rsidRPr="00CE0A20">
        <w:rPr>
          <w:rFonts w:ascii="Times New Roman" w:hAnsi="Times New Roman" w:cs="Times New Roman"/>
          <w:color w:val="000000" w:themeColor="text1"/>
          <w:sz w:val="28"/>
          <w:szCs w:val="28"/>
          <w:lang w:val="uk-UA"/>
        </w:rPr>
        <w:softHyphen/>
        <w:t>резистентність, гомеостаз глюкози та ліпідний обмін. Ці ефекти пов’язують з його спроможністю підвищувати експресію інсулінового рецептора, субстрату інсулінового рецептора IRS, мембранного транспортера глюкози GLUT4 та інтенсивність реакцій фосфорилювання [310]</w:t>
      </w:r>
      <w:r w:rsidR="003F4250"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r w:rsidR="003F4250" w:rsidRPr="00CE0A20">
        <w:rPr>
          <w:rFonts w:ascii="Times New Roman" w:hAnsi="Times New Roman" w:cs="Times New Roman"/>
          <w:color w:val="000000" w:themeColor="text1"/>
          <w:sz w:val="28"/>
          <w:szCs w:val="28"/>
          <w:lang w:val="uk-UA"/>
        </w:rPr>
        <w:t>т</w:t>
      </w:r>
      <w:r w:rsidRPr="00CE0A20">
        <w:rPr>
          <w:rFonts w:ascii="Times New Roman" w:hAnsi="Times New Roman" w:cs="Times New Roman"/>
          <w:color w:val="000000" w:themeColor="text1"/>
          <w:sz w:val="28"/>
          <w:szCs w:val="28"/>
          <w:lang w:val="uk-UA"/>
        </w:rPr>
        <w:t>обто тестостерон може безпосередньо модулювати інсулінорезистентність [</w:t>
      </w:r>
      <w:r w:rsidRPr="00CE0A20">
        <w:rPr>
          <w:rStyle w:val="mixed-citation"/>
          <w:rFonts w:ascii="Times New Roman" w:hAnsi="Times New Roman" w:cs="Times New Roman"/>
          <w:color w:val="000000" w:themeColor="text1"/>
          <w:sz w:val="28"/>
          <w:szCs w:val="28"/>
          <w:lang w:val="uk-UA"/>
        </w:rPr>
        <w:t>377]</w:t>
      </w:r>
      <w:r w:rsidRPr="00CE0A20">
        <w:rPr>
          <w:rFonts w:ascii="Times New Roman" w:hAnsi="Times New Roman" w:cs="Times New Roman"/>
          <w:color w:val="000000" w:themeColor="text1"/>
          <w:sz w:val="28"/>
          <w:szCs w:val="28"/>
          <w:lang w:val="uk-UA"/>
        </w:rPr>
        <w:t xml:space="preserve">.  Крім того, циркулюючий  тестостерон </w:t>
      </w:r>
      <w:r w:rsidR="003F4250" w:rsidRPr="00CE0A20">
        <w:rPr>
          <w:rFonts w:ascii="Times New Roman" w:hAnsi="Times New Roman" w:cs="Times New Roman"/>
          <w:color w:val="000000" w:themeColor="text1"/>
          <w:sz w:val="28"/>
          <w:szCs w:val="28"/>
          <w:lang w:val="uk-UA"/>
        </w:rPr>
        <w:t>віді</w:t>
      </w:r>
      <w:r w:rsidRPr="00CE0A20">
        <w:rPr>
          <w:rFonts w:ascii="Times New Roman" w:hAnsi="Times New Roman" w:cs="Times New Roman"/>
          <w:color w:val="000000" w:themeColor="text1"/>
          <w:sz w:val="28"/>
          <w:szCs w:val="28"/>
          <w:lang w:val="uk-UA"/>
        </w:rPr>
        <w:t>грає вирішальну роль у регуляції складу тіла за рахунок підтримки м'язової маси та зменшення маси жиру [195], що частково пояснюється впливом на диференціювання стовбурових кліт</w:t>
      </w:r>
      <w:r w:rsidR="003F4250" w:rsidRPr="00CE0A20">
        <w:rPr>
          <w:rFonts w:ascii="Times New Roman" w:hAnsi="Times New Roman" w:cs="Times New Roman"/>
          <w:color w:val="000000" w:themeColor="text1"/>
          <w:sz w:val="28"/>
          <w:szCs w:val="28"/>
          <w:lang w:val="uk-UA"/>
        </w:rPr>
        <w:t>ин</w:t>
      </w:r>
      <w:r w:rsidRPr="00CE0A20">
        <w:rPr>
          <w:rFonts w:ascii="Times New Roman" w:hAnsi="Times New Roman" w:cs="Times New Roman"/>
          <w:color w:val="000000" w:themeColor="text1"/>
          <w:sz w:val="28"/>
          <w:szCs w:val="28"/>
          <w:lang w:val="uk-UA"/>
        </w:rPr>
        <w:t xml:space="preserve"> [312]. Також до</w:t>
      </w:r>
      <w:r w:rsidR="003F4250" w:rsidRPr="00CE0A20">
        <w:rPr>
          <w:rFonts w:ascii="Times New Roman" w:hAnsi="Times New Roman" w:cs="Times New Roman"/>
          <w:color w:val="000000" w:themeColor="text1"/>
          <w:sz w:val="28"/>
          <w:szCs w:val="28"/>
          <w:lang w:val="uk-UA"/>
        </w:rPr>
        <w:t>веден</w:t>
      </w:r>
      <w:r w:rsidRPr="00CE0A20">
        <w:rPr>
          <w:rFonts w:ascii="Times New Roman" w:hAnsi="Times New Roman" w:cs="Times New Roman"/>
          <w:color w:val="000000" w:themeColor="text1"/>
          <w:sz w:val="28"/>
          <w:szCs w:val="28"/>
          <w:lang w:val="uk-UA"/>
        </w:rPr>
        <w:t>о, що статеві гормони також регулюють фізичну активність, сприяють адаптації до фізичних вправ [238].</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Загальний тестостерон складається з трьох фракцій: зв’язаної з ГЗСГ, зв’язаної з альбуміном та вільної. Більш важливою є вільна фракція та фракція, зв’язана з альбуміном, тому що саме ці фракції є біологічно доступними. З біологічно активним тестостероном пов’язують розвиток гіпогонадизму [140]. </w:t>
      </w:r>
    </w:p>
    <w:p w:rsidR="00EB6EBC" w:rsidRPr="00CE0A20" w:rsidRDefault="00EB6EBC" w:rsidP="00EB6EBC">
      <w:pPr>
        <w:pStyle w:val="1c"/>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CE0A20">
        <w:rPr>
          <w:color w:val="000000" w:themeColor="text1"/>
          <w:sz w:val="28"/>
          <w:szCs w:val="28"/>
          <w:lang w:val="uk-UA"/>
        </w:rPr>
        <w:t>Продукція тестостерону знаходиться під контролем гіпоталамус</w:t>
      </w:r>
      <w:r w:rsidR="001D0817" w:rsidRPr="00CE0A20">
        <w:rPr>
          <w:color w:val="000000" w:themeColor="text1"/>
          <w:sz w:val="28"/>
          <w:szCs w:val="28"/>
          <w:lang w:val="uk-UA"/>
        </w:rPr>
        <w:t>а</w:t>
      </w:r>
      <w:r w:rsidRPr="00CE0A20">
        <w:rPr>
          <w:color w:val="000000" w:themeColor="text1"/>
          <w:sz w:val="28"/>
          <w:szCs w:val="28"/>
          <w:lang w:val="uk-UA"/>
        </w:rPr>
        <w:t>, який  секретує лютеотропін-рилізинг фактор (ЛРФ), який</w:t>
      </w:r>
      <w:r w:rsidR="001D0817" w:rsidRPr="00CE0A20">
        <w:rPr>
          <w:color w:val="000000" w:themeColor="text1"/>
          <w:sz w:val="28"/>
          <w:szCs w:val="28"/>
          <w:lang w:val="uk-UA"/>
        </w:rPr>
        <w:t xml:space="preserve">, </w:t>
      </w:r>
      <w:r w:rsidRPr="00CE0A20">
        <w:rPr>
          <w:color w:val="000000" w:themeColor="text1"/>
          <w:sz w:val="28"/>
          <w:szCs w:val="28"/>
          <w:lang w:val="uk-UA"/>
        </w:rPr>
        <w:t>сво</w:t>
      </w:r>
      <w:r w:rsidR="001D0817" w:rsidRPr="00CE0A20">
        <w:rPr>
          <w:color w:val="000000" w:themeColor="text1"/>
          <w:sz w:val="28"/>
          <w:szCs w:val="28"/>
          <w:lang w:val="uk-UA"/>
        </w:rPr>
        <w:t>єю</w:t>
      </w:r>
      <w:r w:rsidRPr="00CE0A20">
        <w:rPr>
          <w:color w:val="000000" w:themeColor="text1"/>
          <w:sz w:val="28"/>
          <w:szCs w:val="28"/>
          <w:lang w:val="uk-UA"/>
        </w:rPr>
        <w:t xml:space="preserve"> черг</w:t>
      </w:r>
      <w:r w:rsidR="001D0817" w:rsidRPr="00CE0A20">
        <w:rPr>
          <w:color w:val="000000" w:themeColor="text1"/>
          <w:sz w:val="28"/>
          <w:szCs w:val="28"/>
          <w:lang w:val="uk-UA"/>
        </w:rPr>
        <w:t>ою</w:t>
      </w:r>
      <w:r w:rsidRPr="00CE0A20">
        <w:rPr>
          <w:color w:val="000000" w:themeColor="text1"/>
          <w:sz w:val="28"/>
          <w:szCs w:val="28"/>
          <w:lang w:val="uk-UA"/>
        </w:rPr>
        <w:t xml:space="preserve"> стимулює продукцію гіпофізом лютеотропного </w:t>
      </w:r>
      <w:r w:rsidR="001D0817" w:rsidRPr="00CE0A20">
        <w:rPr>
          <w:color w:val="000000" w:themeColor="text1"/>
          <w:sz w:val="28"/>
          <w:szCs w:val="28"/>
          <w:lang w:val="uk-UA"/>
        </w:rPr>
        <w:t>й</w:t>
      </w:r>
      <w:r w:rsidRPr="00CE0A20">
        <w:rPr>
          <w:color w:val="000000" w:themeColor="text1"/>
          <w:sz w:val="28"/>
          <w:szCs w:val="28"/>
          <w:lang w:val="uk-UA"/>
        </w:rPr>
        <w:t xml:space="preserve"> фолікулостимулюючого гормон</w:t>
      </w:r>
      <w:r w:rsidR="00027489" w:rsidRPr="00CE0A20">
        <w:rPr>
          <w:color w:val="000000" w:themeColor="text1"/>
          <w:sz w:val="28"/>
          <w:szCs w:val="28"/>
          <w:lang w:val="uk-UA"/>
        </w:rPr>
        <w:t>у</w:t>
      </w:r>
      <w:r w:rsidRPr="00CE0A20">
        <w:rPr>
          <w:color w:val="000000" w:themeColor="text1"/>
          <w:sz w:val="28"/>
          <w:szCs w:val="28"/>
          <w:lang w:val="uk-UA"/>
        </w:rPr>
        <w:t xml:space="preserve"> (ФСГ). Під впливом лютеотропного гормону в яєчках активується секреція тестостерону </w:t>
      </w:r>
      <w:r w:rsidR="001D0817" w:rsidRPr="00CE0A20">
        <w:rPr>
          <w:color w:val="000000" w:themeColor="text1"/>
          <w:sz w:val="28"/>
          <w:szCs w:val="28"/>
          <w:lang w:val="uk-UA"/>
        </w:rPr>
        <w:t>й</w:t>
      </w:r>
      <w:r w:rsidRPr="00CE0A20">
        <w:rPr>
          <w:color w:val="000000" w:themeColor="text1"/>
          <w:sz w:val="28"/>
          <w:szCs w:val="28"/>
          <w:lang w:val="uk-UA"/>
        </w:rPr>
        <w:t xml:space="preserve"> естрадіолу клітинами Лейдіга. Тестостерон, сво</w:t>
      </w:r>
      <w:r w:rsidR="001D0817" w:rsidRPr="00CE0A20">
        <w:rPr>
          <w:color w:val="000000" w:themeColor="text1"/>
          <w:sz w:val="28"/>
          <w:szCs w:val="28"/>
          <w:lang w:val="uk-UA"/>
        </w:rPr>
        <w:t>єю</w:t>
      </w:r>
      <w:r w:rsidRPr="00CE0A20">
        <w:rPr>
          <w:color w:val="000000" w:themeColor="text1"/>
          <w:sz w:val="28"/>
          <w:szCs w:val="28"/>
          <w:lang w:val="uk-UA"/>
        </w:rPr>
        <w:t xml:space="preserve"> черг</w:t>
      </w:r>
      <w:r w:rsidR="001D0817" w:rsidRPr="00CE0A20">
        <w:rPr>
          <w:color w:val="000000" w:themeColor="text1"/>
          <w:sz w:val="28"/>
          <w:szCs w:val="28"/>
          <w:lang w:val="uk-UA"/>
        </w:rPr>
        <w:t>ою</w:t>
      </w:r>
      <w:r w:rsidRPr="00CE0A20">
        <w:rPr>
          <w:color w:val="000000" w:themeColor="text1"/>
          <w:sz w:val="28"/>
          <w:szCs w:val="28"/>
          <w:lang w:val="uk-UA"/>
        </w:rPr>
        <w:t xml:space="preserve">, регулює концентрацію ЛРФ і лютеотропіну на гіпоталамо-гіпофізарному рівні. ФСГ стимулює секрецію клітинами Сертолі ферментів і речовин, необхідних для сперматогенезу. Клітини Сертолі секретують інгібін В, що регулює продукцію ФСГ гіпофізом [173]. Крім цього, у регуляції рівня тестостерону в крові бере участь глобулін, що зв'язує статеві гормони (ГЗСГ). Він синтезується в печінці та завдяки спроможності утворення міцних зв’язків з дигідротестостероном та тестостероном регулює рівень фракції вільного тестостерону.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Головним джерелом андрогенів є клітини Лейдіга. Ці клітини розташовані в інтерстиціальній тканині яєчок між звивистими канальцями поблизу кровоносних капілярів. Особливістю клітин Лейдіга є те, що вони мають як ендокринні, так і нейроендокринні властивості та, можливо, мають нейроектодермальне походження. В експерименті в</w:t>
      </w:r>
      <w:r w:rsidR="001D0817" w:rsidRPr="00CE0A20">
        <w:rPr>
          <w:rFonts w:ascii="Times New Roman" w:hAnsi="Times New Roman" w:cs="Times New Roman"/>
          <w:color w:val="000000" w:themeColor="text1"/>
          <w:sz w:val="28"/>
          <w:szCs w:val="28"/>
          <w:lang w:val="uk-UA"/>
        </w:rPr>
        <w:t>изначе</w:t>
      </w:r>
      <w:r w:rsidRPr="00CE0A20">
        <w:rPr>
          <w:rFonts w:ascii="Times New Roman" w:hAnsi="Times New Roman" w:cs="Times New Roman"/>
          <w:color w:val="000000" w:themeColor="text1"/>
          <w:sz w:val="28"/>
          <w:szCs w:val="28"/>
          <w:lang w:val="uk-UA"/>
        </w:rPr>
        <w:t>но, що дорослі клітини Лейдіга утворюються шляхом трансдиференціювання з плюрипо</w:t>
      </w:r>
      <w:r w:rsidRPr="00CE0A20">
        <w:rPr>
          <w:rFonts w:ascii="Times New Roman" w:hAnsi="Times New Roman" w:cs="Times New Roman"/>
          <w:color w:val="000000" w:themeColor="text1"/>
          <w:sz w:val="28"/>
          <w:szCs w:val="28"/>
          <w:lang w:val="uk-UA"/>
        </w:rPr>
        <w:softHyphen/>
        <w:t>тентни</w:t>
      </w:r>
      <w:r w:rsidR="001D0817" w:rsidRPr="00CE0A20">
        <w:rPr>
          <w:rFonts w:ascii="Times New Roman" w:hAnsi="Times New Roman" w:cs="Times New Roman"/>
          <w:color w:val="000000" w:themeColor="text1"/>
          <w:sz w:val="28"/>
          <w:szCs w:val="28"/>
          <w:lang w:val="uk-UA"/>
        </w:rPr>
        <w:t>ми</w:t>
      </w:r>
      <w:r w:rsidRPr="00CE0A20">
        <w:rPr>
          <w:rFonts w:ascii="Times New Roman" w:hAnsi="Times New Roman" w:cs="Times New Roman"/>
          <w:color w:val="000000" w:themeColor="text1"/>
          <w:sz w:val="28"/>
          <w:szCs w:val="28"/>
          <w:lang w:val="uk-UA"/>
        </w:rPr>
        <w:t xml:space="preserve"> стовбурови</w:t>
      </w:r>
      <w:r w:rsidR="001D0817" w:rsidRPr="00CE0A20">
        <w:rPr>
          <w:rFonts w:ascii="Times New Roman" w:hAnsi="Times New Roman" w:cs="Times New Roman"/>
          <w:color w:val="000000" w:themeColor="text1"/>
          <w:sz w:val="28"/>
          <w:szCs w:val="28"/>
          <w:lang w:val="uk-UA"/>
        </w:rPr>
        <w:t>ми</w:t>
      </w:r>
      <w:r w:rsidRPr="00CE0A20">
        <w:rPr>
          <w:rFonts w:ascii="Times New Roman" w:hAnsi="Times New Roman" w:cs="Times New Roman"/>
          <w:color w:val="000000" w:themeColor="text1"/>
          <w:sz w:val="28"/>
          <w:szCs w:val="28"/>
          <w:lang w:val="uk-UA"/>
        </w:rPr>
        <w:t xml:space="preserve"> клітин</w:t>
      </w:r>
      <w:r w:rsidR="001D0817" w:rsidRPr="00CE0A20">
        <w:rPr>
          <w:rFonts w:ascii="Times New Roman" w:hAnsi="Times New Roman" w:cs="Times New Roman"/>
          <w:color w:val="000000" w:themeColor="text1"/>
          <w:sz w:val="28"/>
          <w:szCs w:val="28"/>
          <w:lang w:val="uk-UA"/>
        </w:rPr>
        <w:t>ами</w:t>
      </w:r>
      <w:r w:rsidRPr="00CE0A20">
        <w:rPr>
          <w:rFonts w:ascii="Times New Roman" w:hAnsi="Times New Roman" w:cs="Times New Roman"/>
          <w:color w:val="000000" w:themeColor="text1"/>
          <w:sz w:val="28"/>
          <w:szCs w:val="28"/>
          <w:lang w:val="uk-UA"/>
        </w:rPr>
        <w:t xml:space="preserve"> – клітин</w:t>
      </w:r>
      <w:r w:rsidR="001D0817" w:rsidRPr="00CE0A20">
        <w:rPr>
          <w:rFonts w:ascii="Times New Roman" w:hAnsi="Times New Roman" w:cs="Times New Roman"/>
          <w:color w:val="000000" w:themeColor="text1"/>
          <w:sz w:val="28"/>
          <w:szCs w:val="28"/>
          <w:lang w:val="uk-UA"/>
        </w:rPr>
        <w:t>ами</w:t>
      </w:r>
      <w:r w:rsidRPr="00CE0A20">
        <w:rPr>
          <w:rFonts w:ascii="Times New Roman" w:hAnsi="Times New Roman" w:cs="Times New Roman"/>
          <w:color w:val="000000" w:themeColor="text1"/>
          <w:sz w:val="28"/>
          <w:szCs w:val="28"/>
          <w:lang w:val="uk-UA"/>
        </w:rPr>
        <w:t>-попередник</w:t>
      </w:r>
      <w:r w:rsidR="001D0817" w:rsidRPr="00CE0A20">
        <w:rPr>
          <w:rFonts w:ascii="Times New Roman" w:hAnsi="Times New Roman" w:cs="Times New Roman"/>
          <w:color w:val="000000" w:themeColor="text1"/>
          <w:sz w:val="28"/>
          <w:szCs w:val="28"/>
          <w:lang w:val="uk-UA"/>
        </w:rPr>
        <w:t>ами</w:t>
      </w:r>
      <w:r w:rsidRPr="00CE0A20">
        <w:rPr>
          <w:rFonts w:ascii="Times New Roman" w:hAnsi="Times New Roman" w:cs="Times New Roman"/>
          <w:color w:val="000000" w:themeColor="text1"/>
          <w:sz w:val="28"/>
          <w:szCs w:val="28"/>
          <w:lang w:val="uk-UA"/>
        </w:rPr>
        <w:t xml:space="preserve">, до яких відносять перицити та гладком’язові клітини мікросудин яєчок. Мікросудини та клітини-попередники  поширені у всьому організмі, але під впливом конкретних місцевих </w:t>
      </w:r>
      <w:r w:rsidR="001D0817" w:rsidRPr="00CE0A20">
        <w:rPr>
          <w:rFonts w:ascii="Times New Roman" w:hAnsi="Times New Roman" w:cs="Times New Roman"/>
          <w:color w:val="000000" w:themeColor="text1"/>
          <w:sz w:val="28"/>
          <w:szCs w:val="28"/>
          <w:lang w:val="uk-UA"/>
        </w:rPr>
        <w:t>чинник</w:t>
      </w:r>
      <w:r w:rsidRPr="00CE0A20">
        <w:rPr>
          <w:rFonts w:ascii="Times New Roman" w:hAnsi="Times New Roman" w:cs="Times New Roman"/>
          <w:color w:val="000000" w:themeColor="text1"/>
          <w:sz w:val="28"/>
          <w:szCs w:val="28"/>
          <w:lang w:val="uk-UA"/>
        </w:rPr>
        <w:t xml:space="preserve">ів можуть диференціюватися в будь-яку клітину та забезпечити регенерацію [181]. Розташування стовбурових клітин, а також характер і походження регуляторних факторів, що впливають на їх </w:t>
      </w:r>
      <w:r w:rsidR="001D0817" w:rsidRPr="00CE0A20">
        <w:rPr>
          <w:rFonts w:ascii="Times New Roman" w:hAnsi="Times New Roman" w:cs="Times New Roman"/>
          <w:color w:val="000000" w:themeColor="text1"/>
          <w:sz w:val="28"/>
          <w:szCs w:val="28"/>
          <w:lang w:val="uk-UA"/>
        </w:rPr>
        <w:t>пошире</w:t>
      </w:r>
      <w:r w:rsidRPr="00CE0A20">
        <w:rPr>
          <w:rFonts w:ascii="Times New Roman" w:hAnsi="Times New Roman" w:cs="Times New Roman"/>
          <w:color w:val="000000" w:themeColor="text1"/>
          <w:sz w:val="28"/>
          <w:szCs w:val="28"/>
          <w:lang w:val="uk-UA"/>
        </w:rPr>
        <w:t>ння та диференціацію до дорослих клітин Лейдіга, залишаються не зовсім зрозумілими [</w:t>
      </w:r>
      <w:r w:rsidRPr="00CE0A20">
        <w:rPr>
          <w:rStyle w:val="element-citation"/>
          <w:rFonts w:ascii="Times New Roman" w:hAnsi="Times New Roman" w:cs="Times New Roman"/>
          <w:color w:val="000000" w:themeColor="text1"/>
          <w:sz w:val="28"/>
          <w:szCs w:val="28"/>
          <w:lang w:val="uk-UA"/>
        </w:rPr>
        <w:t>269; 335</w:t>
      </w:r>
      <w:r w:rsidRPr="00CE0A20">
        <w:rPr>
          <w:rFonts w:ascii="Times New Roman" w:hAnsi="Times New Roman" w:cs="Times New Roman"/>
          <w:color w:val="000000" w:themeColor="text1"/>
          <w:sz w:val="28"/>
          <w:szCs w:val="28"/>
          <w:lang w:val="uk-UA"/>
        </w:rPr>
        <w:t>].</w:t>
      </w:r>
    </w:p>
    <w:p w:rsidR="00EB6EBC" w:rsidRPr="00CE0A20" w:rsidRDefault="00EB6EBC" w:rsidP="00EB6EBC">
      <w:pPr>
        <w:spacing w:line="360" w:lineRule="auto"/>
        <w:ind w:firstLine="709"/>
        <w:jc w:val="both"/>
        <w:outlineLvl w:val="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Розрізняють фетальні та дорослі клітини Лейдіга. Фетальні клітини виникають після диференціації яєчок та необхідні для маскулінізації плода. Дорослі клітини починають розвиватися після народження </w:t>
      </w:r>
      <w:r w:rsidR="001D0817"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для </w:t>
      </w:r>
      <w:r w:rsidR="001D0817" w:rsidRPr="00CE0A20">
        <w:rPr>
          <w:rFonts w:ascii="Times New Roman" w:hAnsi="Times New Roman" w:cs="Times New Roman"/>
          <w:color w:val="000000" w:themeColor="text1"/>
          <w:sz w:val="28"/>
          <w:szCs w:val="28"/>
          <w:lang w:val="uk-UA"/>
        </w:rPr>
        <w:t xml:space="preserve">їхнього </w:t>
      </w:r>
      <w:r w:rsidRPr="00CE0A20">
        <w:rPr>
          <w:rFonts w:ascii="Times New Roman" w:hAnsi="Times New Roman" w:cs="Times New Roman"/>
          <w:color w:val="000000" w:themeColor="text1"/>
          <w:sz w:val="28"/>
          <w:szCs w:val="28"/>
          <w:lang w:val="uk-UA"/>
        </w:rPr>
        <w:t xml:space="preserve">розвитку необхідний вплив ЛГ, при цьому для нормального розвитку </w:t>
      </w:r>
      <w:r w:rsidR="001D0817" w:rsidRPr="00CE0A20">
        <w:rPr>
          <w:rFonts w:ascii="Times New Roman" w:hAnsi="Times New Roman" w:cs="Times New Roman"/>
          <w:color w:val="000000" w:themeColor="text1"/>
          <w:sz w:val="28"/>
          <w:szCs w:val="28"/>
          <w:lang w:val="uk-UA"/>
        </w:rPr>
        <w:t>цих</w:t>
      </w:r>
      <w:r w:rsidRPr="00CE0A20">
        <w:rPr>
          <w:rFonts w:ascii="Times New Roman" w:hAnsi="Times New Roman" w:cs="Times New Roman"/>
          <w:color w:val="000000" w:themeColor="text1"/>
          <w:sz w:val="28"/>
          <w:szCs w:val="28"/>
          <w:lang w:val="uk-UA"/>
        </w:rPr>
        <w:t xml:space="preserve"> клітин необхідна стимуляція через андрогенний рецептор безпосередньо в клітинах Лейдіга або через перитуб</w:t>
      </w:r>
      <w:r w:rsidR="001D0817"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лярні клітини   [301]. Дорослі клітини Лейдіга розвиваються зі стовбурових клітин Лейдіга, які експресують специфічні маркери, зокрема, </w:t>
      </w:r>
      <w:r w:rsidRPr="00CE0A20">
        <w:rPr>
          <w:rStyle w:val="element-citation"/>
          <w:rFonts w:ascii="Times New Roman" w:hAnsi="Times New Roman" w:cs="Times New Roman"/>
          <w:color w:val="000000" w:themeColor="text1"/>
          <w:sz w:val="28"/>
          <w:szCs w:val="28"/>
          <w:lang w:val="uk-UA"/>
        </w:rPr>
        <w:t xml:space="preserve">Nestin [240], </w:t>
      </w:r>
      <w:r w:rsidRPr="00CE0A20">
        <w:rPr>
          <w:rFonts w:ascii="Times New Roman" w:hAnsi="Times New Roman" w:cs="Times New Roman"/>
          <w:color w:val="000000" w:themeColor="text1"/>
          <w:sz w:val="28"/>
          <w:szCs w:val="28"/>
          <w:lang w:val="uk-UA"/>
        </w:rPr>
        <w:t>COUP-TFII [</w:t>
      </w:r>
      <w:r w:rsidRPr="00CE0A20">
        <w:rPr>
          <w:rStyle w:val="element-citation"/>
          <w:rFonts w:ascii="Times New Roman" w:hAnsi="Times New Roman" w:cs="Times New Roman"/>
          <w:color w:val="000000" w:themeColor="text1"/>
          <w:sz w:val="28"/>
          <w:szCs w:val="28"/>
          <w:lang w:val="uk-UA"/>
        </w:rPr>
        <w:t xml:space="preserve">253], </w:t>
      </w:r>
      <w:r w:rsidRPr="00CE0A20">
        <w:rPr>
          <w:rFonts w:ascii="Times New Roman" w:hAnsi="Times New Roman" w:cs="Times New Roman"/>
          <w:color w:val="000000" w:themeColor="text1"/>
          <w:sz w:val="28"/>
          <w:szCs w:val="28"/>
          <w:lang w:val="uk-UA"/>
        </w:rPr>
        <w:t>Arx [</w:t>
      </w:r>
      <w:r w:rsidRPr="00CE0A20">
        <w:rPr>
          <w:rStyle w:val="element-citation"/>
          <w:rFonts w:ascii="Times New Roman" w:hAnsi="Times New Roman" w:cs="Times New Roman"/>
          <w:color w:val="000000" w:themeColor="text1"/>
          <w:sz w:val="28"/>
          <w:szCs w:val="28"/>
          <w:lang w:val="uk-UA"/>
        </w:rPr>
        <w:t>287]</w:t>
      </w:r>
      <w:r w:rsidRPr="00CE0A20">
        <w:rPr>
          <w:rFonts w:ascii="Times New Roman" w:hAnsi="Times New Roman" w:cs="Times New Roman"/>
          <w:color w:val="000000" w:themeColor="text1"/>
          <w:sz w:val="28"/>
          <w:szCs w:val="28"/>
          <w:lang w:val="uk-UA"/>
        </w:rPr>
        <w:t>, що використовується для їх ідентифікації в різноманітних тканинах [270].</w:t>
      </w:r>
    </w:p>
    <w:p w:rsidR="00EB6EBC" w:rsidRPr="00CE0A20" w:rsidRDefault="005F1079" w:rsidP="00EB6EBC">
      <w:pPr>
        <w:spacing w:line="360" w:lineRule="auto"/>
        <w:ind w:firstLine="709"/>
        <w:jc w:val="both"/>
        <w:rPr>
          <w:rStyle w:val="mixed-citation"/>
          <w:rFonts w:ascii="Times New Roman" w:hAnsi="Times New Roman" w:cs="Times New Roman"/>
          <w:color w:val="000000" w:themeColor="text1"/>
          <w:sz w:val="28"/>
          <w:szCs w:val="28"/>
          <w:lang w:val="uk-UA"/>
        </w:rPr>
      </w:pPr>
      <w:r w:rsidRPr="00CE0A20">
        <w:rPr>
          <w:rStyle w:val="element-citation"/>
          <w:rFonts w:ascii="Times New Roman" w:hAnsi="Times New Roman" w:cs="Times New Roman"/>
          <w:color w:val="000000" w:themeColor="text1"/>
          <w:sz w:val="28"/>
          <w:szCs w:val="28"/>
          <w:lang w:val="uk-UA"/>
        </w:rPr>
        <w:t>З’ясова</w:t>
      </w:r>
      <w:r w:rsidR="00EB6EBC" w:rsidRPr="00CE0A20">
        <w:rPr>
          <w:rStyle w:val="element-citation"/>
          <w:rFonts w:ascii="Times New Roman" w:hAnsi="Times New Roman" w:cs="Times New Roman"/>
          <w:color w:val="000000" w:themeColor="text1"/>
          <w:sz w:val="28"/>
          <w:szCs w:val="28"/>
          <w:lang w:val="uk-UA"/>
        </w:rPr>
        <w:t xml:space="preserve">но, що після гонадотоксичного ураження </w:t>
      </w:r>
      <w:r w:rsidR="00EB6EBC" w:rsidRPr="00CE0A20">
        <w:rPr>
          <w:rFonts w:ascii="Times New Roman" w:hAnsi="Times New Roman" w:cs="Times New Roman"/>
          <w:color w:val="000000" w:themeColor="text1"/>
          <w:sz w:val="28"/>
          <w:szCs w:val="28"/>
          <w:lang w:val="uk-UA"/>
        </w:rPr>
        <w:t>нові клітини Лейдіга виникають з</w:t>
      </w:r>
      <w:r w:rsidRPr="00CE0A20">
        <w:rPr>
          <w:rFonts w:ascii="Times New Roman" w:hAnsi="Times New Roman" w:cs="Times New Roman"/>
          <w:color w:val="000000" w:themeColor="text1"/>
          <w:sz w:val="28"/>
          <w:szCs w:val="28"/>
          <w:lang w:val="uk-UA"/>
        </w:rPr>
        <w:t>і</w:t>
      </w:r>
      <w:r w:rsidR="00EB6EBC" w:rsidRPr="00CE0A20">
        <w:rPr>
          <w:rFonts w:ascii="Times New Roman" w:hAnsi="Times New Roman" w:cs="Times New Roman"/>
          <w:color w:val="000000" w:themeColor="text1"/>
          <w:sz w:val="28"/>
          <w:szCs w:val="28"/>
          <w:lang w:val="uk-UA"/>
        </w:rPr>
        <w:t xml:space="preserve"> стовбурових клітин, які розмножуються, а потім диференціюються [</w:t>
      </w:r>
      <w:r w:rsidR="00EB6EBC" w:rsidRPr="00CE0A20">
        <w:rPr>
          <w:rStyle w:val="element-citation"/>
          <w:rFonts w:ascii="Times New Roman" w:hAnsi="Times New Roman" w:cs="Times New Roman"/>
          <w:color w:val="000000" w:themeColor="text1"/>
          <w:sz w:val="28"/>
          <w:szCs w:val="28"/>
          <w:lang w:val="uk-UA"/>
        </w:rPr>
        <w:t>269; 335]. Але для їх диференціювання необхідні додаткові стимулюючі фактори, які на цей час чітко не визначені.  Е. Stanley  та співавт. (2012) в</w:t>
      </w:r>
      <w:r w:rsidRPr="00CE0A20">
        <w:rPr>
          <w:rStyle w:val="element-citation"/>
          <w:rFonts w:ascii="Times New Roman" w:hAnsi="Times New Roman" w:cs="Times New Roman"/>
          <w:color w:val="000000" w:themeColor="text1"/>
          <w:sz w:val="28"/>
          <w:szCs w:val="28"/>
          <w:lang w:val="uk-UA"/>
        </w:rPr>
        <w:t>изнач</w:t>
      </w:r>
      <w:r w:rsidR="00EB6EBC" w:rsidRPr="00CE0A20">
        <w:rPr>
          <w:rStyle w:val="element-citation"/>
          <w:rFonts w:ascii="Times New Roman" w:hAnsi="Times New Roman" w:cs="Times New Roman"/>
          <w:color w:val="000000" w:themeColor="text1"/>
          <w:sz w:val="28"/>
          <w:szCs w:val="28"/>
          <w:lang w:val="uk-UA"/>
        </w:rPr>
        <w:t>или, що стовбурові клітини, наявні в інтерстиціальному просторі дорослих яєчок, можуть диференціюватися у функціональні клітини Лейдига, що продукують тестостерон. При цьому, їх диференціація регулюється факторами, пов’язаними із сім’яними канальцями [335]. Крім цього, у</w:t>
      </w:r>
      <w:r w:rsidR="00EB6EBC" w:rsidRPr="00CE0A20">
        <w:rPr>
          <w:rStyle w:val="mixed-citation"/>
          <w:rFonts w:ascii="Times New Roman" w:hAnsi="Times New Roman" w:cs="Times New Roman"/>
          <w:color w:val="000000" w:themeColor="text1"/>
          <w:sz w:val="28"/>
          <w:szCs w:val="28"/>
          <w:lang w:val="uk-UA"/>
        </w:rPr>
        <w:t xml:space="preserve"> постнатальному періоді клітинами попередниками можуть бути інт</w:t>
      </w:r>
      <w:r w:rsidR="00A65CA5" w:rsidRPr="00CE0A20">
        <w:rPr>
          <w:rStyle w:val="mixed-citation"/>
          <w:rFonts w:ascii="Times New Roman" w:hAnsi="Times New Roman" w:cs="Times New Roman"/>
          <w:color w:val="000000" w:themeColor="text1"/>
          <w:sz w:val="28"/>
          <w:szCs w:val="28"/>
          <w:lang w:val="uk-UA"/>
        </w:rPr>
        <w:t>е</w:t>
      </w:r>
      <w:r w:rsidR="00EB6EBC" w:rsidRPr="00CE0A20">
        <w:rPr>
          <w:rStyle w:val="mixed-citation"/>
          <w:rFonts w:ascii="Times New Roman" w:hAnsi="Times New Roman" w:cs="Times New Roman"/>
          <w:color w:val="000000" w:themeColor="text1"/>
          <w:sz w:val="28"/>
          <w:szCs w:val="28"/>
          <w:lang w:val="uk-UA"/>
        </w:rPr>
        <w:t>рстиціальні периваскулярні клітини, макрофаги паренхіми яєчок та ін. [342].</w:t>
      </w:r>
    </w:p>
    <w:p w:rsidR="00EB6EBC" w:rsidRPr="00CE0A20" w:rsidRDefault="00A65CA5" w:rsidP="00EB6EBC">
      <w:pPr>
        <w:widowControl w:val="0"/>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w:t>
      </w:r>
      <w:r w:rsidR="00EB6EBC" w:rsidRPr="00CE0A20">
        <w:rPr>
          <w:rFonts w:ascii="Times New Roman" w:hAnsi="Times New Roman" w:cs="Times New Roman"/>
          <w:color w:val="000000" w:themeColor="text1"/>
          <w:sz w:val="28"/>
          <w:szCs w:val="28"/>
          <w:lang w:val="uk-UA"/>
        </w:rPr>
        <w:t xml:space="preserve"> лінії клітин Лейдіга ви</w:t>
      </w:r>
      <w:r w:rsidRPr="00CE0A20">
        <w:rPr>
          <w:rFonts w:ascii="Times New Roman" w:hAnsi="Times New Roman" w:cs="Times New Roman"/>
          <w:color w:val="000000" w:themeColor="text1"/>
          <w:sz w:val="28"/>
          <w:szCs w:val="28"/>
          <w:lang w:val="uk-UA"/>
        </w:rPr>
        <w:t>окремлю</w:t>
      </w:r>
      <w:r w:rsidR="00EB6EBC" w:rsidRPr="00CE0A20">
        <w:rPr>
          <w:rFonts w:ascii="Times New Roman" w:hAnsi="Times New Roman" w:cs="Times New Roman"/>
          <w:color w:val="000000" w:themeColor="text1"/>
          <w:sz w:val="28"/>
          <w:szCs w:val="28"/>
          <w:lang w:val="uk-UA"/>
        </w:rPr>
        <w:t xml:space="preserve">ють 5 типів клітин: мезенхімальні клітини-попередники, клітини-попередники, знову сформовані дорослі клітини Лейдіга, незрілі та зрілі клітини Лейдіга. Перитубулярні мезенхімальні клітини є попередниками клітин Лейдіга у пубертатному періоді та </w:t>
      </w:r>
      <w:r w:rsidRPr="00CE0A20">
        <w:rPr>
          <w:rFonts w:ascii="Times New Roman" w:hAnsi="Times New Roman" w:cs="Times New Roman"/>
          <w:color w:val="000000" w:themeColor="text1"/>
          <w:sz w:val="28"/>
          <w:szCs w:val="28"/>
          <w:lang w:val="uk-UA"/>
        </w:rPr>
        <w:t>в</w:t>
      </w:r>
      <w:r w:rsidR="00EB6EBC" w:rsidRPr="00CE0A20">
        <w:rPr>
          <w:rFonts w:ascii="Times New Roman" w:hAnsi="Times New Roman" w:cs="Times New Roman"/>
          <w:color w:val="000000" w:themeColor="text1"/>
          <w:sz w:val="28"/>
          <w:szCs w:val="28"/>
          <w:lang w:val="uk-UA"/>
        </w:rPr>
        <w:t xml:space="preserve"> дорослих. Вважається, що на ранніх етапах диференціювання вони не залежать від впливу ЛГ. Але цей гормон має значення на пізніх стадіях під час формування стероїдогенної функції клітин Лейдіга. Тестостерон та естрогени пригнічують  початок диференціювання клітин-попередників, що дозволяє підтримувати кількість зрілих функціонально активних клітин на постійному рівні. </w:t>
      </w:r>
      <w:r w:rsidRPr="00CE0A20">
        <w:rPr>
          <w:rFonts w:ascii="Times New Roman" w:hAnsi="Times New Roman" w:cs="Times New Roman"/>
          <w:color w:val="000000" w:themeColor="text1"/>
          <w:sz w:val="28"/>
          <w:szCs w:val="28"/>
          <w:lang w:val="uk-UA"/>
        </w:rPr>
        <w:t>Я</w:t>
      </w:r>
      <w:r w:rsidR="00EB6EBC" w:rsidRPr="00CE0A20">
        <w:rPr>
          <w:rFonts w:ascii="Times New Roman" w:hAnsi="Times New Roman" w:cs="Times New Roman"/>
          <w:color w:val="000000" w:themeColor="text1"/>
          <w:sz w:val="28"/>
          <w:szCs w:val="28"/>
          <w:lang w:val="uk-UA"/>
        </w:rPr>
        <w:t>к негативн</w:t>
      </w:r>
      <w:r w:rsidRPr="00CE0A20">
        <w:rPr>
          <w:rFonts w:ascii="Times New Roman" w:hAnsi="Times New Roman" w:cs="Times New Roman"/>
          <w:color w:val="000000" w:themeColor="text1"/>
          <w:sz w:val="28"/>
          <w:szCs w:val="28"/>
          <w:lang w:val="uk-UA"/>
        </w:rPr>
        <w:t>ий</w:t>
      </w:r>
      <w:r w:rsidR="00EB6EBC" w:rsidRPr="00CE0A20">
        <w:rPr>
          <w:rFonts w:ascii="Times New Roman" w:hAnsi="Times New Roman" w:cs="Times New Roman"/>
          <w:color w:val="000000" w:themeColor="text1"/>
          <w:sz w:val="28"/>
          <w:szCs w:val="28"/>
          <w:lang w:val="uk-UA"/>
        </w:rPr>
        <w:t xml:space="preserve"> регулятор також розглядається антимюллерів гормон, що виробляється у передміхуровій залозі та придатках яєчок.  До індукторів проліферації незрілих клітин Лейдіга відносять інсуліноподібний фактор росту I (IGF-I), який сприяє їх дозріванню </w:t>
      </w:r>
      <w:r w:rsidRPr="00CE0A20">
        <w:rPr>
          <w:rFonts w:ascii="Times New Roman" w:hAnsi="Times New Roman" w:cs="Times New Roman"/>
          <w:color w:val="000000" w:themeColor="text1"/>
          <w:sz w:val="28"/>
          <w:szCs w:val="28"/>
          <w:lang w:val="uk-UA"/>
        </w:rPr>
        <w:t>в</w:t>
      </w:r>
      <w:r w:rsidR="00EB6EBC" w:rsidRPr="00CE0A20">
        <w:rPr>
          <w:rFonts w:ascii="Times New Roman" w:hAnsi="Times New Roman" w:cs="Times New Roman"/>
          <w:color w:val="000000" w:themeColor="text1"/>
          <w:sz w:val="28"/>
          <w:szCs w:val="28"/>
          <w:lang w:val="uk-UA"/>
        </w:rPr>
        <w:t xml:space="preserve"> дорослі клітини. Стимулюють мітоз мезенхімальних клітин-попередників трансфор</w:t>
      </w:r>
      <w:r w:rsidR="00EB6EBC" w:rsidRPr="00CE0A20">
        <w:rPr>
          <w:rFonts w:ascii="Times New Roman" w:hAnsi="Times New Roman" w:cs="Times New Roman"/>
          <w:color w:val="000000" w:themeColor="text1"/>
          <w:sz w:val="28"/>
          <w:szCs w:val="28"/>
          <w:lang w:val="uk-UA"/>
        </w:rPr>
        <w:softHyphen/>
        <w:t>муючий фактор росту альфа, та, меншо</w:t>
      </w:r>
      <w:r w:rsidRPr="00CE0A20">
        <w:rPr>
          <w:rFonts w:ascii="Times New Roman" w:hAnsi="Times New Roman" w:cs="Times New Roman"/>
          <w:color w:val="000000" w:themeColor="text1"/>
          <w:sz w:val="28"/>
          <w:szCs w:val="28"/>
          <w:lang w:val="uk-UA"/>
        </w:rPr>
        <w:t>ю мірою</w:t>
      </w:r>
      <w:r w:rsidR="00EB6EBC" w:rsidRPr="00CE0A20">
        <w:rPr>
          <w:rFonts w:ascii="Times New Roman" w:hAnsi="Times New Roman" w:cs="Times New Roman"/>
          <w:color w:val="000000" w:themeColor="text1"/>
          <w:sz w:val="28"/>
          <w:szCs w:val="28"/>
          <w:lang w:val="uk-UA"/>
        </w:rPr>
        <w:t xml:space="preserve">, бета (TGFalpha та TGFbeta). Цей процес відбувається у присутності ЛГ [229; 282]. Зроблено припущення, що альфа-рецептор тромбоцитарного фактору росту (PDGFR-alpha) стимулює, а бета-рецептор (PDGFR-beta) інгібує проліферацію клітин Лейдіга [298; </w:t>
      </w:r>
      <w:r w:rsidR="00EB6EBC" w:rsidRPr="00CE0A20">
        <w:rPr>
          <w:rStyle w:val="mixed-citation"/>
          <w:rFonts w:ascii="Times New Roman" w:hAnsi="Times New Roman" w:cs="Times New Roman"/>
          <w:color w:val="000000" w:themeColor="text1"/>
          <w:sz w:val="28"/>
          <w:szCs w:val="28"/>
          <w:lang w:val="uk-UA"/>
        </w:rPr>
        <w:t>342</w:t>
      </w:r>
      <w:r w:rsidR="00EB6EBC" w:rsidRPr="00CE0A20">
        <w:rPr>
          <w:rFonts w:ascii="Times New Roman" w:hAnsi="Times New Roman" w:cs="Times New Roman"/>
          <w:color w:val="000000" w:themeColor="text1"/>
          <w:sz w:val="28"/>
          <w:szCs w:val="28"/>
          <w:lang w:val="uk-UA"/>
        </w:rPr>
        <w:t xml:space="preserve">]. Також вважається, що в процесі диференціювання беруть участь тромбоцитарний фактор росту А, судинний ендотеліальний та релаксинподібний фактори росту, макрофагальні цитокіни та цитотоксини. Крім цього,  на всіх етапах розвитку клітин Лейдіга бере участь тиреоїдний гормон  [229; 282]. У постнатальному періоді розвиток клітин Лейдіга критично залежить від ЛГ. ФСГ має опосередкований вплив через  клітини Сертолі [302]. </w:t>
      </w:r>
    </w:p>
    <w:p w:rsidR="00EB6EBC" w:rsidRPr="00CE0A20" w:rsidRDefault="00EB6EBC" w:rsidP="00EB6EBC">
      <w:pPr>
        <w:spacing w:line="360" w:lineRule="auto"/>
        <w:ind w:firstLine="709"/>
        <w:jc w:val="both"/>
        <w:outlineLvl w:val="0"/>
        <w:rPr>
          <w:rFonts w:ascii="Times New Roman" w:hAnsi="Times New Roman" w:cs="Times New Roman"/>
          <w:color w:val="000000" w:themeColor="text1"/>
          <w:kern w:val="36"/>
          <w:sz w:val="28"/>
          <w:szCs w:val="28"/>
          <w:lang w:val="uk-UA"/>
        </w:rPr>
      </w:pPr>
      <w:r w:rsidRPr="00CE0A20">
        <w:rPr>
          <w:rFonts w:ascii="Times New Roman" w:hAnsi="Times New Roman" w:cs="Times New Roman"/>
          <w:color w:val="000000" w:themeColor="text1"/>
          <w:sz w:val="28"/>
          <w:szCs w:val="28"/>
          <w:lang w:val="uk-UA"/>
        </w:rPr>
        <w:t>Як у людини, так і у щурів утворення тестостерону поступово збільшується</w:t>
      </w:r>
      <w:r w:rsidR="00A65CA5"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починаюч</w:t>
      </w:r>
      <w:r w:rsidR="00A65CA5"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 з перипубертатного періоду відповідно</w:t>
      </w:r>
      <w:r w:rsidR="00A65CA5" w:rsidRPr="00CE0A20">
        <w:rPr>
          <w:rFonts w:ascii="Times New Roman" w:hAnsi="Times New Roman" w:cs="Times New Roman"/>
          <w:color w:val="000000" w:themeColor="text1"/>
          <w:sz w:val="28"/>
          <w:szCs w:val="28"/>
          <w:lang w:val="uk-UA"/>
        </w:rPr>
        <w:t xml:space="preserve"> до</w:t>
      </w:r>
      <w:r w:rsidRPr="00CE0A20">
        <w:rPr>
          <w:rFonts w:ascii="Times New Roman" w:hAnsi="Times New Roman" w:cs="Times New Roman"/>
          <w:color w:val="000000" w:themeColor="text1"/>
          <w:sz w:val="28"/>
          <w:szCs w:val="28"/>
          <w:lang w:val="uk-UA"/>
        </w:rPr>
        <w:t xml:space="preserve"> розвитк</w:t>
      </w:r>
      <w:r w:rsidR="00A65CA5"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дорослих клітин Лейдіга [</w:t>
      </w:r>
      <w:r w:rsidRPr="00CE0A20">
        <w:rPr>
          <w:rStyle w:val="element-citation"/>
          <w:rFonts w:ascii="Times New Roman" w:hAnsi="Times New Roman" w:cs="Times New Roman"/>
          <w:color w:val="000000" w:themeColor="text1"/>
          <w:sz w:val="28"/>
          <w:szCs w:val="28"/>
          <w:lang w:val="uk-UA"/>
        </w:rPr>
        <w:t>342</w:t>
      </w:r>
      <w:r w:rsidRPr="00CE0A20">
        <w:rPr>
          <w:rFonts w:ascii="Times New Roman" w:hAnsi="Times New Roman" w:cs="Times New Roman"/>
          <w:color w:val="000000" w:themeColor="text1"/>
          <w:sz w:val="28"/>
          <w:szCs w:val="28"/>
          <w:lang w:val="uk-UA"/>
        </w:rPr>
        <w:t xml:space="preserve">; </w:t>
      </w:r>
      <w:r w:rsidRPr="00CE0A20">
        <w:rPr>
          <w:rStyle w:val="element-citation"/>
          <w:rFonts w:ascii="Times New Roman" w:hAnsi="Times New Roman" w:cs="Times New Roman"/>
          <w:color w:val="000000" w:themeColor="text1"/>
          <w:sz w:val="28"/>
          <w:szCs w:val="28"/>
          <w:lang w:val="uk-UA"/>
        </w:rPr>
        <w:t>346]</w:t>
      </w:r>
      <w:r w:rsidRPr="00CE0A20">
        <w:rPr>
          <w:rFonts w:ascii="Times New Roman" w:hAnsi="Times New Roman" w:cs="Times New Roman"/>
          <w:color w:val="000000" w:themeColor="text1"/>
          <w:sz w:val="28"/>
          <w:szCs w:val="28"/>
          <w:lang w:val="uk-UA"/>
        </w:rPr>
        <w:t xml:space="preserve">. </w:t>
      </w:r>
    </w:p>
    <w:p w:rsidR="00EB6EBC" w:rsidRPr="00CE0A20" w:rsidRDefault="00EB6EBC" w:rsidP="00EB6EBC">
      <w:pPr>
        <w:shd w:val="clear" w:color="auto" w:fill="FFFFFF"/>
        <w:spacing w:line="360" w:lineRule="auto"/>
        <w:ind w:firstLine="709"/>
        <w:jc w:val="both"/>
        <w:textAlignment w:val="top"/>
        <w:rPr>
          <w:rFonts w:ascii="Times New Roman" w:hAnsi="Times New Roman" w:cs="Times New Roman"/>
          <w:color w:val="000000" w:themeColor="text1"/>
          <w:sz w:val="28"/>
          <w:szCs w:val="28"/>
          <w:lang w:val="uk-UA"/>
        </w:rPr>
      </w:pPr>
      <w:r w:rsidRPr="00CE0A20">
        <w:rPr>
          <w:rStyle w:val="element-citation"/>
          <w:rFonts w:ascii="Times New Roman" w:hAnsi="Times New Roman" w:cs="Times New Roman"/>
          <w:color w:val="000000" w:themeColor="text1"/>
          <w:sz w:val="28"/>
          <w:szCs w:val="28"/>
          <w:lang w:val="uk-UA"/>
        </w:rPr>
        <w:t xml:space="preserve">Порушення багаторівневої регуляції синтезу та деактивації тестостерону, а також ініціації його ефектів в органах-мішенях призводять до виникнення симптомів гіпогонадизму. </w:t>
      </w:r>
      <w:r w:rsidRPr="00CE0A20">
        <w:rPr>
          <w:rFonts w:ascii="Times New Roman" w:hAnsi="Times New Roman" w:cs="Times New Roman"/>
          <w:color w:val="000000" w:themeColor="text1"/>
          <w:sz w:val="28"/>
          <w:szCs w:val="28"/>
          <w:lang w:val="uk-UA"/>
        </w:rPr>
        <w:t>T.R  Trinick  та співавт. (2011) [359] вважають, що гіпогонадизм може виникати у зв’язку з порушеннями на п’яти рівнях:</w:t>
      </w:r>
    </w:p>
    <w:p w:rsidR="00EB6EBC" w:rsidRPr="00CE0A20" w:rsidRDefault="00EB6EBC" w:rsidP="00EB6EBC">
      <w:pPr>
        <w:shd w:val="clear" w:color="auto" w:fill="FFFFFF"/>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 Порушення синтезу андрогенів</w:t>
      </w:r>
      <w:r w:rsidR="00853979" w:rsidRPr="00CE0A20">
        <w:rPr>
          <w:rFonts w:ascii="Times New Roman" w:hAnsi="Times New Roman" w:cs="Times New Roman"/>
          <w:color w:val="000000" w:themeColor="text1"/>
          <w:sz w:val="28"/>
          <w:szCs w:val="28"/>
          <w:lang w:val="uk-UA"/>
        </w:rPr>
        <w:t>.</w:t>
      </w:r>
    </w:p>
    <w:p w:rsidR="00EB6EBC" w:rsidRPr="00CE0A20" w:rsidRDefault="00EB6EBC" w:rsidP="00EB6EBC">
      <w:pPr>
        <w:shd w:val="clear" w:color="auto" w:fill="FFFFFF"/>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 Збільшення андрогенного зв’язування</w:t>
      </w:r>
      <w:r w:rsidR="00853979" w:rsidRPr="00CE0A20">
        <w:rPr>
          <w:rFonts w:ascii="Times New Roman" w:hAnsi="Times New Roman" w:cs="Times New Roman"/>
          <w:color w:val="000000" w:themeColor="text1"/>
          <w:sz w:val="28"/>
          <w:szCs w:val="28"/>
          <w:lang w:val="uk-UA"/>
        </w:rPr>
        <w:t>.</w:t>
      </w:r>
    </w:p>
    <w:p w:rsidR="00EB6EBC" w:rsidRPr="00CE0A20" w:rsidRDefault="00EB6EBC" w:rsidP="00EB6EBC">
      <w:pPr>
        <w:shd w:val="clear" w:color="auto" w:fill="FFFFFF"/>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 Зменшення чутливості тканин</w:t>
      </w:r>
      <w:r w:rsidR="00853979" w:rsidRPr="00CE0A20">
        <w:rPr>
          <w:rFonts w:ascii="Times New Roman" w:hAnsi="Times New Roman" w:cs="Times New Roman"/>
          <w:color w:val="000000" w:themeColor="text1"/>
          <w:sz w:val="28"/>
          <w:szCs w:val="28"/>
          <w:lang w:val="uk-UA"/>
        </w:rPr>
        <w:t>.</w:t>
      </w:r>
    </w:p>
    <w:p w:rsidR="00EB6EBC" w:rsidRPr="00CE0A20" w:rsidRDefault="00EB6EBC" w:rsidP="00EB6EBC">
      <w:pPr>
        <w:shd w:val="clear" w:color="auto" w:fill="FFFFFF"/>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 Зниження активності андрогенних рецепторів</w:t>
      </w:r>
      <w:r w:rsidR="00853979" w:rsidRPr="00CE0A20">
        <w:rPr>
          <w:rFonts w:ascii="Times New Roman" w:hAnsi="Times New Roman" w:cs="Times New Roman"/>
          <w:color w:val="000000" w:themeColor="text1"/>
          <w:sz w:val="28"/>
          <w:szCs w:val="28"/>
          <w:lang w:val="uk-UA"/>
        </w:rPr>
        <w:t>.</w:t>
      </w:r>
    </w:p>
    <w:p w:rsidR="00EB6EBC" w:rsidRPr="00CE0A20" w:rsidRDefault="00EB6EBC" w:rsidP="00EB6EBC">
      <w:pPr>
        <w:shd w:val="clear" w:color="auto" w:fill="FFFFFF"/>
        <w:spacing w:line="360" w:lineRule="auto"/>
        <w:ind w:firstLine="709"/>
        <w:jc w:val="both"/>
        <w:textAlignment w:val="top"/>
        <w:rPr>
          <w:rStyle w:val="11"/>
          <w:color w:val="000000" w:themeColor="text1"/>
          <w:sz w:val="28"/>
          <w:szCs w:val="28"/>
          <w:lang w:val="uk-UA"/>
        </w:rPr>
      </w:pPr>
      <w:r w:rsidRPr="00CE0A20">
        <w:rPr>
          <w:rFonts w:ascii="Times New Roman" w:hAnsi="Times New Roman" w:cs="Times New Roman"/>
          <w:color w:val="000000" w:themeColor="text1"/>
          <w:sz w:val="28"/>
          <w:szCs w:val="28"/>
          <w:lang w:val="uk-UA"/>
        </w:rPr>
        <w:t>5. Порушення транскрипції та передачі сигналів</w:t>
      </w:r>
      <w:r w:rsidR="00853979" w:rsidRPr="00CE0A20">
        <w:rPr>
          <w:rFonts w:ascii="Times New Roman" w:hAnsi="Times New Roman" w:cs="Times New Roman"/>
          <w:color w:val="000000" w:themeColor="text1"/>
          <w:sz w:val="28"/>
          <w:szCs w:val="28"/>
          <w:lang w:val="uk-UA"/>
        </w:rPr>
        <w:t>.</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зв’язку з цим, розрізняють первинний, вторинний та комбінований гіпогонадизм. Первинний (або гіпергонадотропний) гіпогонадизм пов’язаний з патологією яєчок, зі зниженням або відсутністю їх андрогенсинтезуючої функції. Вторинний гіпогонадизм обумовлений зниженням гонадотропної стимуляції яєчок. Його причинами є гіперпролактинемія, ожиріння, застосування опіоїдів, глюкокортикоїдів, захворювання гіпоталамічної зони та гіпофізу, алкоголізм, наркоманія та інші.  [114; 152]. Первинний та вторинний гіпогонадизм можуть бути органічними з безпосереднім органічним ураженням сім’яників, гіпоталамусу або гіпофізу, або функціональним</w:t>
      </w:r>
      <w:r w:rsidR="00853979"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 xml:space="preserve"> з наявністю захворювань, які призводять до розладів регуляції сперматогенезу та є потенційно </w:t>
      </w:r>
      <w:r w:rsidR="00B62E59" w:rsidRPr="00CE0A20">
        <w:rPr>
          <w:rFonts w:ascii="Times New Roman" w:hAnsi="Times New Roman" w:cs="Times New Roman"/>
          <w:color w:val="000000" w:themeColor="text1"/>
          <w:sz w:val="28"/>
          <w:szCs w:val="28"/>
          <w:lang w:val="uk-UA"/>
        </w:rPr>
        <w:t>зворотними</w:t>
      </w:r>
      <w:r w:rsidRPr="00CE0A20">
        <w:rPr>
          <w:rFonts w:ascii="Times New Roman" w:hAnsi="Times New Roman" w:cs="Times New Roman"/>
          <w:color w:val="000000" w:themeColor="text1"/>
          <w:sz w:val="28"/>
          <w:szCs w:val="28"/>
          <w:lang w:val="uk-UA"/>
        </w:rPr>
        <w:t xml:space="preserve"> після лікування основного захворювання або припинення застосування ліків, що пригнічують сперматогенез (наприклад, ожиріння, ЦД, метаболічний синдром та ін.)  [152].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До специфічних симптомів гіпогонадизму відносять неповний сексуальний розвиток, втрату вторинних статевих ознак та зменшення об’єму яєчок. Характерними ознаками є зниження лібідо, зниження спонтанної ерекції та ЕД, гінекомастія, евнухоїдність, зменшення кількості сперми. До неспецифічних симптомів відносять зменшення життєвої активності, депресивні розлади, слабкість концентрації та уваги, зниження пам’яті, порушення сну та сонливість, анемія, зниження маси та сили м’язів, збільшення жиру та індексу маси тіла.  Неспецифічні клінічні прояви гіпогонадизму варіюють залежно від віку, наявності супутніх захворювань, тяжкості та тривалості дефіциту тестостерону, чутливості до тестостерону та ін. [152].</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Зв’язок між ожирінням та гіпогонадизмом пояснюють наявністю прямого та зворотного зв’язку між адипоцитами та клітинами Лейдіга. З одного боку, жирова тканина контролює кілька функцій яєчка через біологічно активні речовини, які секретуються </w:t>
      </w:r>
      <w:r w:rsidR="00853979"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кров. З іншого</w:t>
      </w:r>
      <w:r w:rsidR="00853979"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 xml:space="preserve"> тестостерон та естрадіол впливають на проліферацію, диференціацію та розподіл адипоцитів, які беруть участь у регуляції метаболічних функцій, зокрема, прийому їжі, чутливості до інсуліну, реактивності судин та імунітету [279].</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Ожиріння, обструктивне апное, інсулінорезистентність та ЦД 2</w:t>
      </w:r>
      <w:r w:rsidR="00853979"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незалежно пов’язані зі зниженням рівня тестостерону. Можливими механізмами цього може бути вплив люте</w:t>
      </w:r>
      <w:r w:rsidR="00853979" w:rsidRPr="00CE0A20">
        <w:rPr>
          <w:rFonts w:ascii="Times New Roman" w:hAnsi="Times New Roman" w:cs="Times New Roman"/>
          <w:color w:val="000000" w:themeColor="text1"/>
          <w:sz w:val="28"/>
          <w:szCs w:val="28"/>
          <w:lang w:val="uk-UA"/>
        </w:rPr>
        <w:t>ї</w:t>
      </w:r>
      <w:r w:rsidRPr="00CE0A20">
        <w:rPr>
          <w:rFonts w:ascii="Times New Roman" w:hAnsi="Times New Roman" w:cs="Times New Roman"/>
          <w:color w:val="000000" w:themeColor="text1"/>
          <w:sz w:val="28"/>
          <w:szCs w:val="28"/>
          <w:lang w:val="uk-UA"/>
        </w:rPr>
        <w:t>нізуючого гормону (ЛГ), інгібуючі ефекти естрогену в гіпоталамусі та гіпофізі, а також ефекти лептину та інших пептидів на центральні механізми та на клітини Лейдіга. В</w:t>
      </w:r>
      <w:r w:rsidR="00853979" w:rsidRPr="00CE0A20">
        <w:rPr>
          <w:rFonts w:ascii="Times New Roman" w:hAnsi="Times New Roman" w:cs="Times New Roman"/>
          <w:color w:val="000000" w:themeColor="text1"/>
          <w:sz w:val="28"/>
          <w:szCs w:val="28"/>
          <w:lang w:val="uk-UA"/>
        </w:rPr>
        <w:t>иявле</w:t>
      </w:r>
      <w:r w:rsidRPr="00CE0A20">
        <w:rPr>
          <w:rFonts w:ascii="Times New Roman" w:hAnsi="Times New Roman" w:cs="Times New Roman"/>
          <w:color w:val="000000" w:themeColor="text1"/>
          <w:sz w:val="28"/>
          <w:szCs w:val="28"/>
          <w:lang w:val="uk-UA"/>
        </w:rPr>
        <w:t>но, що у чоловіків з ожирінням зменшена концентрація сперматозоїдів та загальний об</w:t>
      </w:r>
      <w:r w:rsidR="00853979" w:rsidRPr="00CE0A20">
        <w:rPr>
          <w:rFonts w:ascii="Times New Roman" w:hAnsi="Times New Roman" w:cs="Times New Roman"/>
          <w:color w:val="000000" w:themeColor="text1"/>
          <w:sz w:val="28"/>
          <w:szCs w:val="28"/>
          <w:lang w:val="uk-UA"/>
        </w:rPr>
        <w:t>’єм</w:t>
      </w:r>
      <w:r w:rsidRPr="00CE0A20">
        <w:rPr>
          <w:rFonts w:ascii="Times New Roman" w:hAnsi="Times New Roman" w:cs="Times New Roman"/>
          <w:color w:val="000000" w:themeColor="text1"/>
          <w:sz w:val="28"/>
          <w:szCs w:val="28"/>
          <w:lang w:val="uk-UA"/>
        </w:rPr>
        <w:t xml:space="preserve"> сперми без суттєвих змін морфології та рухливості сперматозоїдів   [275]. Pitteloud et al. (2005) відмітили, що популяція клітин Лейдіга і рівень метаболітів тестостерону знижуються з підвищенням резистентності до інсуліну [305]. Наявність ожиріння також впливає на стан функції яєчок [275]. </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D.G. Goulis та B.C. Tarlatzis (2008) відмічають, що метаболічний синдром є дуже складним та пов’язаний з патофізіологічними механізмами, які впливають на ендокринну систему в цілому. З цих причин було запропоновано визначити </w:t>
      </w:r>
      <w:r w:rsidR="00853979" w:rsidRPr="00CE0A20">
        <w:rPr>
          <w:rFonts w:ascii="Times New Roman" w:hAnsi="Times New Roman" w:cs="Times New Roman"/>
          <w:color w:val="000000" w:themeColor="text1"/>
          <w:sz w:val="28"/>
          <w:szCs w:val="28"/>
          <w:lang w:val="uk-UA"/>
        </w:rPr>
        <w:t>таки</w:t>
      </w:r>
      <w:r w:rsidRPr="00CE0A20">
        <w:rPr>
          <w:rFonts w:ascii="Times New Roman" w:hAnsi="Times New Roman" w:cs="Times New Roman"/>
          <w:color w:val="000000" w:themeColor="text1"/>
          <w:sz w:val="28"/>
          <w:szCs w:val="28"/>
          <w:lang w:val="uk-UA"/>
        </w:rPr>
        <w:t xml:space="preserve">й стан як метаболо-нейроендокринний синдром. Автори вважають, що вирішальну роль у впливі метаболічного синдрому на функцію яєчок </w:t>
      </w:r>
      <w:r w:rsidR="00853979" w:rsidRPr="00CE0A20">
        <w:rPr>
          <w:rFonts w:ascii="Times New Roman" w:hAnsi="Times New Roman" w:cs="Times New Roman"/>
          <w:color w:val="000000" w:themeColor="text1"/>
          <w:sz w:val="28"/>
          <w:szCs w:val="28"/>
          <w:lang w:val="uk-UA"/>
        </w:rPr>
        <w:t>віді</w:t>
      </w:r>
      <w:r w:rsidRPr="00CE0A20">
        <w:rPr>
          <w:rFonts w:ascii="Times New Roman" w:hAnsi="Times New Roman" w:cs="Times New Roman"/>
          <w:color w:val="000000" w:themeColor="text1"/>
          <w:sz w:val="28"/>
          <w:szCs w:val="28"/>
          <w:lang w:val="uk-UA"/>
        </w:rPr>
        <w:t>рають активні пептиди – лептин, рестист</w:t>
      </w:r>
      <w:r w:rsidR="00853979"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н і грелін. Замісна терапія тестостероном  може покращити не тільки функцію яєчок, але й перебіг метаболічного синдрому [215].</w:t>
      </w:r>
    </w:p>
    <w:p w:rsidR="00EB6EBC" w:rsidRPr="00CE0A20" w:rsidRDefault="00EB6EBC" w:rsidP="00EB6EBC">
      <w:pPr>
        <w:pStyle w:val="7"/>
        <w:shd w:val="clear" w:color="auto" w:fill="auto"/>
        <w:spacing w:before="0" w:after="0" w:line="360" w:lineRule="auto"/>
        <w:ind w:firstLine="709"/>
        <w:jc w:val="both"/>
        <w:rPr>
          <w:color w:val="000000" w:themeColor="text1"/>
          <w:sz w:val="28"/>
          <w:szCs w:val="28"/>
          <w:lang w:val="uk-UA"/>
        </w:rPr>
      </w:pPr>
      <w:r w:rsidRPr="00CE0A20">
        <w:rPr>
          <w:color w:val="000000" w:themeColor="text1"/>
          <w:sz w:val="28"/>
          <w:szCs w:val="28"/>
          <w:lang w:val="uk-UA"/>
        </w:rPr>
        <w:t xml:space="preserve">На цей час доведено, що збільшення концентрації естрогенів знаходиться в прямій залежності від зростання маси адипоцитів. Існує думка про те, що збільшення в сироватці крові рівня естрогенів пригнічує вироблення ЛГ і одночасно стимулює вироблення пролактину (ПРЛ), </w:t>
      </w:r>
      <w:r w:rsidR="00853979" w:rsidRPr="00CE0A20">
        <w:rPr>
          <w:color w:val="000000" w:themeColor="text1"/>
          <w:sz w:val="28"/>
          <w:szCs w:val="28"/>
          <w:lang w:val="uk-UA"/>
        </w:rPr>
        <w:t xml:space="preserve">у </w:t>
      </w:r>
      <w:r w:rsidRPr="00CE0A20">
        <w:rPr>
          <w:color w:val="000000" w:themeColor="text1"/>
          <w:sz w:val="28"/>
          <w:szCs w:val="28"/>
          <w:lang w:val="uk-UA"/>
        </w:rPr>
        <w:t>таки</w:t>
      </w:r>
      <w:r w:rsidR="00853979" w:rsidRPr="00CE0A20">
        <w:rPr>
          <w:color w:val="000000" w:themeColor="text1"/>
          <w:sz w:val="28"/>
          <w:szCs w:val="28"/>
          <w:lang w:val="uk-UA"/>
        </w:rPr>
        <w:t>й</w:t>
      </w:r>
      <w:r w:rsidRPr="00CE0A20">
        <w:rPr>
          <w:color w:val="000000" w:themeColor="text1"/>
          <w:sz w:val="28"/>
          <w:szCs w:val="28"/>
          <w:lang w:val="uk-UA"/>
        </w:rPr>
        <w:t xml:space="preserve"> </w:t>
      </w:r>
      <w:r w:rsidR="00853979" w:rsidRPr="00CE0A20">
        <w:rPr>
          <w:color w:val="000000" w:themeColor="text1"/>
          <w:sz w:val="28"/>
          <w:szCs w:val="28"/>
          <w:lang w:val="uk-UA"/>
        </w:rPr>
        <w:t xml:space="preserve">спосіб спричиняючи </w:t>
      </w:r>
      <w:r w:rsidRPr="00CE0A20">
        <w:rPr>
          <w:color w:val="000000" w:themeColor="text1"/>
          <w:sz w:val="28"/>
          <w:szCs w:val="28"/>
          <w:lang w:val="uk-UA"/>
        </w:rPr>
        <w:t xml:space="preserve">порушення функції яєчок [167]. Крім того, зростання концентрації естрогенів призводить до гіперплазії адипоцитів [313]. </w:t>
      </w:r>
      <w:r w:rsidR="00853979" w:rsidRPr="00CE0A20">
        <w:rPr>
          <w:color w:val="000000" w:themeColor="text1"/>
          <w:sz w:val="28"/>
          <w:szCs w:val="28"/>
          <w:lang w:val="uk-UA"/>
        </w:rPr>
        <w:t>С</w:t>
      </w:r>
      <w:r w:rsidRPr="00CE0A20">
        <w:rPr>
          <w:color w:val="000000" w:themeColor="text1"/>
          <w:sz w:val="28"/>
          <w:szCs w:val="28"/>
          <w:lang w:val="uk-UA"/>
        </w:rPr>
        <w:t>во</w:t>
      </w:r>
      <w:r w:rsidR="00853979" w:rsidRPr="00CE0A20">
        <w:rPr>
          <w:color w:val="000000" w:themeColor="text1"/>
          <w:sz w:val="28"/>
          <w:szCs w:val="28"/>
          <w:lang w:val="uk-UA"/>
        </w:rPr>
        <w:t>єю</w:t>
      </w:r>
      <w:r w:rsidRPr="00CE0A20">
        <w:rPr>
          <w:color w:val="000000" w:themeColor="text1"/>
          <w:sz w:val="28"/>
          <w:szCs w:val="28"/>
          <w:lang w:val="uk-UA"/>
        </w:rPr>
        <w:t xml:space="preserve"> черг</w:t>
      </w:r>
      <w:r w:rsidR="00853979" w:rsidRPr="00CE0A20">
        <w:rPr>
          <w:color w:val="000000" w:themeColor="text1"/>
          <w:sz w:val="28"/>
          <w:szCs w:val="28"/>
          <w:lang w:val="uk-UA"/>
        </w:rPr>
        <w:t>ою</w:t>
      </w:r>
      <w:r w:rsidRPr="00CE0A20">
        <w:rPr>
          <w:color w:val="000000" w:themeColor="text1"/>
          <w:sz w:val="28"/>
          <w:szCs w:val="28"/>
          <w:lang w:val="uk-UA"/>
        </w:rPr>
        <w:t xml:space="preserve">, ожиріння сприяє зростанню концентрації ГЗСГ і зниження вмісту тестостерону [40; 72].  </w:t>
      </w:r>
      <w:r w:rsidR="00853979" w:rsidRPr="00CE0A20">
        <w:rPr>
          <w:color w:val="000000" w:themeColor="text1"/>
          <w:sz w:val="28"/>
          <w:szCs w:val="28"/>
          <w:lang w:val="uk-UA"/>
        </w:rPr>
        <w:t>У</w:t>
      </w:r>
      <w:r w:rsidRPr="00CE0A20">
        <w:rPr>
          <w:color w:val="000000" w:themeColor="text1"/>
          <w:sz w:val="28"/>
          <w:szCs w:val="28"/>
          <w:lang w:val="uk-UA"/>
        </w:rPr>
        <w:t xml:space="preserve"> патогенезі гіпогонадизму у хворих на ЦД 2-го типу розрізняють гіпогонадизм, зумовлений підвищенням активності арома</w:t>
      </w:r>
      <w:r w:rsidRPr="00CE0A20">
        <w:rPr>
          <w:color w:val="000000" w:themeColor="text1"/>
          <w:sz w:val="28"/>
          <w:szCs w:val="28"/>
          <w:lang w:val="uk-UA"/>
        </w:rPr>
        <w:softHyphen/>
        <w:t xml:space="preserve">тази на тлі надлишкової маси тіла, і гіпогонадизм, первинно обумовлений зниженням секреції тестостерону в яєчках. </w:t>
      </w:r>
      <w:r w:rsidR="00853979" w:rsidRPr="00CE0A20">
        <w:rPr>
          <w:color w:val="000000" w:themeColor="text1"/>
          <w:sz w:val="28"/>
          <w:szCs w:val="28"/>
          <w:lang w:val="uk-UA"/>
        </w:rPr>
        <w:t>С</w:t>
      </w:r>
      <w:r w:rsidRPr="00CE0A20">
        <w:rPr>
          <w:color w:val="000000" w:themeColor="text1"/>
          <w:sz w:val="28"/>
          <w:szCs w:val="28"/>
          <w:lang w:val="uk-UA"/>
        </w:rPr>
        <w:t>во</w:t>
      </w:r>
      <w:r w:rsidR="00853979" w:rsidRPr="00CE0A20">
        <w:rPr>
          <w:color w:val="000000" w:themeColor="text1"/>
          <w:sz w:val="28"/>
          <w:szCs w:val="28"/>
          <w:lang w:val="uk-UA"/>
        </w:rPr>
        <w:t>є</w:t>
      </w:r>
      <w:r w:rsidRPr="00CE0A20">
        <w:rPr>
          <w:color w:val="000000" w:themeColor="text1"/>
          <w:sz w:val="28"/>
          <w:szCs w:val="28"/>
          <w:lang w:val="uk-UA"/>
        </w:rPr>
        <w:t>ю черг</w:t>
      </w:r>
      <w:r w:rsidR="00853979" w:rsidRPr="00CE0A20">
        <w:rPr>
          <w:color w:val="000000" w:themeColor="text1"/>
          <w:sz w:val="28"/>
          <w:szCs w:val="28"/>
          <w:lang w:val="uk-UA"/>
        </w:rPr>
        <w:t>ою,</w:t>
      </w:r>
      <w:r w:rsidRPr="00CE0A20">
        <w:rPr>
          <w:color w:val="000000" w:themeColor="text1"/>
          <w:sz w:val="28"/>
          <w:szCs w:val="28"/>
          <w:lang w:val="uk-UA"/>
        </w:rPr>
        <w:t xml:space="preserve"> гіпогонадизм є важливим фактором розвитку ЕД [125]. На думку дослідників, основною причиною зниження рівня тестостерону є ураження та пригнічення функції клітин Лейдіга, що призводить до зниження його синтезу [134; 285; 294].</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Style w:val="mixed-citation"/>
          <w:rFonts w:ascii="Times New Roman" w:hAnsi="Times New Roman" w:cs="Times New Roman"/>
          <w:color w:val="000000" w:themeColor="text1"/>
          <w:sz w:val="28"/>
          <w:szCs w:val="28"/>
          <w:lang w:val="uk-UA"/>
        </w:rPr>
        <w:t xml:space="preserve">A.M. Traish та співавт. (2009) вважають, що виникнення гіпогонадизму та ЕД при ожирінні пов’язано </w:t>
      </w:r>
      <w:r w:rsidR="00853979" w:rsidRPr="00CE0A20">
        <w:rPr>
          <w:rStyle w:val="mixed-citation"/>
          <w:rFonts w:ascii="Times New Roman" w:hAnsi="Times New Roman" w:cs="Times New Roman"/>
          <w:color w:val="000000" w:themeColor="text1"/>
          <w:sz w:val="28"/>
          <w:szCs w:val="28"/>
          <w:lang w:val="uk-UA"/>
        </w:rPr>
        <w:t>і</w:t>
      </w:r>
      <w:r w:rsidRPr="00CE0A20">
        <w:rPr>
          <w:rStyle w:val="mixed-citation"/>
          <w:rFonts w:ascii="Times New Roman" w:hAnsi="Times New Roman" w:cs="Times New Roman"/>
          <w:color w:val="000000" w:themeColor="text1"/>
          <w:sz w:val="28"/>
          <w:szCs w:val="28"/>
          <w:lang w:val="uk-UA"/>
        </w:rPr>
        <w:t xml:space="preserve">з запальними механізмами. </w:t>
      </w:r>
      <w:r w:rsidRPr="00CE0A20">
        <w:rPr>
          <w:rFonts w:ascii="Times New Roman" w:hAnsi="Times New Roman" w:cs="Times New Roman"/>
          <w:color w:val="000000" w:themeColor="text1"/>
          <w:sz w:val="28"/>
          <w:szCs w:val="28"/>
          <w:lang w:val="uk-UA"/>
        </w:rPr>
        <w:t>На їх</w:t>
      </w:r>
      <w:r w:rsidR="00853979" w:rsidRPr="00CE0A20">
        <w:rPr>
          <w:rFonts w:ascii="Times New Roman" w:hAnsi="Times New Roman" w:cs="Times New Roman"/>
          <w:color w:val="000000" w:themeColor="text1"/>
          <w:sz w:val="28"/>
          <w:szCs w:val="28"/>
          <w:lang w:val="uk-UA"/>
        </w:rPr>
        <w:t>ню</w:t>
      </w:r>
      <w:r w:rsidRPr="00CE0A20">
        <w:rPr>
          <w:rFonts w:ascii="Times New Roman" w:hAnsi="Times New Roman" w:cs="Times New Roman"/>
          <w:color w:val="000000" w:themeColor="text1"/>
          <w:sz w:val="28"/>
          <w:szCs w:val="28"/>
          <w:lang w:val="uk-UA"/>
        </w:rPr>
        <w:t xml:space="preserve"> думку</w:t>
      </w:r>
      <w:r w:rsidR="00853979"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ожиріння є прозапальним станом. Завдяки посиленню вивільнення і секреції прозапальних цитокінів, адипокінів, вільних жирних кислот та естрогенів активуються запальні реакції, які сприяють дисфункції ендотелію та зниженню рівня тестостерону в плазмі крові. Дефіцит тестостерону та ендотеліальна дисфункція, сво</w:t>
      </w:r>
      <w:r w:rsidR="00895E81" w:rsidRPr="00CE0A20">
        <w:rPr>
          <w:rFonts w:ascii="Times New Roman" w:hAnsi="Times New Roman" w:cs="Times New Roman"/>
          <w:color w:val="000000" w:themeColor="text1"/>
          <w:sz w:val="28"/>
          <w:szCs w:val="28"/>
          <w:lang w:val="uk-UA"/>
        </w:rPr>
        <w:t>єю</w:t>
      </w:r>
      <w:r w:rsidRPr="00CE0A20">
        <w:rPr>
          <w:rFonts w:ascii="Times New Roman" w:hAnsi="Times New Roman" w:cs="Times New Roman"/>
          <w:color w:val="000000" w:themeColor="text1"/>
          <w:sz w:val="28"/>
          <w:szCs w:val="28"/>
          <w:lang w:val="uk-UA"/>
        </w:rPr>
        <w:t xml:space="preserve"> черг</w:t>
      </w:r>
      <w:r w:rsidR="00895E81" w:rsidRPr="00CE0A20">
        <w:rPr>
          <w:rFonts w:ascii="Times New Roman" w:hAnsi="Times New Roman" w:cs="Times New Roman"/>
          <w:color w:val="000000" w:themeColor="text1"/>
          <w:sz w:val="28"/>
          <w:szCs w:val="28"/>
          <w:lang w:val="uk-UA"/>
        </w:rPr>
        <w:t>ою</w:t>
      </w:r>
      <w:r w:rsidRPr="00CE0A20">
        <w:rPr>
          <w:rFonts w:ascii="Times New Roman" w:hAnsi="Times New Roman" w:cs="Times New Roman"/>
          <w:color w:val="000000" w:themeColor="text1"/>
          <w:sz w:val="28"/>
          <w:szCs w:val="28"/>
          <w:lang w:val="uk-UA"/>
        </w:rPr>
        <w:t xml:space="preserve">, </w:t>
      </w:r>
      <w:r w:rsidR="00895E81" w:rsidRPr="00CE0A20">
        <w:rPr>
          <w:rFonts w:ascii="Times New Roman" w:hAnsi="Times New Roman" w:cs="Times New Roman"/>
          <w:color w:val="000000" w:themeColor="text1"/>
          <w:sz w:val="28"/>
          <w:szCs w:val="28"/>
          <w:lang w:val="uk-UA"/>
        </w:rPr>
        <w:t xml:space="preserve"> є причиною </w:t>
      </w:r>
      <w:r w:rsidRPr="00CE0A20">
        <w:rPr>
          <w:rFonts w:ascii="Times New Roman" w:hAnsi="Times New Roman" w:cs="Times New Roman"/>
          <w:color w:val="000000" w:themeColor="text1"/>
          <w:sz w:val="28"/>
          <w:szCs w:val="28"/>
          <w:lang w:val="uk-UA"/>
        </w:rPr>
        <w:t>судинн</w:t>
      </w:r>
      <w:r w:rsidR="00895E81" w:rsidRPr="00CE0A20">
        <w:rPr>
          <w:rFonts w:ascii="Times New Roman" w:hAnsi="Times New Roman" w:cs="Times New Roman"/>
          <w:color w:val="000000" w:themeColor="text1"/>
          <w:sz w:val="28"/>
          <w:szCs w:val="28"/>
          <w:lang w:val="uk-UA"/>
        </w:rPr>
        <w:t>ої</w:t>
      </w:r>
      <w:r w:rsidRPr="00CE0A20">
        <w:rPr>
          <w:rFonts w:ascii="Times New Roman" w:hAnsi="Times New Roman" w:cs="Times New Roman"/>
          <w:color w:val="000000" w:themeColor="text1"/>
          <w:sz w:val="28"/>
          <w:szCs w:val="28"/>
          <w:lang w:val="uk-UA"/>
        </w:rPr>
        <w:t xml:space="preserve"> недостатності статевого члена внаслідок втрати експресії та активності NO, що призводить до порушення гемодинамічних реакцій з розвитком ЕД [</w:t>
      </w:r>
      <w:r w:rsidRPr="00CE0A20">
        <w:rPr>
          <w:rStyle w:val="mixed-citation"/>
          <w:rFonts w:ascii="Times New Roman" w:hAnsi="Times New Roman" w:cs="Times New Roman"/>
          <w:color w:val="000000" w:themeColor="text1"/>
          <w:sz w:val="28"/>
          <w:szCs w:val="28"/>
          <w:lang w:val="uk-UA"/>
        </w:rPr>
        <w:t>352]. Прозапальна активність вісцерального жиру, який має активну секреторну активність показана і в більш ранніх дослідженнях [226].</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Крім цього, </w:t>
      </w:r>
      <w:r w:rsidR="00895E81"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жировій тканині адипоцитами синтезується фермент ароматаза, який перетворює тестостерон на естрадіол. Надмірна кількість жирової тканини містить у великій кількості ароматазу, що сприяє зниженню рівня тестостерону та </w:t>
      </w:r>
      <w:r w:rsidR="00895E81" w:rsidRPr="00CE0A20">
        <w:rPr>
          <w:rFonts w:ascii="Times New Roman" w:hAnsi="Times New Roman" w:cs="Times New Roman"/>
          <w:color w:val="000000" w:themeColor="text1"/>
          <w:sz w:val="28"/>
          <w:szCs w:val="28"/>
          <w:lang w:val="uk-UA"/>
        </w:rPr>
        <w:t xml:space="preserve">спричиняє </w:t>
      </w:r>
      <w:r w:rsidRPr="00CE0A20">
        <w:rPr>
          <w:rFonts w:ascii="Times New Roman" w:hAnsi="Times New Roman" w:cs="Times New Roman"/>
          <w:color w:val="000000" w:themeColor="text1"/>
          <w:sz w:val="28"/>
          <w:szCs w:val="28"/>
          <w:lang w:val="uk-UA"/>
        </w:rPr>
        <w:t>розвит</w:t>
      </w:r>
      <w:r w:rsidR="00895E81"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к гіпогонадизму [210]. Також збільшення кількості жирової тканини у чоловіків призводить до підвищення концентрації естрогенів, що активують гіпоталамусні рецептори естрогену та викликають гальмування гіпоталамо-гіпофізарно-гонадальної осі. Лікування інгібіторами ароматази скасовує гіпогонадотропний гіпогонадизм, пов'язаний з ожирінням [261; 271</w:t>
      </w:r>
      <w:r w:rsidRPr="00CE0A20">
        <w:rPr>
          <w:rStyle w:val="mixed-citation"/>
          <w:rFonts w:ascii="Times New Roman" w:hAnsi="Times New Roman" w:cs="Times New Roman"/>
          <w:color w:val="000000" w:themeColor="text1"/>
          <w:sz w:val="28"/>
          <w:szCs w:val="28"/>
          <w:lang w:val="uk-UA"/>
        </w:rPr>
        <w:t>]</w:t>
      </w:r>
      <w:r w:rsidR="00895E81" w:rsidRPr="00CE0A20">
        <w:rPr>
          <w:rStyle w:val="mixed-citation"/>
          <w:rFonts w:ascii="Times New Roman" w:hAnsi="Times New Roman" w:cs="Times New Roman"/>
          <w:color w:val="000000" w:themeColor="text1"/>
          <w:sz w:val="28"/>
          <w:szCs w:val="28"/>
          <w:lang w:val="uk-UA"/>
        </w:rPr>
        <w:t>, т</w:t>
      </w:r>
      <w:r w:rsidRPr="00CE0A20">
        <w:rPr>
          <w:rFonts w:ascii="Times New Roman" w:hAnsi="Times New Roman" w:cs="Times New Roman"/>
          <w:color w:val="000000" w:themeColor="text1"/>
          <w:sz w:val="28"/>
          <w:szCs w:val="28"/>
          <w:lang w:val="uk-UA"/>
        </w:rPr>
        <w:t xml:space="preserve">обто надлишок жирової тканини </w:t>
      </w:r>
      <w:r w:rsidR="00895E81" w:rsidRPr="00CE0A20">
        <w:rPr>
          <w:rFonts w:ascii="Times New Roman" w:hAnsi="Times New Roman" w:cs="Times New Roman"/>
          <w:color w:val="000000" w:themeColor="text1"/>
          <w:sz w:val="28"/>
          <w:szCs w:val="28"/>
          <w:lang w:val="uk-UA"/>
        </w:rPr>
        <w:t xml:space="preserve">обумовлює </w:t>
      </w:r>
      <w:r w:rsidRPr="00CE0A20">
        <w:rPr>
          <w:rFonts w:ascii="Times New Roman" w:hAnsi="Times New Roman" w:cs="Times New Roman"/>
          <w:color w:val="000000" w:themeColor="text1"/>
          <w:sz w:val="28"/>
          <w:szCs w:val="28"/>
          <w:lang w:val="uk-UA"/>
        </w:rPr>
        <w:t>посилення конверсії тестостерону в естрадіол, що може призвести до вторинного гіпогонадизму через при</w:t>
      </w:r>
      <w:r w:rsidR="00895E81" w:rsidRPr="00CE0A20">
        <w:rPr>
          <w:rFonts w:ascii="Times New Roman" w:hAnsi="Times New Roman" w:cs="Times New Roman"/>
          <w:color w:val="000000" w:themeColor="text1"/>
          <w:sz w:val="28"/>
          <w:szCs w:val="28"/>
          <w:lang w:val="uk-UA"/>
        </w:rPr>
        <w:t>гніче</w:t>
      </w:r>
      <w:r w:rsidRPr="00CE0A20">
        <w:rPr>
          <w:rFonts w:ascii="Times New Roman" w:hAnsi="Times New Roman" w:cs="Times New Roman"/>
          <w:color w:val="000000" w:themeColor="text1"/>
          <w:sz w:val="28"/>
          <w:szCs w:val="28"/>
          <w:lang w:val="uk-UA"/>
        </w:rPr>
        <w:t xml:space="preserve">ння репродуктивної осі. Крім того, окислювальний стрес на рівні мікросередовища яєчка може призвести до зниження сперматогенезу та пошкодження сперматозоїдів. Продукти адипоцитів, такі як лептин, адипонектин і рестистин, </w:t>
      </w:r>
      <w:r w:rsidR="007C44E1" w:rsidRPr="00CE0A20">
        <w:rPr>
          <w:rFonts w:ascii="Times New Roman" w:hAnsi="Times New Roman" w:cs="Times New Roman"/>
          <w:color w:val="000000" w:themeColor="text1"/>
          <w:sz w:val="28"/>
          <w:szCs w:val="28"/>
          <w:lang w:val="uk-UA"/>
        </w:rPr>
        <w:t xml:space="preserve">а також </w:t>
      </w:r>
      <w:r w:rsidRPr="00CE0A20">
        <w:rPr>
          <w:rFonts w:ascii="Times New Roman" w:hAnsi="Times New Roman" w:cs="Times New Roman"/>
          <w:color w:val="000000" w:themeColor="text1"/>
          <w:sz w:val="28"/>
          <w:szCs w:val="28"/>
          <w:lang w:val="uk-UA"/>
        </w:rPr>
        <w:t xml:space="preserve">кишкові пептиди, </w:t>
      </w:r>
      <w:r w:rsidR="007C44E1" w:rsidRPr="00CE0A20">
        <w:rPr>
          <w:rFonts w:ascii="Times New Roman" w:hAnsi="Times New Roman" w:cs="Times New Roman"/>
          <w:color w:val="000000" w:themeColor="text1"/>
          <w:sz w:val="28"/>
          <w:szCs w:val="28"/>
          <w:lang w:val="uk-UA"/>
        </w:rPr>
        <w:t>наприклад,</w:t>
      </w:r>
      <w:r w:rsidRPr="00CE0A20">
        <w:rPr>
          <w:rFonts w:ascii="Times New Roman" w:hAnsi="Times New Roman" w:cs="Times New Roman"/>
          <w:color w:val="000000" w:themeColor="text1"/>
          <w:sz w:val="28"/>
          <w:szCs w:val="28"/>
          <w:lang w:val="uk-UA"/>
        </w:rPr>
        <w:t xml:space="preserve"> грелін, вважаються вирішальними для взаємодії енергетичного балансу та репродукції. Нарешті, непрямим доказом взаємодії між метаболічним синдромом та репродуктивною віссю є той факт, що лікуванн</w:t>
      </w:r>
      <w:r w:rsidR="007C44E1" w:rsidRPr="00CE0A20">
        <w:rPr>
          <w:rFonts w:ascii="Times New Roman" w:hAnsi="Times New Roman" w:cs="Times New Roman"/>
          <w:color w:val="000000" w:themeColor="text1"/>
          <w:sz w:val="28"/>
          <w:szCs w:val="28"/>
          <w:lang w:val="uk-UA"/>
        </w:rPr>
        <w:t>ям</w:t>
      </w:r>
      <w:r w:rsidRPr="00CE0A20">
        <w:rPr>
          <w:rFonts w:ascii="Times New Roman" w:hAnsi="Times New Roman" w:cs="Times New Roman"/>
          <w:color w:val="000000" w:themeColor="text1"/>
          <w:sz w:val="28"/>
          <w:szCs w:val="28"/>
          <w:lang w:val="uk-UA"/>
        </w:rPr>
        <w:t xml:space="preserve"> одного з цих компонентів поліпшується стан іншого [283].</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Питання щодо первинності ожиріння до дефіциту тестостерону або, навпаки</w:t>
      </w:r>
      <w:r w:rsidR="00AA70D5"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дефіциту тестостерону до ожиріння до кінця не з’ясовано. З одного боку, результати багатьох досліджень свідчать</w:t>
      </w:r>
      <w:r w:rsidR="00AA70D5" w:rsidRPr="00CE0A20">
        <w:rPr>
          <w:rFonts w:ascii="Times New Roman" w:hAnsi="Times New Roman" w:cs="Times New Roman"/>
          <w:color w:val="000000" w:themeColor="text1"/>
          <w:sz w:val="28"/>
          <w:szCs w:val="28"/>
          <w:lang w:val="uk-UA"/>
        </w:rPr>
        <w:t xml:space="preserve"> про те</w:t>
      </w:r>
      <w:r w:rsidRPr="00CE0A20">
        <w:rPr>
          <w:rFonts w:ascii="Times New Roman" w:hAnsi="Times New Roman" w:cs="Times New Roman"/>
          <w:color w:val="000000" w:themeColor="text1"/>
          <w:sz w:val="28"/>
          <w:szCs w:val="28"/>
          <w:lang w:val="uk-UA"/>
        </w:rPr>
        <w:t xml:space="preserve">, що ожиріння </w:t>
      </w:r>
      <w:r w:rsidR="00AA70D5" w:rsidRPr="00CE0A20">
        <w:rPr>
          <w:rFonts w:ascii="Times New Roman" w:hAnsi="Times New Roman" w:cs="Times New Roman"/>
          <w:color w:val="000000" w:themeColor="text1"/>
          <w:sz w:val="28"/>
          <w:szCs w:val="28"/>
          <w:lang w:val="uk-UA"/>
        </w:rPr>
        <w:t xml:space="preserve"> є причиною </w:t>
      </w:r>
      <w:r w:rsidRPr="00CE0A20">
        <w:rPr>
          <w:rFonts w:ascii="Times New Roman" w:hAnsi="Times New Roman" w:cs="Times New Roman"/>
          <w:color w:val="000000" w:themeColor="text1"/>
          <w:sz w:val="28"/>
          <w:szCs w:val="28"/>
          <w:lang w:val="uk-UA"/>
        </w:rPr>
        <w:t xml:space="preserve">зниження рівня тестостерону [232; 343; </w:t>
      </w:r>
      <w:r w:rsidRPr="00CE0A20">
        <w:rPr>
          <w:rStyle w:val="element-citation"/>
          <w:rFonts w:ascii="Times New Roman" w:hAnsi="Times New Roman" w:cs="Times New Roman"/>
          <w:color w:val="000000" w:themeColor="text1"/>
          <w:sz w:val="28"/>
          <w:szCs w:val="28"/>
          <w:lang w:val="uk-UA"/>
        </w:rPr>
        <w:t xml:space="preserve">356; 375]. Причому </w:t>
      </w:r>
      <w:r w:rsidRPr="00CE0A20">
        <w:rPr>
          <w:rFonts w:ascii="Times New Roman" w:hAnsi="Times New Roman" w:cs="Times New Roman"/>
          <w:color w:val="000000" w:themeColor="text1"/>
          <w:sz w:val="28"/>
          <w:szCs w:val="28"/>
          <w:lang w:val="uk-UA"/>
        </w:rPr>
        <w:t xml:space="preserve">зменшення ваги за допомогою дієти або хірургічного втручання призводить до </w:t>
      </w:r>
      <w:r w:rsidR="00AA70D5" w:rsidRPr="00CE0A20">
        <w:rPr>
          <w:rFonts w:ascii="Times New Roman" w:hAnsi="Times New Roman" w:cs="Times New Roman"/>
          <w:color w:val="000000" w:themeColor="text1"/>
          <w:sz w:val="28"/>
          <w:szCs w:val="28"/>
          <w:lang w:val="uk-UA"/>
        </w:rPr>
        <w:t>підвище</w:t>
      </w:r>
      <w:r w:rsidRPr="00CE0A20">
        <w:rPr>
          <w:rFonts w:ascii="Times New Roman" w:hAnsi="Times New Roman" w:cs="Times New Roman"/>
          <w:color w:val="000000" w:themeColor="text1"/>
          <w:sz w:val="28"/>
          <w:szCs w:val="28"/>
          <w:lang w:val="uk-UA"/>
        </w:rPr>
        <w:t>ння рівня тестостерону</w:t>
      </w:r>
      <w:r w:rsidR="00AA70D5"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пропорційне до величини втраченої ваги [162; </w:t>
      </w:r>
      <w:r w:rsidRPr="00CE0A20">
        <w:rPr>
          <w:rStyle w:val="element-citation"/>
          <w:rFonts w:ascii="Times New Roman" w:hAnsi="Times New Roman" w:cs="Times New Roman"/>
          <w:color w:val="000000" w:themeColor="text1"/>
          <w:sz w:val="28"/>
          <w:szCs w:val="28"/>
          <w:lang w:val="uk-UA"/>
        </w:rPr>
        <w:t>222]</w:t>
      </w:r>
      <w:r w:rsidRPr="00CE0A20">
        <w:rPr>
          <w:rFonts w:ascii="Times New Roman" w:hAnsi="Times New Roman" w:cs="Times New Roman"/>
          <w:color w:val="000000" w:themeColor="text1"/>
          <w:sz w:val="28"/>
          <w:szCs w:val="28"/>
          <w:lang w:val="uk-UA"/>
        </w:rPr>
        <w:t>. З іншого боку</w:t>
      </w:r>
      <w:r w:rsidR="00AA70D5"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існують докази зворотного зв’язку. Зокрема</w:t>
      </w:r>
      <w:r w:rsidR="00AA70D5"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у кількох експериментах на тваринах з моделюванням генетичних делецій рецептора андрогену з’ясовано, що жирова  тканина реагує на андрогени [</w:t>
      </w:r>
      <w:r w:rsidRPr="00CE0A20">
        <w:rPr>
          <w:rStyle w:val="element-citation"/>
          <w:rFonts w:ascii="Times New Roman" w:hAnsi="Times New Roman" w:cs="Times New Roman"/>
          <w:color w:val="000000" w:themeColor="text1"/>
          <w:sz w:val="28"/>
          <w:szCs w:val="28"/>
          <w:lang w:val="uk-UA"/>
        </w:rPr>
        <w:t>309; 323]</w:t>
      </w:r>
      <w:r w:rsidRPr="00CE0A20">
        <w:rPr>
          <w:rFonts w:ascii="Times New Roman" w:hAnsi="Times New Roman" w:cs="Times New Roman"/>
          <w:color w:val="000000" w:themeColor="text1"/>
          <w:sz w:val="28"/>
          <w:szCs w:val="28"/>
          <w:lang w:val="uk-UA"/>
        </w:rPr>
        <w:t>. Показано, що тестостерон сприяє залученню плюр</w:t>
      </w:r>
      <w:r w:rsidR="00AA70D5"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потентних стовбурових клітин </w:t>
      </w:r>
      <w:r w:rsidR="00AA70D5"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міогенез, але пригнічує їх</w:t>
      </w:r>
      <w:r w:rsidR="00AA70D5" w:rsidRPr="00CE0A20">
        <w:rPr>
          <w:rFonts w:ascii="Times New Roman" w:hAnsi="Times New Roman" w:cs="Times New Roman"/>
          <w:color w:val="000000" w:themeColor="text1"/>
          <w:sz w:val="28"/>
          <w:szCs w:val="28"/>
          <w:lang w:val="uk-UA"/>
        </w:rPr>
        <w:t>ню</w:t>
      </w:r>
      <w:r w:rsidRPr="00CE0A20">
        <w:rPr>
          <w:rFonts w:ascii="Times New Roman" w:hAnsi="Times New Roman" w:cs="Times New Roman"/>
          <w:color w:val="000000" w:themeColor="text1"/>
          <w:sz w:val="28"/>
          <w:szCs w:val="28"/>
          <w:lang w:val="uk-UA"/>
        </w:rPr>
        <w:t xml:space="preserve"> диференціацію в адипоцити андроген-рецепторним шляхом [</w:t>
      </w:r>
      <w:r w:rsidRPr="00CE0A20">
        <w:rPr>
          <w:rStyle w:val="element-citation"/>
          <w:rFonts w:ascii="Times New Roman" w:hAnsi="Times New Roman" w:cs="Times New Roman"/>
          <w:color w:val="000000" w:themeColor="text1"/>
          <w:sz w:val="28"/>
          <w:szCs w:val="28"/>
          <w:lang w:val="uk-UA"/>
        </w:rPr>
        <w:t>331]</w:t>
      </w:r>
      <w:r w:rsidRPr="00CE0A20">
        <w:rPr>
          <w:rFonts w:ascii="Times New Roman" w:hAnsi="Times New Roman" w:cs="Times New Roman"/>
          <w:color w:val="000000" w:themeColor="text1"/>
          <w:sz w:val="28"/>
          <w:szCs w:val="28"/>
          <w:lang w:val="uk-UA"/>
        </w:rPr>
        <w:t xml:space="preserve">. </w:t>
      </w:r>
      <w:r w:rsidR="00AA70D5"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жировій тканині чоловіків ex vivo тестостерон знижував диференціювання адипоцитів на 50% [</w:t>
      </w:r>
      <w:r w:rsidRPr="00CE0A20">
        <w:rPr>
          <w:rStyle w:val="element-citation"/>
          <w:rFonts w:ascii="Times New Roman" w:hAnsi="Times New Roman" w:cs="Times New Roman"/>
          <w:color w:val="000000" w:themeColor="text1"/>
          <w:sz w:val="28"/>
          <w:szCs w:val="28"/>
          <w:lang w:val="uk-UA"/>
        </w:rPr>
        <w:t>155]</w:t>
      </w:r>
      <w:r w:rsidRPr="00CE0A20">
        <w:rPr>
          <w:rFonts w:ascii="Times New Roman" w:hAnsi="Times New Roman" w:cs="Times New Roman"/>
          <w:color w:val="000000" w:themeColor="text1"/>
          <w:sz w:val="28"/>
          <w:szCs w:val="28"/>
          <w:lang w:val="uk-UA"/>
        </w:rPr>
        <w:t>. В</w:t>
      </w:r>
      <w:r w:rsidR="00AA70D5" w:rsidRPr="00CE0A20">
        <w:rPr>
          <w:rFonts w:ascii="Times New Roman" w:hAnsi="Times New Roman" w:cs="Times New Roman"/>
          <w:color w:val="000000" w:themeColor="text1"/>
          <w:sz w:val="28"/>
          <w:szCs w:val="28"/>
          <w:lang w:val="uk-UA"/>
        </w:rPr>
        <w:t>иявл</w:t>
      </w:r>
      <w:r w:rsidRPr="00CE0A20">
        <w:rPr>
          <w:rFonts w:ascii="Times New Roman" w:hAnsi="Times New Roman" w:cs="Times New Roman"/>
          <w:color w:val="000000" w:themeColor="text1"/>
          <w:sz w:val="28"/>
          <w:szCs w:val="28"/>
          <w:lang w:val="uk-UA"/>
        </w:rPr>
        <w:t xml:space="preserve">ено, що тестостерон покращує катехоламін-індукований ліполіз і знижує активність ліпази та поглинання тригліцеридів </w:t>
      </w:r>
      <w:r w:rsidR="00331CB5"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жировій тканині живота людини [</w:t>
      </w:r>
      <w:r w:rsidRPr="00CE0A20">
        <w:rPr>
          <w:rStyle w:val="element-citation"/>
          <w:rFonts w:ascii="Times New Roman" w:hAnsi="Times New Roman" w:cs="Times New Roman"/>
          <w:color w:val="000000" w:themeColor="text1"/>
          <w:sz w:val="28"/>
          <w:szCs w:val="28"/>
          <w:lang w:val="uk-UA"/>
        </w:rPr>
        <w:t>222]</w:t>
      </w:r>
      <w:r w:rsidRPr="00CE0A20">
        <w:rPr>
          <w:rFonts w:ascii="Times New Roman" w:hAnsi="Times New Roman" w:cs="Times New Roman"/>
          <w:color w:val="000000" w:themeColor="text1"/>
          <w:sz w:val="28"/>
          <w:szCs w:val="28"/>
          <w:lang w:val="uk-UA"/>
        </w:rPr>
        <w:t xml:space="preserve">. </w:t>
      </w:r>
    </w:p>
    <w:p w:rsidR="00EB6EBC" w:rsidRPr="00CE0A20" w:rsidRDefault="00331CB5"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w:t>
      </w:r>
      <w:r w:rsidR="00EB6EBC" w:rsidRPr="00CE0A20">
        <w:rPr>
          <w:rFonts w:ascii="Times New Roman" w:hAnsi="Times New Roman" w:cs="Times New Roman"/>
          <w:color w:val="000000" w:themeColor="text1"/>
          <w:sz w:val="28"/>
          <w:szCs w:val="28"/>
          <w:lang w:val="uk-UA"/>
        </w:rPr>
        <w:t xml:space="preserve"> на цей час, існують докази взаємодії рівня тестостерону та ожиріння в обох напрямках з механізмами взаємної регуляції. З одного боку</w:t>
      </w:r>
      <w:r w:rsidRPr="00CE0A20">
        <w:rPr>
          <w:rFonts w:ascii="Times New Roman" w:hAnsi="Times New Roman" w:cs="Times New Roman"/>
          <w:color w:val="000000" w:themeColor="text1"/>
          <w:sz w:val="28"/>
          <w:szCs w:val="28"/>
          <w:lang w:val="uk-UA"/>
        </w:rPr>
        <w:t>,</w:t>
      </w:r>
      <w:r w:rsidR="00EB6EBC" w:rsidRPr="00CE0A20">
        <w:rPr>
          <w:rFonts w:ascii="Times New Roman" w:hAnsi="Times New Roman" w:cs="Times New Roman"/>
          <w:color w:val="000000" w:themeColor="text1"/>
          <w:sz w:val="28"/>
          <w:szCs w:val="28"/>
          <w:lang w:val="uk-UA"/>
        </w:rPr>
        <w:t xml:space="preserve"> збільшення жиру пригнічує гіпоталамо-гіпофізарно-тестикулярну ось, [</w:t>
      </w:r>
      <w:r w:rsidR="00EB6EBC" w:rsidRPr="00CE0A20">
        <w:rPr>
          <w:rStyle w:val="element-citation"/>
          <w:rFonts w:ascii="Times New Roman" w:hAnsi="Times New Roman" w:cs="Times New Roman"/>
          <w:color w:val="000000" w:themeColor="text1"/>
          <w:sz w:val="28"/>
          <w:szCs w:val="28"/>
          <w:lang w:val="uk-UA"/>
        </w:rPr>
        <w:t>219</w:t>
      </w:r>
      <w:r w:rsidR="00EB6EBC" w:rsidRPr="00CE0A20">
        <w:rPr>
          <w:rFonts w:ascii="Times New Roman" w:hAnsi="Times New Roman" w:cs="Times New Roman"/>
          <w:color w:val="000000" w:themeColor="text1"/>
          <w:sz w:val="28"/>
          <w:szCs w:val="28"/>
          <w:lang w:val="uk-UA"/>
        </w:rPr>
        <w:t xml:space="preserve">; </w:t>
      </w:r>
      <w:r w:rsidR="00EB6EBC" w:rsidRPr="00CE0A20">
        <w:rPr>
          <w:rStyle w:val="element-citation"/>
          <w:rFonts w:ascii="Times New Roman" w:hAnsi="Times New Roman" w:cs="Times New Roman"/>
          <w:color w:val="000000" w:themeColor="text1"/>
          <w:sz w:val="28"/>
          <w:szCs w:val="28"/>
          <w:lang w:val="uk-UA"/>
        </w:rPr>
        <w:t>222; 224]</w:t>
      </w:r>
      <w:r w:rsidR="00EB6EBC" w:rsidRPr="00CE0A20">
        <w:rPr>
          <w:rFonts w:ascii="Times New Roman" w:hAnsi="Times New Roman" w:cs="Times New Roman"/>
          <w:color w:val="000000" w:themeColor="text1"/>
          <w:sz w:val="28"/>
          <w:szCs w:val="28"/>
          <w:lang w:val="uk-UA"/>
        </w:rPr>
        <w:t>, з іншого – низький рівень тестостерону сприяє збільшенню жирової маси, що ще більш</w:t>
      </w:r>
      <w:r w:rsidRPr="00CE0A20">
        <w:rPr>
          <w:rFonts w:ascii="Times New Roman" w:hAnsi="Times New Roman" w:cs="Times New Roman"/>
          <w:color w:val="000000" w:themeColor="text1"/>
          <w:sz w:val="28"/>
          <w:szCs w:val="28"/>
          <w:lang w:val="uk-UA"/>
        </w:rPr>
        <w:t>е</w:t>
      </w:r>
      <w:r w:rsidR="00EB6EBC" w:rsidRPr="00CE0A20">
        <w:rPr>
          <w:rFonts w:ascii="Times New Roman" w:hAnsi="Times New Roman" w:cs="Times New Roman"/>
          <w:color w:val="000000" w:themeColor="text1"/>
          <w:sz w:val="28"/>
          <w:szCs w:val="28"/>
          <w:lang w:val="uk-UA"/>
        </w:rPr>
        <w:t xml:space="preserve"> інгібує гонадотропні гормони.</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Слід зазначити, що при ЦД важливою патогенетичною ланкою є активація процесів перекисного окис</w:t>
      </w:r>
      <w:r w:rsidR="00331CB5" w:rsidRPr="00CE0A20">
        <w:rPr>
          <w:rFonts w:ascii="Times New Roman" w:hAnsi="Times New Roman" w:cs="Times New Roman"/>
          <w:color w:val="000000" w:themeColor="text1"/>
          <w:sz w:val="28"/>
          <w:szCs w:val="28"/>
          <w:lang w:val="uk-UA"/>
        </w:rPr>
        <w:t>н</w:t>
      </w:r>
      <w:r w:rsidRPr="00CE0A20">
        <w:rPr>
          <w:rFonts w:ascii="Times New Roman" w:hAnsi="Times New Roman" w:cs="Times New Roman"/>
          <w:color w:val="000000" w:themeColor="text1"/>
          <w:sz w:val="28"/>
          <w:szCs w:val="28"/>
          <w:lang w:val="uk-UA"/>
        </w:rPr>
        <w:t xml:space="preserve">ення ліпідів (ПОЛ) в ендотелії судин та клітинах крові, яка призводить до утворення агресивних вільних радикалів кисню з розвитком глюкозо- та ліпотоксичності [1].  Надмірна кількість вільних радикалів </w:t>
      </w:r>
      <w:r w:rsidR="00C124F3" w:rsidRPr="00CE0A20">
        <w:rPr>
          <w:rFonts w:ascii="Times New Roman" w:hAnsi="Times New Roman" w:cs="Times New Roman"/>
          <w:color w:val="000000" w:themeColor="text1"/>
          <w:sz w:val="28"/>
          <w:szCs w:val="28"/>
          <w:lang w:val="uk-UA"/>
        </w:rPr>
        <w:t>спричиняє</w:t>
      </w:r>
      <w:r w:rsidRPr="00CE0A20">
        <w:rPr>
          <w:rFonts w:ascii="Times New Roman" w:hAnsi="Times New Roman" w:cs="Times New Roman"/>
          <w:color w:val="000000" w:themeColor="text1"/>
          <w:sz w:val="28"/>
          <w:szCs w:val="28"/>
          <w:lang w:val="uk-UA"/>
        </w:rPr>
        <w:t xml:space="preserve"> дисбаланс взаємодії ПОЛ та ферментів антиоксидантної системи захисту (АОСЗ), зокрема, супероксиддисмутази (СОД) та глютатіонпероксидази (ГПО), що призводить до розвитку окисного стресу та ураженн</w:t>
      </w:r>
      <w:r w:rsidR="00C124F3" w:rsidRPr="00CE0A20">
        <w:rPr>
          <w:rFonts w:ascii="Times New Roman" w:hAnsi="Times New Roman" w:cs="Times New Roman"/>
          <w:color w:val="000000" w:themeColor="text1"/>
          <w:sz w:val="28"/>
          <w:szCs w:val="28"/>
          <w:lang w:val="uk-UA"/>
        </w:rPr>
        <w:t>я</w:t>
      </w:r>
      <w:r w:rsidRPr="00CE0A20">
        <w:rPr>
          <w:rFonts w:ascii="Times New Roman" w:hAnsi="Times New Roman" w:cs="Times New Roman"/>
          <w:color w:val="000000" w:themeColor="text1"/>
          <w:sz w:val="28"/>
          <w:szCs w:val="28"/>
          <w:lang w:val="uk-UA"/>
        </w:rPr>
        <w:t xml:space="preserve"> багатьох органів </w:t>
      </w:r>
      <w:r w:rsidR="00C124F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систем організму [143]. На </w:t>
      </w:r>
      <w:r w:rsidR="00C124F3" w:rsidRPr="00CE0A20">
        <w:rPr>
          <w:rFonts w:ascii="Times New Roman" w:hAnsi="Times New Roman" w:cs="Times New Roman"/>
          <w:color w:val="000000" w:themeColor="text1"/>
          <w:sz w:val="28"/>
          <w:szCs w:val="28"/>
          <w:lang w:val="uk-UA"/>
        </w:rPr>
        <w:t>сьогодні</w:t>
      </w:r>
      <w:r w:rsidRPr="00CE0A20">
        <w:rPr>
          <w:rFonts w:ascii="Times New Roman" w:hAnsi="Times New Roman" w:cs="Times New Roman"/>
          <w:color w:val="000000" w:themeColor="text1"/>
          <w:sz w:val="28"/>
          <w:szCs w:val="28"/>
          <w:lang w:val="uk-UA"/>
        </w:rPr>
        <w:t xml:space="preserve"> вільнорадикальний механізм ушкодження паренхіми яєчок вважається одним з важливих ланцюгів патогенезу андрогенного дефіциту та ЕД у хворих на ЦД [107]. Головн</w:t>
      </w:r>
      <w:r w:rsidR="00C124F3" w:rsidRPr="00CE0A20">
        <w:rPr>
          <w:rFonts w:ascii="Times New Roman" w:hAnsi="Times New Roman" w:cs="Times New Roman"/>
          <w:color w:val="000000" w:themeColor="text1"/>
          <w:sz w:val="28"/>
          <w:szCs w:val="28"/>
          <w:lang w:val="uk-UA"/>
        </w:rPr>
        <w:t>им</w:t>
      </w:r>
      <w:r w:rsidRPr="00CE0A20">
        <w:rPr>
          <w:rFonts w:ascii="Times New Roman" w:hAnsi="Times New Roman" w:cs="Times New Roman"/>
          <w:color w:val="000000" w:themeColor="text1"/>
          <w:sz w:val="28"/>
          <w:szCs w:val="28"/>
          <w:lang w:val="uk-UA"/>
        </w:rPr>
        <w:t xml:space="preserve"> склад</w:t>
      </w:r>
      <w:r w:rsidR="00C124F3" w:rsidRPr="00CE0A20">
        <w:rPr>
          <w:rFonts w:ascii="Times New Roman" w:hAnsi="Times New Roman" w:cs="Times New Roman"/>
          <w:color w:val="000000" w:themeColor="text1"/>
          <w:sz w:val="28"/>
          <w:szCs w:val="28"/>
          <w:lang w:val="uk-UA"/>
        </w:rPr>
        <w:t>ником</w:t>
      </w:r>
      <w:r w:rsidRPr="00CE0A20">
        <w:rPr>
          <w:rFonts w:ascii="Times New Roman" w:hAnsi="Times New Roman" w:cs="Times New Roman"/>
          <w:color w:val="000000" w:themeColor="text1"/>
          <w:sz w:val="28"/>
          <w:szCs w:val="28"/>
          <w:lang w:val="uk-UA"/>
        </w:rPr>
        <w:t xml:space="preserve"> вільнорадикального механізму розвитку ЕД вважають взаємодію вільних радикалів з NO. Основним продуктом ПОЛ є супероксид (О</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який активно реагує з NO з утворенням пероксин</w:t>
      </w:r>
      <w:r w:rsidR="00C124F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триту (ООNO-), що зменшує концентрацію NO. </w:t>
      </w:r>
      <w:r w:rsidR="00C124F3" w:rsidRPr="00CE0A20">
        <w:rPr>
          <w:rFonts w:ascii="Times New Roman" w:hAnsi="Times New Roman" w:cs="Times New Roman"/>
          <w:color w:val="000000" w:themeColor="text1"/>
          <w:sz w:val="28"/>
          <w:szCs w:val="28"/>
          <w:lang w:val="uk-UA"/>
        </w:rPr>
        <w:t>С</w:t>
      </w:r>
      <w:r w:rsidRPr="00CE0A20">
        <w:rPr>
          <w:rFonts w:ascii="Times New Roman" w:hAnsi="Times New Roman" w:cs="Times New Roman"/>
          <w:color w:val="000000" w:themeColor="text1"/>
          <w:sz w:val="28"/>
          <w:szCs w:val="28"/>
          <w:lang w:val="uk-UA"/>
        </w:rPr>
        <w:t>во</w:t>
      </w:r>
      <w:r w:rsidR="00C124F3" w:rsidRPr="00CE0A20">
        <w:rPr>
          <w:rFonts w:ascii="Times New Roman" w:hAnsi="Times New Roman" w:cs="Times New Roman"/>
          <w:color w:val="000000" w:themeColor="text1"/>
          <w:sz w:val="28"/>
          <w:szCs w:val="28"/>
          <w:lang w:val="uk-UA"/>
        </w:rPr>
        <w:t>є</w:t>
      </w:r>
      <w:r w:rsidRPr="00CE0A20">
        <w:rPr>
          <w:rFonts w:ascii="Times New Roman" w:hAnsi="Times New Roman" w:cs="Times New Roman"/>
          <w:color w:val="000000" w:themeColor="text1"/>
          <w:sz w:val="28"/>
          <w:szCs w:val="28"/>
          <w:lang w:val="uk-UA"/>
        </w:rPr>
        <w:t>ю черг</w:t>
      </w:r>
      <w:r w:rsidR="00C124F3" w:rsidRPr="00CE0A20">
        <w:rPr>
          <w:rFonts w:ascii="Times New Roman" w:hAnsi="Times New Roman" w:cs="Times New Roman"/>
          <w:color w:val="000000" w:themeColor="text1"/>
          <w:sz w:val="28"/>
          <w:szCs w:val="28"/>
          <w:lang w:val="uk-UA"/>
        </w:rPr>
        <w:t>ою</w:t>
      </w:r>
      <w:r w:rsidRPr="00CE0A20">
        <w:rPr>
          <w:rFonts w:ascii="Times New Roman" w:hAnsi="Times New Roman" w:cs="Times New Roman"/>
          <w:color w:val="000000" w:themeColor="text1"/>
          <w:sz w:val="28"/>
          <w:szCs w:val="28"/>
          <w:lang w:val="uk-UA"/>
        </w:rPr>
        <w:t>, пероксин</w:t>
      </w:r>
      <w:r w:rsidR="00C124F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трит пригнічує активність СОД, а це </w:t>
      </w:r>
      <w:r w:rsidR="00C124F3" w:rsidRPr="00CE0A20">
        <w:rPr>
          <w:rFonts w:ascii="Times New Roman" w:hAnsi="Times New Roman" w:cs="Times New Roman"/>
          <w:color w:val="000000" w:themeColor="text1"/>
          <w:sz w:val="28"/>
          <w:szCs w:val="28"/>
          <w:lang w:val="uk-UA"/>
        </w:rPr>
        <w:t>спричиняє</w:t>
      </w:r>
      <w:r w:rsidRPr="00CE0A20">
        <w:rPr>
          <w:rFonts w:ascii="Times New Roman" w:hAnsi="Times New Roman" w:cs="Times New Roman"/>
          <w:color w:val="000000" w:themeColor="text1"/>
          <w:sz w:val="28"/>
          <w:szCs w:val="28"/>
          <w:lang w:val="uk-UA"/>
        </w:rPr>
        <w:t xml:space="preserve"> подальш</w:t>
      </w:r>
      <w:r w:rsidR="00C124F3" w:rsidRPr="00CE0A20">
        <w:rPr>
          <w:rFonts w:ascii="Times New Roman" w:hAnsi="Times New Roman" w:cs="Times New Roman"/>
          <w:color w:val="000000" w:themeColor="text1"/>
          <w:sz w:val="28"/>
          <w:szCs w:val="28"/>
          <w:lang w:val="uk-UA"/>
        </w:rPr>
        <w:t>е</w:t>
      </w:r>
      <w:r w:rsidRPr="00CE0A20">
        <w:rPr>
          <w:rFonts w:ascii="Times New Roman" w:hAnsi="Times New Roman" w:cs="Times New Roman"/>
          <w:color w:val="000000" w:themeColor="text1"/>
          <w:sz w:val="28"/>
          <w:szCs w:val="28"/>
          <w:lang w:val="uk-UA"/>
        </w:rPr>
        <w:t xml:space="preserve"> збільшення концентрації супероксиду. Це порочне коле викликає прогресуюче зниження концентрації NO та призводить до порушення релаксації гладком’язових клітин кавернозних тіл з розвитком ЕД [58]. Крім цього, супероксид та пероксин</w:t>
      </w:r>
      <w:r w:rsidR="00C124F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трит ушкоджують ендотелій судин, а зменшення концентрації NO призводить до збільшення адгезії тромбоцитів та лейкоцитів до стінок судин, які продукують ферменти з вазоконстрикторною дією, зокрема, тромбоксан А2, лейкотр</w:t>
      </w:r>
      <w:r w:rsidR="00C124F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єни та сер</w:t>
      </w:r>
      <w:r w:rsidR="00C124F3"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тонін. Ці механізми призводять до гострої та хронічної ендотеліальної дисфункції, які вважають головними в патогенез</w:t>
      </w:r>
      <w:r w:rsidR="00C124F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ЕД [239]. Однією з причин ендотеліа</w:t>
      </w:r>
      <w:r w:rsidR="00C124F3" w:rsidRPr="00CE0A20">
        <w:rPr>
          <w:rFonts w:ascii="Times New Roman" w:hAnsi="Times New Roman" w:cs="Times New Roman"/>
          <w:color w:val="000000" w:themeColor="text1"/>
          <w:sz w:val="28"/>
          <w:szCs w:val="28"/>
          <w:lang w:val="uk-UA"/>
        </w:rPr>
        <w:t>л</w:t>
      </w:r>
      <w:r w:rsidRPr="00CE0A20">
        <w:rPr>
          <w:rFonts w:ascii="Times New Roman" w:hAnsi="Times New Roman" w:cs="Times New Roman"/>
          <w:color w:val="000000" w:themeColor="text1"/>
          <w:sz w:val="28"/>
          <w:szCs w:val="28"/>
          <w:lang w:val="uk-UA"/>
        </w:rPr>
        <w:t xml:space="preserve">ьної дисфункції вважають резистентність до інсуліну, яка також характеризується зниженням синтезу </w:t>
      </w:r>
      <w:r w:rsidR="00C124F3"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вивільнення</w:t>
      </w:r>
      <w:r w:rsidR="00C124F3" w:rsidRPr="00CE0A20">
        <w:rPr>
          <w:rFonts w:ascii="Times New Roman" w:hAnsi="Times New Roman" w:cs="Times New Roman"/>
          <w:color w:val="000000" w:themeColor="text1"/>
          <w:sz w:val="28"/>
          <w:szCs w:val="28"/>
          <w:lang w:val="uk-UA"/>
        </w:rPr>
        <w:t>м</w:t>
      </w:r>
      <w:r w:rsidRPr="00CE0A20">
        <w:rPr>
          <w:rFonts w:ascii="Times New Roman" w:hAnsi="Times New Roman" w:cs="Times New Roman"/>
          <w:color w:val="000000" w:themeColor="text1"/>
          <w:sz w:val="28"/>
          <w:szCs w:val="28"/>
          <w:lang w:val="uk-UA"/>
        </w:rPr>
        <w:t xml:space="preserve"> NO [314</w:t>
      </w:r>
      <w:r w:rsidRPr="00CE0A20">
        <w:rPr>
          <w:rFonts w:ascii="Times New Roman" w:hAnsi="Times New Roman" w:cs="Times New Roman"/>
          <w:color w:val="000000" w:themeColor="text1"/>
          <w:sz w:val="28"/>
          <w:szCs w:val="28"/>
          <w:shd w:val="clear" w:color="auto" w:fill="FFFFFF"/>
          <w:lang w:val="uk-UA"/>
        </w:rPr>
        <w:t>]</w:t>
      </w:r>
      <w:r w:rsidRPr="00CE0A20">
        <w:rPr>
          <w:rFonts w:ascii="Times New Roman" w:hAnsi="Times New Roman" w:cs="Times New Roman"/>
          <w:color w:val="000000" w:themeColor="text1"/>
          <w:sz w:val="28"/>
          <w:szCs w:val="28"/>
          <w:lang w:val="uk-UA"/>
        </w:rPr>
        <w:t>.</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Важливість оксидативного стресу в патогенезі порушень функції яєчок до</w:t>
      </w:r>
      <w:r w:rsidR="004802D3" w:rsidRPr="00CE0A20">
        <w:rPr>
          <w:rFonts w:ascii="Times New Roman" w:hAnsi="Times New Roman" w:cs="Times New Roman"/>
          <w:color w:val="000000" w:themeColor="text1"/>
          <w:sz w:val="28"/>
          <w:szCs w:val="28"/>
          <w:lang w:val="uk-UA"/>
        </w:rPr>
        <w:t>веде</w:t>
      </w:r>
      <w:r w:rsidRPr="00CE0A20">
        <w:rPr>
          <w:rFonts w:ascii="Times New Roman" w:hAnsi="Times New Roman" w:cs="Times New Roman"/>
          <w:color w:val="000000" w:themeColor="text1"/>
          <w:sz w:val="28"/>
          <w:szCs w:val="28"/>
          <w:lang w:val="uk-UA"/>
        </w:rPr>
        <w:t xml:space="preserve">на в багатьох експериментальних дослідженнях, </w:t>
      </w:r>
      <w:r w:rsidR="004802D3"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яких в</w:t>
      </w:r>
      <w:r w:rsidR="004802D3" w:rsidRPr="00CE0A20">
        <w:rPr>
          <w:rFonts w:ascii="Times New Roman" w:hAnsi="Times New Roman" w:cs="Times New Roman"/>
          <w:color w:val="000000" w:themeColor="text1"/>
          <w:sz w:val="28"/>
          <w:szCs w:val="28"/>
          <w:lang w:val="uk-UA"/>
        </w:rPr>
        <w:t>изначе</w:t>
      </w:r>
      <w:r w:rsidRPr="00CE0A20">
        <w:rPr>
          <w:rFonts w:ascii="Times New Roman" w:hAnsi="Times New Roman" w:cs="Times New Roman"/>
          <w:color w:val="000000" w:themeColor="text1"/>
          <w:sz w:val="28"/>
          <w:szCs w:val="28"/>
          <w:lang w:val="uk-UA"/>
        </w:rPr>
        <w:t>но, що фармакологічна корекція із застосуванням препаратів з антиоксидантною дією сприяла відновленню гормонального фону та нормалізації спермато</w:t>
      </w:r>
      <w:r w:rsidRPr="00CE0A20">
        <w:rPr>
          <w:rFonts w:ascii="Times New Roman" w:hAnsi="Times New Roman" w:cs="Times New Roman"/>
          <w:color w:val="000000" w:themeColor="text1"/>
          <w:sz w:val="28"/>
          <w:szCs w:val="28"/>
          <w:lang w:val="uk-UA"/>
        </w:rPr>
        <w:softHyphen/>
        <w:t>генезу [142; 184; 197; 234; 371]. Також вважається, що тестостерон так</w:t>
      </w:r>
      <w:r w:rsidR="004802D3" w:rsidRPr="00CE0A20">
        <w:rPr>
          <w:rFonts w:ascii="Times New Roman" w:hAnsi="Times New Roman" w:cs="Times New Roman"/>
          <w:color w:val="000000" w:themeColor="text1"/>
          <w:sz w:val="28"/>
          <w:szCs w:val="28"/>
          <w:lang w:val="uk-UA"/>
        </w:rPr>
        <w:t xml:space="preserve"> само</w:t>
      </w:r>
      <w:r w:rsidRPr="00CE0A20">
        <w:rPr>
          <w:rFonts w:ascii="Times New Roman" w:hAnsi="Times New Roman" w:cs="Times New Roman"/>
          <w:color w:val="000000" w:themeColor="text1"/>
          <w:sz w:val="28"/>
          <w:szCs w:val="28"/>
          <w:lang w:val="uk-UA"/>
        </w:rPr>
        <w:t xml:space="preserve"> має антиоксидантні властивості, тому збільшення його концентрації зменшує інтенсивність виразн</w:t>
      </w:r>
      <w:r w:rsidR="004802D3"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ст</w:t>
      </w:r>
      <w:r w:rsidR="004802D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оксидативного стресу [358; 378]. Цікаво відмітити, що активацію вільнорадикального окис</w:t>
      </w:r>
      <w:r w:rsidR="004802D3" w:rsidRPr="00CE0A20">
        <w:rPr>
          <w:rFonts w:ascii="Times New Roman" w:hAnsi="Times New Roman" w:cs="Times New Roman"/>
          <w:color w:val="000000" w:themeColor="text1"/>
          <w:sz w:val="28"/>
          <w:szCs w:val="28"/>
          <w:lang w:val="uk-UA"/>
        </w:rPr>
        <w:t>н</w:t>
      </w:r>
      <w:r w:rsidRPr="00CE0A20">
        <w:rPr>
          <w:rFonts w:ascii="Times New Roman" w:hAnsi="Times New Roman" w:cs="Times New Roman"/>
          <w:color w:val="000000" w:themeColor="text1"/>
          <w:sz w:val="28"/>
          <w:szCs w:val="28"/>
          <w:lang w:val="uk-UA"/>
        </w:rPr>
        <w:t>ення вважають важливим елементом старіння та формування вікової патології – «теорія вільних радикалів». Виснаження системи антиоксидантної системи захисту (АОСЗ) та активація перекисного окис</w:t>
      </w:r>
      <w:r w:rsidR="004802D3" w:rsidRPr="00CE0A20">
        <w:rPr>
          <w:rFonts w:ascii="Times New Roman" w:hAnsi="Times New Roman" w:cs="Times New Roman"/>
          <w:color w:val="000000" w:themeColor="text1"/>
          <w:sz w:val="28"/>
          <w:szCs w:val="28"/>
          <w:lang w:val="uk-UA"/>
        </w:rPr>
        <w:t>н</w:t>
      </w:r>
      <w:r w:rsidRPr="00CE0A20">
        <w:rPr>
          <w:rFonts w:ascii="Times New Roman" w:hAnsi="Times New Roman" w:cs="Times New Roman"/>
          <w:color w:val="000000" w:themeColor="text1"/>
          <w:sz w:val="28"/>
          <w:szCs w:val="28"/>
          <w:lang w:val="uk-UA"/>
        </w:rPr>
        <w:t xml:space="preserve">ення ліпідів (ПОЛ) </w:t>
      </w:r>
      <w:r w:rsidR="004802D3" w:rsidRPr="00CE0A20">
        <w:rPr>
          <w:rFonts w:ascii="Times New Roman" w:hAnsi="Times New Roman" w:cs="Times New Roman"/>
          <w:color w:val="000000" w:themeColor="text1"/>
          <w:sz w:val="28"/>
          <w:szCs w:val="28"/>
          <w:lang w:val="uk-UA"/>
        </w:rPr>
        <w:t>спричиняють</w:t>
      </w:r>
      <w:r w:rsidRPr="00CE0A20">
        <w:rPr>
          <w:rFonts w:ascii="Times New Roman" w:hAnsi="Times New Roman" w:cs="Times New Roman"/>
          <w:color w:val="000000" w:themeColor="text1"/>
          <w:sz w:val="28"/>
          <w:szCs w:val="28"/>
          <w:lang w:val="uk-UA"/>
        </w:rPr>
        <w:t xml:space="preserve"> кумуляці</w:t>
      </w:r>
      <w:r w:rsidR="004802D3"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вільних радикалів з розвитком окисного стресу, який є причиною апоптозу ендотеліальни</w:t>
      </w:r>
      <w:r w:rsidR="004802D3" w:rsidRPr="00CE0A20">
        <w:rPr>
          <w:rFonts w:ascii="Times New Roman" w:hAnsi="Times New Roman" w:cs="Times New Roman"/>
          <w:color w:val="000000" w:themeColor="text1"/>
          <w:sz w:val="28"/>
          <w:szCs w:val="28"/>
          <w:lang w:val="uk-UA"/>
        </w:rPr>
        <w:t>х</w:t>
      </w:r>
      <w:r w:rsidRPr="00CE0A20">
        <w:rPr>
          <w:rFonts w:ascii="Times New Roman" w:hAnsi="Times New Roman" w:cs="Times New Roman"/>
          <w:color w:val="000000" w:themeColor="text1"/>
          <w:sz w:val="28"/>
          <w:szCs w:val="28"/>
          <w:lang w:val="uk-UA"/>
        </w:rPr>
        <w:t xml:space="preserve"> та інших функціонально активних клітин [245].</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w:t>
      </w:r>
      <w:r w:rsidR="004802D3"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ЕД є однією з </w:t>
      </w:r>
      <w:r w:rsidR="004802D3" w:rsidRPr="00CE0A20">
        <w:rPr>
          <w:rFonts w:ascii="Times New Roman" w:hAnsi="Times New Roman" w:cs="Times New Roman"/>
          <w:color w:val="000000" w:themeColor="text1"/>
          <w:sz w:val="28"/>
          <w:szCs w:val="28"/>
          <w:lang w:val="uk-UA"/>
        </w:rPr>
        <w:t>най</w:t>
      </w:r>
      <w:r w:rsidRPr="00CE0A20">
        <w:rPr>
          <w:rFonts w:ascii="Times New Roman" w:hAnsi="Times New Roman" w:cs="Times New Roman"/>
          <w:color w:val="000000" w:themeColor="text1"/>
          <w:sz w:val="28"/>
          <w:szCs w:val="28"/>
          <w:lang w:val="uk-UA"/>
        </w:rPr>
        <w:t>важливіших складових життєдіяльності чоловіків, значення якої визначається не тільки репродуктивною функцію, але й впливом на  багато інших аспектів функціонування організму. Водночас гіпогонадизм, основною ознакою якого є зменшення рівня тестостерону, є однією з частих причин ЕД та інших сексуальних розладів, а також багатьох інших захворювань. Це свідчить про важливість своєчасного лікування цих патологічних станів.</w:t>
      </w:r>
    </w:p>
    <w:p w:rsidR="00EB6EBC" w:rsidRPr="00CE0A20" w:rsidRDefault="00EB6EBC" w:rsidP="00EB6EBC">
      <w:pPr>
        <w:keepNext/>
        <w:autoSpaceDE w:val="0"/>
        <w:autoSpaceDN w:val="0"/>
        <w:adjustRightInd w:val="0"/>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1.3  Патогенетичне лікування еректильної дисфункції та дефіциту тестостерону</w:t>
      </w:r>
    </w:p>
    <w:p w:rsidR="00661B2E" w:rsidRPr="00CE0A20" w:rsidRDefault="00661B2E" w:rsidP="00EB6EBC">
      <w:pPr>
        <w:spacing w:line="360" w:lineRule="auto"/>
        <w:ind w:firstLine="709"/>
        <w:jc w:val="both"/>
        <w:rPr>
          <w:rFonts w:ascii="Times New Roman" w:hAnsi="Times New Roman" w:cs="Times New Roman"/>
          <w:color w:val="000000" w:themeColor="text1"/>
          <w:sz w:val="28"/>
          <w:szCs w:val="28"/>
        </w:rPr>
      </w:pP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Сучасні стратегії лікування ЕД </w:t>
      </w:r>
      <w:r w:rsidR="004802D3" w:rsidRPr="00CE0A20">
        <w:rPr>
          <w:rFonts w:ascii="Times New Roman" w:hAnsi="Times New Roman" w:cs="Times New Roman"/>
          <w:color w:val="000000" w:themeColor="text1"/>
          <w:sz w:val="28"/>
          <w:szCs w:val="28"/>
          <w:lang w:val="uk-UA"/>
        </w:rPr>
        <w:t>ґрунтуються</w:t>
      </w:r>
      <w:r w:rsidRPr="00CE0A20">
        <w:rPr>
          <w:rFonts w:ascii="Times New Roman" w:hAnsi="Times New Roman" w:cs="Times New Roman"/>
          <w:color w:val="000000" w:themeColor="text1"/>
          <w:sz w:val="28"/>
          <w:szCs w:val="28"/>
          <w:lang w:val="uk-UA"/>
        </w:rPr>
        <w:t xml:space="preserve"> на розумінні механізмів виникнення ерекції, яка забезпечується складними центральними </w:t>
      </w:r>
      <w:r w:rsidR="004802D3"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периферичними нейрогормональними та судинними механізмами. Перш за все</w:t>
      </w:r>
      <w:r w:rsidR="004802D3"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необхідно з’ясувати можливі причини виникнення ЕД та вжити заходів щодо їх усунення. Але незалежно від етіології ЕД основним специфічним методом </w:t>
      </w:r>
      <w:r w:rsidR="004802D3" w:rsidRPr="00CE0A20">
        <w:rPr>
          <w:rFonts w:ascii="Times New Roman" w:hAnsi="Times New Roman" w:cs="Times New Roman"/>
          <w:color w:val="000000" w:themeColor="text1"/>
          <w:sz w:val="28"/>
          <w:szCs w:val="28"/>
          <w:lang w:val="uk-UA"/>
        </w:rPr>
        <w:t xml:space="preserve">її </w:t>
      </w:r>
      <w:r w:rsidRPr="00CE0A20">
        <w:rPr>
          <w:rFonts w:ascii="Times New Roman" w:hAnsi="Times New Roman" w:cs="Times New Roman"/>
          <w:color w:val="000000" w:themeColor="text1"/>
          <w:sz w:val="28"/>
          <w:szCs w:val="28"/>
          <w:lang w:val="uk-UA"/>
        </w:rPr>
        <w:t xml:space="preserve">лікування є вплив на периферичні механізми виникнення ерекції. З цією метою застосовують  інгібітори ФДЕ-5 [96; </w:t>
      </w:r>
      <w:r w:rsidRPr="00CE0A20">
        <w:rPr>
          <w:rFonts w:ascii="Times New Roman" w:hAnsi="Times New Roman" w:cs="Times New Roman"/>
          <w:color w:val="000000" w:themeColor="text1"/>
          <w:sz w:val="28"/>
          <w:szCs w:val="28"/>
          <w:shd w:val="clear" w:color="auto" w:fill="F5F5F5"/>
          <w:lang w:val="uk-UA"/>
        </w:rPr>
        <w:t>233]</w:t>
      </w:r>
      <w:r w:rsidRPr="00CE0A20">
        <w:rPr>
          <w:rFonts w:ascii="Times New Roman" w:hAnsi="Times New Roman" w:cs="Times New Roman"/>
          <w:color w:val="000000" w:themeColor="text1"/>
          <w:sz w:val="28"/>
          <w:szCs w:val="28"/>
          <w:lang w:val="uk-UA"/>
        </w:rPr>
        <w:t xml:space="preserve">. Перший селективний інгібітор ФДЕ-5 силденафіл був синтезований  наприкінці минулого століття як антиангінального препарату. Суттєвої антиангінальної ефективності </w:t>
      </w:r>
      <w:r w:rsidR="004802D3"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цієї сполуки не було виявлено, але встановлено виразний ефект на еректильну функції чоловіків [157].  Слід зазначити, що інгібітори ФДЕ5 не викликають ерекцію, а лише полегшують її розвиток </w:t>
      </w:r>
      <w:r w:rsidR="004802D3"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результаті дії ендогенного оксиду азоту (NO), який виділяється з нервових закінчень </w:t>
      </w:r>
      <w:r w:rsidR="004802D3" w:rsidRPr="00CE0A20">
        <w:rPr>
          <w:rFonts w:ascii="Times New Roman" w:hAnsi="Times New Roman" w:cs="Times New Roman"/>
          <w:color w:val="000000" w:themeColor="text1"/>
          <w:sz w:val="28"/>
          <w:szCs w:val="28"/>
          <w:lang w:val="uk-UA"/>
        </w:rPr>
        <w:t>та</w:t>
      </w:r>
      <w:r w:rsidRPr="00CE0A20">
        <w:rPr>
          <w:rFonts w:ascii="Times New Roman" w:hAnsi="Times New Roman" w:cs="Times New Roman"/>
          <w:color w:val="000000" w:themeColor="text1"/>
          <w:sz w:val="28"/>
          <w:szCs w:val="28"/>
          <w:lang w:val="uk-UA"/>
        </w:rPr>
        <w:t xml:space="preserve"> ендотеліальних клітин, стимулюючи синтез цГМФ ферментом гуанілатциклази. Розслаблення гладких клітин </w:t>
      </w:r>
      <w:r w:rsidR="004802D3" w:rsidRPr="00CE0A20">
        <w:rPr>
          <w:rFonts w:ascii="Times New Roman" w:hAnsi="Times New Roman" w:cs="Times New Roman"/>
          <w:color w:val="000000" w:themeColor="text1"/>
          <w:sz w:val="28"/>
          <w:szCs w:val="28"/>
          <w:lang w:val="uk-UA"/>
        </w:rPr>
        <w:t>спричиняє</w:t>
      </w:r>
      <w:r w:rsidRPr="00CE0A20">
        <w:rPr>
          <w:rFonts w:ascii="Times New Roman" w:hAnsi="Times New Roman" w:cs="Times New Roman"/>
          <w:color w:val="000000" w:themeColor="text1"/>
          <w:sz w:val="28"/>
          <w:szCs w:val="28"/>
          <w:lang w:val="uk-UA"/>
        </w:rPr>
        <w:t xml:space="preserve"> розширення артерій і синусів кавернозних тіл, що забезпечує досягнення необхідного для ерекції припливу артеріальної крові [212].</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 даними Carson C.C. (2003), протягом перших чотирьох років препарат був застосований у майже 20 млн</w:t>
      </w:r>
      <w:r w:rsidR="004802D3"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чоловіків з ЕД різноманітної етіології з відмінними результатами. Покращення еректильної функції спостерігали навіть при </w:t>
      </w:r>
      <w:r w:rsidR="004802D3" w:rsidRPr="00CE0A20">
        <w:rPr>
          <w:rFonts w:ascii="Times New Roman" w:hAnsi="Times New Roman" w:cs="Times New Roman"/>
          <w:color w:val="000000" w:themeColor="text1"/>
          <w:sz w:val="28"/>
          <w:szCs w:val="28"/>
          <w:lang w:val="uk-UA"/>
        </w:rPr>
        <w:t>тя</w:t>
      </w:r>
      <w:r w:rsidRPr="00CE0A20">
        <w:rPr>
          <w:rFonts w:ascii="Times New Roman" w:hAnsi="Times New Roman" w:cs="Times New Roman"/>
          <w:color w:val="000000" w:themeColor="text1"/>
          <w:sz w:val="28"/>
          <w:szCs w:val="28"/>
          <w:lang w:val="uk-UA"/>
        </w:rPr>
        <w:t xml:space="preserve">жких захворюваннях, зокрема, після радикальної простатектомії, </w:t>
      </w:r>
      <w:r w:rsidR="004802D3" w:rsidRPr="00CE0A20">
        <w:rPr>
          <w:rFonts w:ascii="Times New Roman" w:hAnsi="Times New Roman" w:cs="Times New Roman"/>
          <w:color w:val="000000" w:themeColor="text1"/>
          <w:sz w:val="28"/>
          <w:szCs w:val="28"/>
          <w:lang w:val="uk-UA"/>
        </w:rPr>
        <w:t xml:space="preserve">при </w:t>
      </w:r>
      <w:r w:rsidRPr="00CE0A20">
        <w:rPr>
          <w:rFonts w:ascii="Times New Roman" w:hAnsi="Times New Roman" w:cs="Times New Roman"/>
          <w:color w:val="000000" w:themeColor="text1"/>
          <w:sz w:val="28"/>
          <w:szCs w:val="28"/>
          <w:lang w:val="uk-UA"/>
        </w:rPr>
        <w:t>тяжк</w:t>
      </w:r>
      <w:r w:rsidR="004802D3" w:rsidRPr="00CE0A20">
        <w:rPr>
          <w:rFonts w:ascii="Times New Roman" w:hAnsi="Times New Roman" w:cs="Times New Roman"/>
          <w:color w:val="000000" w:themeColor="text1"/>
          <w:sz w:val="28"/>
          <w:szCs w:val="28"/>
          <w:lang w:val="uk-UA"/>
        </w:rPr>
        <w:t>ій</w:t>
      </w:r>
      <w:r w:rsidRPr="00CE0A20">
        <w:rPr>
          <w:rFonts w:ascii="Times New Roman" w:hAnsi="Times New Roman" w:cs="Times New Roman"/>
          <w:color w:val="000000" w:themeColor="text1"/>
          <w:sz w:val="28"/>
          <w:szCs w:val="28"/>
          <w:lang w:val="uk-UA"/>
        </w:rPr>
        <w:t xml:space="preserve"> формі ЦД, після травми спинного мозку та ін.  [166]. Висока ефективність синделафілу підтверджена й у подальших дослідженнях [110; 177]. Аналіз останніх опублікованих даних рандомізованого подвійного сліпого плацебо-контрольованого дослідження, проведеного у чоловіків з ЕД, які отримують силденафіл, продемонстрував високу ефективність препарату. Застосування силденафілу протягом 12 тижнів </w:t>
      </w:r>
      <w:r w:rsidR="004802D3" w:rsidRPr="00CE0A20">
        <w:rPr>
          <w:rFonts w:ascii="Times New Roman" w:hAnsi="Times New Roman" w:cs="Times New Roman"/>
          <w:color w:val="000000" w:themeColor="text1"/>
          <w:sz w:val="28"/>
          <w:szCs w:val="28"/>
          <w:lang w:val="uk-UA"/>
        </w:rPr>
        <w:t>обумовило</w:t>
      </w:r>
      <w:r w:rsidRPr="00CE0A20">
        <w:rPr>
          <w:rFonts w:ascii="Times New Roman" w:hAnsi="Times New Roman" w:cs="Times New Roman"/>
          <w:color w:val="000000" w:themeColor="text1"/>
          <w:sz w:val="28"/>
          <w:szCs w:val="28"/>
          <w:lang w:val="uk-UA"/>
        </w:rPr>
        <w:t xml:space="preserve"> покращення всіх параметрів шкали МІЕФ [164], а у хворих на ЦД з ЕД протягом 10 тижнів сприяло не тільки значному зростанню жорсткості ерекції, але й покращувало ендотеліальну функцію [185].</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Пізніш</w:t>
      </w:r>
      <w:r w:rsidR="004802D3" w:rsidRPr="00CE0A20">
        <w:rPr>
          <w:rFonts w:ascii="Times New Roman" w:hAnsi="Times New Roman" w:cs="Times New Roman"/>
          <w:color w:val="000000" w:themeColor="text1"/>
          <w:sz w:val="28"/>
          <w:szCs w:val="28"/>
          <w:lang w:val="uk-UA"/>
        </w:rPr>
        <w:t>е</w:t>
      </w:r>
      <w:r w:rsidRPr="00CE0A20">
        <w:rPr>
          <w:rFonts w:ascii="Times New Roman" w:hAnsi="Times New Roman" w:cs="Times New Roman"/>
          <w:color w:val="000000" w:themeColor="text1"/>
          <w:sz w:val="28"/>
          <w:szCs w:val="28"/>
          <w:lang w:val="uk-UA"/>
        </w:rPr>
        <w:t xml:space="preserve"> були синтезовані інші препарати цієї групи (тадалафіл, варденафіл, уденафіл,  аванафіл та ін.), які також є інгібіторами гідролізу цГМФ ферментом ФДЕ-5 завдяки наявності в їх структурі пуринового кільця аналогічного цГМФ та додаткових елементів, які забезпечують більш високу спорідненість цих сполук до ФДЕ-5</w:t>
      </w:r>
      <w:r w:rsidR="004802D3"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ніж до цГМФ [202]. Результатом дії інгібіторів ФДЕ-5 є збільшення частоти статевих актів, покращення еректильної функції зі збільшенням оцінки за шкалою МІЕФ, якості ерекції, посилення сексуального задоволення, загального стану та самооцінки [267]. Збільшення ефективності досягається титруванням дози препаратів (від 50 до 100 мг) та їх комбінацією (наприклад, тадалафізу та синделафілу) [180].</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Виразність ефекту інгібіторів ФДЕ-5 </w:t>
      </w:r>
      <w:r w:rsidR="004802D3" w:rsidRPr="00CE0A20">
        <w:rPr>
          <w:rFonts w:ascii="Times New Roman" w:hAnsi="Times New Roman" w:cs="Times New Roman"/>
          <w:color w:val="000000" w:themeColor="text1"/>
          <w:sz w:val="28"/>
          <w:szCs w:val="28"/>
          <w:lang w:val="uk-UA"/>
        </w:rPr>
        <w:t>від</w:t>
      </w:r>
      <w:r w:rsidRPr="00CE0A20">
        <w:rPr>
          <w:rFonts w:ascii="Times New Roman" w:hAnsi="Times New Roman" w:cs="Times New Roman"/>
          <w:color w:val="000000" w:themeColor="text1"/>
          <w:sz w:val="28"/>
          <w:szCs w:val="28"/>
          <w:lang w:val="uk-UA"/>
        </w:rPr>
        <w:t>різняється.  Зокрема, доведено, що силденафіл забезпечує в 20 разів більшу здатність до пенетрації, ніж плацебо,  варденафіл – в 7,5 раз</w:t>
      </w:r>
      <w:r w:rsidR="004802D3"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а тадалаф</w:t>
      </w:r>
      <w:r w:rsidR="004802D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л - тільки в 1,4 раз</w:t>
      </w:r>
      <w:r w:rsidR="004802D3"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[218]. C</w:t>
      </w:r>
      <w:r w:rsidR="004802D3"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лденафіл починає діяти вже через 20 хв і продовжує працювати до 5</w:t>
      </w:r>
      <w:r w:rsidR="00B242D1" w:rsidRPr="00CE0A20">
        <w:rPr>
          <w:rFonts w:ascii="Times New Roman" w:hAnsi="Times New Roman" w:cs="Times New Roman"/>
          <w:color w:val="000000" w:themeColor="text1"/>
          <w:sz w:val="28"/>
          <w:szCs w:val="28"/>
          <w:lang w:val="uk-UA"/>
        </w:rPr>
        <w:t> </w:t>
      </w:r>
      <w:r w:rsidRPr="00CE0A20">
        <w:rPr>
          <w:rFonts w:ascii="Times New Roman" w:hAnsi="Times New Roman" w:cs="Times New Roman"/>
          <w:color w:val="000000" w:themeColor="text1"/>
          <w:sz w:val="28"/>
          <w:szCs w:val="28"/>
          <w:lang w:val="uk-UA"/>
        </w:rPr>
        <w:t xml:space="preserve">годин, хоча багато пацієнтів на практиці відзначають тривалість ефекту щодо поліпшення ерекції більш ніж 24 год. Безпека силденафілу була підтверджена в дозах, що перевищують максимально рекомендовану </w:t>
      </w:r>
      <w:r w:rsidR="00B242D1"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8 разів  [280].</w:t>
      </w:r>
    </w:p>
    <w:p w:rsidR="00EB6EBC" w:rsidRPr="00CE0A20" w:rsidRDefault="00EB6EBC" w:rsidP="00EB6EBC">
      <w:pPr>
        <w:shd w:val="clear" w:color="auto" w:fill="FFFFFF"/>
        <w:spacing w:line="360" w:lineRule="auto"/>
        <w:ind w:firstLine="709"/>
        <w:jc w:val="both"/>
        <w:outlineLvl w:val="0"/>
        <w:rPr>
          <w:rFonts w:ascii="Times New Roman" w:hAnsi="Times New Roman" w:cs="Times New Roman"/>
          <w:color w:val="000000" w:themeColor="text1"/>
          <w:kern w:val="36"/>
          <w:sz w:val="28"/>
          <w:szCs w:val="28"/>
          <w:lang w:val="uk-UA"/>
        </w:rPr>
      </w:pPr>
      <w:r w:rsidRPr="00CE0A20">
        <w:rPr>
          <w:rFonts w:ascii="Times New Roman" w:hAnsi="Times New Roman" w:cs="Times New Roman"/>
          <w:color w:val="000000" w:themeColor="text1"/>
          <w:sz w:val="28"/>
          <w:szCs w:val="28"/>
          <w:lang w:val="uk-UA"/>
        </w:rPr>
        <w:t xml:space="preserve">Крім впливу на ерекцію, встановлено позитивний ефект інгібіторів ФДЕ-5 на показники спермограми. </w:t>
      </w:r>
      <w:r w:rsidR="00B242D1" w:rsidRPr="00CE0A20">
        <w:rPr>
          <w:rFonts w:ascii="Times New Roman" w:hAnsi="Times New Roman" w:cs="Times New Roman"/>
          <w:color w:val="000000" w:themeColor="text1"/>
          <w:sz w:val="28"/>
          <w:szCs w:val="28"/>
          <w:lang w:val="uk-UA"/>
        </w:rPr>
        <w:t>З’ясова</w:t>
      </w:r>
      <w:r w:rsidRPr="00CE0A20">
        <w:rPr>
          <w:rFonts w:ascii="Times New Roman" w:hAnsi="Times New Roman" w:cs="Times New Roman"/>
          <w:color w:val="000000" w:themeColor="text1"/>
          <w:sz w:val="28"/>
          <w:szCs w:val="28"/>
          <w:lang w:val="uk-UA"/>
        </w:rPr>
        <w:t>но, що с</w:t>
      </w:r>
      <w:r w:rsidR="00B242D1"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лденафіл збільшує рухливість та життєздатність сперматозоїдів </w:t>
      </w:r>
      <w:r w:rsidR="00B242D1"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низьких дозах. При застосуванні високих доз с</w:t>
      </w:r>
      <w:r w:rsidR="00B242D1"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лденафілу ці показники зменшувались. При цьому препарат не впливав на об’єм еякуляту, властивості мембран сперматозоїдів та їх проникність у яйцеклітину [292]. Вплив інгібіторів ФДЕ-5 на показники спермограми пов’язують зі збільшенням концентрації NO. Рухливість сперматозоїдів залежить від вмісту цАМФ у цитозолі клітин, яка регулюється аденілатциклазою, та цГМФ, яка регулюється гуанілтациклазою. Стимуляція гуанілтациклази низькими дозами NO призводить до збільшення рухливості сперматозоїдів, навпаки, збільшення концентрації NO негативно впливає на сперматозоїди. З цим пов’язують позитивний ефект варденафілу. Його застосування </w:t>
      </w:r>
      <w:r w:rsidR="00B242D1" w:rsidRPr="00CE0A20">
        <w:rPr>
          <w:rFonts w:ascii="Times New Roman" w:hAnsi="Times New Roman" w:cs="Times New Roman"/>
          <w:color w:val="000000" w:themeColor="text1"/>
          <w:sz w:val="28"/>
          <w:szCs w:val="28"/>
          <w:lang w:val="uk-UA"/>
        </w:rPr>
        <w:t>спричинювало</w:t>
      </w:r>
      <w:r w:rsidRPr="00CE0A20">
        <w:rPr>
          <w:rFonts w:ascii="Times New Roman" w:hAnsi="Times New Roman" w:cs="Times New Roman"/>
          <w:color w:val="000000" w:themeColor="text1"/>
          <w:sz w:val="28"/>
          <w:szCs w:val="28"/>
          <w:lang w:val="uk-UA"/>
        </w:rPr>
        <w:t xml:space="preserve"> збільшення секреторної функції передміхурової залози, а також сприяло збільшенню кількості сперматозоїдів в еякуляті та їх рухливості [189].</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фармакокінетику та, відповідно, на ефективність інгібіторів ФДЕ-5 не впливає застосування алкоголю [265] та інших ліків (серцево-судинних, протидіабетичних, антитромбоцитарних та ін.), за ви</w:t>
      </w:r>
      <w:r w:rsidR="00B242D1" w:rsidRPr="00CE0A20">
        <w:rPr>
          <w:rFonts w:ascii="Times New Roman" w:hAnsi="Times New Roman" w:cs="Times New Roman"/>
          <w:color w:val="000000" w:themeColor="text1"/>
          <w:sz w:val="28"/>
          <w:szCs w:val="28"/>
          <w:lang w:val="uk-UA"/>
        </w:rPr>
        <w:t>нятком</w:t>
      </w:r>
      <w:r w:rsidRPr="00CE0A20">
        <w:rPr>
          <w:rFonts w:ascii="Times New Roman" w:hAnsi="Times New Roman" w:cs="Times New Roman"/>
          <w:color w:val="000000" w:themeColor="text1"/>
          <w:sz w:val="28"/>
          <w:szCs w:val="28"/>
          <w:lang w:val="uk-UA"/>
        </w:rPr>
        <w:t xml:space="preserve"> нітратів [166].</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Крім високої ефективності</w:t>
      </w:r>
      <w:r w:rsidR="00B242D1"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відмічається гарна переносимість інгібіторів ФДЕ-5 з мінімальною побічною дією та низько</w:t>
      </w:r>
      <w:r w:rsidR="00B242D1"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частотою небажаних ефектів. Частота побічних серцево-судинних ефектів у пацієнтів, що приймали силденафіл, не відрізнялася від таких у загальній популяції [166]. У постмаркетинговому дослідженні безпеки та ефективності силденафілу S. Sunwoo та співавт. (2005) встановили, що побічні явища виникли у 56 пацієнтів (8,6%), серед яких найбільш частими були припливи до шкіри обличчя (5,6%), головний біль (2,6%), серцебиття (1,0%), тривожність (0,5%) і підвищений рівень аланінамінотрансферази (0,5%) [340]. Це підтверджуються </w:t>
      </w:r>
      <w:r w:rsidR="00B242D1" w:rsidRPr="00CE0A20">
        <w:rPr>
          <w:rFonts w:ascii="Times New Roman" w:hAnsi="Times New Roman" w:cs="Times New Roman"/>
          <w:color w:val="000000" w:themeColor="text1"/>
          <w:sz w:val="28"/>
          <w:szCs w:val="28"/>
          <w:lang w:val="uk-UA"/>
        </w:rPr>
        <w:t>також</w:t>
      </w:r>
      <w:r w:rsidRPr="00CE0A20">
        <w:rPr>
          <w:rFonts w:ascii="Times New Roman" w:hAnsi="Times New Roman" w:cs="Times New Roman"/>
          <w:color w:val="000000" w:themeColor="text1"/>
          <w:sz w:val="28"/>
          <w:szCs w:val="28"/>
          <w:lang w:val="uk-UA"/>
        </w:rPr>
        <w:t xml:space="preserve"> іншими дослідженнями, згідно </w:t>
      </w:r>
      <w:r w:rsidR="00B242D1" w:rsidRPr="00CE0A20">
        <w:rPr>
          <w:rFonts w:ascii="Times New Roman" w:hAnsi="Times New Roman" w:cs="Times New Roman"/>
          <w:color w:val="000000" w:themeColor="text1"/>
          <w:sz w:val="28"/>
          <w:szCs w:val="28"/>
          <w:lang w:val="uk-UA"/>
        </w:rPr>
        <w:t xml:space="preserve">з </w:t>
      </w:r>
      <w:r w:rsidRPr="00CE0A20">
        <w:rPr>
          <w:rFonts w:ascii="Times New Roman" w:hAnsi="Times New Roman" w:cs="Times New Roman"/>
          <w:color w:val="000000" w:themeColor="text1"/>
          <w:sz w:val="28"/>
          <w:szCs w:val="28"/>
          <w:lang w:val="uk-UA"/>
        </w:rPr>
        <w:t>яки</w:t>
      </w:r>
      <w:r w:rsidR="00B242D1" w:rsidRPr="00CE0A20">
        <w:rPr>
          <w:rFonts w:ascii="Times New Roman" w:hAnsi="Times New Roman" w:cs="Times New Roman"/>
          <w:color w:val="000000" w:themeColor="text1"/>
          <w:sz w:val="28"/>
          <w:szCs w:val="28"/>
          <w:lang w:val="uk-UA"/>
        </w:rPr>
        <w:t>ми</w:t>
      </w:r>
      <w:r w:rsidRPr="00CE0A20">
        <w:rPr>
          <w:rFonts w:ascii="Times New Roman" w:hAnsi="Times New Roman" w:cs="Times New Roman"/>
          <w:color w:val="000000" w:themeColor="text1"/>
          <w:sz w:val="28"/>
          <w:szCs w:val="28"/>
          <w:lang w:val="uk-UA"/>
        </w:rPr>
        <w:t xml:space="preserve"> незалежно від дози силденафілу найбільш поширеними небажаними явищами були головний біль та почервоніння обличчя [159; 280]. Moore та співавт. (2002) показали, що у 50% хворих відзначаються будь-які побічні ефекти (почервоніння обличчя, зміна сприйняття кольору, головний біль) при використанні 100 мг силденафілу. Ці ефекти у більшості не виразні, не тривалі та не потребують яких</w:t>
      </w:r>
      <w:r w:rsidR="00B242D1"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небудь лікувальних заходів [345]. Індивідуальний </w:t>
      </w:r>
      <w:r w:rsidR="00B242D1" w:rsidRPr="00CE0A20">
        <w:rPr>
          <w:rFonts w:ascii="Times New Roman" w:hAnsi="Times New Roman" w:cs="Times New Roman"/>
          <w:color w:val="000000" w:themeColor="text1"/>
          <w:sz w:val="28"/>
          <w:szCs w:val="28"/>
          <w:lang w:val="uk-UA"/>
        </w:rPr>
        <w:t>до</w:t>
      </w:r>
      <w:r w:rsidRPr="00CE0A20">
        <w:rPr>
          <w:rFonts w:ascii="Times New Roman" w:hAnsi="Times New Roman" w:cs="Times New Roman"/>
          <w:color w:val="000000" w:themeColor="text1"/>
          <w:sz w:val="28"/>
          <w:szCs w:val="28"/>
          <w:lang w:val="uk-UA"/>
        </w:rPr>
        <w:t>бір мінімальної ефективної дози силденафілу призводить до зменшення частоти побічних ефектів на 41% при збереженні ефективності).</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Силденафіл успішно застосовується в лікуванні ЕД у пацієнтів з різною патологією як монотерапі</w:t>
      </w:r>
      <w:r w:rsidR="00B242D1" w:rsidRPr="00CE0A20">
        <w:rPr>
          <w:rFonts w:ascii="Times New Roman" w:hAnsi="Times New Roman" w:cs="Times New Roman"/>
          <w:color w:val="000000" w:themeColor="text1"/>
          <w:sz w:val="28"/>
          <w:szCs w:val="28"/>
          <w:lang w:val="uk-UA"/>
        </w:rPr>
        <w:t>я</w:t>
      </w:r>
      <w:r w:rsidRPr="00CE0A20">
        <w:rPr>
          <w:rFonts w:ascii="Times New Roman" w:hAnsi="Times New Roman" w:cs="Times New Roman"/>
          <w:color w:val="000000" w:themeColor="text1"/>
          <w:sz w:val="28"/>
          <w:szCs w:val="28"/>
          <w:lang w:val="uk-UA"/>
        </w:rPr>
        <w:t xml:space="preserve"> або в комбінації з іншими лікарськими препаратами. Значущим протипоказанням до призначення силденафілу є лише одночасний прийом нітратів. Препарат може призначатися фахівцем будь-якого профілю як амбулаторно, так і у стаціонарі навіть </w:t>
      </w:r>
      <w:r w:rsidR="00B242D1" w:rsidRPr="00CE0A20">
        <w:rPr>
          <w:rFonts w:ascii="Times New Roman" w:hAnsi="Times New Roman" w:cs="Times New Roman"/>
          <w:color w:val="000000" w:themeColor="text1"/>
          <w:sz w:val="28"/>
          <w:szCs w:val="28"/>
          <w:lang w:val="uk-UA"/>
        </w:rPr>
        <w:t xml:space="preserve">за </w:t>
      </w:r>
      <w:r w:rsidRPr="00CE0A20">
        <w:rPr>
          <w:rFonts w:ascii="Times New Roman" w:hAnsi="Times New Roman" w:cs="Times New Roman"/>
          <w:color w:val="000000" w:themeColor="text1"/>
          <w:sz w:val="28"/>
          <w:szCs w:val="28"/>
          <w:lang w:val="uk-UA"/>
        </w:rPr>
        <w:t xml:space="preserve">наявності супутньої соматичної патології [96]. </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результати багатьох клінічних досліджень з високою доказов</w:t>
      </w:r>
      <w:r w:rsidR="00B242D1"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ст</w:t>
      </w:r>
      <w:r w:rsidR="00B242D1"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довели ефективність та безпечність інгібіторів ФДЕ-5 для лікування ЕД. У зв’язку з цим, на </w:t>
      </w:r>
      <w:r w:rsidR="00B242D1" w:rsidRPr="00CE0A20">
        <w:rPr>
          <w:rFonts w:ascii="Times New Roman" w:hAnsi="Times New Roman" w:cs="Times New Roman"/>
          <w:color w:val="000000" w:themeColor="text1"/>
          <w:sz w:val="28"/>
          <w:szCs w:val="28"/>
          <w:lang w:val="uk-UA"/>
        </w:rPr>
        <w:t>сьогодні</w:t>
      </w:r>
      <w:r w:rsidRPr="00CE0A20">
        <w:rPr>
          <w:rFonts w:ascii="Times New Roman" w:hAnsi="Times New Roman" w:cs="Times New Roman"/>
          <w:color w:val="000000" w:themeColor="text1"/>
          <w:sz w:val="28"/>
          <w:szCs w:val="28"/>
          <w:lang w:val="uk-UA"/>
        </w:rPr>
        <w:t xml:space="preserve"> згідно </w:t>
      </w:r>
      <w:r w:rsidR="00B242D1" w:rsidRPr="00CE0A20">
        <w:rPr>
          <w:rFonts w:ascii="Times New Roman" w:hAnsi="Times New Roman" w:cs="Times New Roman"/>
          <w:color w:val="000000" w:themeColor="text1"/>
          <w:sz w:val="28"/>
          <w:szCs w:val="28"/>
          <w:lang w:val="uk-UA"/>
        </w:rPr>
        <w:t xml:space="preserve">з </w:t>
      </w:r>
      <w:r w:rsidRPr="00CE0A20">
        <w:rPr>
          <w:rFonts w:ascii="Times New Roman" w:hAnsi="Times New Roman" w:cs="Times New Roman"/>
          <w:color w:val="000000" w:themeColor="text1"/>
          <w:sz w:val="28"/>
          <w:szCs w:val="28"/>
          <w:lang w:val="uk-UA"/>
        </w:rPr>
        <w:t>рекомендаціям</w:t>
      </w:r>
      <w:r w:rsidR="00B242D1"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 Американської і Європейської асоціацій урологів інгібітори ФДЕ-5 відносять до першої лінії лікування пацієнтів з ЕД [</w:t>
      </w:r>
      <w:r w:rsidRPr="00CE0A20">
        <w:rPr>
          <w:rFonts w:ascii="Times New Roman" w:hAnsi="Times New Roman" w:cs="Times New Roman"/>
          <w:color w:val="000000" w:themeColor="text1"/>
          <w:sz w:val="28"/>
          <w:szCs w:val="28"/>
          <w:shd w:val="clear" w:color="auto" w:fill="F5F5F5"/>
          <w:lang w:val="uk-UA"/>
        </w:rPr>
        <w:t>233; 361</w:t>
      </w:r>
      <w:r w:rsidRPr="00CE0A20">
        <w:rPr>
          <w:rFonts w:ascii="Times New Roman" w:hAnsi="Times New Roman" w:cs="Times New Roman"/>
          <w:color w:val="000000" w:themeColor="text1"/>
          <w:sz w:val="28"/>
          <w:szCs w:val="28"/>
          <w:lang w:val="uk-UA"/>
        </w:rPr>
        <w:t>].</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Але ефективність інгібіторів ФДЕ-5 не обмежується впливом тільки на еректильну функцію. Застосування силденафілу з антагоністами рецепторів ендотеліну значно поліпшило виживання пацієнтів з легеневою артеріальною гіпертензією. Вважається, що силденафіл пригнічує ФДЕ-5 в судинн</w:t>
      </w:r>
      <w:r w:rsidR="00B242D1" w:rsidRPr="00CE0A20">
        <w:rPr>
          <w:rFonts w:ascii="Times New Roman" w:hAnsi="Times New Roman" w:cs="Times New Roman"/>
          <w:color w:val="000000" w:themeColor="text1"/>
          <w:sz w:val="28"/>
          <w:szCs w:val="28"/>
          <w:lang w:val="uk-UA"/>
        </w:rPr>
        <w:t>ій</w:t>
      </w:r>
      <w:r w:rsidRPr="00CE0A20">
        <w:rPr>
          <w:rFonts w:ascii="Times New Roman" w:hAnsi="Times New Roman" w:cs="Times New Roman"/>
          <w:color w:val="000000" w:themeColor="text1"/>
          <w:sz w:val="28"/>
          <w:szCs w:val="28"/>
          <w:lang w:val="uk-UA"/>
        </w:rPr>
        <w:t xml:space="preserve"> мережі легень, що викликає розслаблення гладких м'язів </w:t>
      </w:r>
      <w:r w:rsidR="00B242D1"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стінках легеневих судин зі зменшенням тиску в легеневій артерії та загального судинного оп</w:t>
      </w:r>
      <w:r w:rsidR="00B242D1"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 xml:space="preserve">ру [258]. У пацієнтів </w:t>
      </w:r>
      <w:r w:rsidR="00B242D1"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з серцевою недостатністю, що надійшли на трансплантацію серця, через 6 міс. після терапії силденафілом відзначено поліпшення серцевого індексу та тиску в легеневій артерії. У 62,5% пацієнтів спостерігалося поліпшення функціонального класу серцевої недостатності за NYHA, причому у двох пацієнтів поліпшення досягло такого ступеня, що дозволило уникнути трансплантації серця [307].</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w:t>
      </w:r>
      <w:r w:rsidR="00B242D1" w:rsidRPr="00CE0A20">
        <w:rPr>
          <w:rFonts w:ascii="Times New Roman" w:hAnsi="Times New Roman" w:cs="Times New Roman"/>
          <w:color w:val="000000" w:themeColor="text1"/>
          <w:sz w:val="28"/>
          <w:szCs w:val="28"/>
          <w:lang w:val="uk-UA"/>
        </w:rPr>
        <w:t>изначе</w:t>
      </w:r>
      <w:r w:rsidRPr="00CE0A20">
        <w:rPr>
          <w:rFonts w:ascii="Times New Roman" w:hAnsi="Times New Roman" w:cs="Times New Roman"/>
          <w:color w:val="000000" w:themeColor="text1"/>
          <w:sz w:val="28"/>
          <w:szCs w:val="28"/>
          <w:lang w:val="uk-UA"/>
        </w:rPr>
        <w:t xml:space="preserve">но, що інгібітори ФДЕ-5 впливають </w:t>
      </w:r>
      <w:r w:rsidR="00B242D1" w:rsidRPr="00CE0A20">
        <w:rPr>
          <w:rFonts w:ascii="Times New Roman" w:hAnsi="Times New Roman" w:cs="Times New Roman"/>
          <w:color w:val="000000" w:themeColor="text1"/>
          <w:sz w:val="28"/>
          <w:szCs w:val="28"/>
          <w:lang w:val="uk-UA"/>
        </w:rPr>
        <w:t>також</w:t>
      </w:r>
      <w:r w:rsidRPr="00CE0A20">
        <w:rPr>
          <w:rFonts w:ascii="Times New Roman" w:hAnsi="Times New Roman" w:cs="Times New Roman"/>
          <w:color w:val="000000" w:themeColor="text1"/>
          <w:sz w:val="28"/>
          <w:szCs w:val="28"/>
          <w:lang w:val="uk-UA"/>
        </w:rPr>
        <w:t xml:space="preserve"> на гладком’язові структури сечовивідних шляхів. Це стало підставою призначення цих препаратів у пацієнтів з доброякісною гіперплазією передміхурової залози, що мали порушення функції нижніх сечових шляхів. У кількох дослідженнях в цьому напрямку показано значне покращення функції нижніх сечових шляхів при застосуванні силденафілу як у вигляді монотерапії, та</w:t>
      </w:r>
      <w:r w:rsidR="00B242D1" w:rsidRPr="00CE0A20">
        <w:rPr>
          <w:rFonts w:ascii="Times New Roman" w:hAnsi="Times New Roman" w:cs="Times New Roman"/>
          <w:color w:val="000000" w:themeColor="text1"/>
          <w:sz w:val="28"/>
          <w:szCs w:val="28"/>
          <w:lang w:val="uk-UA"/>
        </w:rPr>
        <w:t>к і</w:t>
      </w:r>
      <w:r w:rsidRPr="00CE0A20">
        <w:rPr>
          <w:rFonts w:ascii="Times New Roman" w:hAnsi="Times New Roman" w:cs="Times New Roman"/>
          <w:color w:val="000000" w:themeColor="text1"/>
          <w:sz w:val="28"/>
          <w:szCs w:val="28"/>
          <w:lang w:val="uk-UA"/>
        </w:rPr>
        <w:t xml:space="preserve"> більшо</w:t>
      </w:r>
      <w:r w:rsidR="00B242D1"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w:t>
      </w:r>
      <w:r w:rsidR="00B242D1" w:rsidRPr="00CE0A20">
        <w:rPr>
          <w:rFonts w:ascii="Times New Roman" w:hAnsi="Times New Roman" w:cs="Times New Roman"/>
          <w:color w:val="000000" w:themeColor="text1"/>
          <w:sz w:val="28"/>
          <w:szCs w:val="28"/>
          <w:lang w:val="uk-UA"/>
        </w:rPr>
        <w:t xml:space="preserve">мірою </w:t>
      </w:r>
      <w:r w:rsidRPr="00CE0A20">
        <w:rPr>
          <w:rFonts w:ascii="Times New Roman" w:hAnsi="Times New Roman" w:cs="Times New Roman"/>
          <w:color w:val="000000" w:themeColor="text1"/>
          <w:sz w:val="28"/>
          <w:szCs w:val="28"/>
          <w:lang w:val="uk-UA"/>
        </w:rPr>
        <w:t>у поєднанні з α-адреноблокаторами [132; 205].</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Силденафіл виявився ефективним у чоловіків з депресією на тлі ЕД. S.H. Kennedy et al. (2011) продемонстрували, що ЕД є предиктором депресії. У 104 чоловіків, які лікувалися силденаф</w:t>
      </w:r>
      <w:r w:rsidR="005166FC"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лом, через 6 тижні</w:t>
      </w:r>
      <w:r w:rsidR="005166FC"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були відзначені достовірні зміни, що свідчить про те, що препарат значн</w:t>
      </w:r>
      <w:r w:rsidR="005166FC" w:rsidRPr="00CE0A20">
        <w:rPr>
          <w:rFonts w:ascii="Times New Roman" w:hAnsi="Times New Roman" w:cs="Times New Roman"/>
          <w:color w:val="000000" w:themeColor="text1"/>
          <w:sz w:val="28"/>
          <w:szCs w:val="28"/>
          <w:lang w:val="uk-UA"/>
        </w:rPr>
        <w:t>ою</w:t>
      </w:r>
      <w:r w:rsidRPr="00CE0A20">
        <w:rPr>
          <w:rFonts w:ascii="Times New Roman" w:hAnsi="Times New Roman" w:cs="Times New Roman"/>
          <w:color w:val="000000" w:themeColor="text1"/>
          <w:sz w:val="28"/>
          <w:szCs w:val="28"/>
          <w:lang w:val="uk-UA"/>
        </w:rPr>
        <w:t xml:space="preserve"> мір</w:t>
      </w:r>
      <w:r w:rsidR="005166FC" w:rsidRPr="00CE0A20">
        <w:rPr>
          <w:rFonts w:ascii="Times New Roman" w:hAnsi="Times New Roman" w:cs="Times New Roman"/>
          <w:color w:val="000000" w:themeColor="text1"/>
          <w:sz w:val="28"/>
          <w:szCs w:val="28"/>
          <w:lang w:val="uk-UA"/>
        </w:rPr>
        <w:t>ою</w:t>
      </w:r>
      <w:r w:rsidRPr="00CE0A20">
        <w:rPr>
          <w:rFonts w:ascii="Times New Roman" w:hAnsi="Times New Roman" w:cs="Times New Roman"/>
          <w:color w:val="000000" w:themeColor="text1"/>
          <w:sz w:val="28"/>
          <w:szCs w:val="28"/>
          <w:lang w:val="uk-UA"/>
        </w:rPr>
        <w:t xml:space="preserve"> зменшив депресію </w:t>
      </w:r>
      <w:r w:rsidR="005166FC" w:rsidRPr="00CE0A20">
        <w:rPr>
          <w:rFonts w:ascii="Times New Roman" w:hAnsi="Times New Roman" w:cs="Times New Roman"/>
          <w:color w:val="000000" w:themeColor="text1"/>
          <w:sz w:val="28"/>
          <w:szCs w:val="28"/>
          <w:lang w:val="uk-UA"/>
        </w:rPr>
        <w:t>та</w:t>
      </w:r>
      <w:r w:rsidRPr="00CE0A20">
        <w:rPr>
          <w:rFonts w:ascii="Times New Roman" w:hAnsi="Times New Roman" w:cs="Times New Roman"/>
          <w:color w:val="000000" w:themeColor="text1"/>
          <w:sz w:val="28"/>
          <w:szCs w:val="28"/>
          <w:lang w:val="uk-UA"/>
        </w:rPr>
        <w:t xml:space="preserve"> одночасно поліпшив еректильну функцію [251].</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M. Spitzer et al. (2013) продемонстрували ефекти силденафілу на гіпоталамо-гіпофізарно-гонадну </w:t>
      </w:r>
      <w:r w:rsidR="005166FC" w:rsidRPr="00CE0A20">
        <w:rPr>
          <w:rFonts w:ascii="Times New Roman" w:hAnsi="Times New Roman" w:cs="Times New Roman"/>
          <w:color w:val="000000" w:themeColor="text1"/>
          <w:sz w:val="28"/>
          <w:szCs w:val="28"/>
          <w:lang w:val="uk-UA"/>
        </w:rPr>
        <w:t>ві</w:t>
      </w:r>
      <w:r w:rsidRPr="00CE0A20">
        <w:rPr>
          <w:rFonts w:ascii="Times New Roman" w:hAnsi="Times New Roman" w:cs="Times New Roman"/>
          <w:color w:val="000000" w:themeColor="text1"/>
          <w:sz w:val="28"/>
          <w:szCs w:val="28"/>
          <w:lang w:val="uk-UA"/>
        </w:rPr>
        <w:t xml:space="preserve">сь у чоловіків з ЕД і низьким рівнем тестостерону у віці 40-70 років. Його призначення </w:t>
      </w:r>
      <w:r w:rsidR="005166FC" w:rsidRPr="00CE0A20">
        <w:rPr>
          <w:rFonts w:ascii="Times New Roman" w:hAnsi="Times New Roman" w:cs="Times New Roman"/>
          <w:color w:val="000000" w:themeColor="text1"/>
          <w:sz w:val="28"/>
          <w:szCs w:val="28"/>
          <w:lang w:val="uk-UA"/>
        </w:rPr>
        <w:t>спричинювало</w:t>
      </w:r>
      <w:r w:rsidRPr="00CE0A20">
        <w:rPr>
          <w:rFonts w:ascii="Times New Roman" w:hAnsi="Times New Roman" w:cs="Times New Roman"/>
          <w:color w:val="000000" w:themeColor="text1"/>
          <w:sz w:val="28"/>
          <w:szCs w:val="28"/>
          <w:lang w:val="uk-UA"/>
        </w:rPr>
        <w:t xml:space="preserve"> </w:t>
      </w:r>
      <w:r w:rsidR="005166FC" w:rsidRPr="00CE0A20">
        <w:rPr>
          <w:rFonts w:ascii="Times New Roman" w:hAnsi="Times New Roman" w:cs="Times New Roman"/>
          <w:color w:val="000000" w:themeColor="text1"/>
          <w:sz w:val="28"/>
          <w:szCs w:val="28"/>
          <w:lang w:val="uk-UA"/>
        </w:rPr>
        <w:t>підвище</w:t>
      </w:r>
      <w:r w:rsidRPr="00CE0A20">
        <w:rPr>
          <w:rFonts w:ascii="Times New Roman" w:hAnsi="Times New Roman" w:cs="Times New Roman"/>
          <w:color w:val="000000" w:themeColor="text1"/>
          <w:sz w:val="28"/>
          <w:szCs w:val="28"/>
          <w:lang w:val="uk-UA"/>
        </w:rPr>
        <w:t>ння рівня вільного тестостерону, збільшення диг</w:t>
      </w:r>
      <w:r w:rsidR="005166FC"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дротестостерон</w:t>
      </w:r>
      <w:r w:rsidR="005166FC"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w:t>
      </w:r>
      <w:r w:rsidR="005166FC"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естрадіолу та зменшення ЛГ, що автори пов’язують з дією силденафілу на рівні яєчок [333].</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Вищевикладене свідчить про досить високу ефективність та безпечність застосування інгібіторів ФДЕ-5 для лікування ЕД. </w:t>
      </w:r>
      <w:r w:rsidR="005166FC" w:rsidRPr="00CE0A20">
        <w:rPr>
          <w:rFonts w:ascii="Times New Roman" w:hAnsi="Times New Roman" w:cs="Times New Roman"/>
          <w:color w:val="000000" w:themeColor="text1"/>
          <w:sz w:val="28"/>
          <w:szCs w:val="28"/>
          <w:lang w:val="uk-UA"/>
        </w:rPr>
        <w:t>Водно</w:t>
      </w:r>
      <w:r w:rsidRPr="00CE0A20">
        <w:rPr>
          <w:rFonts w:ascii="Times New Roman" w:hAnsi="Times New Roman" w:cs="Times New Roman"/>
          <w:color w:val="000000" w:themeColor="text1"/>
          <w:sz w:val="28"/>
          <w:szCs w:val="28"/>
          <w:lang w:val="uk-UA"/>
        </w:rPr>
        <w:t>час, слід відмітити, що у патогенезі ЕД беруть участь багато факторів, тому застосування тільки інгібіторів ФДЕ-5 може бути недостатнім. Зокрема, у рандомізованому плацебо-контрольованому дослідженні лікування ЕД у пацієнтів з інсулінорезистентністю при неефективності монотерапії силденфілом результати терапії значно покращувалися при додаванні метформіну [314].</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Також слід згадати, що </w:t>
      </w:r>
      <w:r w:rsidR="00B93FBF" w:rsidRPr="00CE0A20">
        <w:rPr>
          <w:rFonts w:ascii="Times New Roman" w:hAnsi="Times New Roman" w:cs="Times New Roman"/>
          <w:color w:val="000000" w:themeColor="text1"/>
          <w:sz w:val="28"/>
          <w:szCs w:val="28"/>
          <w:lang w:val="uk-UA"/>
        </w:rPr>
        <w:t>за</w:t>
      </w:r>
      <w:r w:rsidRPr="00CE0A20">
        <w:rPr>
          <w:rFonts w:ascii="Times New Roman" w:hAnsi="Times New Roman" w:cs="Times New Roman"/>
          <w:color w:val="000000" w:themeColor="text1"/>
          <w:sz w:val="28"/>
          <w:szCs w:val="28"/>
          <w:lang w:val="uk-UA"/>
        </w:rPr>
        <w:t xml:space="preserve"> відсутності ефекту від пероральних препаратів як те</w:t>
      </w:r>
      <w:r w:rsidR="00B93FBF" w:rsidRPr="00CE0A20">
        <w:rPr>
          <w:rFonts w:ascii="Times New Roman" w:hAnsi="Times New Roman" w:cs="Times New Roman"/>
          <w:color w:val="000000" w:themeColor="text1"/>
          <w:sz w:val="28"/>
          <w:szCs w:val="28"/>
          <w:lang w:val="uk-UA"/>
        </w:rPr>
        <w:t>рапію</w:t>
      </w:r>
      <w:r w:rsidRPr="00CE0A20">
        <w:rPr>
          <w:rFonts w:ascii="Times New Roman" w:hAnsi="Times New Roman" w:cs="Times New Roman"/>
          <w:color w:val="000000" w:themeColor="text1"/>
          <w:sz w:val="28"/>
          <w:szCs w:val="28"/>
          <w:lang w:val="uk-UA"/>
        </w:rPr>
        <w:t xml:space="preserve"> другої лінії можуть застосовуватися інтракавернозні ін'єкції вазоактивних лікарських засобів (алпростадил</w:t>
      </w:r>
      <w:r w:rsidR="00B93FBF"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та його похідних, простагландину Е1 та ін.). Ефективність цієї терапії сягає 85%, але спостерігається багато побічних ефектів, у тому числі, місцевий біль, пролонгована ерекція, фіброз кавернозної тканини та ін. [112; </w:t>
      </w:r>
      <w:r w:rsidRPr="00CE0A20">
        <w:rPr>
          <w:rStyle w:val="font111"/>
          <w:iCs/>
          <w:color w:val="000000" w:themeColor="text1"/>
          <w:sz w:val="28"/>
          <w:szCs w:val="28"/>
          <w:lang w:val="uk-UA"/>
        </w:rPr>
        <w:t>326</w:t>
      </w:r>
      <w:r w:rsidRPr="00CE0A20">
        <w:rPr>
          <w:rFonts w:ascii="Times New Roman" w:hAnsi="Times New Roman" w:cs="Times New Roman"/>
          <w:color w:val="000000" w:themeColor="text1"/>
          <w:sz w:val="28"/>
          <w:szCs w:val="28"/>
          <w:lang w:val="uk-UA"/>
        </w:rPr>
        <w:t>].</w:t>
      </w:r>
    </w:p>
    <w:p w:rsidR="00EB6EBC" w:rsidRPr="00CE0A20" w:rsidRDefault="00EB6EBC" w:rsidP="00EB6EBC">
      <w:pPr>
        <w:spacing w:line="360" w:lineRule="auto"/>
        <w:ind w:firstLine="709"/>
        <w:jc w:val="both"/>
        <w:outlineLvl w:val="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 даними кількох досліджень</w:t>
      </w:r>
      <w:r w:rsidR="00B93FBF"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монотерапія інгібіторами ФДЕ-5 є неефективною майже </w:t>
      </w:r>
      <w:r w:rsidR="00B93FBF"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третини хворих з ЕД, що автори пояснюють низьким рівнем тестостерону в крові [160; 216; 324]. За даними E.R. Goldfischer та співавт. (2014), застосування інгібіторів ФДЕ-5 покращ</w:t>
      </w:r>
      <w:r w:rsidR="00B93FBF" w:rsidRPr="00CE0A20">
        <w:rPr>
          <w:rFonts w:ascii="Times New Roman" w:hAnsi="Times New Roman" w:cs="Times New Roman"/>
          <w:color w:val="000000" w:themeColor="text1"/>
          <w:sz w:val="28"/>
          <w:szCs w:val="28"/>
          <w:lang w:val="uk-UA"/>
        </w:rPr>
        <w:t>увало</w:t>
      </w:r>
      <w:r w:rsidRPr="00CE0A20">
        <w:rPr>
          <w:rFonts w:ascii="Times New Roman" w:hAnsi="Times New Roman" w:cs="Times New Roman"/>
          <w:color w:val="000000" w:themeColor="text1"/>
          <w:sz w:val="28"/>
          <w:szCs w:val="28"/>
          <w:lang w:val="uk-UA"/>
        </w:rPr>
        <w:t xml:space="preserve"> МІЕФ, але було менш ефективним при низькому рівні тестостерону [211].</w:t>
      </w:r>
    </w:p>
    <w:p w:rsidR="00EB6EBC" w:rsidRPr="00CE0A20" w:rsidRDefault="00B93FBF"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w:t>
      </w:r>
      <w:r w:rsidR="00EB6EBC" w:rsidRPr="00CE0A20">
        <w:rPr>
          <w:rFonts w:ascii="Times New Roman" w:hAnsi="Times New Roman" w:cs="Times New Roman"/>
          <w:color w:val="000000" w:themeColor="text1"/>
          <w:sz w:val="28"/>
          <w:szCs w:val="28"/>
          <w:lang w:val="uk-UA"/>
        </w:rPr>
        <w:t xml:space="preserve"> цих випадках гарні результати лікування отримано при поєднанні ГЗТ тестостероном та інгібіторами ФДЕ-5. У багатоцентровому плацебо-контрольованому дослідженні 173 пацієнтів з ЕД віком 45–80 років, </w:t>
      </w:r>
      <w:r w:rsidRPr="00CE0A20">
        <w:rPr>
          <w:rFonts w:ascii="Times New Roman" w:hAnsi="Times New Roman" w:cs="Times New Roman"/>
          <w:color w:val="000000" w:themeColor="text1"/>
          <w:sz w:val="28"/>
          <w:szCs w:val="28"/>
          <w:lang w:val="uk-UA"/>
        </w:rPr>
        <w:t>які</w:t>
      </w:r>
      <w:r w:rsidR="00EB6EBC" w:rsidRPr="00CE0A20">
        <w:rPr>
          <w:rFonts w:ascii="Times New Roman" w:hAnsi="Times New Roman" w:cs="Times New Roman"/>
          <w:color w:val="000000" w:themeColor="text1"/>
          <w:sz w:val="28"/>
          <w:szCs w:val="28"/>
          <w:lang w:val="uk-UA"/>
        </w:rPr>
        <w:t xml:space="preserve"> не мали відповіді на лікування інгібітором ФДЕ (тадалафіл), було  в</w:t>
      </w:r>
      <w:r w:rsidRPr="00CE0A20">
        <w:rPr>
          <w:rFonts w:ascii="Times New Roman" w:hAnsi="Times New Roman" w:cs="Times New Roman"/>
          <w:color w:val="000000" w:themeColor="text1"/>
          <w:sz w:val="28"/>
          <w:szCs w:val="28"/>
          <w:lang w:val="uk-UA"/>
        </w:rPr>
        <w:t>иявле</w:t>
      </w:r>
      <w:r w:rsidR="00EB6EBC" w:rsidRPr="00CE0A20">
        <w:rPr>
          <w:rFonts w:ascii="Times New Roman" w:hAnsi="Times New Roman" w:cs="Times New Roman"/>
          <w:color w:val="000000" w:themeColor="text1"/>
          <w:sz w:val="28"/>
          <w:szCs w:val="28"/>
          <w:lang w:val="uk-UA"/>
        </w:rPr>
        <w:t>но, що ГЗТ тестостероном призводить до достовірного покращення еректильної функції. Найкращі результати ГЗТ на тлі  лікування тадалафілом досягнуто у пацієнтів з рівнем тестостерону менш</w:t>
      </w:r>
      <w:r w:rsidRPr="00CE0A20">
        <w:rPr>
          <w:rFonts w:ascii="Times New Roman" w:hAnsi="Times New Roman" w:cs="Times New Roman"/>
          <w:color w:val="000000" w:themeColor="text1"/>
          <w:sz w:val="28"/>
          <w:szCs w:val="28"/>
          <w:lang w:val="uk-UA"/>
        </w:rPr>
        <w:t>е</w:t>
      </w:r>
      <w:r w:rsidR="00EB6EBC" w:rsidRPr="00CE0A20">
        <w:rPr>
          <w:rFonts w:ascii="Times New Roman" w:hAnsi="Times New Roman" w:cs="Times New Roman"/>
          <w:color w:val="000000" w:themeColor="text1"/>
          <w:sz w:val="28"/>
          <w:szCs w:val="28"/>
          <w:lang w:val="uk-UA"/>
        </w:rPr>
        <w:t xml:space="preserve"> 3 нг/мл [160]. В огляді N. Gurbuz та співавт.  (2008) [225] показано, що застосування інгібіторів ФДЕ-5 у поєднанні з ГЗТ тестостероном дозволяє покращити результати лікування ЕД у чоловіків з гіпогонадизмом. Комбінована терапія тестостероном та силденафілом у чоловіків з гіпогонад</w:t>
      </w:r>
      <w:r w:rsidRPr="00CE0A20">
        <w:rPr>
          <w:rFonts w:ascii="Times New Roman" w:hAnsi="Times New Roman" w:cs="Times New Roman"/>
          <w:color w:val="000000" w:themeColor="text1"/>
          <w:sz w:val="28"/>
          <w:szCs w:val="28"/>
          <w:lang w:val="uk-UA"/>
        </w:rPr>
        <w:t>и</w:t>
      </w:r>
      <w:r w:rsidR="00EB6EBC" w:rsidRPr="00CE0A20">
        <w:rPr>
          <w:rFonts w:ascii="Times New Roman" w:hAnsi="Times New Roman" w:cs="Times New Roman"/>
          <w:color w:val="000000" w:themeColor="text1"/>
          <w:sz w:val="28"/>
          <w:szCs w:val="28"/>
          <w:lang w:val="uk-UA"/>
        </w:rPr>
        <w:t xml:space="preserve">змом </w:t>
      </w:r>
      <w:r w:rsidRPr="00CE0A20">
        <w:rPr>
          <w:rFonts w:ascii="Times New Roman" w:hAnsi="Times New Roman" w:cs="Times New Roman"/>
          <w:color w:val="000000" w:themeColor="text1"/>
          <w:sz w:val="28"/>
          <w:szCs w:val="28"/>
          <w:lang w:val="uk-UA"/>
        </w:rPr>
        <w:t>мала</w:t>
      </w:r>
      <w:r w:rsidR="00EB6EBC" w:rsidRPr="00CE0A20">
        <w:rPr>
          <w:rFonts w:ascii="Times New Roman" w:hAnsi="Times New Roman" w:cs="Times New Roman"/>
          <w:color w:val="000000" w:themeColor="text1"/>
          <w:sz w:val="28"/>
          <w:szCs w:val="28"/>
          <w:lang w:val="uk-UA"/>
        </w:rPr>
        <w:t xml:space="preserve"> позитивн</w:t>
      </w:r>
      <w:r w:rsidRPr="00CE0A20">
        <w:rPr>
          <w:rFonts w:ascii="Times New Roman" w:hAnsi="Times New Roman" w:cs="Times New Roman"/>
          <w:color w:val="000000" w:themeColor="text1"/>
          <w:sz w:val="28"/>
          <w:szCs w:val="28"/>
          <w:lang w:val="uk-UA"/>
        </w:rPr>
        <w:t>ий</w:t>
      </w:r>
      <w:r w:rsidR="00EB6EBC" w:rsidRPr="00CE0A20">
        <w:rPr>
          <w:rFonts w:ascii="Times New Roman" w:hAnsi="Times New Roman" w:cs="Times New Roman"/>
          <w:color w:val="000000" w:themeColor="text1"/>
          <w:sz w:val="28"/>
          <w:szCs w:val="28"/>
          <w:lang w:val="uk-UA"/>
        </w:rPr>
        <w:t xml:space="preserve"> ефект у 60% пацієнтів, які не відповідали на монотерапію синдленафілом [217]. У систематичному огляді Alhathal N та співавт. (2012) за результатами аналізу кількох рандомізованих досліджень встановлено, </w:t>
      </w:r>
      <w:r w:rsidRPr="00CE0A20">
        <w:rPr>
          <w:rFonts w:ascii="Times New Roman" w:hAnsi="Times New Roman" w:cs="Times New Roman"/>
          <w:color w:val="000000" w:themeColor="text1"/>
          <w:sz w:val="28"/>
          <w:szCs w:val="28"/>
          <w:lang w:val="uk-UA"/>
        </w:rPr>
        <w:t xml:space="preserve">що </w:t>
      </w:r>
      <w:r w:rsidR="00EB6EBC" w:rsidRPr="00CE0A20">
        <w:rPr>
          <w:rFonts w:ascii="Times New Roman" w:hAnsi="Times New Roman" w:cs="Times New Roman"/>
          <w:color w:val="000000" w:themeColor="text1"/>
          <w:sz w:val="28"/>
          <w:szCs w:val="28"/>
          <w:lang w:val="uk-UA"/>
        </w:rPr>
        <w:t>застосування ГЗТ одночас</w:t>
      </w:r>
      <w:r w:rsidRPr="00CE0A20">
        <w:rPr>
          <w:rFonts w:ascii="Times New Roman" w:hAnsi="Times New Roman" w:cs="Times New Roman"/>
          <w:color w:val="000000" w:themeColor="text1"/>
          <w:sz w:val="28"/>
          <w:szCs w:val="28"/>
          <w:lang w:val="uk-UA"/>
        </w:rPr>
        <w:t>но</w:t>
      </w:r>
      <w:r w:rsidR="00EB6EBC" w:rsidRPr="00CE0A20">
        <w:rPr>
          <w:rFonts w:ascii="Times New Roman" w:hAnsi="Times New Roman" w:cs="Times New Roman"/>
          <w:color w:val="000000" w:themeColor="text1"/>
          <w:sz w:val="28"/>
          <w:szCs w:val="28"/>
          <w:lang w:val="uk-UA"/>
        </w:rPr>
        <w:t xml:space="preserve"> з інгібітором ФДЕ-5 доцільне у пацієнтів з гіпогонадизмом при рівні тестостерону менш</w:t>
      </w:r>
      <w:r w:rsidRPr="00CE0A20">
        <w:rPr>
          <w:rFonts w:ascii="Times New Roman" w:hAnsi="Times New Roman" w:cs="Times New Roman"/>
          <w:color w:val="000000" w:themeColor="text1"/>
          <w:sz w:val="28"/>
          <w:szCs w:val="28"/>
          <w:lang w:val="uk-UA"/>
        </w:rPr>
        <w:t>е</w:t>
      </w:r>
      <w:r w:rsidR="00EB6EBC" w:rsidRPr="00CE0A20">
        <w:rPr>
          <w:rFonts w:ascii="Times New Roman" w:hAnsi="Times New Roman" w:cs="Times New Roman"/>
          <w:color w:val="000000" w:themeColor="text1"/>
          <w:sz w:val="28"/>
          <w:szCs w:val="28"/>
          <w:lang w:val="uk-UA"/>
        </w:rPr>
        <w:t xml:space="preserve"> 10,4 нмоль/л, якщо монотерапія інгібіторами ФДЕ-5 </w:t>
      </w:r>
      <w:r w:rsidRPr="00CE0A20">
        <w:rPr>
          <w:rFonts w:ascii="Times New Roman" w:hAnsi="Times New Roman" w:cs="Times New Roman"/>
          <w:color w:val="000000" w:themeColor="text1"/>
          <w:sz w:val="28"/>
          <w:szCs w:val="28"/>
          <w:lang w:val="uk-UA"/>
        </w:rPr>
        <w:t xml:space="preserve">є </w:t>
      </w:r>
      <w:r w:rsidR="00EB6EBC" w:rsidRPr="00CE0A20">
        <w:rPr>
          <w:rFonts w:ascii="Times New Roman" w:hAnsi="Times New Roman" w:cs="Times New Roman"/>
          <w:color w:val="000000" w:themeColor="text1"/>
          <w:sz w:val="28"/>
          <w:szCs w:val="28"/>
          <w:lang w:val="uk-UA"/>
        </w:rPr>
        <w:t>неефективн</w:t>
      </w:r>
      <w:r w:rsidRPr="00CE0A20">
        <w:rPr>
          <w:rFonts w:ascii="Times New Roman" w:hAnsi="Times New Roman" w:cs="Times New Roman"/>
          <w:color w:val="000000" w:themeColor="text1"/>
          <w:sz w:val="28"/>
          <w:szCs w:val="28"/>
          <w:lang w:val="uk-UA"/>
        </w:rPr>
        <w:t>ою</w:t>
      </w:r>
      <w:r w:rsidR="00EB6EBC" w:rsidRPr="00CE0A20">
        <w:rPr>
          <w:rFonts w:ascii="Times New Roman" w:hAnsi="Times New Roman" w:cs="Times New Roman"/>
          <w:color w:val="000000" w:themeColor="text1"/>
          <w:sz w:val="28"/>
          <w:szCs w:val="28"/>
          <w:lang w:val="uk-UA"/>
        </w:rPr>
        <w:t xml:space="preserve"> [135].</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Таким чином, ГЗТ тестостероном у поєднанні з інгібіторами ФДЕ-5 є гарним рішенням проблеми лікування ЕД у хворих </w:t>
      </w:r>
      <w:r w:rsidR="00BD1981" w:rsidRPr="00CE0A20">
        <w:rPr>
          <w:rFonts w:ascii="Times New Roman" w:hAnsi="Times New Roman" w:cs="Times New Roman"/>
          <w:color w:val="000000" w:themeColor="text1"/>
          <w:sz w:val="28"/>
          <w:szCs w:val="28"/>
          <w:lang w:val="uk-UA"/>
        </w:rPr>
        <w:t>на</w:t>
      </w:r>
      <w:r w:rsidRPr="00CE0A20">
        <w:rPr>
          <w:rFonts w:ascii="Times New Roman" w:hAnsi="Times New Roman" w:cs="Times New Roman"/>
          <w:color w:val="000000" w:themeColor="text1"/>
          <w:sz w:val="28"/>
          <w:szCs w:val="28"/>
          <w:lang w:val="uk-UA"/>
        </w:rPr>
        <w:t xml:space="preserve"> гіпогонадизм. Слід зазначити, що, виходячи з патогенетичної ролі дефіциту тестостерону в розвитку багатьох патологічних станів (див. попередній розділ), корекція гіпогонадизму має значення </w:t>
      </w:r>
      <w:r w:rsidR="00BD1981"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як окремий метод лікування у багатьох хворих. Основною метою замісної терапії тестостероном є збільшення концентрації тестостерону до нормального рівня з метою усунення симптомів та біологічних наслідків гіпогонад</w:t>
      </w:r>
      <w:r w:rsidR="00BD1981"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зму [74; 156; 325].  На сьогодні андрогенний дефіцит коригують за допомогою ГЗТ із застосуванням екзогенного тестостерону [</w:t>
      </w:r>
      <w:r w:rsidRPr="00CE0A20">
        <w:rPr>
          <w:rStyle w:val="34"/>
          <w:color w:val="000000" w:themeColor="text1"/>
          <w:sz w:val="28"/>
          <w:szCs w:val="28"/>
          <w:lang w:val="ru-RU"/>
        </w:rPr>
        <w:t>4</w:t>
      </w:r>
      <w:r w:rsidRPr="00CE0A20">
        <w:rPr>
          <w:rFonts w:ascii="Times New Roman" w:hAnsi="Times New Roman" w:cs="Times New Roman"/>
          <w:color w:val="000000" w:themeColor="text1"/>
          <w:sz w:val="28"/>
          <w:szCs w:val="28"/>
          <w:lang w:val="uk-UA"/>
        </w:rPr>
        <w:t xml:space="preserve">8; 221, 322, </w:t>
      </w:r>
      <w:r w:rsidRPr="00CE0A20">
        <w:rPr>
          <w:rStyle w:val="34"/>
          <w:color w:val="000000" w:themeColor="text1"/>
          <w:sz w:val="28"/>
          <w:szCs w:val="28"/>
          <w:lang w:val="ru-RU"/>
        </w:rPr>
        <w:t>339</w:t>
      </w:r>
      <w:r w:rsidRPr="00CE0A20">
        <w:rPr>
          <w:rFonts w:ascii="Times New Roman" w:hAnsi="Times New Roman" w:cs="Times New Roman"/>
          <w:color w:val="000000" w:themeColor="text1"/>
          <w:sz w:val="28"/>
          <w:szCs w:val="28"/>
          <w:lang w:val="uk-UA"/>
        </w:rPr>
        <w:t>].  Поява нових способів доставки тестостерону, таких як трансдермальний гель з тестостероном та внутрішньом'язові ін'єкції тестостерону ундеконату з пролонгованим вивільненням</w:t>
      </w:r>
      <w:r w:rsidR="00BD1981"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зробили лікування більш зручним та контрольованим  [152]. </w:t>
      </w:r>
    </w:p>
    <w:p w:rsidR="00EB6EBC" w:rsidRPr="00CE0A20" w:rsidRDefault="00EB6EBC" w:rsidP="00EB6EBC">
      <w:pPr>
        <w:spacing w:line="360" w:lineRule="auto"/>
        <w:ind w:firstLine="709"/>
        <w:jc w:val="both"/>
        <w:outlineLvl w:val="0"/>
        <w:rPr>
          <w:rFonts w:ascii="Times New Roman" w:hAnsi="Times New Roman" w:cs="Times New Roman"/>
          <w:color w:val="000000" w:themeColor="text1"/>
          <w:kern w:val="36"/>
          <w:sz w:val="28"/>
          <w:szCs w:val="28"/>
          <w:lang w:val="uk-UA"/>
        </w:rPr>
      </w:pPr>
      <w:r w:rsidRPr="00CE0A20">
        <w:rPr>
          <w:rFonts w:ascii="Times New Roman" w:hAnsi="Times New Roman" w:cs="Times New Roman"/>
          <w:color w:val="000000" w:themeColor="text1"/>
          <w:sz w:val="28"/>
          <w:szCs w:val="28"/>
          <w:lang w:val="uk-UA"/>
        </w:rPr>
        <w:t>Монотерапія препаратами тестостерону може бути ефективна в лікуванні ЕД у чоловіків з  гіпогонадизмом. ГЗТ сприяє підвищенню сексу</w:t>
      </w:r>
      <w:r w:rsidRPr="00CE0A20">
        <w:rPr>
          <w:rFonts w:ascii="Times New Roman" w:hAnsi="Times New Roman" w:cs="Times New Roman"/>
          <w:color w:val="000000" w:themeColor="text1"/>
          <w:sz w:val="28"/>
          <w:szCs w:val="28"/>
          <w:lang w:val="uk-UA"/>
        </w:rPr>
        <w:softHyphen/>
        <w:t>аль</w:t>
      </w:r>
      <w:r w:rsidRPr="00CE0A20">
        <w:rPr>
          <w:rFonts w:ascii="Times New Roman" w:hAnsi="Times New Roman" w:cs="Times New Roman"/>
          <w:color w:val="000000" w:themeColor="text1"/>
          <w:sz w:val="28"/>
          <w:szCs w:val="28"/>
          <w:lang w:val="uk-UA"/>
        </w:rPr>
        <w:softHyphen/>
        <w:t>ної активності, появ</w:t>
      </w:r>
      <w:r w:rsidR="00BD1981"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більш частих сексу</w:t>
      </w:r>
      <w:r w:rsidRPr="00CE0A20">
        <w:rPr>
          <w:rFonts w:ascii="Times New Roman" w:hAnsi="Times New Roman" w:cs="Times New Roman"/>
          <w:color w:val="000000" w:themeColor="text1"/>
          <w:sz w:val="28"/>
          <w:szCs w:val="28"/>
          <w:lang w:val="uk-UA"/>
        </w:rPr>
        <w:softHyphen/>
        <w:t>альних думок і фантазій, збільшенн</w:t>
      </w:r>
      <w:r w:rsidR="00BD1981"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частоти </w:t>
      </w:r>
      <w:r w:rsidR="00BD1981"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тривалості нічних ерекцій. Спостерігається поліпшення росту волосся в деяких андроген-залежних зонах, збільшуються м'язова маса </w:t>
      </w:r>
      <w:r w:rsidR="00BD1981"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сила, і зменшується об</w:t>
      </w:r>
      <w:r w:rsidR="00BD1981" w:rsidRPr="00CE0A20">
        <w:rPr>
          <w:rFonts w:ascii="Times New Roman" w:hAnsi="Times New Roman" w:cs="Times New Roman"/>
          <w:color w:val="000000" w:themeColor="text1"/>
          <w:sz w:val="28"/>
          <w:szCs w:val="28"/>
          <w:lang w:val="uk-UA"/>
        </w:rPr>
        <w:t>’єм</w:t>
      </w:r>
      <w:r w:rsidRPr="00CE0A20">
        <w:rPr>
          <w:rFonts w:ascii="Times New Roman" w:hAnsi="Times New Roman" w:cs="Times New Roman"/>
          <w:color w:val="000000" w:themeColor="text1"/>
          <w:sz w:val="28"/>
          <w:szCs w:val="28"/>
          <w:lang w:val="uk-UA"/>
        </w:rPr>
        <w:t xml:space="preserve"> жирової ткани</w:t>
      </w:r>
      <w:r w:rsidRPr="00CE0A20">
        <w:rPr>
          <w:rFonts w:ascii="Times New Roman" w:hAnsi="Times New Roman" w:cs="Times New Roman"/>
          <w:color w:val="000000" w:themeColor="text1"/>
          <w:sz w:val="28"/>
          <w:szCs w:val="28"/>
          <w:lang w:val="uk-UA"/>
        </w:rPr>
        <w:softHyphen/>
        <w:t>ни, відзначається збільшення мінеральної щільності кісткової тканини [254]. Застосування трансдермального тестостерону 50 мг на добу протягом 6 місяців у чоловіків з гіпогонадизмом, ЕД та венооклюзивною дисфункцією сприяло не тільки нормалізації рівня загального тестостерону, але й покра</w:t>
      </w:r>
      <w:r w:rsidRPr="00CE0A20">
        <w:rPr>
          <w:rFonts w:ascii="Times New Roman" w:hAnsi="Times New Roman" w:cs="Times New Roman"/>
          <w:color w:val="000000" w:themeColor="text1"/>
          <w:sz w:val="28"/>
          <w:szCs w:val="28"/>
          <w:lang w:val="uk-UA"/>
        </w:rPr>
        <w:softHyphen/>
        <w:t>щенню пенільної гемодинам</w:t>
      </w:r>
      <w:r w:rsidR="00BD1981"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ки, при цьому в 65,6% випадк</w:t>
      </w:r>
      <w:r w:rsidR="00BD1981" w:rsidRPr="00CE0A20">
        <w:rPr>
          <w:rFonts w:ascii="Times New Roman" w:hAnsi="Times New Roman" w:cs="Times New Roman"/>
          <w:color w:val="000000" w:themeColor="text1"/>
          <w:sz w:val="28"/>
          <w:szCs w:val="28"/>
          <w:lang w:val="uk-UA"/>
        </w:rPr>
        <w:t>ів</w:t>
      </w:r>
      <w:r w:rsidRPr="00CE0A20">
        <w:rPr>
          <w:rFonts w:ascii="Times New Roman" w:hAnsi="Times New Roman" w:cs="Times New Roman"/>
          <w:color w:val="000000" w:themeColor="text1"/>
          <w:sz w:val="28"/>
          <w:szCs w:val="28"/>
          <w:lang w:val="uk-UA"/>
        </w:rPr>
        <w:t xml:space="preserve"> після лікування венооклюз</w:t>
      </w:r>
      <w:r w:rsidR="00BD1981"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вна дисфункція була відсутня [193].</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Результати багатьох досліджень демонструють корисний вплив застосування тестостерону на важливі фактори ризику ССЗ, які включають резистентність до інсуліну, глікемічний контроль, ліпідний профіль, вісцеральне  ожиріння, сексуальну функцію у чоловіків з дефіцитом тестостерону  [</w:t>
      </w:r>
      <w:r w:rsidRPr="00CE0A20">
        <w:rPr>
          <w:rStyle w:val="mixed-citation"/>
          <w:rFonts w:ascii="Times New Roman" w:hAnsi="Times New Roman" w:cs="Times New Roman"/>
          <w:color w:val="000000" w:themeColor="text1"/>
          <w:sz w:val="28"/>
          <w:szCs w:val="28"/>
          <w:lang w:val="uk-UA"/>
        </w:rPr>
        <w:t xml:space="preserve">133; </w:t>
      </w:r>
      <w:r w:rsidRPr="00CE0A20">
        <w:rPr>
          <w:rFonts w:ascii="Times New Roman" w:hAnsi="Times New Roman" w:cs="Times New Roman"/>
          <w:color w:val="000000" w:themeColor="text1"/>
          <w:sz w:val="28"/>
          <w:szCs w:val="28"/>
          <w:lang w:val="uk-UA"/>
        </w:rPr>
        <w:t xml:space="preserve"> 308; 365].</w:t>
      </w:r>
    </w:p>
    <w:p w:rsidR="00EB6EBC" w:rsidRPr="00CE0A20" w:rsidRDefault="00EB6EBC" w:rsidP="00EB6EBC">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Аналіз багатьох багато</w:t>
      </w:r>
      <w:r w:rsidRPr="00CE0A20">
        <w:rPr>
          <w:rFonts w:ascii="Times New Roman" w:hAnsi="Times New Roman" w:cs="Times New Roman"/>
          <w:color w:val="000000" w:themeColor="text1"/>
          <w:sz w:val="28"/>
          <w:szCs w:val="28"/>
          <w:lang w:val="uk-UA"/>
        </w:rPr>
        <w:softHyphen/>
        <w:t>центрових досліджень виявив, що замісна терапія із застосуванням тестостерону дозволяє розірвати порочне коло метаболічних порушень та поліпш</w:t>
      </w:r>
      <w:r w:rsidR="00D64B23" w:rsidRPr="00CE0A20">
        <w:rPr>
          <w:rFonts w:ascii="Times New Roman" w:hAnsi="Times New Roman" w:cs="Times New Roman"/>
          <w:color w:val="000000" w:themeColor="text1"/>
          <w:sz w:val="28"/>
          <w:szCs w:val="28"/>
          <w:lang w:val="uk-UA"/>
        </w:rPr>
        <w:t>ити</w:t>
      </w:r>
      <w:r w:rsidRPr="00CE0A20">
        <w:rPr>
          <w:rFonts w:ascii="Times New Roman" w:hAnsi="Times New Roman" w:cs="Times New Roman"/>
          <w:color w:val="000000" w:themeColor="text1"/>
          <w:sz w:val="28"/>
          <w:szCs w:val="28"/>
          <w:lang w:val="uk-UA"/>
        </w:rPr>
        <w:t xml:space="preserve"> перебіг цих захворювань  [308; 365]. Нормалізація рівня тестостерону у людей похилого віку мала сприятливий вплив на метаболізм ліпідів та глюкози, але не впливала  на рівень  тригліцеридів [</w:t>
      </w:r>
      <w:r w:rsidRPr="00CE0A20">
        <w:rPr>
          <w:rStyle w:val="mixed-citation"/>
          <w:rFonts w:ascii="Times New Roman" w:hAnsi="Times New Roman" w:cs="Times New Roman"/>
          <w:color w:val="000000" w:themeColor="text1"/>
          <w:sz w:val="28"/>
          <w:szCs w:val="28"/>
          <w:lang w:val="uk-UA"/>
        </w:rPr>
        <w:t>133]</w:t>
      </w:r>
      <w:r w:rsidRPr="00CE0A20">
        <w:rPr>
          <w:rFonts w:ascii="Times New Roman" w:hAnsi="Times New Roman" w:cs="Times New Roman"/>
          <w:color w:val="000000" w:themeColor="text1"/>
          <w:sz w:val="28"/>
          <w:szCs w:val="28"/>
          <w:lang w:val="uk-UA"/>
        </w:rPr>
        <w:t xml:space="preserve">. Тестостерон-замісна терапія у сполученні </w:t>
      </w:r>
      <w:r w:rsidR="00D64B23" w:rsidRPr="00CE0A20">
        <w:rPr>
          <w:rFonts w:ascii="Times New Roman" w:hAnsi="Times New Roman" w:cs="Times New Roman"/>
          <w:color w:val="000000" w:themeColor="text1"/>
          <w:sz w:val="28"/>
          <w:szCs w:val="28"/>
          <w:lang w:val="uk-UA"/>
        </w:rPr>
        <w:t xml:space="preserve">з </w:t>
      </w:r>
      <w:r w:rsidRPr="00CE0A20">
        <w:rPr>
          <w:rFonts w:ascii="Times New Roman" w:hAnsi="Times New Roman" w:cs="Times New Roman"/>
          <w:color w:val="000000" w:themeColor="text1"/>
          <w:sz w:val="28"/>
          <w:szCs w:val="28"/>
          <w:lang w:val="uk-UA"/>
        </w:rPr>
        <w:t>л</w:t>
      </w:r>
      <w:r w:rsidR="00D64B2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раглютидом та метформ</w:t>
      </w:r>
      <w:r w:rsidR="00D64B23"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ном у хворих на цукровий діабет з ожирінням, андрогенним дефіцитом та ЕД виявилася ефективною не тільки для нормалізації рівня андрогенів та глікемії, але й для зниження ваги тіла та значного покращення показника ЕД МІЕФ  [209]. Замісна терапія тестостероном при гіпогонадизмі </w:t>
      </w:r>
      <w:r w:rsidR="00D64B23" w:rsidRPr="00CE0A20">
        <w:rPr>
          <w:rFonts w:ascii="Times New Roman" w:hAnsi="Times New Roman" w:cs="Times New Roman"/>
          <w:color w:val="000000" w:themeColor="text1"/>
          <w:sz w:val="28"/>
          <w:szCs w:val="28"/>
          <w:lang w:val="uk-UA"/>
        </w:rPr>
        <w:t>спричиняє</w:t>
      </w:r>
      <w:r w:rsidRPr="00CE0A20">
        <w:rPr>
          <w:rFonts w:ascii="Times New Roman" w:hAnsi="Times New Roman" w:cs="Times New Roman"/>
          <w:color w:val="000000" w:themeColor="text1"/>
          <w:sz w:val="28"/>
          <w:szCs w:val="28"/>
          <w:lang w:val="uk-UA"/>
        </w:rPr>
        <w:t xml:space="preserve"> нормалізації ваги [330; 341], покра</w:t>
      </w:r>
      <w:r w:rsidRPr="00CE0A20">
        <w:rPr>
          <w:rFonts w:ascii="Times New Roman" w:hAnsi="Times New Roman" w:cs="Times New Roman"/>
          <w:color w:val="000000" w:themeColor="text1"/>
          <w:sz w:val="28"/>
          <w:szCs w:val="28"/>
          <w:lang w:val="uk-UA"/>
        </w:rPr>
        <w:softHyphen/>
        <w:t>щує перебіг метаболічного синдрому [215], сприяє нормалізації показників вуглеводного та ліпідного обміну (зменшення об’єму талії, зниження рівня холестерину, тригліцеридів, ліпопротеїдів низької щільності та глюкози), а також маркерів запалення (ФНП-альфа та С-реактивного білк</w:t>
      </w:r>
      <w:r w:rsidR="00D64B23"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[122]. Доведено, що ГЗТ </w:t>
      </w:r>
      <w:r w:rsidR="00D64B23"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корекції ЕД у хворих на ЦД 2</w:t>
      </w:r>
      <w:r w:rsidR="00D64B23"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ефективна для усунення основних компонентів метаболічного синдрому, </w:t>
      </w:r>
      <w:r w:rsidR="00D64B23"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тому числі ожиріння </w:t>
      </w:r>
      <w:r w:rsidR="00D64B23"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інсулінорезистентності, які є основою розвитку ЦД [203; 227].</w:t>
      </w:r>
    </w:p>
    <w:p w:rsidR="00EB6EBC" w:rsidRPr="00CE0A20" w:rsidRDefault="00EB6EBC" w:rsidP="00EB6EBC">
      <w:pPr>
        <w:widowControl w:val="0"/>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Для лікування цих патологічних станів поряд з компенсацією вуглеводного обміну з успіхом використовуються препарати тестостерону, альфа-ліпоєвої кислоти та інгібітори ФДЕ-5. Продемонстровано, що при комбінованому використанні цих препаратів ефективність терапії перевищує 90% [113].</w:t>
      </w:r>
    </w:p>
    <w:p w:rsidR="00EB6EBC" w:rsidRPr="00CE0A20" w:rsidRDefault="00EB6EBC" w:rsidP="00EB6EBC">
      <w:pPr>
        <w:pStyle w:val="1"/>
        <w:keepNext w:val="0"/>
        <w:keepLines w:val="0"/>
        <w:widowControl w:val="0"/>
        <w:shd w:val="clear" w:color="auto" w:fill="FFFFFF"/>
        <w:spacing w:before="0" w:line="360" w:lineRule="auto"/>
        <w:ind w:firstLine="709"/>
        <w:jc w:val="both"/>
        <w:rPr>
          <w:rStyle w:val="mixed-citation"/>
          <w:rFonts w:ascii="Times New Roman" w:hAnsi="Times New Roman" w:cs="Times New Roman"/>
          <w:b w:val="0"/>
          <w:bCs w:val="0"/>
          <w:color w:val="000000" w:themeColor="text1"/>
          <w:lang w:val="uk-UA"/>
        </w:rPr>
      </w:pPr>
      <w:r w:rsidRPr="00CE0A20">
        <w:rPr>
          <w:rFonts w:ascii="Times New Roman" w:hAnsi="Times New Roman" w:cs="Times New Roman"/>
          <w:b w:val="0"/>
          <w:bCs w:val="0"/>
          <w:color w:val="000000" w:themeColor="text1"/>
          <w:lang w:val="uk-UA"/>
        </w:rPr>
        <w:t>У рандомізованому, багатоцентровому, подвійно</w:t>
      </w:r>
      <w:r w:rsidR="004649D5" w:rsidRPr="00CE0A20">
        <w:rPr>
          <w:rFonts w:ascii="Times New Roman" w:hAnsi="Times New Roman" w:cs="Times New Roman"/>
          <w:b w:val="0"/>
          <w:bCs w:val="0"/>
          <w:color w:val="000000" w:themeColor="text1"/>
          <w:lang w:val="uk-UA"/>
        </w:rPr>
        <w:t>му</w:t>
      </w:r>
      <w:r w:rsidRPr="00CE0A20">
        <w:rPr>
          <w:rFonts w:ascii="Times New Roman" w:hAnsi="Times New Roman" w:cs="Times New Roman"/>
          <w:b w:val="0"/>
          <w:bCs w:val="0"/>
          <w:color w:val="000000" w:themeColor="text1"/>
          <w:lang w:val="uk-UA"/>
        </w:rPr>
        <w:t xml:space="preserve"> сліпому, плацебо-контрольованому дослідженні, до якого було залучено 715 чоловіків з гіпогонадизмом (середній вік 55,3 р.) встановлено, що застосування ГЗТ тестостероном протягом 12 тижнів сприяло нормалізації сексуальної та еректильної функції, причому чим меншим був рівень тестостерону, тим кращими були результати [268]. В іншому дослідженні </w:t>
      </w:r>
      <w:r w:rsidRPr="00CE0A20">
        <w:rPr>
          <w:rStyle w:val="ref-title"/>
          <w:rFonts w:ascii="Times New Roman" w:hAnsi="Times New Roman" w:cs="Times New Roman"/>
          <w:b w:val="0"/>
          <w:bCs w:val="0"/>
          <w:color w:val="000000" w:themeColor="text1"/>
          <w:lang w:val="uk-UA"/>
        </w:rPr>
        <w:t>ефективності ГЗТ тестостероном у вигляді трансдермальної 2% форми (TIMES2) встановлено, що вона сприяє  кращому перебігу ЦД зі зниженням рівня гліколізованого гемоглобіну (</w:t>
      </w:r>
      <w:r w:rsidRPr="00CE0A20">
        <w:rPr>
          <w:rFonts w:ascii="Times New Roman" w:hAnsi="Times New Roman" w:cs="Times New Roman"/>
          <w:b w:val="0"/>
          <w:bCs w:val="0"/>
          <w:color w:val="000000" w:themeColor="text1"/>
          <w:lang w:val="uk-UA"/>
        </w:rPr>
        <w:t>HbA1c), покращенням  резистентності до інсуліну, показників ліпідного обміну (концентрації загального холестерину, ЛПН</w:t>
      </w:r>
      <w:r w:rsidR="004649D5" w:rsidRPr="00CE0A20">
        <w:rPr>
          <w:rFonts w:ascii="Times New Roman" w:hAnsi="Times New Roman" w:cs="Times New Roman"/>
          <w:b w:val="0"/>
          <w:bCs w:val="0"/>
          <w:color w:val="000000" w:themeColor="text1"/>
          <w:lang w:val="uk-UA"/>
        </w:rPr>
        <w:t>Щ</w:t>
      </w:r>
      <w:r w:rsidRPr="00CE0A20">
        <w:rPr>
          <w:rFonts w:ascii="Times New Roman" w:hAnsi="Times New Roman" w:cs="Times New Roman"/>
          <w:b w:val="0"/>
          <w:bCs w:val="0"/>
          <w:color w:val="000000" w:themeColor="text1"/>
          <w:lang w:val="uk-UA"/>
        </w:rPr>
        <w:t xml:space="preserve"> та ліпопротеїнів α, жирового складу тіла), з нормалізацією лібідо та сексуальної функції. Ці зміни відбулися протягом 9 міс. лікування. Серйозних побічних  явищ не спостерігалося [</w:t>
      </w:r>
      <w:r w:rsidRPr="00CE0A20">
        <w:rPr>
          <w:rStyle w:val="mixed-citation"/>
          <w:rFonts w:ascii="Times New Roman" w:hAnsi="Times New Roman" w:cs="Times New Roman"/>
          <w:b w:val="0"/>
          <w:bCs w:val="0"/>
          <w:color w:val="000000" w:themeColor="text1"/>
          <w:lang w:val="uk-UA"/>
        </w:rPr>
        <w:t>242]. Позитивний вплив замісної терапії тестосте</w:t>
      </w:r>
      <w:r w:rsidRPr="00CE0A20">
        <w:rPr>
          <w:rStyle w:val="mixed-citation"/>
          <w:rFonts w:ascii="Times New Roman" w:hAnsi="Times New Roman" w:cs="Times New Roman"/>
          <w:b w:val="0"/>
          <w:bCs w:val="0"/>
          <w:color w:val="000000" w:themeColor="text1"/>
        </w:rPr>
        <w:softHyphen/>
      </w:r>
      <w:r w:rsidRPr="00CE0A20">
        <w:rPr>
          <w:rStyle w:val="mixed-citation"/>
          <w:rFonts w:ascii="Times New Roman" w:hAnsi="Times New Roman" w:cs="Times New Roman"/>
          <w:b w:val="0"/>
          <w:bCs w:val="0"/>
          <w:color w:val="000000" w:themeColor="text1"/>
          <w:lang w:val="uk-UA"/>
        </w:rPr>
        <w:t xml:space="preserve">роном на ліпідний обмін підтверджується й в інших повідомленнях [248].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 даними А.С. Аметова та співавт. (2016), ГЗТ тестостероном у хворих на гіпогонадизм на тлі ЦД 2</w:t>
      </w:r>
      <w:r w:rsidR="004649D5"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типу та ожиріння сприяє не тільки поліпшенню метаболічних параметрів, але й зменшенню інтенсивності окисного стресу з позитивною динамікою антиоксидантних показників. </w:t>
      </w:r>
      <w:r w:rsidR="004649D5" w:rsidRPr="00CE0A20">
        <w:rPr>
          <w:rFonts w:ascii="Times New Roman" w:hAnsi="Times New Roman" w:cs="Times New Roman"/>
          <w:color w:val="000000" w:themeColor="text1"/>
          <w:sz w:val="28"/>
          <w:szCs w:val="28"/>
          <w:lang w:val="uk-UA"/>
        </w:rPr>
        <w:t>На</w:t>
      </w:r>
      <w:r w:rsidRPr="00CE0A20">
        <w:rPr>
          <w:rFonts w:ascii="Times New Roman" w:hAnsi="Times New Roman" w:cs="Times New Roman"/>
          <w:color w:val="000000" w:themeColor="text1"/>
          <w:sz w:val="28"/>
          <w:szCs w:val="28"/>
          <w:lang w:val="uk-UA"/>
        </w:rPr>
        <w:t xml:space="preserve"> думк</w:t>
      </w:r>
      <w:r w:rsidR="004649D5"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авторів, цей ефект є корисним в аспекті порушення перебігу ЦД та попередження його ускладнень [2].</w:t>
      </w:r>
    </w:p>
    <w:p w:rsidR="00EB6EBC" w:rsidRPr="00CE0A20" w:rsidRDefault="00EB6EBC" w:rsidP="00EB6EBC">
      <w:pPr>
        <w:pStyle w:val="1"/>
        <w:spacing w:before="0" w:line="360" w:lineRule="auto"/>
        <w:ind w:firstLine="709"/>
        <w:jc w:val="both"/>
        <w:rPr>
          <w:rFonts w:ascii="Times New Roman" w:hAnsi="Times New Roman" w:cs="Times New Roman"/>
          <w:b w:val="0"/>
          <w:bCs w:val="0"/>
          <w:color w:val="000000" w:themeColor="text1"/>
          <w:lang w:val="uk-UA"/>
        </w:rPr>
      </w:pPr>
      <w:r w:rsidRPr="00CE0A20">
        <w:rPr>
          <w:rStyle w:val="mixed-citation"/>
          <w:rFonts w:ascii="Times New Roman" w:hAnsi="Times New Roman" w:cs="Times New Roman"/>
          <w:b w:val="0"/>
          <w:bCs w:val="0"/>
          <w:color w:val="000000" w:themeColor="text1"/>
          <w:lang w:val="uk-UA"/>
        </w:rPr>
        <w:t>Хоча</w:t>
      </w:r>
      <w:r w:rsidR="004649D5" w:rsidRPr="00CE0A20">
        <w:rPr>
          <w:rStyle w:val="mixed-citation"/>
          <w:rFonts w:ascii="Times New Roman" w:hAnsi="Times New Roman" w:cs="Times New Roman"/>
          <w:b w:val="0"/>
          <w:bCs w:val="0"/>
          <w:color w:val="000000" w:themeColor="text1"/>
          <w:lang w:val="uk-UA"/>
        </w:rPr>
        <w:t>,</w:t>
      </w:r>
      <w:r w:rsidRPr="00CE0A20">
        <w:rPr>
          <w:rStyle w:val="mixed-citation"/>
          <w:rFonts w:ascii="Times New Roman" w:hAnsi="Times New Roman" w:cs="Times New Roman"/>
          <w:b w:val="0"/>
          <w:bCs w:val="0"/>
          <w:color w:val="000000" w:themeColor="text1"/>
          <w:lang w:val="uk-UA"/>
        </w:rPr>
        <w:t xml:space="preserve"> за даними окремих авторів</w:t>
      </w:r>
      <w:r w:rsidR="004649D5" w:rsidRPr="00CE0A20">
        <w:rPr>
          <w:rStyle w:val="mixed-citation"/>
          <w:rFonts w:ascii="Times New Roman" w:hAnsi="Times New Roman" w:cs="Times New Roman"/>
          <w:b w:val="0"/>
          <w:bCs w:val="0"/>
          <w:color w:val="000000" w:themeColor="text1"/>
          <w:lang w:val="uk-UA"/>
        </w:rPr>
        <w:t>,</w:t>
      </w:r>
      <w:r w:rsidRPr="00CE0A20">
        <w:rPr>
          <w:rStyle w:val="mixed-citation"/>
          <w:rFonts w:ascii="Times New Roman" w:hAnsi="Times New Roman" w:cs="Times New Roman"/>
          <w:b w:val="0"/>
          <w:bCs w:val="0"/>
          <w:color w:val="000000" w:themeColor="text1"/>
          <w:lang w:val="uk-UA"/>
        </w:rPr>
        <w:t xml:space="preserve"> результати терапії не однозначні. </w:t>
      </w:r>
      <w:r w:rsidRPr="00CE0A20">
        <w:rPr>
          <w:rStyle w:val="11"/>
          <w:b w:val="0"/>
          <w:bCs w:val="0"/>
          <w:color w:val="000000" w:themeColor="text1"/>
          <w:sz w:val="28"/>
          <w:szCs w:val="28"/>
          <w:lang w:val="uk-UA"/>
        </w:rPr>
        <w:t>ГЗТ при ЦД не завжди ефективна [</w:t>
      </w:r>
      <w:r w:rsidRPr="00CE0A20">
        <w:rPr>
          <w:rFonts w:ascii="Times New Roman" w:hAnsi="Times New Roman" w:cs="Times New Roman"/>
          <w:b w:val="0"/>
          <w:bCs w:val="0"/>
          <w:color w:val="000000" w:themeColor="text1"/>
          <w:lang w:val="uk-UA"/>
        </w:rPr>
        <w:t>286</w:t>
      </w:r>
      <w:r w:rsidRPr="00CE0A20">
        <w:rPr>
          <w:rStyle w:val="11"/>
          <w:b w:val="0"/>
          <w:bCs w:val="0"/>
          <w:color w:val="000000" w:themeColor="text1"/>
          <w:sz w:val="28"/>
          <w:szCs w:val="28"/>
          <w:lang w:val="uk-UA"/>
        </w:rPr>
        <w:t xml:space="preserve">].  </w:t>
      </w:r>
      <w:r w:rsidRPr="00CE0A20">
        <w:rPr>
          <w:rFonts w:ascii="Times New Roman" w:hAnsi="Times New Roman" w:cs="Times New Roman"/>
          <w:b w:val="0"/>
          <w:bCs w:val="0"/>
          <w:color w:val="000000" w:themeColor="text1"/>
          <w:lang w:val="uk-UA"/>
        </w:rPr>
        <w:t>P.M. Mah та G.A. Wittert (2010) вважають що ГЗТ у короткочасній перспективі істотно не впливає на кардіометаболічний ризик у чоловіків з ожирінням та метаболічним синдромом [275].</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До можливих побічних ефектів ГЗТ відносять зниження активності, гінекомастію, поліцитемію, збільшення ризику виникнення раку простати  та серцево-судинних порушень [</w:t>
      </w:r>
      <w:r w:rsidRPr="00CE0A20">
        <w:rPr>
          <w:rStyle w:val="34"/>
          <w:color w:val="000000" w:themeColor="text1"/>
          <w:sz w:val="28"/>
          <w:szCs w:val="28"/>
          <w:lang w:val="uk-UA"/>
        </w:rPr>
        <w:t>21</w:t>
      </w:r>
      <w:r w:rsidRPr="00CE0A20">
        <w:rPr>
          <w:rFonts w:ascii="Times New Roman" w:hAnsi="Times New Roman" w:cs="Times New Roman"/>
          <w:color w:val="000000" w:themeColor="text1"/>
          <w:sz w:val="28"/>
          <w:szCs w:val="28"/>
          <w:lang w:val="uk-UA"/>
        </w:rPr>
        <w:t xml:space="preserve">4; </w:t>
      </w:r>
      <w:r w:rsidRPr="00CE0A20">
        <w:rPr>
          <w:rStyle w:val="element-citation"/>
          <w:rFonts w:ascii="Times New Roman" w:hAnsi="Times New Roman" w:cs="Times New Roman"/>
          <w:color w:val="000000" w:themeColor="text1"/>
          <w:sz w:val="28"/>
          <w:szCs w:val="28"/>
          <w:lang w:val="uk-UA"/>
        </w:rPr>
        <w:t>256</w:t>
      </w:r>
      <w:r w:rsidRPr="00CE0A20">
        <w:rPr>
          <w:rFonts w:ascii="Times New Roman" w:hAnsi="Times New Roman" w:cs="Times New Roman"/>
          <w:color w:val="000000" w:themeColor="text1"/>
          <w:sz w:val="28"/>
          <w:szCs w:val="28"/>
          <w:lang w:val="uk-UA"/>
        </w:rPr>
        <w:t xml:space="preserve">; </w:t>
      </w:r>
      <w:r w:rsidRPr="00CE0A20">
        <w:rPr>
          <w:rStyle w:val="34"/>
          <w:color w:val="000000" w:themeColor="text1"/>
          <w:sz w:val="28"/>
          <w:szCs w:val="28"/>
          <w:lang w:val="uk-UA"/>
        </w:rPr>
        <w:t>347</w:t>
      </w:r>
      <w:r w:rsidRPr="00CE0A20">
        <w:rPr>
          <w:rFonts w:ascii="Times New Roman" w:hAnsi="Times New Roman" w:cs="Times New Roman"/>
          <w:color w:val="000000" w:themeColor="text1"/>
          <w:sz w:val="28"/>
          <w:szCs w:val="28"/>
          <w:lang w:val="uk-UA"/>
        </w:rPr>
        <w:t xml:space="preserve">; </w:t>
      </w:r>
      <w:r w:rsidRPr="00CE0A20">
        <w:rPr>
          <w:rStyle w:val="element-citation"/>
          <w:rFonts w:ascii="Times New Roman" w:hAnsi="Times New Roman" w:cs="Times New Roman"/>
          <w:color w:val="000000" w:themeColor="text1"/>
          <w:sz w:val="28"/>
          <w:szCs w:val="28"/>
          <w:lang w:val="uk-UA"/>
        </w:rPr>
        <w:t>376]</w:t>
      </w:r>
      <w:r w:rsidRPr="00CE0A20">
        <w:rPr>
          <w:rFonts w:ascii="Times New Roman" w:hAnsi="Times New Roman" w:cs="Times New Roman"/>
          <w:color w:val="000000" w:themeColor="text1"/>
          <w:sz w:val="28"/>
          <w:szCs w:val="28"/>
          <w:lang w:val="uk-UA"/>
        </w:rPr>
        <w:t xml:space="preserve">. Недоліками ГЗТ також є необхідність постійного застосування </w:t>
      </w:r>
      <w:r w:rsidR="004649D5" w:rsidRPr="00CE0A20">
        <w:rPr>
          <w:rFonts w:ascii="Times New Roman" w:hAnsi="Times New Roman" w:cs="Times New Roman"/>
          <w:color w:val="000000" w:themeColor="text1"/>
          <w:sz w:val="28"/>
          <w:szCs w:val="28"/>
          <w:lang w:val="uk-UA"/>
        </w:rPr>
        <w:t>високовартісни</w:t>
      </w:r>
      <w:r w:rsidRPr="00CE0A20">
        <w:rPr>
          <w:rFonts w:ascii="Times New Roman" w:hAnsi="Times New Roman" w:cs="Times New Roman"/>
          <w:color w:val="000000" w:themeColor="text1"/>
          <w:sz w:val="28"/>
          <w:szCs w:val="28"/>
          <w:lang w:val="uk-UA"/>
        </w:rPr>
        <w:t xml:space="preserve">х препаратів, необхідність лабораторного контролю за ефективністю лікування та деякі ускладнення [147; 207; 315]. Крім цього, при позитивному впливі на окремі симптоми андрогенодефіциту, екзогенний тестостерон пригнічує сперматогенез і лише посилює такий значущий прояв гіпогонадизму, як чоловіча інфертильність [255]. </w:t>
      </w:r>
    </w:p>
    <w:p w:rsidR="00EB6EBC" w:rsidRPr="00CE0A20" w:rsidRDefault="00EB6EBC" w:rsidP="00EB6EBC">
      <w:pPr>
        <w:pStyle w:val="80"/>
        <w:widowControl w:val="0"/>
        <w:shd w:val="clear" w:color="auto" w:fill="auto"/>
        <w:spacing w:line="360" w:lineRule="auto"/>
        <w:ind w:firstLine="709"/>
        <w:jc w:val="both"/>
        <w:rPr>
          <w:rFonts w:ascii="Times New Roman" w:hAnsi="Times New Roman" w:cs="Times New Roman"/>
          <w:color w:val="000000" w:themeColor="text1"/>
          <w:sz w:val="28"/>
          <w:szCs w:val="28"/>
          <w:lang w:val="uk-UA" w:eastAsia="ru-RU"/>
        </w:rPr>
      </w:pPr>
      <w:r w:rsidRPr="00CE0A20">
        <w:rPr>
          <w:rFonts w:ascii="Times New Roman" w:hAnsi="Times New Roman" w:cs="Times New Roman"/>
          <w:color w:val="000000" w:themeColor="text1"/>
          <w:sz w:val="28"/>
          <w:szCs w:val="28"/>
          <w:lang w:val="uk-UA"/>
        </w:rPr>
        <w:t>Тому виникає необхідність в розроб</w:t>
      </w:r>
      <w:r w:rsidR="004649D5" w:rsidRPr="00CE0A20">
        <w:rPr>
          <w:rFonts w:ascii="Times New Roman" w:hAnsi="Times New Roman" w:cs="Times New Roman"/>
          <w:color w:val="000000" w:themeColor="text1"/>
          <w:sz w:val="28"/>
          <w:szCs w:val="28"/>
          <w:lang w:val="uk-UA"/>
        </w:rPr>
        <w:t>ленн</w:t>
      </w:r>
      <w:r w:rsidRPr="00CE0A20">
        <w:rPr>
          <w:rFonts w:ascii="Times New Roman" w:hAnsi="Times New Roman" w:cs="Times New Roman"/>
          <w:color w:val="000000" w:themeColor="text1"/>
          <w:sz w:val="28"/>
          <w:szCs w:val="28"/>
          <w:lang w:val="uk-UA"/>
        </w:rPr>
        <w:t xml:space="preserve">і </w:t>
      </w:r>
      <w:r w:rsidR="004649D5"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впровадженні методів лікування андрогенного дефіциту без постійного застосування екзогенного тестостерону, що можливо лише шляхом активації синтезу в організмі хворого чоловіка або шляхом відновлення клітин Лейдіга. </w:t>
      </w:r>
    </w:p>
    <w:p w:rsidR="00EB6EBC" w:rsidRPr="00CE0A20" w:rsidRDefault="00EB6EBC" w:rsidP="00EB6EBC">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p>
    <w:p w:rsidR="00EB6EBC" w:rsidRPr="00CE0A20" w:rsidRDefault="00EB6EBC" w:rsidP="00EB6EBC">
      <w:pPr>
        <w:autoSpaceDE w:val="0"/>
        <w:autoSpaceDN w:val="0"/>
        <w:adjustRightInd w:val="0"/>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1.4 Перспективи регенераційної медицини в лікуванні дефіциту тестостерону</w:t>
      </w:r>
    </w:p>
    <w:p w:rsidR="00661B2E" w:rsidRPr="00CE0A20" w:rsidRDefault="00661B2E" w:rsidP="00EB6EBC">
      <w:pPr>
        <w:spacing w:line="360" w:lineRule="auto"/>
        <w:ind w:firstLine="709"/>
        <w:jc w:val="both"/>
        <w:rPr>
          <w:rFonts w:ascii="Times New Roman" w:hAnsi="Times New Roman" w:cs="Times New Roman"/>
          <w:color w:val="000000" w:themeColor="text1"/>
          <w:sz w:val="28"/>
          <w:szCs w:val="28"/>
        </w:rPr>
      </w:pP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Виходячи з аналізу публікацій, присвячених ефективності ГЗС, можна стверджувати, що вона</w:t>
      </w:r>
      <w:r w:rsidR="004649D5"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безсумнівно</w:t>
      </w:r>
      <w:r w:rsidR="004649D5"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є доцільною у багатьох хворих з дефіцитом тестостерону, але визначен</w:t>
      </w:r>
      <w:r w:rsidR="004649D5"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незручності, пов’язані з методом лікування, та обмеження у зв’язку з показаннями, протипоказаннями та побічною дією екзогенного тестостерону спонукають до пошуків інших методів компенсації дефіциту тестостерону. </w:t>
      </w:r>
    </w:p>
    <w:p w:rsidR="00EB6EBC" w:rsidRPr="00CE0A20" w:rsidRDefault="004649D5" w:rsidP="00EB6EBC">
      <w:pPr>
        <w:pStyle w:val="41"/>
        <w:shd w:val="clear" w:color="auto" w:fill="auto"/>
        <w:spacing w:line="360" w:lineRule="auto"/>
        <w:ind w:firstLine="709"/>
        <w:rPr>
          <w:color w:val="000000" w:themeColor="text1"/>
          <w:sz w:val="28"/>
          <w:szCs w:val="28"/>
          <w:lang w:val="uk-UA"/>
        </w:rPr>
      </w:pPr>
      <w:r w:rsidRPr="00CE0A20">
        <w:rPr>
          <w:color w:val="000000" w:themeColor="text1"/>
          <w:sz w:val="28"/>
          <w:szCs w:val="28"/>
          <w:lang w:val="uk-UA"/>
        </w:rPr>
        <w:t>У</w:t>
      </w:r>
      <w:r w:rsidR="00EB6EBC" w:rsidRPr="00CE0A20">
        <w:rPr>
          <w:color w:val="000000" w:themeColor="text1"/>
          <w:sz w:val="28"/>
          <w:szCs w:val="28"/>
          <w:lang w:val="uk-UA"/>
        </w:rPr>
        <w:t xml:space="preserve"> цьому напрямку перспективними виявляються методи регенера</w:t>
      </w:r>
      <w:r w:rsidR="00EB6EBC" w:rsidRPr="00CE0A20">
        <w:rPr>
          <w:color w:val="000000" w:themeColor="text1"/>
          <w:sz w:val="28"/>
          <w:szCs w:val="28"/>
          <w:lang w:val="uk-UA"/>
        </w:rPr>
        <w:softHyphen/>
        <w:t xml:space="preserve">ційної медицини, </w:t>
      </w:r>
      <w:r w:rsidR="004324B4" w:rsidRPr="00CE0A20">
        <w:rPr>
          <w:color w:val="000000" w:themeColor="text1"/>
          <w:sz w:val="28"/>
          <w:szCs w:val="28"/>
          <w:lang w:val="uk-UA"/>
        </w:rPr>
        <w:t xml:space="preserve">які ґрунтуються </w:t>
      </w:r>
      <w:r w:rsidR="00EB6EBC" w:rsidRPr="00CE0A20">
        <w:rPr>
          <w:color w:val="000000" w:themeColor="text1"/>
          <w:sz w:val="28"/>
          <w:szCs w:val="28"/>
          <w:lang w:val="uk-UA"/>
        </w:rPr>
        <w:t xml:space="preserve">на відновленні функціонально активних тканин та клітин організму людини. Крім цілей заміщення, методи регенеративної медицини спрямовані </w:t>
      </w:r>
      <w:r w:rsidR="004324B4" w:rsidRPr="00CE0A20">
        <w:rPr>
          <w:color w:val="000000" w:themeColor="text1"/>
          <w:sz w:val="28"/>
          <w:szCs w:val="28"/>
          <w:lang w:val="uk-UA"/>
        </w:rPr>
        <w:t>також</w:t>
      </w:r>
      <w:r w:rsidR="00EB6EBC" w:rsidRPr="00CE0A20">
        <w:rPr>
          <w:color w:val="000000" w:themeColor="text1"/>
          <w:sz w:val="28"/>
          <w:szCs w:val="28"/>
          <w:lang w:val="uk-UA"/>
        </w:rPr>
        <w:t xml:space="preserve"> на стимулювання процесів відновлення втрачених функцій за допомогою мобілізації власних резервів хворого організму або введенням алогенного клітинного матеріалу  [284, </w:t>
      </w:r>
      <w:r w:rsidR="00EB6EBC" w:rsidRPr="00CE0A20">
        <w:rPr>
          <w:rStyle w:val="210pt0"/>
          <w:rFonts w:eastAsia="Century Schoolbook"/>
          <w:i w:val="0"/>
          <w:color w:val="000000" w:themeColor="text1"/>
          <w:sz w:val="28"/>
          <w:szCs w:val="28"/>
          <w:lang w:val="uk-UA"/>
        </w:rPr>
        <w:t>337</w:t>
      </w:r>
      <w:r w:rsidR="00EB6EBC" w:rsidRPr="00CE0A20">
        <w:rPr>
          <w:color w:val="000000" w:themeColor="text1"/>
          <w:sz w:val="28"/>
          <w:szCs w:val="28"/>
          <w:lang w:val="uk-UA"/>
        </w:rPr>
        <w:t>]. Фундамен</w:t>
      </w:r>
      <w:r w:rsidR="00EB6EBC" w:rsidRPr="00CE0A20">
        <w:rPr>
          <w:color w:val="000000" w:themeColor="text1"/>
          <w:sz w:val="28"/>
          <w:szCs w:val="28"/>
          <w:lang w:val="uk-UA"/>
        </w:rPr>
        <w:softHyphen/>
        <w:t>тальною основою регенераційної медицини стало терапевтичне клонування, при якому використовується здатність стовбурових клітин до диференціювання та спеціалізації для утворення  різних клітинних ліній  [</w:t>
      </w:r>
      <w:r w:rsidR="00EB6EBC" w:rsidRPr="00CE0A20">
        <w:rPr>
          <w:rStyle w:val="210pt0"/>
          <w:rFonts w:eastAsia="Microsoft Sans Serif"/>
          <w:i w:val="0"/>
          <w:color w:val="000000" w:themeColor="text1"/>
          <w:sz w:val="28"/>
          <w:szCs w:val="28"/>
          <w:lang w:val="uk-UA"/>
        </w:rPr>
        <w:t>55</w:t>
      </w:r>
      <w:r w:rsidR="00EB6EBC" w:rsidRPr="00CE0A20">
        <w:rPr>
          <w:color w:val="000000" w:themeColor="text1"/>
          <w:sz w:val="28"/>
          <w:szCs w:val="28"/>
          <w:lang w:val="uk-UA"/>
        </w:rPr>
        <w:t>]. В аспекті патології</w:t>
      </w:r>
      <w:r w:rsidR="004324B4" w:rsidRPr="00CE0A20">
        <w:rPr>
          <w:color w:val="000000" w:themeColor="text1"/>
          <w:sz w:val="28"/>
          <w:szCs w:val="28"/>
          <w:lang w:val="uk-UA"/>
        </w:rPr>
        <w:t>, що розглядається,</w:t>
      </w:r>
      <w:r w:rsidR="00EB6EBC" w:rsidRPr="00CE0A20">
        <w:rPr>
          <w:color w:val="000000" w:themeColor="text1"/>
          <w:sz w:val="28"/>
          <w:szCs w:val="28"/>
          <w:lang w:val="uk-UA"/>
        </w:rPr>
        <w:t xml:space="preserve">  – це  клітинні технології [124].</w:t>
      </w:r>
    </w:p>
    <w:p w:rsidR="00EB6EBC" w:rsidRPr="00CE0A20" w:rsidRDefault="00EB6EBC" w:rsidP="00EB6EBC">
      <w:pPr>
        <w:pStyle w:val="41"/>
        <w:shd w:val="clear" w:color="auto" w:fill="auto"/>
        <w:spacing w:line="360" w:lineRule="auto"/>
        <w:ind w:firstLine="709"/>
        <w:rPr>
          <w:color w:val="000000" w:themeColor="text1"/>
          <w:sz w:val="28"/>
          <w:szCs w:val="28"/>
          <w:lang w:val="uk-UA"/>
        </w:rPr>
      </w:pPr>
      <w:r w:rsidRPr="00CE0A20">
        <w:rPr>
          <w:rFonts w:eastAsia="Calibri"/>
          <w:color w:val="000000" w:themeColor="text1"/>
          <w:sz w:val="28"/>
          <w:szCs w:val="28"/>
          <w:lang w:val="uk-UA"/>
        </w:rPr>
        <w:t>У вітчизняній літературі існують синоніми клітинної терапії: терапія свіжими, живими клітинами, міні</w:t>
      </w:r>
      <w:r w:rsidR="004324B4" w:rsidRPr="00CE0A20">
        <w:rPr>
          <w:rFonts w:eastAsia="Calibri"/>
          <w:color w:val="000000" w:themeColor="text1"/>
          <w:sz w:val="28"/>
          <w:szCs w:val="28"/>
          <w:lang w:val="uk-UA"/>
        </w:rPr>
        <w:t>-</w:t>
      </w:r>
      <w:r w:rsidRPr="00CE0A20">
        <w:rPr>
          <w:rFonts w:eastAsia="Calibri"/>
          <w:color w:val="000000" w:themeColor="text1"/>
          <w:sz w:val="28"/>
          <w:szCs w:val="28"/>
          <w:lang w:val="uk-UA"/>
        </w:rPr>
        <w:t xml:space="preserve">трансплантація. У світовій науковій літературі прийнято використовувати інший термін – «терапевтична трансплантація». Загальноприйнятий термін «тканинна терапія» асоціюється з лікувальними методами, запропонованими академіком В.П. Філатовим, який </w:t>
      </w:r>
      <w:r w:rsidRPr="00CE0A20">
        <w:rPr>
          <w:color w:val="000000" w:themeColor="text1"/>
          <w:sz w:val="28"/>
          <w:szCs w:val="28"/>
          <w:lang w:val="uk-UA"/>
        </w:rPr>
        <w:t>виявив стимулюючий і протизапальний ефекти в результаті викорис</w:t>
      </w:r>
      <w:r w:rsidRPr="00CE0A20">
        <w:rPr>
          <w:color w:val="000000" w:themeColor="text1"/>
          <w:sz w:val="28"/>
          <w:szCs w:val="28"/>
          <w:lang w:val="uk-UA"/>
        </w:rPr>
        <w:softHyphen/>
        <w:t>тання препаратів, виготовлених з плаценти</w:t>
      </w:r>
      <w:r w:rsidRPr="00CE0A20">
        <w:rPr>
          <w:rFonts w:eastAsia="Calibri"/>
          <w:color w:val="000000" w:themeColor="text1"/>
          <w:sz w:val="28"/>
          <w:szCs w:val="28"/>
          <w:lang w:val="uk-UA"/>
        </w:rPr>
        <w:t>. Найбільш відомі і використо</w:t>
      </w:r>
      <w:r w:rsidRPr="00CE0A20">
        <w:rPr>
          <w:rFonts w:eastAsia="Calibri"/>
          <w:color w:val="000000" w:themeColor="text1"/>
          <w:sz w:val="28"/>
          <w:szCs w:val="28"/>
          <w:lang w:val="uk-UA"/>
        </w:rPr>
        <w:softHyphen/>
        <w:t xml:space="preserve">вуються до </w:t>
      </w:r>
      <w:r w:rsidR="004324B4" w:rsidRPr="00CE0A20">
        <w:rPr>
          <w:rFonts w:eastAsia="Calibri"/>
          <w:color w:val="000000" w:themeColor="text1"/>
          <w:sz w:val="28"/>
          <w:szCs w:val="28"/>
          <w:lang w:val="uk-UA"/>
        </w:rPr>
        <w:t>сьогодні</w:t>
      </w:r>
      <w:r w:rsidRPr="00CE0A20">
        <w:rPr>
          <w:rFonts w:eastAsia="Calibri"/>
          <w:color w:val="000000" w:themeColor="text1"/>
          <w:sz w:val="28"/>
          <w:szCs w:val="28"/>
          <w:lang w:val="uk-UA"/>
        </w:rPr>
        <w:t xml:space="preserve"> препарати, в основі яких плацента та її похідні: екстракт, суспензія, ліофілізат. З урахуванням ступеня термічної обробки – це абіотичні засоби. Проте саме праці В.П. Філатова склали основу замісної тканинної і клітинної терапії </w:t>
      </w:r>
      <w:r w:rsidRPr="00CE0A20">
        <w:rPr>
          <w:color w:val="000000" w:themeColor="text1"/>
          <w:sz w:val="28"/>
          <w:szCs w:val="28"/>
          <w:lang w:val="uk-UA"/>
        </w:rPr>
        <w:t>[</w:t>
      </w:r>
      <w:r w:rsidRPr="00CE0A20">
        <w:rPr>
          <w:rStyle w:val="210pt0"/>
          <w:rFonts w:eastAsia="Microsoft Sans Serif"/>
          <w:i w:val="0"/>
          <w:color w:val="000000" w:themeColor="text1"/>
          <w:sz w:val="28"/>
          <w:szCs w:val="28"/>
          <w:lang w:val="uk-UA"/>
        </w:rPr>
        <w:t>55</w:t>
      </w:r>
      <w:r w:rsidRPr="00CE0A20">
        <w:rPr>
          <w:i/>
          <w:color w:val="000000" w:themeColor="text1"/>
          <w:sz w:val="28"/>
          <w:szCs w:val="28"/>
          <w:lang w:val="uk-UA"/>
        </w:rPr>
        <w:t>;</w:t>
      </w:r>
      <w:r w:rsidRPr="00CE0A20">
        <w:rPr>
          <w:color w:val="000000" w:themeColor="text1"/>
          <w:sz w:val="28"/>
          <w:szCs w:val="28"/>
          <w:lang w:val="uk-UA"/>
        </w:rPr>
        <w:t xml:space="preserve"> 118; 168].</w:t>
      </w:r>
    </w:p>
    <w:p w:rsidR="00EB6EBC" w:rsidRPr="00CE0A20" w:rsidRDefault="00EB6EBC" w:rsidP="00EB6EBC">
      <w:pPr>
        <w:pStyle w:val="41"/>
        <w:shd w:val="clear" w:color="auto" w:fill="auto"/>
        <w:spacing w:line="360" w:lineRule="auto"/>
        <w:ind w:firstLine="709"/>
        <w:rPr>
          <w:color w:val="000000" w:themeColor="text1"/>
          <w:sz w:val="28"/>
          <w:szCs w:val="28"/>
          <w:lang w:val="uk-UA"/>
        </w:rPr>
      </w:pPr>
      <w:r w:rsidRPr="00CE0A20">
        <w:rPr>
          <w:color w:val="000000" w:themeColor="text1"/>
          <w:sz w:val="28"/>
          <w:szCs w:val="28"/>
          <w:lang w:val="uk-UA"/>
        </w:rPr>
        <w:t xml:space="preserve">До клітинних технологій регенераційної медицини також належить використання ембріональних і фетальних клітин людини. </w:t>
      </w:r>
      <w:r w:rsidR="004324B4" w:rsidRPr="00CE0A20">
        <w:rPr>
          <w:color w:val="000000" w:themeColor="text1"/>
          <w:sz w:val="28"/>
          <w:szCs w:val="28"/>
          <w:lang w:val="uk-UA"/>
        </w:rPr>
        <w:t>У</w:t>
      </w:r>
      <w:r w:rsidRPr="00CE0A20">
        <w:rPr>
          <w:color w:val="000000" w:themeColor="text1"/>
          <w:sz w:val="28"/>
          <w:szCs w:val="28"/>
          <w:lang w:val="uk-UA"/>
        </w:rPr>
        <w:t>перше метод був запропонований С.</w:t>
      </w:r>
      <w:r w:rsidR="004324B4" w:rsidRPr="00CE0A20">
        <w:rPr>
          <w:color w:val="000000" w:themeColor="text1"/>
          <w:sz w:val="28"/>
          <w:szCs w:val="28"/>
          <w:lang w:val="uk-UA"/>
        </w:rPr>
        <w:t> </w:t>
      </w:r>
      <w:r w:rsidRPr="00CE0A20">
        <w:rPr>
          <w:color w:val="000000" w:themeColor="text1"/>
          <w:sz w:val="28"/>
          <w:szCs w:val="28"/>
          <w:lang w:val="uk-UA"/>
        </w:rPr>
        <w:t xml:space="preserve">Вороновим </w:t>
      </w:r>
      <w:r w:rsidR="004324B4" w:rsidRPr="00CE0A20">
        <w:rPr>
          <w:color w:val="000000" w:themeColor="text1"/>
          <w:sz w:val="28"/>
          <w:szCs w:val="28"/>
          <w:lang w:val="uk-UA"/>
        </w:rPr>
        <w:t>у</w:t>
      </w:r>
      <w:r w:rsidRPr="00CE0A20">
        <w:rPr>
          <w:color w:val="000000" w:themeColor="text1"/>
          <w:sz w:val="28"/>
          <w:szCs w:val="28"/>
          <w:lang w:val="uk-UA"/>
        </w:rPr>
        <w:t xml:space="preserve"> 20-і роки минулого століття. В основі його лежать унікальні властивості біологічних тканин ембріона: прискорена проліферація, низька антигенність, велика кількість біологічно активних речовин, імунокомпетентних клітин [</w:t>
      </w:r>
      <w:r w:rsidRPr="00CE0A20">
        <w:rPr>
          <w:rStyle w:val="25"/>
          <w:rFonts w:eastAsia="Calibri"/>
          <w:color w:val="000000" w:themeColor="text1"/>
          <w:sz w:val="28"/>
          <w:szCs w:val="28"/>
        </w:rPr>
        <w:t>55</w:t>
      </w:r>
      <w:r w:rsidRPr="00CE0A20">
        <w:rPr>
          <w:color w:val="000000" w:themeColor="text1"/>
          <w:sz w:val="28"/>
          <w:szCs w:val="28"/>
          <w:lang w:val="uk-UA"/>
        </w:rPr>
        <w:t>]. На думку академіка В. І. Грищенк</w:t>
      </w:r>
      <w:r w:rsidR="004324B4" w:rsidRPr="00CE0A20">
        <w:rPr>
          <w:color w:val="000000" w:themeColor="text1"/>
          <w:sz w:val="28"/>
          <w:szCs w:val="28"/>
          <w:lang w:val="uk-UA"/>
        </w:rPr>
        <w:t>а</w:t>
      </w:r>
      <w:r w:rsidRPr="00CE0A20">
        <w:rPr>
          <w:color w:val="000000" w:themeColor="text1"/>
          <w:sz w:val="28"/>
          <w:szCs w:val="28"/>
          <w:lang w:val="uk-UA"/>
        </w:rPr>
        <w:t>, тканини ембріо-, фетоплацентарного комплексу мають особливі властивості – слаб</w:t>
      </w:r>
      <w:r w:rsidR="004324B4" w:rsidRPr="00CE0A20">
        <w:rPr>
          <w:color w:val="000000" w:themeColor="text1"/>
          <w:sz w:val="28"/>
          <w:szCs w:val="28"/>
          <w:lang w:val="uk-UA"/>
        </w:rPr>
        <w:t>к</w:t>
      </w:r>
      <w:r w:rsidRPr="00CE0A20">
        <w:rPr>
          <w:color w:val="000000" w:themeColor="text1"/>
          <w:sz w:val="28"/>
          <w:szCs w:val="28"/>
          <w:lang w:val="uk-UA"/>
        </w:rPr>
        <w:t xml:space="preserve">о експресувати комплекси головних антигенів гістосумісності, містять в основному бластні стовбурові клітини, що </w:t>
      </w:r>
      <w:r w:rsidR="004324B4" w:rsidRPr="00CE0A20">
        <w:rPr>
          <w:color w:val="000000" w:themeColor="text1"/>
          <w:sz w:val="28"/>
          <w:szCs w:val="28"/>
          <w:lang w:val="uk-UA"/>
        </w:rPr>
        <w:t>ма</w:t>
      </w:r>
      <w:r w:rsidRPr="00CE0A20">
        <w:rPr>
          <w:color w:val="000000" w:themeColor="text1"/>
          <w:sz w:val="28"/>
          <w:szCs w:val="28"/>
          <w:lang w:val="uk-UA"/>
        </w:rPr>
        <w:t>ють високи</w:t>
      </w:r>
      <w:r w:rsidR="004324B4" w:rsidRPr="00CE0A20">
        <w:rPr>
          <w:color w:val="000000" w:themeColor="text1"/>
          <w:sz w:val="28"/>
          <w:szCs w:val="28"/>
          <w:lang w:val="uk-UA"/>
        </w:rPr>
        <w:t>й</w:t>
      </w:r>
      <w:r w:rsidRPr="00CE0A20">
        <w:rPr>
          <w:color w:val="000000" w:themeColor="text1"/>
          <w:sz w:val="28"/>
          <w:szCs w:val="28"/>
          <w:lang w:val="uk-UA"/>
        </w:rPr>
        <w:t xml:space="preserve"> проліферативним і трансплантаційни</w:t>
      </w:r>
      <w:r w:rsidR="004324B4" w:rsidRPr="00CE0A20">
        <w:rPr>
          <w:color w:val="000000" w:themeColor="text1"/>
          <w:sz w:val="28"/>
          <w:szCs w:val="28"/>
          <w:lang w:val="uk-UA"/>
        </w:rPr>
        <w:t>й</w:t>
      </w:r>
      <w:r w:rsidRPr="00CE0A20">
        <w:rPr>
          <w:color w:val="000000" w:themeColor="text1"/>
          <w:sz w:val="28"/>
          <w:szCs w:val="28"/>
          <w:lang w:val="uk-UA"/>
        </w:rPr>
        <w:t xml:space="preserve"> потенціал [</w:t>
      </w:r>
      <w:r w:rsidRPr="00CE0A20">
        <w:rPr>
          <w:rStyle w:val="25"/>
          <w:rFonts w:eastAsia="Calibri"/>
          <w:color w:val="000000" w:themeColor="text1"/>
          <w:sz w:val="28"/>
          <w:szCs w:val="28"/>
        </w:rPr>
        <w:t>55</w:t>
      </w:r>
      <w:r w:rsidRPr="00CE0A20">
        <w:rPr>
          <w:color w:val="000000" w:themeColor="text1"/>
          <w:sz w:val="28"/>
          <w:szCs w:val="28"/>
          <w:lang w:val="uk-UA"/>
        </w:rPr>
        <w:t xml:space="preserve">]. З цією метою використовують різні тканини, отримані від ембріона </w:t>
      </w:r>
      <w:r w:rsidR="004324B4" w:rsidRPr="00CE0A20">
        <w:rPr>
          <w:color w:val="000000" w:themeColor="text1"/>
          <w:sz w:val="28"/>
          <w:szCs w:val="28"/>
          <w:lang w:val="uk-UA"/>
        </w:rPr>
        <w:t>й</w:t>
      </w:r>
      <w:r w:rsidRPr="00CE0A20">
        <w:rPr>
          <w:color w:val="000000" w:themeColor="text1"/>
          <w:sz w:val="28"/>
          <w:szCs w:val="28"/>
          <w:lang w:val="uk-UA"/>
        </w:rPr>
        <w:t xml:space="preserve"> плоду: тимус, яєчники, яєчка, кордову кров та ін. Впровад</w:t>
      </w:r>
      <w:r w:rsidRPr="00CE0A20">
        <w:rPr>
          <w:color w:val="000000" w:themeColor="text1"/>
          <w:sz w:val="28"/>
          <w:szCs w:val="28"/>
          <w:lang w:val="uk-UA"/>
        </w:rPr>
        <w:softHyphen/>
        <w:t xml:space="preserve">ження в медичну практику трансплантації живих клітин </w:t>
      </w:r>
      <w:r w:rsidR="004324B4" w:rsidRPr="00CE0A20">
        <w:rPr>
          <w:color w:val="000000" w:themeColor="text1"/>
          <w:sz w:val="28"/>
          <w:szCs w:val="28"/>
          <w:lang w:val="uk-UA"/>
        </w:rPr>
        <w:t>потребува</w:t>
      </w:r>
      <w:r w:rsidRPr="00CE0A20">
        <w:rPr>
          <w:color w:val="000000" w:themeColor="text1"/>
          <w:sz w:val="28"/>
          <w:szCs w:val="28"/>
          <w:lang w:val="uk-UA"/>
        </w:rPr>
        <w:t>ло розроб</w:t>
      </w:r>
      <w:r w:rsidR="004324B4" w:rsidRPr="00CE0A20">
        <w:rPr>
          <w:color w:val="000000" w:themeColor="text1"/>
          <w:sz w:val="28"/>
          <w:szCs w:val="28"/>
          <w:lang w:val="uk-UA"/>
        </w:rPr>
        <w:t>лення</w:t>
      </w:r>
      <w:r w:rsidRPr="00CE0A20">
        <w:rPr>
          <w:color w:val="000000" w:themeColor="text1"/>
          <w:sz w:val="28"/>
          <w:szCs w:val="28"/>
          <w:lang w:val="uk-UA"/>
        </w:rPr>
        <w:t xml:space="preserve"> способів консервації, створення банків для тривалого зберігання трансплантаційного матеріалу [</w:t>
      </w:r>
      <w:r w:rsidRPr="00CE0A20">
        <w:rPr>
          <w:rStyle w:val="ab"/>
          <w:rFonts w:eastAsia="Arial"/>
          <w:i w:val="0"/>
          <w:color w:val="000000" w:themeColor="text1"/>
          <w:sz w:val="28"/>
          <w:szCs w:val="28"/>
          <w:lang w:val="uk-UA"/>
        </w:rPr>
        <w:t>171, 294</w:t>
      </w:r>
      <w:r w:rsidRPr="00CE0A20">
        <w:rPr>
          <w:color w:val="000000" w:themeColor="text1"/>
          <w:sz w:val="28"/>
          <w:szCs w:val="28"/>
          <w:lang w:val="uk-UA"/>
        </w:rPr>
        <w:t>].</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Однак застосування фетальних тканин зіткнулося з багатьма соціально-етичним проблемами. У більшості країн Європи з сильним католицьким впливом дані методи не прийнятні, більш</w:t>
      </w:r>
      <w:r w:rsidR="004324B4" w:rsidRPr="00CE0A20">
        <w:rPr>
          <w:rFonts w:ascii="Times New Roman" w:hAnsi="Times New Roman" w:cs="Times New Roman"/>
          <w:color w:val="000000" w:themeColor="text1"/>
          <w:sz w:val="28"/>
          <w:szCs w:val="28"/>
          <w:lang w:val="uk-UA"/>
        </w:rPr>
        <w:t>е</w:t>
      </w:r>
      <w:r w:rsidRPr="00CE0A20">
        <w:rPr>
          <w:rFonts w:ascii="Times New Roman" w:hAnsi="Times New Roman" w:cs="Times New Roman"/>
          <w:color w:val="000000" w:themeColor="text1"/>
          <w:sz w:val="28"/>
          <w:szCs w:val="28"/>
          <w:lang w:val="uk-UA"/>
        </w:rPr>
        <w:t xml:space="preserve"> того, заборонені. Неоднозначна реакція на широке використання ембріональних тканин і у вітчизняній науці. </w:t>
      </w:r>
      <w:r w:rsidR="004324B4" w:rsidRPr="00CE0A20">
        <w:rPr>
          <w:rFonts w:ascii="Times New Roman" w:hAnsi="Times New Roman" w:cs="Times New Roman"/>
          <w:color w:val="000000" w:themeColor="text1"/>
          <w:sz w:val="28"/>
          <w:szCs w:val="28"/>
          <w:lang w:val="uk-UA"/>
        </w:rPr>
        <w:t>До того</w:t>
      </w:r>
      <w:r w:rsidRPr="00CE0A20">
        <w:rPr>
          <w:rFonts w:ascii="Times New Roman" w:hAnsi="Times New Roman" w:cs="Times New Roman"/>
          <w:color w:val="000000" w:themeColor="text1"/>
          <w:sz w:val="28"/>
          <w:szCs w:val="28"/>
          <w:lang w:val="uk-UA"/>
        </w:rPr>
        <w:t xml:space="preserve"> ж</w:t>
      </w:r>
      <w:r w:rsidR="004324B4" w:rsidRPr="00CE0A20">
        <w:rPr>
          <w:rFonts w:ascii="Times New Roman" w:hAnsi="Times New Roman" w:cs="Times New Roman"/>
          <w:color w:val="000000" w:themeColor="text1"/>
          <w:sz w:val="28"/>
          <w:szCs w:val="28"/>
          <w:lang w:val="uk-UA"/>
        </w:rPr>
        <w:t>, воно</w:t>
      </w:r>
      <w:r w:rsidRPr="00CE0A20">
        <w:rPr>
          <w:rFonts w:ascii="Times New Roman" w:hAnsi="Times New Roman" w:cs="Times New Roman"/>
          <w:color w:val="000000" w:themeColor="text1"/>
          <w:sz w:val="28"/>
          <w:szCs w:val="28"/>
          <w:lang w:val="uk-UA"/>
        </w:rPr>
        <w:t xml:space="preserve"> є дуже близьким до клонування, ставлення до якого в усьому світі дуже не</w:t>
      </w:r>
      <w:r w:rsidR="004324B4"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однозначн</w:t>
      </w:r>
      <w:r w:rsidR="004324B4" w:rsidRPr="00CE0A20">
        <w:rPr>
          <w:rFonts w:ascii="Times New Roman" w:hAnsi="Times New Roman" w:cs="Times New Roman"/>
          <w:color w:val="000000" w:themeColor="text1"/>
          <w:sz w:val="28"/>
          <w:szCs w:val="28"/>
          <w:lang w:val="uk-UA"/>
        </w:rPr>
        <w:t>е</w:t>
      </w:r>
      <w:r w:rsidRPr="00CE0A20">
        <w:rPr>
          <w:rFonts w:ascii="Times New Roman" w:hAnsi="Times New Roman" w:cs="Times New Roman"/>
          <w:color w:val="000000" w:themeColor="text1"/>
          <w:sz w:val="28"/>
          <w:szCs w:val="28"/>
          <w:lang w:val="uk-UA"/>
        </w:rPr>
        <w:t xml:space="preserve"> [</w:t>
      </w:r>
      <w:r w:rsidRPr="00CE0A20">
        <w:rPr>
          <w:rStyle w:val="25"/>
          <w:rFonts w:cs="Times New Roman"/>
          <w:iCs/>
          <w:color w:val="000000" w:themeColor="text1"/>
          <w:sz w:val="28"/>
          <w:szCs w:val="28"/>
        </w:rPr>
        <w:t>119</w:t>
      </w:r>
      <w:r w:rsidRPr="00CE0A20">
        <w:rPr>
          <w:rFonts w:ascii="Times New Roman" w:hAnsi="Times New Roman" w:cs="Times New Roman"/>
          <w:color w:val="000000" w:themeColor="text1"/>
          <w:sz w:val="28"/>
          <w:szCs w:val="28"/>
          <w:lang w:val="uk-UA"/>
        </w:rPr>
        <w:t>].</w:t>
      </w:r>
    </w:p>
    <w:p w:rsidR="00EB6EBC" w:rsidRPr="00CE0A20" w:rsidRDefault="00EB6EBC" w:rsidP="00EB6EBC">
      <w:pPr>
        <w:pStyle w:val="41"/>
        <w:spacing w:line="360" w:lineRule="auto"/>
        <w:ind w:firstLine="709"/>
        <w:rPr>
          <w:color w:val="000000" w:themeColor="text1"/>
          <w:sz w:val="28"/>
          <w:szCs w:val="28"/>
          <w:lang w:val="uk-UA"/>
        </w:rPr>
      </w:pPr>
      <w:r w:rsidRPr="00CE0A20">
        <w:rPr>
          <w:color w:val="000000" w:themeColor="text1"/>
          <w:sz w:val="28"/>
          <w:szCs w:val="28"/>
          <w:lang w:val="uk-UA"/>
        </w:rPr>
        <w:t xml:space="preserve">Певні переваги має міжвидова трансплантація (ксенотрансплантація). </w:t>
      </w:r>
      <w:r w:rsidR="00983B9A" w:rsidRPr="00CE0A20">
        <w:rPr>
          <w:color w:val="000000" w:themeColor="text1"/>
          <w:sz w:val="28"/>
          <w:szCs w:val="28"/>
          <w:lang w:val="uk-UA"/>
        </w:rPr>
        <w:t>За</w:t>
      </w:r>
      <w:r w:rsidRPr="00CE0A20">
        <w:rPr>
          <w:color w:val="000000" w:themeColor="text1"/>
          <w:sz w:val="28"/>
          <w:szCs w:val="28"/>
          <w:lang w:val="uk-UA"/>
        </w:rPr>
        <w:t xml:space="preserve"> наявності спорідненості антигенного </w:t>
      </w:r>
      <w:r w:rsidR="00983B9A" w:rsidRPr="00CE0A20">
        <w:rPr>
          <w:color w:val="000000" w:themeColor="text1"/>
          <w:sz w:val="28"/>
          <w:szCs w:val="28"/>
          <w:lang w:val="uk-UA"/>
        </w:rPr>
        <w:t>й</w:t>
      </w:r>
      <w:r w:rsidRPr="00CE0A20">
        <w:rPr>
          <w:color w:val="000000" w:themeColor="text1"/>
          <w:sz w:val="28"/>
          <w:szCs w:val="28"/>
          <w:lang w:val="uk-UA"/>
        </w:rPr>
        <w:t xml:space="preserve"> білкового спектру тканин і клітин організму людини </w:t>
      </w:r>
      <w:r w:rsidR="00983B9A" w:rsidRPr="00CE0A20">
        <w:rPr>
          <w:color w:val="000000" w:themeColor="text1"/>
          <w:sz w:val="28"/>
          <w:szCs w:val="28"/>
          <w:lang w:val="uk-UA"/>
        </w:rPr>
        <w:t>та</w:t>
      </w:r>
      <w:r w:rsidRPr="00CE0A20">
        <w:rPr>
          <w:color w:val="000000" w:themeColor="text1"/>
          <w:sz w:val="28"/>
          <w:szCs w:val="28"/>
          <w:lang w:val="uk-UA"/>
        </w:rPr>
        <w:t xml:space="preserve"> деяких тварин стає можливим використання культури клітин і тканин як донорських [</w:t>
      </w:r>
      <w:r w:rsidRPr="00CE0A20">
        <w:rPr>
          <w:rStyle w:val="210pt0"/>
          <w:rFonts w:eastAsia="Arial"/>
          <w:i w:val="0"/>
          <w:color w:val="000000" w:themeColor="text1"/>
          <w:sz w:val="28"/>
          <w:szCs w:val="28"/>
          <w:lang w:val="uk-UA"/>
        </w:rPr>
        <w:t>65</w:t>
      </w:r>
      <w:r w:rsidRPr="00CE0A20">
        <w:rPr>
          <w:color w:val="000000" w:themeColor="text1"/>
          <w:sz w:val="28"/>
          <w:szCs w:val="28"/>
          <w:lang w:val="uk-UA"/>
        </w:rPr>
        <w:t xml:space="preserve">]. У кардіохірургії вже більше 30 років успішно використовуються клапани серця свині, а в інших галузях хірургії –  близько сотні видів сполучнотканинних утворень свинячого </w:t>
      </w:r>
      <w:r w:rsidR="00983B9A" w:rsidRPr="00CE0A20">
        <w:rPr>
          <w:color w:val="000000" w:themeColor="text1"/>
          <w:sz w:val="28"/>
          <w:szCs w:val="28"/>
          <w:lang w:val="uk-UA"/>
        </w:rPr>
        <w:t>й</w:t>
      </w:r>
      <w:r w:rsidRPr="00CE0A20">
        <w:rPr>
          <w:color w:val="000000" w:themeColor="text1"/>
          <w:sz w:val="28"/>
          <w:szCs w:val="28"/>
          <w:lang w:val="uk-UA"/>
        </w:rPr>
        <w:t xml:space="preserve"> бичачого походження. В Україні в клініці застосована ксенокультура ендокринних клітин [</w:t>
      </w:r>
      <w:r w:rsidRPr="00CE0A20">
        <w:rPr>
          <w:rStyle w:val="210pt0"/>
          <w:rFonts w:eastAsia="Arial"/>
          <w:i w:val="0"/>
          <w:color w:val="000000" w:themeColor="text1"/>
          <w:sz w:val="28"/>
          <w:szCs w:val="28"/>
          <w:lang w:val="uk-UA"/>
        </w:rPr>
        <w:t>123</w:t>
      </w:r>
      <w:r w:rsidRPr="00CE0A20">
        <w:rPr>
          <w:color w:val="000000" w:themeColor="text1"/>
          <w:sz w:val="28"/>
          <w:szCs w:val="28"/>
          <w:lang w:val="uk-UA"/>
        </w:rPr>
        <w:t xml:space="preserve">], виготовляються і пересаджуються людині різноманітні клітинні </w:t>
      </w:r>
      <w:r w:rsidR="00983B9A" w:rsidRPr="00CE0A20">
        <w:rPr>
          <w:color w:val="000000" w:themeColor="text1"/>
          <w:sz w:val="28"/>
          <w:szCs w:val="28"/>
          <w:lang w:val="uk-UA"/>
        </w:rPr>
        <w:t>й</w:t>
      </w:r>
      <w:r w:rsidRPr="00CE0A20">
        <w:rPr>
          <w:color w:val="000000" w:themeColor="text1"/>
          <w:sz w:val="28"/>
          <w:szCs w:val="28"/>
          <w:lang w:val="uk-UA"/>
        </w:rPr>
        <w:t xml:space="preserve"> тканинні матеріали тваринного походження. Використовують клітини острівців Лангерганса, клітини </w:t>
      </w:r>
      <w:r w:rsidR="00983B9A" w:rsidRPr="00CE0A20">
        <w:rPr>
          <w:color w:val="000000" w:themeColor="text1"/>
          <w:sz w:val="28"/>
          <w:szCs w:val="28"/>
          <w:lang w:val="uk-UA"/>
        </w:rPr>
        <w:t>й</w:t>
      </w:r>
      <w:r w:rsidRPr="00CE0A20">
        <w:rPr>
          <w:color w:val="000000" w:themeColor="text1"/>
          <w:sz w:val="28"/>
          <w:szCs w:val="28"/>
          <w:lang w:val="uk-UA"/>
        </w:rPr>
        <w:t xml:space="preserve"> тканини паращито</w:t>
      </w:r>
      <w:r w:rsidR="00983B9A" w:rsidRPr="00CE0A20">
        <w:rPr>
          <w:color w:val="000000" w:themeColor="text1"/>
          <w:sz w:val="28"/>
          <w:szCs w:val="28"/>
          <w:lang w:val="uk-UA"/>
        </w:rPr>
        <w:t>подібн</w:t>
      </w:r>
      <w:r w:rsidRPr="00CE0A20">
        <w:rPr>
          <w:color w:val="000000" w:themeColor="text1"/>
          <w:sz w:val="28"/>
          <w:szCs w:val="28"/>
          <w:lang w:val="uk-UA"/>
        </w:rPr>
        <w:t>ої і щито</w:t>
      </w:r>
      <w:r w:rsidR="00983B9A" w:rsidRPr="00CE0A20">
        <w:rPr>
          <w:color w:val="000000" w:themeColor="text1"/>
          <w:sz w:val="28"/>
          <w:szCs w:val="28"/>
          <w:lang w:val="uk-UA"/>
        </w:rPr>
        <w:t>подібн</w:t>
      </w:r>
      <w:r w:rsidRPr="00CE0A20">
        <w:rPr>
          <w:color w:val="000000" w:themeColor="text1"/>
          <w:sz w:val="28"/>
          <w:szCs w:val="28"/>
          <w:lang w:val="uk-UA"/>
        </w:rPr>
        <w:t>ої залоз, сім'яників, гепатоцити, хрящі, м'язи та ін. Але цей метод також має багато недоліків, пов’язаних з антигенною сумісністю трансплант</w:t>
      </w:r>
      <w:r w:rsidR="00983B9A" w:rsidRPr="00CE0A20">
        <w:rPr>
          <w:color w:val="000000" w:themeColor="text1"/>
          <w:sz w:val="28"/>
          <w:szCs w:val="28"/>
          <w:lang w:val="uk-UA"/>
        </w:rPr>
        <w:t>ован</w:t>
      </w:r>
      <w:r w:rsidRPr="00CE0A20">
        <w:rPr>
          <w:color w:val="000000" w:themeColor="text1"/>
          <w:sz w:val="28"/>
          <w:szCs w:val="28"/>
          <w:lang w:val="uk-UA"/>
        </w:rPr>
        <w:t>их тканин.</w:t>
      </w:r>
    </w:p>
    <w:p w:rsidR="00EB6EBC" w:rsidRPr="00CE0A20" w:rsidRDefault="00EB6EBC" w:rsidP="00EB6EBC">
      <w:pPr>
        <w:pStyle w:val="center"/>
        <w:spacing w:before="0" w:beforeAutospacing="0" w:after="0" w:afterAutospacing="0" w:line="360" w:lineRule="auto"/>
        <w:ind w:firstLine="709"/>
        <w:jc w:val="both"/>
        <w:rPr>
          <w:color w:val="000000" w:themeColor="text1"/>
          <w:sz w:val="28"/>
          <w:szCs w:val="28"/>
          <w:lang w:val="uk-UA"/>
        </w:rPr>
      </w:pPr>
      <w:r w:rsidRPr="00CE0A20">
        <w:rPr>
          <w:color w:val="000000" w:themeColor="text1"/>
          <w:sz w:val="28"/>
          <w:szCs w:val="28"/>
          <w:lang w:val="uk-UA"/>
        </w:rPr>
        <w:t xml:space="preserve">Слід згадати про метод відновлення фертильності чоловіків, </w:t>
      </w:r>
      <w:r w:rsidR="00983B9A" w:rsidRPr="00CE0A20">
        <w:rPr>
          <w:color w:val="000000" w:themeColor="text1"/>
          <w:sz w:val="28"/>
          <w:szCs w:val="28"/>
          <w:lang w:val="uk-UA"/>
        </w:rPr>
        <w:t xml:space="preserve">який базується, </w:t>
      </w:r>
      <w:r w:rsidRPr="00CE0A20">
        <w:rPr>
          <w:color w:val="000000" w:themeColor="text1"/>
          <w:sz w:val="28"/>
          <w:szCs w:val="28"/>
          <w:lang w:val="uk-UA"/>
        </w:rPr>
        <w:t>на використанні культивованих стромальних статевих клітин. Ще наприкінці минулого сторіччя було встановлено, що після ін’єкції культивованих сперматогоній в яєчко реципієнта вони розподіляються між сім’яними канальцями, частина їх досягає базальної мембрани, де в</w:t>
      </w:r>
      <w:r w:rsidR="00983B9A" w:rsidRPr="00CE0A20">
        <w:rPr>
          <w:color w:val="000000" w:themeColor="text1"/>
          <w:sz w:val="28"/>
          <w:szCs w:val="28"/>
          <w:lang w:val="uk-UA"/>
        </w:rPr>
        <w:t>о</w:t>
      </w:r>
      <w:r w:rsidRPr="00CE0A20">
        <w:rPr>
          <w:color w:val="000000" w:themeColor="text1"/>
          <w:sz w:val="28"/>
          <w:szCs w:val="28"/>
          <w:lang w:val="uk-UA"/>
        </w:rPr>
        <w:t>ни створюють моношар сперматогоній, формуючи колонії сперматогенезу протягом 4 тиж</w:t>
      </w:r>
      <w:r w:rsidR="00983B9A" w:rsidRPr="00CE0A20">
        <w:rPr>
          <w:color w:val="000000" w:themeColor="text1"/>
          <w:sz w:val="28"/>
          <w:szCs w:val="28"/>
          <w:lang w:val="uk-UA"/>
        </w:rPr>
        <w:t>нів</w:t>
      </w:r>
      <w:r w:rsidRPr="00CE0A20">
        <w:rPr>
          <w:color w:val="000000" w:themeColor="text1"/>
          <w:sz w:val="28"/>
          <w:szCs w:val="28"/>
          <w:lang w:val="uk-UA"/>
        </w:rPr>
        <w:t xml:space="preserve"> після трансплантації [295]. Можливості клітинної терапії в лікуванні інфертильності чоловіків активно вивчаються в останні десятиріччя. З цією метою застосовують алогенні, ксеногенні та сингенні стовбурові клітин</w:t>
      </w:r>
      <w:r w:rsidR="009A578B" w:rsidRPr="00CE0A20">
        <w:rPr>
          <w:color w:val="000000" w:themeColor="text1"/>
          <w:sz w:val="28"/>
          <w:szCs w:val="28"/>
          <w:lang w:val="uk-UA"/>
        </w:rPr>
        <w:t>и</w:t>
      </w:r>
      <w:r w:rsidRPr="00CE0A20">
        <w:rPr>
          <w:color w:val="000000" w:themeColor="text1"/>
          <w:sz w:val="28"/>
          <w:szCs w:val="28"/>
          <w:lang w:val="uk-UA"/>
        </w:rPr>
        <w:t xml:space="preserve"> [102, 103]. За результатами експериментальних досліджень T. Shinohara  та співавт. (2003) в</w:t>
      </w:r>
      <w:r w:rsidR="009A578B" w:rsidRPr="00CE0A20">
        <w:rPr>
          <w:color w:val="000000" w:themeColor="text1"/>
          <w:sz w:val="28"/>
          <w:szCs w:val="28"/>
          <w:lang w:val="uk-UA"/>
        </w:rPr>
        <w:t>изначе</w:t>
      </w:r>
      <w:r w:rsidRPr="00CE0A20">
        <w:rPr>
          <w:color w:val="000000" w:themeColor="text1"/>
          <w:sz w:val="28"/>
          <w:szCs w:val="28"/>
          <w:lang w:val="uk-UA"/>
        </w:rPr>
        <w:t xml:space="preserve">но, що при інтратестикулярній трансплантації  культури стовбурових клітин та клітин Сертолі формувалися об’єкти за структурою подібні новим сім’яним канальцям. Автори припускають, що трансплантація  клітин Сертолі викликає проліферацію сім’яних канальців та посилення сперматогенезу. Причому більш виразний ефект отримано при застосуванні ембріональних клітин [328]. </w:t>
      </w:r>
    </w:p>
    <w:p w:rsidR="00EB6EBC" w:rsidRPr="00CE0A20" w:rsidRDefault="00EB6EBC"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Активно вивчається можливість культивування та трансплантації тестостерон-продукуючих клітин Лейдіга. </w:t>
      </w:r>
      <w:r w:rsidRPr="00CE0A20">
        <w:rPr>
          <w:rFonts w:ascii="Times New Roman" w:hAnsi="Times New Roman" w:cs="Times New Roman"/>
          <w:bCs/>
          <w:color w:val="000000" w:themeColor="text1"/>
          <w:sz w:val="28"/>
          <w:szCs w:val="28"/>
          <w:lang w:val="uk-UA"/>
        </w:rPr>
        <w:t xml:space="preserve">Зокрема, було розроблено способи виділення </w:t>
      </w:r>
      <w:r w:rsidR="009A578B" w:rsidRPr="00CE0A20">
        <w:rPr>
          <w:rFonts w:ascii="Times New Roman" w:hAnsi="Times New Roman" w:cs="Times New Roman"/>
          <w:bCs/>
          <w:color w:val="000000" w:themeColor="text1"/>
          <w:sz w:val="28"/>
          <w:szCs w:val="28"/>
          <w:lang w:val="uk-UA"/>
        </w:rPr>
        <w:t>й</w:t>
      </w:r>
      <w:r w:rsidRPr="00CE0A20">
        <w:rPr>
          <w:rFonts w:ascii="Times New Roman" w:hAnsi="Times New Roman" w:cs="Times New Roman"/>
          <w:bCs/>
          <w:color w:val="000000" w:themeColor="text1"/>
          <w:sz w:val="28"/>
          <w:szCs w:val="28"/>
          <w:lang w:val="uk-UA"/>
        </w:rPr>
        <w:t xml:space="preserve"> культивування життєздатних, проліферуючих, функціонально активних клітин Лейдіга з ембріональних клітин тварин або людини. Ці клітини автори в експерименті трансплантували під білкову оболонку яєчок реципієнтів, що сприяло нормалізації їх</w:t>
      </w:r>
      <w:r w:rsidR="009A578B" w:rsidRPr="00CE0A20">
        <w:rPr>
          <w:rFonts w:ascii="Times New Roman" w:hAnsi="Times New Roman" w:cs="Times New Roman"/>
          <w:bCs/>
          <w:color w:val="000000" w:themeColor="text1"/>
          <w:sz w:val="28"/>
          <w:szCs w:val="28"/>
          <w:lang w:val="uk-UA"/>
        </w:rPr>
        <w:t>ньої</w:t>
      </w:r>
      <w:r w:rsidRPr="00CE0A20">
        <w:rPr>
          <w:rFonts w:ascii="Times New Roman" w:hAnsi="Times New Roman" w:cs="Times New Roman"/>
          <w:bCs/>
          <w:color w:val="000000" w:themeColor="text1"/>
          <w:sz w:val="28"/>
          <w:szCs w:val="28"/>
          <w:lang w:val="uk-UA"/>
        </w:rPr>
        <w:t xml:space="preserve"> статевої функції. Клінічна апробація виявила ефективність цього методу в лікуванні тестостерон-дефіцитних станів [66; 67].</w:t>
      </w:r>
    </w:p>
    <w:p w:rsidR="00EB6EBC" w:rsidRPr="00CE0A20" w:rsidRDefault="009A578B" w:rsidP="00EB6EBC">
      <w:pPr>
        <w:shd w:val="clear" w:color="auto" w:fill="FFFFFF"/>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У</w:t>
      </w:r>
      <w:r w:rsidR="00EB6EBC" w:rsidRPr="00CE0A20">
        <w:rPr>
          <w:rFonts w:ascii="Times New Roman" w:eastAsia="Times New Roman" w:hAnsi="Times New Roman" w:cs="Times New Roman"/>
          <w:color w:val="000000" w:themeColor="text1"/>
          <w:sz w:val="28"/>
          <w:szCs w:val="28"/>
          <w:lang w:val="uk-UA"/>
        </w:rPr>
        <w:t xml:space="preserve"> нещодавній статті H. Arora та співавт. (2017) повідомляється про досвід успішного виділення з біоптату яєчка та подальш</w:t>
      </w:r>
      <w:r w:rsidRPr="00CE0A20">
        <w:rPr>
          <w:rFonts w:ascii="Times New Roman" w:eastAsia="Times New Roman" w:hAnsi="Times New Roman" w:cs="Times New Roman"/>
          <w:color w:val="000000" w:themeColor="text1"/>
          <w:sz w:val="28"/>
          <w:szCs w:val="28"/>
          <w:lang w:val="uk-UA"/>
        </w:rPr>
        <w:t>ого</w:t>
      </w:r>
      <w:r w:rsidR="00EB6EBC" w:rsidRPr="00CE0A20">
        <w:rPr>
          <w:rFonts w:ascii="Times New Roman" w:eastAsia="Times New Roman" w:hAnsi="Times New Roman" w:cs="Times New Roman"/>
          <w:color w:val="000000" w:themeColor="text1"/>
          <w:sz w:val="28"/>
          <w:szCs w:val="28"/>
          <w:lang w:val="uk-UA"/>
        </w:rPr>
        <w:t xml:space="preserve"> культивування клітин Лейд</w:t>
      </w:r>
      <w:r w:rsidRPr="00CE0A20">
        <w:rPr>
          <w:rFonts w:ascii="Times New Roman" w:eastAsia="Times New Roman" w:hAnsi="Times New Roman" w:cs="Times New Roman"/>
          <w:color w:val="000000" w:themeColor="text1"/>
          <w:sz w:val="28"/>
          <w:szCs w:val="28"/>
          <w:lang w:val="uk-UA"/>
        </w:rPr>
        <w:t>і</w:t>
      </w:r>
      <w:r w:rsidR="00EB6EBC" w:rsidRPr="00CE0A20">
        <w:rPr>
          <w:rFonts w:ascii="Times New Roman" w:eastAsia="Times New Roman" w:hAnsi="Times New Roman" w:cs="Times New Roman"/>
          <w:color w:val="000000" w:themeColor="text1"/>
          <w:sz w:val="28"/>
          <w:szCs w:val="28"/>
          <w:lang w:val="uk-UA"/>
        </w:rPr>
        <w:t xml:space="preserve">га [146]. </w:t>
      </w:r>
      <w:r w:rsidR="00EB6EBC" w:rsidRPr="00CE0A20">
        <w:rPr>
          <w:rFonts w:ascii="Times New Roman" w:hAnsi="Times New Roman" w:cs="Times New Roman"/>
          <w:color w:val="000000" w:themeColor="text1"/>
          <w:sz w:val="28"/>
          <w:szCs w:val="28"/>
          <w:lang w:val="uk-UA"/>
        </w:rPr>
        <w:t>Цікавий підхід був застосований китайськими дослідниками. Для лікування гіпогонадизму вони використовували клітини Лейдіга, які трансплантували безпосередньо в сім’яники експериментальних тварин. При цьому клітини Лейдіга отримували  шляхом прямої конверсії з фібробластів шкіри за допомогою лент</w:t>
      </w:r>
      <w:r w:rsidR="003A4B41" w:rsidRPr="00CE0A20">
        <w:rPr>
          <w:rFonts w:ascii="Times New Roman" w:hAnsi="Times New Roman" w:cs="Times New Roman"/>
          <w:color w:val="000000" w:themeColor="text1"/>
          <w:sz w:val="28"/>
          <w:szCs w:val="28"/>
          <w:lang w:val="uk-UA"/>
        </w:rPr>
        <w:t>и</w:t>
      </w:r>
      <w:r w:rsidR="00EB6EBC" w:rsidRPr="00CE0A20">
        <w:rPr>
          <w:rFonts w:ascii="Times New Roman" w:hAnsi="Times New Roman" w:cs="Times New Roman"/>
          <w:color w:val="000000" w:themeColor="text1"/>
          <w:sz w:val="28"/>
          <w:szCs w:val="28"/>
          <w:lang w:val="uk-UA"/>
        </w:rPr>
        <w:t>вірусних векторів. Отримані клітини мали нормальну генну активність та були здатні продукувати тестостерон. При трансплантації в сім’яні залози експериментальних тварин з гіпогонадизмом ці клітини приживалися та відновлювали нормальні рівні тестостерону [372].</w:t>
      </w:r>
    </w:p>
    <w:p w:rsidR="00EB6EBC" w:rsidRPr="00CE0A20" w:rsidRDefault="00EB6EBC" w:rsidP="00EB6EBC">
      <w:pPr>
        <w:pStyle w:val="41"/>
        <w:spacing w:line="360" w:lineRule="auto"/>
        <w:ind w:firstLine="709"/>
        <w:rPr>
          <w:color w:val="000000" w:themeColor="text1"/>
          <w:sz w:val="28"/>
          <w:szCs w:val="28"/>
          <w:lang w:val="uk-UA"/>
        </w:rPr>
      </w:pPr>
      <w:r w:rsidRPr="00CE0A20">
        <w:rPr>
          <w:color w:val="000000" w:themeColor="text1"/>
          <w:sz w:val="28"/>
          <w:szCs w:val="28"/>
          <w:lang w:val="uk-UA"/>
        </w:rPr>
        <w:t>Крім трансплантації спеціалізованих культур стромальних клітин</w:t>
      </w:r>
      <w:r w:rsidR="003A4B41" w:rsidRPr="00CE0A20">
        <w:rPr>
          <w:color w:val="000000" w:themeColor="text1"/>
          <w:sz w:val="28"/>
          <w:szCs w:val="28"/>
          <w:lang w:val="uk-UA"/>
        </w:rPr>
        <w:t>,</w:t>
      </w:r>
      <w:r w:rsidRPr="00CE0A20">
        <w:rPr>
          <w:color w:val="000000" w:themeColor="text1"/>
          <w:sz w:val="28"/>
          <w:szCs w:val="28"/>
          <w:lang w:val="uk-UA"/>
        </w:rPr>
        <w:t xml:space="preserve"> досить перспективним напрямком клітинної терапії є застосування клітин строми кісткового мозку (КСКМ), отриманих безпосередньо від хворого. Стромальні клітини були відкриті A. J. Friedenstein і співавт. </w:t>
      </w:r>
      <w:r w:rsidR="003A4B41" w:rsidRPr="00CE0A20">
        <w:rPr>
          <w:color w:val="000000" w:themeColor="text1"/>
          <w:sz w:val="28"/>
          <w:szCs w:val="28"/>
          <w:lang w:val="uk-UA"/>
        </w:rPr>
        <w:t>у</w:t>
      </w:r>
      <w:r w:rsidRPr="00CE0A20">
        <w:rPr>
          <w:color w:val="000000" w:themeColor="text1"/>
          <w:sz w:val="28"/>
          <w:szCs w:val="28"/>
          <w:lang w:val="uk-UA"/>
        </w:rPr>
        <w:t xml:space="preserve"> 1966 </w:t>
      </w:r>
      <w:r w:rsidR="003A4B41" w:rsidRPr="00CE0A20">
        <w:rPr>
          <w:color w:val="000000" w:themeColor="text1"/>
          <w:sz w:val="28"/>
          <w:szCs w:val="28"/>
          <w:lang w:val="uk-UA"/>
        </w:rPr>
        <w:t xml:space="preserve">році </w:t>
      </w:r>
      <w:r w:rsidRPr="00CE0A20">
        <w:rPr>
          <w:color w:val="000000" w:themeColor="text1"/>
          <w:sz w:val="28"/>
          <w:szCs w:val="28"/>
          <w:lang w:val="uk-UA"/>
        </w:rPr>
        <w:t>[</w:t>
      </w:r>
      <w:r w:rsidRPr="00CE0A20">
        <w:rPr>
          <w:rStyle w:val="ab"/>
          <w:rFonts w:eastAsia="Arial"/>
          <w:i w:val="0"/>
          <w:color w:val="000000" w:themeColor="text1"/>
          <w:sz w:val="28"/>
          <w:szCs w:val="28"/>
          <w:lang w:val="uk-UA"/>
        </w:rPr>
        <w:t>204</w:t>
      </w:r>
      <w:r w:rsidRPr="00CE0A20">
        <w:rPr>
          <w:color w:val="000000" w:themeColor="text1"/>
          <w:sz w:val="28"/>
          <w:szCs w:val="28"/>
          <w:lang w:val="uk-UA"/>
        </w:rPr>
        <w:t>]. Вони розробили методику виділення і культивування стовбурових клітин з кісткового мозку, селезінки, нирок щурів та довели їх плюр</w:t>
      </w:r>
      <w:r w:rsidR="003A4B41" w:rsidRPr="00CE0A20">
        <w:rPr>
          <w:color w:val="000000" w:themeColor="text1"/>
          <w:sz w:val="28"/>
          <w:szCs w:val="28"/>
          <w:lang w:val="uk-UA"/>
        </w:rPr>
        <w:t>и</w:t>
      </w:r>
      <w:r w:rsidRPr="00CE0A20">
        <w:rPr>
          <w:color w:val="000000" w:themeColor="text1"/>
          <w:sz w:val="28"/>
          <w:szCs w:val="28"/>
          <w:lang w:val="uk-UA"/>
        </w:rPr>
        <w:t>потентн</w:t>
      </w:r>
      <w:r w:rsidR="003A4B41" w:rsidRPr="00CE0A20">
        <w:rPr>
          <w:color w:val="000000" w:themeColor="text1"/>
          <w:sz w:val="28"/>
          <w:szCs w:val="28"/>
          <w:lang w:val="uk-UA"/>
        </w:rPr>
        <w:t>і</w:t>
      </w:r>
      <w:r w:rsidRPr="00CE0A20">
        <w:rPr>
          <w:color w:val="000000" w:themeColor="text1"/>
          <w:sz w:val="28"/>
          <w:szCs w:val="28"/>
          <w:lang w:val="uk-UA"/>
        </w:rPr>
        <w:t xml:space="preserve">сть – здатність під впливом специфічних індукторів перетворюватися </w:t>
      </w:r>
      <w:r w:rsidR="003A4B41" w:rsidRPr="00CE0A20">
        <w:rPr>
          <w:color w:val="000000" w:themeColor="text1"/>
          <w:sz w:val="28"/>
          <w:szCs w:val="28"/>
          <w:lang w:val="uk-UA"/>
        </w:rPr>
        <w:t>на</w:t>
      </w:r>
      <w:r w:rsidRPr="00CE0A20">
        <w:rPr>
          <w:color w:val="000000" w:themeColor="text1"/>
          <w:sz w:val="28"/>
          <w:szCs w:val="28"/>
          <w:lang w:val="uk-UA"/>
        </w:rPr>
        <w:t xml:space="preserve"> різні типи клітин. Пізніше це знайшло докази в багатьох інших дослідженнях, у яких показано, що, перебуваючи в певних умовах, недиференційовані стовбурові клітини можуть диференціюватися в клітини хрящової </w:t>
      </w:r>
      <w:r w:rsidR="003A4B41" w:rsidRPr="00CE0A20">
        <w:rPr>
          <w:color w:val="000000" w:themeColor="text1"/>
          <w:sz w:val="28"/>
          <w:szCs w:val="28"/>
          <w:lang w:val="uk-UA"/>
        </w:rPr>
        <w:t>й</w:t>
      </w:r>
      <w:r w:rsidRPr="00CE0A20">
        <w:rPr>
          <w:color w:val="000000" w:themeColor="text1"/>
          <w:sz w:val="28"/>
          <w:szCs w:val="28"/>
          <w:lang w:val="uk-UA"/>
        </w:rPr>
        <w:t xml:space="preserve"> кісткової тканини, нервові клітини, кардіоміоцити, гепатоцити, ендотелій та ін.  [</w:t>
      </w:r>
      <w:r w:rsidRPr="00CE0A20">
        <w:rPr>
          <w:rStyle w:val="210pt0"/>
          <w:rFonts w:eastAsia="Microsoft Sans Serif"/>
          <w:i w:val="0"/>
          <w:color w:val="000000" w:themeColor="text1"/>
          <w:sz w:val="28"/>
          <w:szCs w:val="28"/>
          <w:lang w:val="uk-UA"/>
        </w:rPr>
        <w:t>60;</w:t>
      </w:r>
      <w:r w:rsidRPr="00CE0A20">
        <w:rPr>
          <w:i/>
          <w:color w:val="000000" w:themeColor="text1"/>
          <w:sz w:val="28"/>
          <w:szCs w:val="28"/>
          <w:lang w:val="uk-UA"/>
        </w:rPr>
        <w:t xml:space="preserve"> </w:t>
      </w:r>
      <w:r w:rsidRPr="00CE0A20">
        <w:rPr>
          <w:rStyle w:val="210pt0"/>
          <w:rFonts w:eastAsia="Microsoft Sans Serif"/>
          <w:i w:val="0"/>
          <w:color w:val="000000" w:themeColor="text1"/>
          <w:sz w:val="28"/>
          <w:szCs w:val="28"/>
          <w:lang w:val="uk-UA"/>
        </w:rPr>
        <w:t xml:space="preserve"> 129; 130</w:t>
      </w:r>
      <w:r w:rsidRPr="00CE0A20">
        <w:rPr>
          <w:color w:val="000000" w:themeColor="text1"/>
          <w:sz w:val="28"/>
          <w:szCs w:val="28"/>
          <w:lang w:val="uk-UA"/>
        </w:rPr>
        <w:t>; 154;</w:t>
      </w:r>
      <w:r w:rsidRPr="00CE0A20">
        <w:rPr>
          <w:i/>
          <w:color w:val="000000" w:themeColor="text1"/>
          <w:sz w:val="28"/>
          <w:szCs w:val="28"/>
          <w:lang w:val="uk-UA"/>
        </w:rPr>
        <w:t xml:space="preserve"> </w:t>
      </w:r>
      <w:r w:rsidRPr="00CE0A20">
        <w:rPr>
          <w:color w:val="000000" w:themeColor="text1"/>
          <w:sz w:val="28"/>
          <w:szCs w:val="28"/>
          <w:lang w:val="uk-UA"/>
        </w:rPr>
        <w:t xml:space="preserve">213; </w:t>
      </w:r>
      <w:r w:rsidRPr="00CE0A20">
        <w:rPr>
          <w:rStyle w:val="210pt0"/>
          <w:rFonts w:eastAsia="Century Schoolbook"/>
          <w:i w:val="0"/>
          <w:color w:val="000000" w:themeColor="text1"/>
          <w:sz w:val="28"/>
          <w:szCs w:val="28"/>
          <w:lang w:val="uk-UA"/>
        </w:rPr>
        <w:t>317</w:t>
      </w:r>
      <w:r w:rsidRPr="00CE0A20">
        <w:rPr>
          <w:color w:val="000000" w:themeColor="text1"/>
          <w:sz w:val="28"/>
          <w:szCs w:val="28"/>
          <w:lang w:val="uk-UA"/>
        </w:rPr>
        <w:t>]. Висловлено думку, що подібно до ембріональних стовбурових клітин, стовбурові клітини кісткового мозку є родоначаль</w:t>
      </w:r>
      <w:r w:rsidRPr="00CE0A20">
        <w:rPr>
          <w:color w:val="000000" w:themeColor="text1"/>
          <w:sz w:val="28"/>
          <w:szCs w:val="28"/>
          <w:lang w:val="uk-UA"/>
        </w:rPr>
        <w:softHyphen/>
        <w:t>никами будь-яких інших тканин [</w:t>
      </w:r>
      <w:r w:rsidRPr="00CE0A20">
        <w:rPr>
          <w:rStyle w:val="210pt0"/>
          <w:rFonts w:eastAsia="Arial"/>
          <w:i w:val="0"/>
          <w:color w:val="000000" w:themeColor="text1"/>
          <w:sz w:val="28"/>
          <w:szCs w:val="28"/>
          <w:lang w:val="uk-UA"/>
        </w:rPr>
        <w:t>128</w:t>
      </w:r>
      <w:r w:rsidRPr="00CE0A20">
        <w:rPr>
          <w:color w:val="000000" w:themeColor="text1"/>
          <w:sz w:val="28"/>
          <w:szCs w:val="28"/>
          <w:lang w:val="uk-UA"/>
        </w:rPr>
        <w:t xml:space="preserve">]. </w:t>
      </w:r>
    </w:p>
    <w:p w:rsidR="00EB6EBC" w:rsidRPr="00CE0A20" w:rsidRDefault="00EB6EBC" w:rsidP="00EB6EBC">
      <w:pPr>
        <w:pStyle w:val="41"/>
        <w:shd w:val="clear" w:color="auto" w:fill="auto"/>
        <w:spacing w:line="360" w:lineRule="auto"/>
        <w:ind w:firstLine="709"/>
        <w:rPr>
          <w:color w:val="000000" w:themeColor="text1"/>
          <w:sz w:val="28"/>
          <w:szCs w:val="28"/>
          <w:lang w:val="uk-UA"/>
        </w:rPr>
      </w:pPr>
      <w:r w:rsidRPr="00CE0A20">
        <w:rPr>
          <w:color w:val="000000" w:themeColor="text1"/>
          <w:sz w:val="28"/>
          <w:szCs w:val="28"/>
          <w:lang w:val="uk-UA"/>
        </w:rPr>
        <w:t>Залежно від здатності давати початок тим чи іншим клітинним лініям ви</w:t>
      </w:r>
      <w:r w:rsidR="003A4B41" w:rsidRPr="00CE0A20">
        <w:rPr>
          <w:color w:val="000000" w:themeColor="text1"/>
          <w:sz w:val="28"/>
          <w:szCs w:val="28"/>
          <w:lang w:val="uk-UA"/>
        </w:rPr>
        <w:t>окремлю</w:t>
      </w:r>
      <w:r w:rsidRPr="00CE0A20">
        <w:rPr>
          <w:color w:val="000000" w:themeColor="text1"/>
          <w:sz w:val="28"/>
          <w:szCs w:val="28"/>
          <w:lang w:val="uk-UA"/>
        </w:rPr>
        <w:t>ють стовбурові клітини, що володіють тотипотентн</w:t>
      </w:r>
      <w:r w:rsidR="003A4B41" w:rsidRPr="00CE0A20">
        <w:rPr>
          <w:color w:val="000000" w:themeColor="text1"/>
          <w:sz w:val="28"/>
          <w:szCs w:val="28"/>
          <w:lang w:val="uk-UA"/>
        </w:rPr>
        <w:t>і</w:t>
      </w:r>
      <w:r w:rsidRPr="00CE0A20">
        <w:rPr>
          <w:color w:val="000000" w:themeColor="text1"/>
          <w:sz w:val="28"/>
          <w:szCs w:val="28"/>
          <w:lang w:val="uk-UA"/>
        </w:rPr>
        <w:t>стю, тобто здатністю відтворювати весь організм з однієї клітини. Плюр</w:t>
      </w:r>
      <w:r w:rsidR="003A4B41" w:rsidRPr="00CE0A20">
        <w:rPr>
          <w:color w:val="000000" w:themeColor="text1"/>
          <w:sz w:val="28"/>
          <w:szCs w:val="28"/>
          <w:lang w:val="uk-UA"/>
        </w:rPr>
        <w:t>и</w:t>
      </w:r>
      <w:r w:rsidRPr="00CE0A20">
        <w:rPr>
          <w:color w:val="000000" w:themeColor="text1"/>
          <w:sz w:val="28"/>
          <w:szCs w:val="28"/>
          <w:lang w:val="uk-UA"/>
        </w:rPr>
        <w:t>потентн</w:t>
      </w:r>
      <w:r w:rsidR="003A4B41" w:rsidRPr="00CE0A20">
        <w:rPr>
          <w:color w:val="000000" w:themeColor="text1"/>
          <w:sz w:val="28"/>
          <w:szCs w:val="28"/>
          <w:lang w:val="uk-UA"/>
        </w:rPr>
        <w:t>і</w:t>
      </w:r>
      <w:r w:rsidRPr="00CE0A20">
        <w:rPr>
          <w:color w:val="000000" w:themeColor="text1"/>
          <w:sz w:val="28"/>
          <w:szCs w:val="28"/>
          <w:lang w:val="uk-UA"/>
        </w:rPr>
        <w:t xml:space="preserve">сть передбачає, що стовбуровий попередник здатний диференціюватися в органи </w:t>
      </w:r>
      <w:r w:rsidR="003A4B41" w:rsidRPr="00CE0A20">
        <w:rPr>
          <w:color w:val="000000" w:themeColor="text1"/>
          <w:sz w:val="28"/>
          <w:szCs w:val="28"/>
          <w:lang w:val="uk-UA"/>
        </w:rPr>
        <w:t>й</w:t>
      </w:r>
      <w:r w:rsidRPr="00CE0A20">
        <w:rPr>
          <w:color w:val="000000" w:themeColor="text1"/>
          <w:sz w:val="28"/>
          <w:szCs w:val="28"/>
          <w:lang w:val="uk-UA"/>
        </w:rPr>
        <w:t xml:space="preserve"> тканини всіх трьох зародкових листків (екто-, ендо- і мезодермального походження). Мульт</w:t>
      </w:r>
      <w:r w:rsidR="003A4B41" w:rsidRPr="00CE0A20">
        <w:rPr>
          <w:color w:val="000000" w:themeColor="text1"/>
          <w:sz w:val="28"/>
          <w:szCs w:val="28"/>
          <w:lang w:val="uk-UA"/>
        </w:rPr>
        <w:t>и</w:t>
      </w:r>
      <w:r w:rsidRPr="00CE0A20">
        <w:rPr>
          <w:color w:val="000000" w:themeColor="text1"/>
          <w:sz w:val="28"/>
          <w:szCs w:val="28"/>
          <w:lang w:val="uk-UA"/>
        </w:rPr>
        <w:t>потентн</w:t>
      </w:r>
      <w:r w:rsidR="003A4B41" w:rsidRPr="00CE0A20">
        <w:rPr>
          <w:color w:val="000000" w:themeColor="text1"/>
          <w:sz w:val="28"/>
          <w:szCs w:val="28"/>
          <w:lang w:val="uk-UA"/>
        </w:rPr>
        <w:t>і</w:t>
      </w:r>
      <w:r w:rsidRPr="00CE0A20">
        <w:rPr>
          <w:color w:val="000000" w:themeColor="text1"/>
          <w:sz w:val="28"/>
          <w:szCs w:val="28"/>
          <w:lang w:val="uk-UA"/>
        </w:rPr>
        <w:t xml:space="preserve">сть – утворення клітин </w:t>
      </w:r>
      <w:r w:rsidR="003A4B41" w:rsidRPr="00CE0A20">
        <w:rPr>
          <w:color w:val="000000" w:themeColor="text1"/>
          <w:sz w:val="28"/>
          <w:szCs w:val="28"/>
          <w:lang w:val="uk-UA"/>
        </w:rPr>
        <w:t>у</w:t>
      </w:r>
      <w:r w:rsidRPr="00CE0A20">
        <w:rPr>
          <w:color w:val="000000" w:themeColor="text1"/>
          <w:sz w:val="28"/>
          <w:szCs w:val="28"/>
          <w:lang w:val="uk-UA"/>
        </w:rPr>
        <w:t xml:space="preserve"> межах однієї спеціальної лінії. Терміни «бі- </w:t>
      </w:r>
      <w:r w:rsidR="003A4B41" w:rsidRPr="00CE0A20">
        <w:rPr>
          <w:color w:val="000000" w:themeColor="text1"/>
          <w:sz w:val="28"/>
          <w:szCs w:val="28"/>
          <w:lang w:val="uk-UA"/>
        </w:rPr>
        <w:t>та</w:t>
      </w:r>
      <w:r w:rsidRPr="00CE0A20">
        <w:rPr>
          <w:color w:val="000000" w:themeColor="text1"/>
          <w:sz w:val="28"/>
          <w:szCs w:val="28"/>
          <w:lang w:val="uk-UA"/>
        </w:rPr>
        <w:t xml:space="preserve"> уніпотентн</w:t>
      </w:r>
      <w:r w:rsidR="003A4B41" w:rsidRPr="00CE0A20">
        <w:rPr>
          <w:color w:val="000000" w:themeColor="text1"/>
          <w:sz w:val="28"/>
          <w:szCs w:val="28"/>
          <w:lang w:val="uk-UA"/>
        </w:rPr>
        <w:t>і</w:t>
      </w:r>
      <w:r w:rsidRPr="00CE0A20">
        <w:rPr>
          <w:color w:val="000000" w:themeColor="text1"/>
          <w:sz w:val="28"/>
          <w:szCs w:val="28"/>
          <w:lang w:val="uk-UA"/>
        </w:rPr>
        <w:t>сть» вказують на приналежність до попередників, які здатні давати початок різним кровотворним паросткам [</w:t>
      </w:r>
      <w:r w:rsidRPr="00CE0A20">
        <w:rPr>
          <w:rStyle w:val="210pt0"/>
          <w:rFonts w:eastAsia="Microsoft Sans Serif"/>
          <w:i w:val="0"/>
          <w:color w:val="000000" w:themeColor="text1"/>
          <w:sz w:val="28"/>
          <w:szCs w:val="28"/>
          <w:lang w:val="uk-UA"/>
        </w:rPr>
        <w:t>88</w:t>
      </w:r>
      <w:r w:rsidRPr="00CE0A20">
        <w:rPr>
          <w:color w:val="000000" w:themeColor="text1"/>
          <w:sz w:val="28"/>
          <w:szCs w:val="28"/>
          <w:lang w:val="uk-UA"/>
        </w:rPr>
        <w:t>].</w:t>
      </w:r>
    </w:p>
    <w:p w:rsidR="00EB6EBC" w:rsidRPr="00CE0A20" w:rsidRDefault="00EB6EBC" w:rsidP="00EB6EBC">
      <w:pPr>
        <w:pStyle w:val="41"/>
        <w:shd w:val="clear" w:color="auto" w:fill="auto"/>
        <w:spacing w:line="360" w:lineRule="auto"/>
        <w:ind w:firstLine="709"/>
        <w:rPr>
          <w:color w:val="000000" w:themeColor="text1"/>
          <w:sz w:val="28"/>
          <w:szCs w:val="28"/>
          <w:lang w:val="uk-UA"/>
        </w:rPr>
      </w:pPr>
      <w:r w:rsidRPr="00CE0A20">
        <w:rPr>
          <w:color w:val="000000" w:themeColor="text1"/>
          <w:sz w:val="28"/>
          <w:szCs w:val="28"/>
          <w:lang w:val="uk-UA"/>
        </w:rPr>
        <w:t>Таким чином, на цей час існує  певна перспектива використання КСКМ як нового, досить доступного джерела плюр</w:t>
      </w:r>
      <w:r w:rsidR="003A4B41" w:rsidRPr="00CE0A20">
        <w:rPr>
          <w:color w:val="000000" w:themeColor="text1"/>
          <w:sz w:val="28"/>
          <w:szCs w:val="28"/>
          <w:lang w:val="uk-UA"/>
        </w:rPr>
        <w:t>и</w:t>
      </w:r>
      <w:r w:rsidRPr="00CE0A20">
        <w:rPr>
          <w:color w:val="000000" w:themeColor="text1"/>
          <w:sz w:val="28"/>
          <w:szCs w:val="28"/>
          <w:lang w:val="uk-UA"/>
        </w:rPr>
        <w:t>потентних стовбурових клітин, які можна отримувати з кісткового мозку пацієнта, розмножувати в культурі, застосовувати одразу або заморожувати в рідкому азоті і в подальшому зберігати в кріобанку з метою подальшого використання для регенерації пошкоджених органів і тканин [</w:t>
      </w:r>
      <w:r w:rsidRPr="00CE0A20">
        <w:rPr>
          <w:rStyle w:val="210pt"/>
          <w:color w:val="000000" w:themeColor="text1"/>
          <w:sz w:val="28"/>
          <w:szCs w:val="28"/>
          <w:lang w:val="uk-UA"/>
        </w:rPr>
        <w:t>303</w:t>
      </w:r>
      <w:r w:rsidRPr="00CE0A20">
        <w:rPr>
          <w:color w:val="000000" w:themeColor="text1"/>
          <w:sz w:val="28"/>
          <w:szCs w:val="28"/>
          <w:lang w:val="uk-UA"/>
        </w:rPr>
        <w:t>].</w:t>
      </w:r>
    </w:p>
    <w:p w:rsidR="00EB6EBC" w:rsidRPr="00CE0A20" w:rsidRDefault="00EB6EBC" w:rsidP="00EB6EBC">
      <w:pPr>
        <w:pStyle w:val="41"/>
        <w:shd w:val="clear" w:color="auto" w:fill="auto"/>
        <w:spacing w:line="360" w:lineRule="auto"/>
        <w:ind w:firstLine="709"/>
        <w:rPr>
          <w:color w:val="000000" w:themeColor="text1"/>
          <w:sz w:val="28"/>
          <w:szCs w:val="28"/>
          <w:lang w:val="uk-UA"/>
        </w:rPr>
      </w:pPr>
      <w:r w:rsidRPr="00CE0A20">
        <w:rPr>
          <w:color w:val="000000" w:themeColor="text1"/>
          <w:sz w:val="28"/>
          <w:szCs w:val="28"/>
          <w:lang w:val="uk-UA"/>
        </w:rPr>
        <w:t>Останнім часом з'явилося багато повідомлень про можливість ефективного вирішення цієї проблеми за допомогою клітинних технологій, а саме</w:t>
      </w:r>
      <w:r w:rsidR="003A4B41" w:rsidRPr="00CE0A20">
        <w:rPr>
          <w:color w:val="000000" w:themeColor="text1"/>
          <w:sz w:val="28"/>
          <w:szCs w:val="28"/>
          <w:lang w:val="uk-UA"/>
        </w:rPr>
        <w:t xml:space="preserve"> –</w:t>
      </w:r>
      <w:r w:rsidRPr="00CE0A20">
        <w:rPr>
          <w:color w:val="000000" w:themeColor="text1"/>
          <w:sz w:val="28"/>
          <w:szCs w:val="28"/>
          <w:lang w:val="uk-UA"/>
        </w:rPr>
        <w:t xml:space="preserve"> за допомогою застосування клітинних культур, збагачених різними видами стовбурових клітин [241; 244; 249; </w:t>
      </w:r>
      <w:r w:rsidRPr="00CE0A20">
        <w:rPr>
          <w:rStyle w:val="a7"/>
          <w:color w:val="000000" w:themeColor="text1"/>
          <w:sz w:val="28"/>
          <w:szCs w:val="28"/>
          <w:lang w:val="uk-UA"/>
        </w:rPr>
        <w:t>263</w:t>
      </w:r>
      <w:r w:rsidRPr="00CE0A20">
        <w:rPr>
          <w:color w:val="000000" w:themeColor="text1"/>
          <w:sz w:val="28"/>
          <w:szCs w:val="28"/>
          <w:lang w:val="uk-UA"/>
        </w:rPr>
        <w:t>; 299; 300].</w:t>
      </w:r>
    </w:p>
    <w:p w:rsidR="00EB6EBC" w:rsidRPr="00CE0A20" w:rsidRDefault="00EB6EBC" w:rsidP="00EB6EBC">
      <w:pPr>
        <w:widowControl w:val="0"/>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Секреторна активність яєчка  досить важко піддається відновленню при застосуванні класичних лікарських засобів. Тому впровадження методів клітинної терапії є патогенетично обумовленим та логічним [62; 93; 94]. На </w:t>
      </w:r>
      <w:r w:rsidR="003A4B41" w:rsidRPr="00CE0A20">
        <w:rPr>
          <w:rFonts w:ascii="Times New Roman" w:hAnsi="Times New Roman" w:cs="Times New Roman"/>
          <w:color w:val="000000" w:themeColor="text1"/>
          <w:sz w:val="28"/>
          <w:szCs w:val="28"/>
          <w:lang w:val="uk-UA"/>
        </w:rPr>
        <w:t xml:space="preserve">сьогодні </w:t>
      </w:r>
      <w:r w:rsidRPr="00CE0A20">
        <w:rPr>
          <w:rFonts w:ascii="Times New Roman" w:hAnsi="Times New Roman" w:cs="Times New Roman"/>
          <w:color w:val="000000" w:themeColor="text1"/>
          <w:sz w:val="28"/>
          <w:szCs w:val="28"/>
          <w:lang w:val="uk-UA"/>
        </w:rPr>
        <w:t>встановлено, що ефективною альтернативою лікування екзогенним тестостероном може бути відновлення популяції функціонально-активних клітин Лейд</w:t>
      </w:r>
      <w:r w:rsidR="003A4B41"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га за допо</w:t>
      </w:r>
      <w:r w:rsidRPr="00CE0A20">
        <w:rPr>
          <w:rFonts w:ascii="Times New Roman" w:hAnsi="Times New Roman" w:cs="Times New Roman"/>
          <w:color w:val="000000" w:themeColor="text1"/>
          <w:sz w:val="28"/>
          <w:szCs w:val="28"/>
          <w:lang w:val="uk-UA"/>
        </w:rPr>
        <w:softHyphen/>
        <w:t xml:space="preserve">могою стовбурових клітин [169]. </w:t>
      </w:r>
    </w:p>
    <w:p w:rsidR="00EB6EBC" w:rsidRPr="00CE0A20" w:rsidRDefault="00EB6EBC" w:rsidP="00EB6EBC">
      <w:pPr>
        <w:widowControl w:val="0"/>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А.В. Пахомов та співавт. (2004, 2007) встановили збереження стероїдогенних властивостей кріоконсервованої суспензії клітин інтерстицію та можливість її застосування </w:t>
      </w:r>
      <w:r w:rsidR="003A4B41" w:rsidRPr="00CE0A20">
        <w:rPr>
          <w:rFonts w:ascii="Times New Roman" w:hAnsi="Times New Roman" w:cs="Times New Roman"/>
          <w:color w:val="000000" w:themeColor="text1"/>
          <w:sz w:val="28"/>
          <w:szCs w:val="28"/>
          <w:lang w:val="uk-UA"/>
        </w:rPr>
        <w:t>як</w:t>
      </w:r>
      <w:r w:rsidRPr="00CE0A20">
        <w:rPr>
          <w:rFonts w:ascii="Times New Roman" w:hAnsi="Times New Roman" w:cs="Times New Roman"/>
          <w:color w:val="000000" w:themeColor="text1"/>
          <w:sz w:val="28"/>
          <w:szCs w:val="28"/>
          <w:lang w:val="uk-UA"/>
        </w:rPr>
        <w:t xml:space="preserve"> трансплантату для компенсації гормональної недостатності та відновлення гормонпродукуючої системи </w:t>
      </w:r>
      <w:r w:rsidR="003A4B41"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орхектомованих тварин. Вони довели, що алотрансплантація цієї суспензії сприяє ефективному відновленню рівн</w:t>
      </w:r>
      <w:r w:rsidR="003A4B41" w:rsidRPr="00CE0A20">
        <w:rPr>
          <w:rFonts w:ascii="Times New Roman" w:hAnsi="Times New Roman" w:cs="Times New Roman"/>
          <w:color w:val="000000" w:themeColor="text1"/>
          <w:sz w:val="28"/>
          <w:szCs w:val="28"/>
          <w:lang w:val="uk-UA"/>
        </w:rPr>
        <w:t>я</w:t>
      </w:r>
      <w:r w:rsidRPr="00CE0A20">
        <w:rPr>
          <w:rFonts w:ascii="Times New Roman" w:hAnsi="Times New Roman" w:cs="Times New Roman"/>
          <w:color w:val="000000" w:themeColor="text1"/>
          <w:sz w:val="28"/>
          <w:szCs w:val="28"/>
          <w:lang w:val="uk-UA"/>
        </w:rPr>
        <w:t xml:space="preserve"> тестостерону при токсичному андрогенному дефіциті [105; 106].</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більш ранньому дослідженні, виконаному в Інституті проблем кріобіології і кріомедицини НАН України, для корекції експериментального андрогенного дефіциту застосували кріоконсервовані органотипові культури  сім’яників тварин, та виявили їх придатність для цієї мети [116].</w:t>
      </w:r>
    </w:p>
    <w:p w:rsidR="00EB6EBC" w:rsidRPr="00CE0A20" w:rsidRDefault="00EB6EBC" w:rsidP="00EB6EBC">
      <w:pPr>
        <w:widowControl w:val="0"/>
        <w:autoSpaceDE w:val="0"/>
        <w:autoSpaceDN w:val="0"/>
        <w:adjustRightInd w:val="0"/>
        <w:spacing w:line="360" w:lineRule="auto"/>
        <w:ind w:firstLine="709"/>
        <w:jc w:val="both"/>
        <w:rPr>
          <w:rStyle w:val="element-citation"/>
          <w:rFonts w:ascii="Times New Roman" w:hAnsi="Times New Roman" w:cs="Times New Roman"/>
          <w:color w:val="000000" w:themeColor="text1"/>
          <w:sz w:val="28"/>
          <w:szCs w:val="28"/>
          <w:lang w:val="uk-UA"/>
        </w:rPr>
      </w:pPr>
      <w:r w:rsidRPr="00CE0A20">
        <w:rPr>
          <w:rStyle w:val="element-citation"/>
          <w:rFonts w:ascii="Times New Roman" w:hAnsi="Times New Roman" w:cs="Times New Roman"/>
          <w:color w:val="000000" w:themeColor="text1"/>
          <w:sz w:val="28"/>
          <w:szCs w:val="28"/>
          <w:lang w:val="uk-UA"/>
        </w:rPr>
        <w:t>У дослідженні Yazawa T. та співавт. (2006) було в</w:t>
      </w:r>
      <w:r w:rsidR="003A4B41" w:rsidRPr="00CE0A20">
        <w:rPr>
          <w:rStyle w:val="element-citation"/>
          <w:rFonts w:ascii="Times New Roman" w:hAnsi="Times New Roman" w:cs="Times New Roman"/>
          <w:color w:val="000000" w:themeColor="text1"/>
          <w:sz w:val="28"/>
          <w:szCs w:val="28"/>
          <w:lang w:val="uk-UA"/>
        </w:rPr>
        <w:t>изначе</w:t>
      </w:r>
      <w:r w:rsidRPr="00CE0A20">
        <w:rPr>
          <w:rStyle w:val="element-citation"/>
          <w:rFonts w:ascii="Times New Roman" w:hAnsi="Times New Roman" w:cs="Times New Roman"/>
          <w:color w:val="000000" w:themeColor="text1"/>
          <w:sz w:val="28"/>
          <w:szCs w:val="28"/>
          <w:lang w:val="uk-UA"/>
        </w:rPr>
        <w:t xml:space="preserve">но, що при трансплантації мезенхімальних клітин в яєчка експериментальних тварин вони диференціювалися </w:t>
      </w:r>
      <w:r w:rsidR="003A4B41" w:rsidRPr="00CE0A20">
        <w:rPr>
          <w:rStyle w:val="element-citation"/>
          <w:rFonts w:ascii="Times New Roman" w:hAnsi="Times New Roman" w:cs="Times New Roman"/>
          <w:color w:val="000000" w:themeColor="text1"/>
          <w:sz w:val="28"/>
          <w:szCs w:val="28"/>
          <w:lang w:val="uk-UA"/>
        </w:rPr>
        <w:t>в</w:t>
      </w:r>
      <w:r w:rsidRPr="00CE0A20">
        <w:rPr>
          <w:rStyle w:val="element-citation"/>
          <w:rFonts w:ascii="Times New Roman" w:hAnsi="Times New Roman" w:cs="Times New Roman"/>
          <w:color w:val="000000" w:themeColor="text1"/>
          <w:sz w:val="28"/>
          <w:szCs w:val="28"/>
          <w:lang w:val="uk-UA"/>
        </w:rPr>
        <w:t xml:space="preserve"> стероїдогенні клітини, які не відрізнялися від клітин Лейдіга, включаючи вироблення тестостерону. Ідентифікацію пересаджених клітин автори здійснювали за допомогою зеленого флюоресцентного білка методом трансфекції. Отримані дані дозволили авторам зробити висновок про можливість використання клітин строми кісткового мозку як джерела для виробництва стероїдогенних клітин, які можуть бути основою клітинної терапії [374]. До аналогічного висновку дійшли  і Y. Lue та співавт. (2007). </w:t>
      </w:r>
      <w:r w:rsidR="003A4B41" w:rsidRPr="00CE0A20">
        <w:rPr>
          <w:rStyle w:val="element-citation"/>
          <w:rFonts w:ascii="Times New Roman" w:hAnsi="Times New Roman" w:cs="Times New Roman"/>
          <w:color w:val="000000" w:themeColor="text1"/>
          <w:sz w:val="28"/>
          <w:szCs w:val="28"/>
          <w:lang w:val="uk-UA"/>
        </w:rPr>
        <w:t>На</w:t>
      </w:r>
      <w:r w:rsidRPr="00CE0A20">
        <w:rPr>
          <w:rStyle w:val="element-citation"/>
          <w:rFonts w:ascii="Times New Roman" w:hAnsi="Times New Roman" w:cs="Times New Roman"/>
          <w:color w:val="000000" w:themeColor="text1"/>
          <w:sz w:val="28"/>
          <w:szCs w:val="28"/>
          <w:lang w:val="uk-UA"/>
        </w:rPr>
        <w:t xml:space="preserve"> їх</w:t>
      </w:r>
      <w:r w:rsidR="003A4B41" w:rsidRPr="00CE0A20">
        <w:rPr>
          <w:rStyle w:val="element-citation"/>
          <w:rFonts w:ascii="Times New Roman" w:hAnsi="Times New Roman" w:cs="Times New Roman"/>
          <w:color w:val="000000" w:themeColor="text1"/>
          <w:sz w:val="28"/>
          <w:szCs w:val="28"/>
          <w:lang w:val="uk-UA"/>
        </w:rPr>
        <w:t>ню</w:t>
      </w:r>
      <w:r w:rsidRPr="00CE0A20">
        <w:rPr>
          <w:rStyle w:val="element-citation"/>
          <w:rFonts w:ascii="Times New Roman" w:hAnsi="Times New Roman" w:cs="Times New Roman"/>
          <w:color w:val="000000" w:themeColor="text1"/>
          <w:sz w:val="28"/>
          <w:szCs w:val="28"/>
          <w:lang w:val="uk-UA"/>
        </w:rPr>
        <w:t xml:space="preserve"> думк</w:t>
      </w:r>
      <w:r w:rsidR="003A4B41" w:rsidRPr="00CE0A20">
        <w:rPr>
          <w:rStyle w:val="element-citation"/>
          <w:rFonts w:ascii="Times New Roman" w:hAnsi="Times New Roman" w:cs="Times New Roman"/>
          <w:color w:val="000000" w:themeColor="text1"/>
          <w:sz w:val="28"/>
          <w:szCs w:val="28"/>
          <w:lang w:val="uk-UA"/>
        </w:rPr>
        <w:t>у</w:t>
      </w:r>
      <w:r w:rsidRPr="00CE0A20">
        <w:rPr>
          <w:rStyle w:val="element-citation"/>
          <w:rFonts w:ascii="Times New Roman" w:hAnsi="Times New Roman" w:cs="Times New Roman"/>
          <w:color w:val="000000" w:themeColor="text1"/>
          <w:sz w:val="28"/>
          <w:szCs w:val="28"/>
          <w:lang w:val="uk-UA"/>
        </w:rPr>
        <w:t xml:space="preserve">, КСКМ </w:t>
      </w:r>
      <w:r w:rsidR="003A4B41" w:rsidRPr="00CE0A20">
        <w:rPr>
          <w:rStyle w:val="element-citation"/>
          <w:rFonts w:ascii="Times New Roman" w:hAnsi="Times New Roman" w:cs="Times New Roman"/>
          <w:color w:val="000000" w:themeColor="text1"/>
          <w:sz w:val="28"/>
          <w:szCs w:val="28"/>
          <w:lang w:val="uk-UA"/>
        </w:rPr>
        <w:t>у</w:t>
      </w:r>
      <w:r w:rsidRPr="00CE0A20">
        <w:rPr>
          <w:rStyle w:val="element-citation"/>
          <w:rFonts w:ascii="Times New Roman" w:hAnsi="Times New Roman" w:cs="Times New Roman"/>
          <w:color w:val="000000" w:themeColor="text1"/>
          <w:sz w:val="28"/>
          <w:szCs w:val="28"/>
          <w:lang w:val="uk-UA"/>
        </w:rPr>
        <w:t xml:space="preserve"> сприятливому середовищі яєчок диференціюються </w:t>
      </w:r>
      <w:r w:rsidR="003A4B41" w:rsidRPr="00CE0A20">
        <w:rPr>
          <w:rStyle w:val="element-citation"/>
          <w:rFonts w:ascii="Times New Roman" w:hAnsi="Times New Roman" w:cs="Times New Roman"/>
          <w:color w:val="000000" w:themeColor="text1"/>
          <w:sz w:val="28"/>
          <w:szCs w:val="28"/>
          <w:lang w:val="uk-UA"/>
        </w:rPr>
        <w:t>у</w:t>
      </w:r>
      <w:r w:rsidRPr="00CE0A20">
        <w:rPr>
          <w:rStyle w:val="element-citation"/>
          <w:rFonts w:ascii="Times New Roman" w:hAnsi="Times New Roman" w:cs="Times New Roman"/>
          <w:color w:val="000000" w:themeColor="text1"/>
          <w:sz w:val="28"/>
          <w:szCs w:val="28"/>
          <w:lang w:val="uk-UA"/>
        </w:rPr>
        <w:t xml:space="preserve"> функціонально активні статеві клітини під впливом резидентних </w:t>
      </w:r>
      <w:r w:rsidR="003A4B41" w:rsidRPr="00CE0A20">
        <w:rPr>
          <w:rStyle w:val="element-citation"/>
          <w:rFonts w:ascii="Times New Roman" w:hAnsi="Times New Roman" w:cs="Times New Roman"/>
          <w:color w:val="000000" w:themeColor="text1"/>
          <w:sz w:val="28"/>
          <w:szCs w:val="28"/>
          <w:lang w:val="uk-UA"/>
        </w:rPr>
        <w:t xml:space="preserve">клітин </w:t>
      </w:r>
      <w:r w:rsidRPr="00CE0A20">
        <w:rPr>
          <w:rStyle w:val="element-citation"/>
          <w:rFonts w:ascii="Times New Roman" w:hAnsi="Times New Roman" w:cs="Times New Roman"/>
          <w:color w:val="000000" w:themeColor="text1"/>
          <w:sz w:val="28"/>
          <w:szCs w:val="28"/>
          <w:lang w:val="uk-UA"/>
        </w:rPr>
        <w:t>паренхіми яєчок, що свідчить про можливість лікування чоловічого безпліддя та дефіциту тестостерону за допомогою стовбурових клітин [272].</w:t>
      </w:r>
    </w:p>
    <w:p w:rsidR="00EB6EBC" w:rsidRPr="00CE0A20" w:rsidRDefault="00EB6EBC" w:rsidP="00EB6EBC">
      <w:pPr>
        <w:widowControl w:val="0"/>
        <w:autoSpaceDE w:val="0"/>
        <w:autoSpaceDN w:val="0"/>
        <w:adjustRightInd w:val="0"/>
        <w:spacing w:line="360" w:lineRule="auto"/>
        <w:ind w:firstLine="709"/>
        <w:jc w:val="both"/>
        <w:rPr>
          <w:rStyle w:val="element-citation"/>
          <w:rFonts w:ascii="Times New Roman" w:hAnsi="Times New Roman" w:cs="Times New Roman"/>
          <w:color w:val="000000" w:themeColor="text1"/>
          <w:sz w:val="28"/>
          <w:szCs w:val="28"/>
          <w:lang w:val="uk-UA"/>
        </w:rPr>
      </w:pPr>
      <w:r w:rsidRPr="00CE0A20">
        <w:rPr>
          <w:rFonts w:ascii="Times New Roman" w:eastAsia="Times New Roman" w:hAnsi="Times New Roman" w:cs="Times New Roman"/>
          <w:iCs/>
          <w:color w:val="000000" w:themeColor="text1"/>
          <w:sz w:val="28"/>
          <w:szCs w:val="28"/>
          <w:lang w:val="uk-UA"/>
        </w:rPr>
        <w:t>Новим методом лікування ЕД є запропонована вітчизняними дослідниками трнасплантація стовбурових клітин у кавернозну тканину. Для збільшення адгезії стовбуро</w:t>
      </w:r>
      <w:r w:rsidR="003A4B41" w:rsidRPr="00CE0A20">
        <w:rPr>
          <w:rFonts w:ascii="Times New Roman" w:eastAsia="Times New Roman" w:hAnsi="Times New Roman" w:cs="Times New Roman"/>
          <w:iCs/>
          <w:color w:val="000000" w:themeColor="text1"/>
          <w:sz w:val="28"/>
          <w:szCs w:val="28"/>
          <w:lang w:val="uk-UA"/>
        </w:rPr>
        <w:t>в</w:t>
      </w:r>
      <w:r w:rsidRPr="00CE0A20">
        <w:rPr>
          <w:rFonts w:ascii="Times New Roman" w:eastAsia="Times New Roman" w:hAnsi="Times New Roman" w:cs="Times New Roman"/>
          <w:iCs/>
          <w:color w:val="000000" w:themeColor="text1"/>
          <w:sz w:val="28"/>
          <w:szCs w:val="28"/>
          <w:lang w:val="uk-UA"/>
        </w:rPr>
        <w:t xml:space="preserve">их клітин до субендотеліального матриксу автори інтегрували в їх мембрану молекули адгезії </w:t>
      </w:r>
      <w:r w:rsidRPr="00CE0A20">
        <w:rPr>
          <w:rFonts w:ascii="Times New Roman" w:hAnsi="Times New Roman" w:cs="Times New Roman"/>
          <w:color w:val="000000" w:themeColor="text1"/>
          <w:sz w:val="28"/>
          <w:szCs w:val="28"/>
          <w:lang w:val="uk-UA"/>
        </w:rPr>
        <w:t xml:space="preserve">SYT1 та SYT2 шляхом експонування у відповідному середовищі. </w:t>
      </w:r>
      <w:r w:rsidR="003A4B41" w:rsidRPr="00CE0A20">
        <w:rPr>
          <w:rFonts w:ascii="Times New Roman" w:hAnsi="Times New Roman" w:cs="Times New Roman"/>
          <w:color w:val="000000" w:themeColor="text1"/>
          <w:sz w:val="28"/>
          <w:szCs w:val="28"/>
          <w:lang w:val="uk-UA"/>
        </w:rPr>
        <w:t>З’ясова</w:t>
      </w:r>
      <w:r w:rsidRPr="00CE0A20">
        <w:rPr>
          <w:rFonts w:ascii="Times New Roman" w:hAnsi="Times New Roman" w:cs="Times New Roman"/>
          <w:color w:val="000000" w:themeColor="text1"/>
          <w:sz w:val="28"/>
          <w:szCs w:val="28"/>
          <w:lang w:val="uk-UA"/>
        </w:rPr>
        <w:t xml:space="preserve">но, що після інтракавернозного введення цих клітин щурам-самцям зі стрепозотоцин-індукованою гіперглікемією відбувається відновлення фосфатазної активності  печеристої тканини, </w:t>
      </w:r>
      <w:r w:rsidR="00C4277A" w:rsidRPr="00CE0A20">
        <w:rPr>
          <w:rFonts w:ascii="Times New Roman" w:hAnsi="Times New Roman" w:cs="Times New Roman"/>
          <w:color w:val="000000" w:themeColor="text1"/>
          <w:sz w:val="28"/>
          <w:szCs w:val="28"/>
          <w:lang w:val="uk-UA"/>
        </w:rPr>
        <w:t xml:space="preserve">яке </w:t>
      </w:r>
      <w:r w:rsidRPr="00CE0A20">
        <w:rPr>
          <w:rFonts w:ascii="Times New Roman" w:hAnsi="Times New Roman" w:cs="Times New Roman"/>
          <w:color w:val="000000" w:themeColor="text1"/>
          <w:sz w:val="28"/>
          <w:szCs w:val="28"/>
          <w:lang w:val="uk-UA"/>
        </w:rPr>
        <w:t>не вплива</w:t>
      </w:r>
      <w:r w:rsidR="00C4277A" w:rsidRPr="00CE0A20">
        <w:rPr>
          <w:rFonts w:ascii="Times New Roman" w:hAnsi="Times New Roman" w:cs="Times New Roman"/>
          <w:color w:val="000000" w:themeColor="text1"/>
          <w:sz w:val="28"/>
          <w:szCs w:val="28"/>
          <w:lang w:val="uk-UA"/>
        </w:rPr>
        <w:t>є</w:t>
      </w:r>
      <w:r w:rsidRPr="00CE0A20">
        <w:rPr>
          <w:rFonts w:ascii="Times New Roman" w:hAnsi="Times New Roman" w:cs="Times New Roman"/>
          <w:color w:val="000000" w:themeColor="text1"/>
          <w:sz w:val="28"/>
          <w:szCs w:val="28"/>
          <w:lang w:val="uk-UA"/>
        </w:rPr>
        <w:t xml:space="preserve"> на рівень гіперглікемії, що є ознакою її структурно-функціонального відновлення </w:t>
      </w:r>
      <w:r w:rsidRPr="00CE0A20">
        <w:rPr>
          <w:rFonts w:ascii="Times New Roman" w:eastAsia="Times New Roman" w:hAnsi="Times New Roman" w:cs="Times New Roman"/>
          <w:iCs/>
          <w:color w:val="000000" w:themeColor="text1"/>
          <w:sz w:val="28"/>
          <w:szCs w:val="28"/>
          <w:lang w:val="uk-UA"/>
        </w:rPr>
        <w:t>[</w:t>
      </w:r>
      <w:r w:rsidRPr="00CE0A20">
        <w:rPr>
          <w:rFonts w:ascii="Times New Roman" w:hAnsi="Times New Roman" w:cs="Times New Roman"/>
          <w:color w:val="000000" w:themeColor="text1"/>
          <w:sz w:val="28"/>
          <w:szCs w:val="28"/>
          <w:shd w:val="clear" w:color="auto" w:fill="FFFFFF"/>
          <w:lang w:val="uk-UA"/>
        </w:rPr>
        <w:t>49; 50</w:t>
      </w:r>
      <w:r w:rsidRPr="00CE0A20">
        <w:rPr>
          <w:rFonts w:ascii="Times New Roman" w:hAnsi="Times New Roman" w:cs="Times New Roman"/>
          <w:color w:val="000000" w:themeColor="text1"/>
          <w:sz w:val="28"/>
          <w:szCs w:val="28"/>
          <w:lang w:val="uk-UA"/>
        </w:rPr>
        <w:t>].</w:t>
      </w:r>
    </w:p>
    <w:p w:rsidR="00EB6EBC" w:rsidRPr="00CE0A20" w:rsidRDefault="00EB6EBC" w:rsidP="00EB6EBC">
      <w:pPr>
        <w:widowControl w:val="0"/>
        <w:autoSpaceDE w:val="0"/>
        <w:autoSpaceDN w:val="0"/>
        <w:adjustRightInd w:val="0"/>
        <w:spacing w:line="360" w:lineRule="auto"/>
        <w:ind w:firstLine="709"/>
        <w:jc w:val="both"/>
        <w:rPr>
          <w:rStyle w:val="element-citation"/>
          <w:rFonts w:ascii="Times New Roman" w:hAnsi="Times New Roman" w:cs="Times New Roman"/>
          <w:color w:val="000000" w:themeColor="text1"/>
          <w:sz w:val="28"/>
          <w:szCs w:val="28"/>
          <w:lang w:val="uk-UA"/>
        </w:rPr>
      </w:pPr>
      <w:r w:rsidRPr="00CE0A20">
        <w:rPr>
          <w:rStyle w:val="element-citation"/>
          <w:rFonts w:ascii="Times New Roman" w:hAnsi="Times New Roman" w:cs="Times New Roman"/>
          <w:color w:val="000000" w:themeColor="text1"/>
          <w:sz w:val="28"/>
          <w:szCs w:val="28"/>
          <w:lang w:val="uk-UA"/>
        </w:rPr>
        <w:t xml:space="preserve">Таким чином, існуючий експериментальний та клінічний досвід застосування клітинних технологій з метою відновлення рівня ендогенного тестостерону, свідчить про можливість застосування КСКМ при андрогенному дефіциті </w:t>
      </w:r>
      <w:r w:rsidR="00C4277A" w:rsidRPr="00CE0A20">
        <w:rPr>
          <w:rStyle w:val="element-citation"/>
          <w:rFonts w:ascii="Times New Roman" w:hAnsi="Times New Roman" w:cs="Times New Roman"/>
          <w:color w:val="000000" w:themeColor="text1"/>
          <w:sz w:val="28"/>
          <w:szCs w:val="28"/>
          <w:lang w:val="uk-UA"/>
        </w:rPr>
        <w:t>в</w:t>
      </w:r>
      <w:r w:rsidRPr="00CE0A20">
        <w:rPr>
          <w:rStyle w:val="element-citation"/>
          <w:rFonts w:ascii="Times New Roman" w:hAnsi="Times New Roman" w:cs="Times New Roman"/>
          <w:color w:val="000000" w:themeColor="text1"/>
          <w:sz w:val="28"/>
          <w:szCs w:val="28"/>
          <w:lang w:val="uk-UA"/>
        </w:rPr>
        <w:t xml:space="preserve"> чоловіків та про перспективність досліджень у цьому напрямку.</w:t>
      </w:r>
    </w:p>
    <w:p w:rsidR="007D08ED" w:rsidRPr="00CE0A20" w:rsidRDefault="007D08ED" w:rsidP="007D08ED">
      <w:pPr>
        <w:keepNext/>
        <w:spacing w:line="360" w:lineRule="auto"/>
        <w:jc w:val="center"/>
        <w:rPr>
          <w:rFonts w:ascii="Times New Roman" w:hAnsi="Times New Roman" w:cs="Times New Roman"/>
          <w:b/>
          <w:iCs/>
          <w:color w:val="000000" w:themeColor="text1"/>
          <w:sz w:val="28"/>
          <w:szCs w:val="28"/>
          <w:lang w:val="en-US"/>
        </w:rPr>
      </w:pPr>
    </w:p>
    <w:p w:rsidR="00EB6EBC" w:rsidRPr="00CE0A20" w:rsidRDefault="00EB6EBC" w:rsidP="007D08ED">
      <w:pPr>
        <w:keepNext/>
        <w:spacing w:line="360" w:lineRule="auto"/>
        <w:jc w:val="center"/>
        <w:rPr>
          <w:rFonts w:ascii="Times New Roman" w:hAnsi="Times New Roman" w:cs="Times New Roman"/>
          <w:b/>
          <w:iCs/>
          <w:color w:val="000000" w:themeColor="text1"/>
          <w:sz w:val="28"/>
          <w:szCs w:val="28"/>
          <w:lang w:val="uk-UA"/>
        </w:rPr>
      </w:pPr>
      <w:r w:rsidRPr="00CE0A20">
        <w:rPr>
          <w:rFonts w:ascii="Times New Roman" w:hAnsi="Times New Roman" w:cs="Times New Roman"/>
          <w:b/>
          <w:iCs/>
          <w:color w:val="000000" w:themeColor="text1"/>
          <w:sz w:val="28"/>
          <w:szCs w:val="28"/>
          <w:lang w:val="uk-UA"/>
        </w:rPr>
        <w:t>Резюме</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Аналіз публікацій, присвячених ЕД та гіпогонадизму у чоловіків, свідчить про велику актуальність цієї патології для сучасного людства, яка не обмежується тільки розладами сексуальної та репродуктивної функцій, але й значно погіршує якість життя чоловіків та є причиною або наслідком багатьох захворювань. «Омолодження» цієї патології є однією з причин зменшення народжуваності, що надає проблеми соціального значення. </w:t>
      </w:r>
    </w:p>
    <w:p w:rsidR="00EB6EBC" w:rsidRPr="00CE0A20" w:rsidRDefault="00EB6EBC" w:rsidP="00EB6EBC">
      <w:pPr>
        <w:tabs>
          <w:tab w:val="left" w:pos="403"/>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На цей час «золотим стандартом» лікування ЕД є застосування інгібіторів ФДЕ-5, які </w:t>
      </w:r>
      <w:r w:rsidR="00E64606" w:rsidRPr="00CE0A20">
        <w:rPr>
          <w:rFonts w:ascii="Times New Roman" w:hAnsi="Times New Roman" w:cs="Times New Roman"/>
          <w:color w:val="000000" w:themeColor="text1"/>
          <w:sz w:val="28"/>
          <w:szCs w:val="28"/>
          <w:lang w:val="uk-UA"/>
        </w:rPr>
        <w:t>продемонстрували</w:t>
      </w:r>
      <w:r w:rsidRPr="00CE0A20">
        <w:rPr>
          <w:rFonts w:ascii="Times New Roman" w:hAnsi="Times New Roman" w:cs="Times New Roman"/>
          <w:color w:val="000000" w:themeColor="text1"/>
          <w:sz w:val="28"/>
          <w:szCs w:val="28"/>
          <w:lang w:val="uk-UA"/>
        </w:rPr>
        <w:t xml:space="preserve"> не тільки високу ефективність, але й безпечність. Але </w:t>
      </w:r>
      <w:r w:rsidR="00E64606"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чоловіків з наявним дефіцитом тестостерону ефективність монотерапії цими препаратами </w:t>
      </w:r>
      <w:r w:rsidR="00E64606" w:rsidRPr="00CE0A20">
        <w:rPr>
          <w:rFonts w:ascii="Times New Roman" w:hAnsi="Times New Roman" w:cs="Times New Roman"/>
          <w:color w:val="000000" w:themeColor="text1"/>
          <w:sz w:val="28"/>
          <w:szCs w:val="28"/>
          <w:lang w:val="uk-UA"/>
        </w:rPr>
        <w:t>част</w:t>
      </w:r>
      <w:r w:rsidRPr="00CE0A20">
        <w:rPr>
          <w:rFonts w:ascii="Times New Roman" w:hAnsi="Times New Roman" w:cs="Times New Roman"/>
          <w:color w:val="000000" w:themeColor="text1"/>
          <w:sz w:val="28"/>
          <w:szCs w:val="28"/>
          <w:lang w:val="uk-UA"/>
        </w:rPr>
        <w:t xml:space="preserve">о низька. </w:t>
      </w:r>
      <w:r w:rsidR="00E64606"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цих випадках необхідний ефект досягається застосуванням інгібіторів ФДЕ-5 у поєднанні з ГЗТ тестостероном. ГЗТ є необхідною з метою корекції андрогенного дефіциту, який є причиною та наслідком багатьох захворювань, зокрема, ЦД, метаболічного синдрому та ожиріння.</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Застосування екзогенного тестостерону для відновлення його рівня при андроген-дефіцитних станах є досить ефективним, але цей метод має певні недоліки та обмеження. Слід також </w:t>
      </w:r>
      <w:r w:rsidR="009B267B"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раховувати, що застосування ГЗТ має багато протипоказань, </w:t>
      </w:r>
      <w:r w:rsidR="009B267B" w:rsidRPr="00CE0A20">
        <w:rPr>
          <w:rFonts w:ascii="Times New Roman" w:hAnsi="Times New Roman" w:cs="Times New Roman"/>
          <w:color w:val="000000" w:themeColor="text1"/>
          <w:sz w:val="28"/>
          <w:szCs w:val="28"/>
          <w:lang w:val="uk-UA"/>
        </w:rPr>
        <w:t>потребу</w:t>
      </w:r>
      <w:r w:rsidRPr="00CE0A20">
        <w:rPr>
          <w:rFonts w:ascii="Times New Roman" w:hAnsi="Times New Roman" w:cs="Times New Roman"/>
          <w:color w:val="000000" w:themeColor="text1"/>
          <w:sz w:val="28"/>
          <w:szCs w:val="28"/>
          <w:lang w:val="uk-UA"/>
        </w:rPr>
        <w:t>є здійснення моніторингу. Крім цього, виходячи з механізмів формування основного джерела тестостерону в організмі здорової людини – клітин Лейдіга, введення екзогенного тестосторону в умовах патології буде пригнічувати формування нових клітин Лейдіга на заміну ушкоджених</w:t>
      </w:r>
      <w:r w:rsidR="009B267B"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r w:rsidR="009B267B" w:rsidRPr="00CE0A20">
        <w:rPr>
          <w:rFonts w:ascii="Times New Roman" w:hAnsi="Times New Roman" w:cs="Times New Roman"/>
          <w:color w:val="000000" w:themeColor="text1"/>
          <w:sz w:val="28"/>
          <w:szCs w:val="28"/>
          <w:lang w:val="uk-UA"/>
        </w:rPr>
        <w:t>т</w:t>
      </w:r>
      <w:r w:rsidRPr="00CE0A20">
        <w:rPr>
          <w:rFonts w:ascii="Times New Roman" w:hAnsi="Times New Roman" w:cs="Times New Roman"/>
          <w:color w:val="000000" w:themeColor="text1"/>
          <w:sz w:val="28"/>
          <w:szCs w:val="28"/>
          <w:lang w:val="uk-UA"/>
        </w:rPr>
        <w:t>обто ГЗТ завдяки збільшенню концентрації тестостостерону у крові ліквідує наслідки патології – андрогенний дефіцит, але не сприяє відновленню клітин Лейд</w:t>
      </w:r>
      <w:r w:rsidR="009B267B"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га. Більш виправданими є клітинні технології, спрямовані на відновлення популяції клітин Лейдіга, </w:t>
      </w:r>
      <w:r w:rsidR="009B267B" w:rsidRPr="00CE0A20">
        <w:rPr>
          <w:rFonts w:ascii="Times New Roman" w:hAnsi="Times New Roman" w:cs="Times New Roman"/>
          <w:color w:val="000000" w:themeColor="text1"/>
          <w:sz w:val="28"/>
          <w:szCs w:val="28"/>
          <w:lang w:val="uk-UA"/>
        </w:rPr>
        <w:t>які ґрунтуються</w:t>
      </w:r>
      <w:r w:rsidRPr="00CE0A20">
        <w:rPr>
          <w:rFonts w:ascii="Times New Roman" w:hAnsi="Times New Roman" w:cs="Times New Roman"/>
          <w:color w:val="000000" w:themeColor="text1"/>
          <w:sz w:val="28"/>
          <w:szCs w:val="28"/>
          <w:lang w:val="uk-UA"/>
        </w:rPr>
        <w:t xml:space="preserve"> на застосуванні КСКМ.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en-US"/>
        </w:rPr>
      </w:pPr>
      <w:r w:rsidRPr="00CE0A20">
        <w:rPr>
          <w:rFonts w:ascii="Times New Roman" w:hAnsi="Times New Roman" w:cs="Times New Roman"/>
          <w:color w:val="000000" w:themeColor="text1"/>
          <w:sz w:val="28"/>
          <w:szCs w:val="28"/>
          <w:lang w:val="uk-UA"/>
        </w:rPr>
        <w:t xml:space="preserve">Виходячи з відомих механізмів утворення та розвитку клітин Лейдіга, застосування КСКМ є перспективним напрямком лікування пацієнтів з гіпогонадизмом, а у поєднанні із застосуванням інгібіторів ФДЕ-5 може бути ефективним для лікування ЕД, у тому числі, у пацієнтів з ЦД та з іншими андроген-дефіцитними станами. </w:t>
      </w:r>
    </w:p>
    <w:p w:rsidR="007D08ED" w:rsidRPr="00CE0A20" w:rsidRDefault="007D08ED" w:rsidP="007D08ED">
      <w:pPr>
        <w:pStyle w:val="af5"/>
        <w:tabs>
          <w:tab w:val="left" w:pos="1180"/>
          <w:tab w:val="center" w:pos="5039"/>
        </w:tabs>
        <w:ind w:right="-5"/>
        <w:rPr>
          <w:b/>
          <w:bCs/>
          <w:lang w:val="en-US"/>
        </w:rPr>
      </w:pPr>
    </w:p>
    <w:p w:rsidR="007D08ED" w:rsidRPr="00CE0A20" w:rsidRDefault="007D08ED" w:rsidP="007D08ED">
      <w:pPr>
        <w:pStyle w:val="af5"/>
        <w:tabs>
          <w:tab w:val="left" w:pos="1180"/>
          <w:tab w:val="center" w:pos="5039"/>
        </w:tabs>
        <w:ind w:right="-5"/>
        <w:rPr>
          <w:b/>
          <w:bCs/>
          <w:lang w:val="uk-UA"/>
        </w:rPr>
      </w:pPr>
      <w:r w:rsidRPr="00CE0A20">
        <w:rPr>
          <w:b/>
          <w:bCs/>
        </w:rPr>
        <w:t>Список праць, опублікованих за темою розд</w:t>
      </w:r>
      <w:r w:rsidRPr="00CE0A20">
        <w:rPr>
          <w:b/>
          <w:bCs/>
          <w:lang w:val="uk-UA"/>
        </w:rPr>
        <w:t>і</w:t>
      </w:r>
      <w:r w:rsidRPr="00CE0A20">
        <w:rPr>
          <w:b/>
          <w:bCs/>
        </w:rPr>
        <w:t>лу дисертації</w:t>
      </w:r>
      <w:r w:rsidRPr="00CE0A20">
        <w:rPr>
          <w:b/>
          <w:bCs/>
          <w:lang w:val="uk-UA"/>
        </w:rPr>
        <w:t>:</w:t>
      </w:r>
    </w:p>
    <w:p w:rsidR="00B62E59" w:rsidRPr="00CE0A20" w:rsidRDefault="00B62E59" w:rsidP="007D08ED">
      <w:pPr>
        <w:pStyle w:val="a3"/>
        <w:numPr>
          <w:ilvl w:val="0"/>
          <w:numId w:val="39"/>
        </w:numPr>
        <w:spacing w:after="100" w:line="276" w:lineRule="auto"/>
        <w:contextualSpacing/>
        <w:jc w:val="both"/>
        <w:rPr>
          <w:rFonts w:ascii="Times New Roman" w:hAnsi="Times New Roman" w:cs="Times New Roman"/>
        </w:rPr>
      </w:pPr>
      <w:r w:rsidRPr="00CE0A20">
        <w:rPr>
          <w:rFonts w:ascii="Times New Roman" w:hAnsi="Times New Roman" w:cs="Times New Roman"/>
        </w:rPr>
        <w:t>Антонян ИМ, Хвисюк АН. О становлении трансплантологии в Украине: юридические аспекты. Международный медицинский журнал. 2005; 2:148-151. (Здобувач вивчив дані сучасної світової літератури, проаналізував і провів узагальнення отриманих даних, підготував статтю до друку).</w:t>
      </w:r>
    </w:p>
    <w:p w:rsidR="00B62E59" w:rsidRPr="00CE0A20" w:rsidRDefault="00B62E59" w:rsidP="007D08ED">
      <w:pPr>
        <w:pStyle w:val="a3"/>
        <w:numPr>
          <w:ilvl w:val="0"/>
          <w:numId w:val="39"/>
        </w:numPr>
        <w:spacing w:after="100" w:line="276" w:lineRule="auto"/>
        <w:contextualSpacing/>
        <w:jc w:val="both"/>
        <w:rPr>
          <w:rFonts w:ascii="Times New Roman" w:hAnsi="Times New Roman" w:cs="Times New Roman"/>
        </w:rPr>
      </w:pPr>
      <w:r w:rsidRPr="00CE0A20">
        <w:rPr>
          <w:rFonts w:ascii="Times New Roman" w:hAnsi="Times New Roman" w:cs="Times New Roman"/>
        </w:rPr>
        <w:t>Антонян ИМ, Хвисюк АН, Микулинский ЮЕ, Антонян МИ Трансплантология: история и современность. Проблеми медичної науки та освіти.  2005;2:67-70. (Здобувач вивчив дані сучасної світової літератури, проаналізував і провів узагальнення отриманих даних, підготував статтю до друку).</w:t>
      </w:r>
    </w:p>
    <w:p w:rsidR="00B62E59" w:rsidRPr="00CE0A20" w:rsidRDefault="00B62E59" w:rsidP="007D08ED">
      <w:pPr>
        <w:pStyle w:val="a3"/>
        <w:numPr>
          <w:ilvl w:val="0"/>
          <w:numId w:val="39"/>
        </w:numPr>
        <w:spacing w:after="100" w:line="276" w:lineRule="auto"/>
        <w:contextualSpacing/>
        <w:jc w:val="both"/>
        <w:rPr>
          <w:rFonts w:ascii="Times New Roman" w:hAnsi="Times New Roman" w:cs="Times New Roman"/>
        </w:rPr>
      </w:pPr>
      <w:r w:rsidRPr="00CE0A20">
        <w:rPr>
          <w:rFonts w:ascii="Times New Roman" w:hAnsi="Times New Roman" w:cs="Times New Roman"/>
        </w:rPr>
        <w:t>Антонян ИМ. Регенерационная медицина: проблемы и решения. Харківська хірургічна школа. 2005; 3 (18):82-85.</w:t>
      </w:r>
    </w:p>
    <w:p w:rsidR="00B62E59" w:rsidRPr="00CE0A20" w:rsidRDefault="00B62E59" w:rsidP="007D08ED">
      <w:pPr>
        <w:pStyle w:val="a3"/>
        <w:numPr>
          <w:ilvl w:val="0"/>
          <w:numId w:val="39"/>
        </w:numPr>
        <w:spacing w:after="100" w:line="276" w:lineRule="auto"/>
        <w:contextualSpacing/>
        <w:jc w:val="both"/>
        <w:rPr>
          <w:rFonts w:ascii="Times New Roman" w:hAnsi="Times New Roman" w:cs="Times New Roman"/>
        </w:rPr>
      </w:pPr>
      <w:r w:rsidRPr="00CE0A20">
        <w:rPr>
          <w:rFonts w:ascii="Times New Roman" w:hAnsi="Times New Roman" w:cs="Times New Roman"/>
          <w:shd w:val="clear" w:color="auto" w:fill="FFFFFF"/>
        </w:rPr>
        <w:t xml:space="preserve">Антонян И.М., Хвисюк А.Н. Сегодня и завтра регенерационно-клеточной медицины. </w:t>
      </w:r>
      <w:r w:rsidRPr="00CE0A20">
        <w:rPr>
          <w:rFonts w:ascii="Times New Roman" w:hAnsi="Times New Roman" w:cs="Times New Roman"/>
          <w:bCs/>
          <w:shd w:val="clear" w:color="auto" w:fill="FFFFFF"/>
        </w:rPr>
        <w:t xml:space="preserve">Дерматовенерология, косметология, сексопатология. </w:t>
      </w:r>
      <w:r w:rsidRPr="00CE0A20">
        <w:rPr>
          <w:rFonts w:ascii="Times New Roman" w:hAnsi="Times New Roman" w:cs="Times New Roman"/>
          <w:shd w:val="clear" w:color="auto" w:fill="FFFFFF"/>
        </w:rPr>
        <w:t> </w:t>
      </w:r>
      <w:r w:rsidRPr="00CE0A20">
        <w:rPr>
          <w:rFonts w:ascii="Times New Roman" w:hAnsi="Times New Roman" w:cs="Times New Roman"/>
          <w:bCs/>
          <w:shd w:val="clear" w:color="auto" w:fill="FFFFFF"/>
        </w:rPr>
        <w:t xml:space="preserve">2005; 1/2: </w:t>
      </w:r>
      <w:r w:rsidRPr="00CE0A20">
        <w:rPr>
          <w:rFonts w:ascii="Times New Roman" w:hAnsi="Times New Roman" w:cs="Times New Roman"/>
          <w:shd w:val="clear" w:color="auto" w:fill="FFFFFF"/>
        </w:rPr>
        <w:t xml:space="preserve">201-204. </w:t>
      </w:r>
      <w:r w:rsidRPr="00CE0A20">
        <w:rPr>
          <w:rFonts w:ascii="Times New Roman" w:hAnsi="Times New Roman" w:cs="Times New Roman"/>
        </w:rPr>
        <w:t>(Здобувач вивчив дані сучасної світової літератури, проаналізував і провів узагальнення отриманих даних, підготував статтю до друку).</w:t>
      </w:r>
    </w:p>
    <w:p w:rsidR="001F2609" w:rsidRPr="00CE0A20" w:rsidRDefault="001F2609" w:rsidP="007D08ED">
      <w:pPr>
        <w:keepLines/>
        <w:numPr>
          <w:ilvl w:val="0"/>
          <w:numId w:val="39"/>
        </w:numPr>
        <w:tabs>
          <w:tab w:val="left" w:pos="1276"/>
        </w:tabs>
        <w:spacing w:line="276" w:lineRule="auto"/>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Грищенко ВІ, Прокопюк ОС, Антонян ІМ, Лазуренко ВВ. Спосіб лікування еректильної дисфункції. Деклараційний патент на корисну модель  №3777 Опубл.: Бюл. № 12 від 15.12.2004 </w:t>
      </w:r>
    </w:p>
    <w:p w:rsidR="00EB6EBC" w:rsidRPr="00CE0A20" w:rsidRDefault="00EB6EBC" w:rsidP="00EB6EBC">
      <w:pPr>
        <w:spacing w:after="200" w:line="276" w:lineRule="auto"/>
        <w:jc w:val="center"/>
        <w:rPr>
          <w:rFonts w:ascii="Times New Roman" w:hAnsi="Times New Roman" w:cs="Times New Roman"/>
          <w:b/>
          <w:bCs/>
          <w:color w:val="000000" w:themeColor="text1"/>
          <w:sz w:val="28"/>
          <w:szCs w:val="28"/>
          <w:lang w:val="uk-UA"/>
        </w:rPr>
      </w:pPr>
      <w:r w:rsidRPr="00CE0A20">
        <w:rPr>
          <w:rFonts w:ascii="Times New Roman" w:hAnsi="Times New Roman" w:cs="Times New Roman"/>
          <w:color w:val="000000" w:themeColor="text1"/>
          <w:sz w:val="28"/>
          <w:szCs w:val="28"/>
          <w:lang w:val="uk-UA"/>
        </w:rPr>
        <w:br w:type="page"/>
      </w:r>
      <w:r w:rsidR="007D08ED" w:rsidRPr="00CE0A20">
        <w:rPr>
          <w:rFonts w:ascii="Times New Roman" w:hAnsi="Times New Roman" w:cs="Times New Roman"/>
          <w:b/>
          <w:bCs/>
          <w:color w:val="000000" w:themeColor="text1"/>
          <w:sz w:val="28"/>
          <w:szCs w:val="28"/>
          <w:lang w:val="uk-UA"/>
        </w:rPr>
        <w:t>Розділ 2</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b/>
          <w:bCs/>
          <w:color w:val="000000" w:themeColor="text1"/>
          <w:sz w:val="28"/>
          <w:szCs w:val="28"/>
          <w:lang w:val="uk-UA"/>
        </w:rPr>
      </w:pPr>
      <w:r w:rsidRPr="00CE0A20">
        <w:rPr>
          <w:rFonts w:ascii="Times New Roman" w:hAnsi="Times New Roman" w:cs="Times New Roman"/>
          <w:b/>
          <w:bCs/>
          <w:color w:val="000000" w:themeColor="text1"/>
          <w:sz w:val="28"/>
          <w:szCs w:val="28"/>
          <w:lang w:val="uk-UA"/>
        </w:rPr>
        <w:t>МАТЕРІАЛИ ТА МЕТОДИ ДОСЛІДЖЕНЬ</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Клітинна терапія із застосуванням КСКМ є відносно новим методом лікування, тому дослідження включало експериментальний етап з подальшою клінічною апробацією (рис. 2.1).</w:t>
      </w:r>
    </w:p>
    <w:p w:rsidR="00EB6EBC" w:rsidRPr="00CE0A20" w:rsidRDefault="00EB6EBC" w:rsidP="00EB6EBC">
      <w:pP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g">
            <w:drawing>
              <wp:anchor distT="0" distB="0" distL="114300" distR="114300" simplePos="0" relativeHeight="251659264" behindDoc="0" locked="0" layoutInCell="1" allowOverlap="1" wp14:anchorId="60546D47" wp14:editId="21F12C97">
                <wp:simplePos x="0" y="0"/>
                <wp:positionH relativeFrom="column">
                  <wp:posOffset>206405</wp:posOffset>
                </wp:positionH>
                <wp:positionV relativeFrom="paragraph">
                  <wp:posOffset>34881</wp:posOffset>
                </wp:positionV>
                <wp:extent cx="5305426" cy="6851085"/>
                <wp:effectExtent l="0" t="0" r="9525" b="698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05426" cy="6851085"/>
                          <a:chOff x="0" y="0"/>
                          <a:chExt cx="5566431" cy="6849394"/>
                        </a:xfrm>
                      </wpg:grpSpPr>
                      <wps:wsp>
                        <wps:cNvPr id="10" name="Прямая со стрелкой 183"/>
                        <wps:cNvCnPr>
                          <a:cxnSpLocks noChangeShapeType="1"/>
                        </wps:cNvCnPr>
                        <wps:spPr bwMode="auto">
                          <a:xfrm>
                            <a:off x="1223159" y="3633849"/>
                            <a:ext cx="0" cy="27622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 name="Поле 175"/>
                        <wps:cNvSpPr txBox="1">
                          <a:spLocks noChangeArrowheads="1"/>
                        </wps:cNvSpPr>
                        <wps:spPr bwMode="auto">
                          <a:xfrm>
                            <a:off x="332510" y="961945"/>
                            <a:ext cx="1891665" cy="689953"/>
                          </a:xfrm>
                          <a:prstGeom prst="rect">
                            <a:avLst/>
                          </a:prstGeom>
                          <a:solidFill>
                            <a:srgbClr val="FFFFFF"/>
                          </a:solidFill>
                          <a:ln w="6350">
                            <a:solidFill>
                              <a:srgbClr val="000000"/>
                            </a:solidFill>
                            <a:miter lim="800000"/>
                            <a:headEnd/>
                            <a:tailEnd/>
                          </a:ln>
                        </wps:spPr>
                        <wps:txbx>
                          <w:txbxContent>
                            <w:p w:rsidR="000F6151" w:rsidRPr="00C23CC0" w:rsidRDefault="000F6151" w:rsidP="00EB6EBC">
                              <w:pPr>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Експериментальне дослідження (314 тварин)</w:t>
                              </w:r>
                            </w:p>
                          </w:txbxContent>
                        </wps:txbx>
                        <wps:bodyPr rot="0" vert="horz" wrap="square" lIns="91440" tIns="45720" rIns="91440" bIns="45720" anchor="t" anchorCtr="0" upright="1">
                          <a:noAutofit/>
                        </wps:bodyPr>
                      </wps:wsp>
                      <wps:wsp>
                        <wps:cNvPr id="3" name="Поле 176"/>
                        <wps:cNvSpPr txBox="1">
                          <a:spLocks noChangeArrowheads="1"/>
                        </wps:cNvSpPr>
                        <wps:spPr bwMode="auto">
                          <a:xfrm>
                            <a:off x="23751" y="5393313"/>
                            <a:ext cx="2551430" cy="144589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6"/>
                              </w:tblGrid>
                              <w:tr w:rsidR="000F6151" w:rsidTr="00BD47C6">
                                <w:trPr>
                                  <w:trHeight w:val="1406"/>
                                </w:trPr>
                                <w:tc>
                                  <w:tcPr>
                                    <w:tcW w:w="3935" w:type="dxa"/>
                                    <w:shd w:val="clear" w:color="auto" w:fill="auto"/>
                                  </w:tcPr>
                                  <w:p w:rsidR="000F6151" w:rsidRPr="008252F1" w:rsidRDefault="000F6151" w:rsidP="00BD47C6">
                                    <w:pPr>
                                      <w:ind w:left="284" w:hanging="284"/>
                                      <w:jc w:val="center"/>
                                      <w:rPr>
                                        <w:rFonts w:ascii="Times New Roman" w:hAnsi="Times New Roman" w:cs="Times New Roman"/>
                                        <w:lang w:val="uk-UA"/>
                                      </w:rPr>
                                    </w:pPr>
                                    <w:r w:rsidRPr="008252F1">
                                      <w:rPr>
                                        <w:rFonts w:ascii="Times New Roman" w:hAnsi="Times New Roman" w:cs="Times New Roman"/>
                                        <w:lang w:val="uk-UA"/>
                                      </w:rPr>
                                      <w:t>Найближчі результати:</w:t>
                                    </w:r>
                                  </w:p>
                                  <w:p w:rsidR="000F6151" w:rsidRPr="008252F1" w:rsidRDefault="000F6151" w:rsidP="00BD47C6">
                                    <w:pPr>
                                      <w:ind w:left="284" w:hanging="284"/>
                                      <w:rPr>
                                        <w:rFonts w:ascii="Times New Roman" w:hAnsi="Times New Roman" w:cs="Times New Roman"/>
                                      </w:rPr>
                                    </w:pPr>
                                    <w:r w:rsidRPr="008252F1">
                                      <w:rPr>
                                        <w:rFonts w:ascii="Times New Roman" w:hAnsi="Times New Roman" w:cs="Times New Roman"/>
                                        <w:lang w:val="uk-UA"/>
                                      </w:rPr>
                                      <w:t xml:space="preserve">1. Динаміка копулятивної поведінки </w:t>
                                    </w:r>
                                  </w:p>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2. Оцінка біохімічних показників</w:t>
                                    </w:r>
                                  </w:p>
                                  <w:p w:rsidR="000F6151" w:rsidRPr="008252F1" w:rsidRDefault="000F6151" w:rsidP="00BD47C6">
                                    <w:pPr>
                                      <w:ind w:left="284" w:hanging="284"/>
                                      <w:rPr>
                                        <w:rFonts w:ascii="Times New Roman" w:hAnsi="Times New Roman" w:cs="Times New Roman"/>
                                      </w:rPr>
                                    </w:pPr>
                                    <w:r w:rsidRPr="008252F1">
                                      <w:rPr>
                                        <w:rFonts w:ascii="Times New Roman" w:hAnsi="Times New Roman" w:cs="Times New Roman"/>
                                        <w:lang w:val="uk-UA"/>
                                      </w:rPr>
                                      <w:t>3. Трекінг КСКМ</w:t>
                                    </w:r>
                                  </w:p>
                                </w:tc>
                              </w:tr>
                              <w:tr w:rsidR="000F6151" w:rsidTr="00BD47C6">
                                <w:tc>
                                  <w:tcPr>
                                    <w:tcW w:w="3935"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Віддалений результат:</w:t>
                                    </w:r>
                                  </w:p>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оцінка небажаних явищ</w:t>
                                    </w:r>
                                  </w:p>
                                </w:tc>
                              </w:tr>
                            </w:tbl>
                            <w:p w:rsidR="000F6151" w:rsidRDefault="000F6151" w:rsidP="00EB6EBC"/>
                          </w:txbxContent>
                        </wps:txbx>
                        <wps:bodyPr rot="0" vert="horz" wrap="square" lIns="91440" tIns="45720" rIns="91440" bIns="45720" anchor="t" anchorCtr="0" upright="1">
                          <a:noAutofit/>
                        </wps:bodyPr>
                      </wps:wsp>
                      <wps:wsp>
                        <wps:cNvPr id="4" name="Поле 177"/>
                        <wps:cNvSpPr txBox="1">
                          <a:spLocks noChangeArrowheads="1"/>
                        </wps:cNvSpPr>
                        <wps:spPr bwMode="auto">
                          <a:xfrm>
                            <a:off x="23751" y="2951274"/>
                            <a:ext cx="2551430" cy="85501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1878"/>
                              </w:tblGrid>
                              <w:tr w:rsidR="000F6151" w:rsidTr="00BD47C6">
                                <w:tc>
                                  <w:tcPr>
                                    <w:tcW w:w="3935" w:type="dxa"/>
                                    <w:gridSpan w:val="2"/>
                                    <w:shd w:val="clear" w:color="auto" w:fill="auto"/>
                                  </w:tcPr>
                                  <w:p w:rsidR="000F6151" w:rsidRPr="008252F1" w:rsidRDefault="000F6151" w:rsidP="00BD47C6">
                                    <w:pPr>
                                      <w:jc w:val="center"/>
                                      <w:rPr>
                                        <w:rFonts w:ascii="Times New Roman" w:hAnsi="Times New Roman" w:cs="Times New Roman"/>
                                        <w:sz w:val="28"/>
                                        <w:szCs w:val="28"/>
                                      </w:rPr>
                                    </w:pPr>
                                    <w:r w:rsidRPr="008252F1">
                                      <w:rPr>
                                        <w:rFonts w:ascii="Times New Roman" w:hAnsi="Times New Roman" w:cs="Times New Roman"/>
                                        <w:sz w:val="28"/>
                                        <w:szCs w:val="28"/>
                                        <w:lang w:val="uk-UA"/>
                                      </w:rPr>
                                      <w:t>Оцінка ЕАД</w:t>
                                    </w:r>
                                  </w:p>
                                </w:tc>
                              </w:tr>
                              <w:tr w:rsidR="000F6151" w:rsidTr="00BD47C6">
                                <w:tc>
                                  <w:tcPr>
                                    <w:tcW w:w="1967"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загально-токсичний ефект</w:t>
                                    </w:r>
                                  </w:p>
                                </w:tc>
                                <w:tc>
                                  <w:tcPr>
                                    <w:tcW w:w="1968"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гонадо-токсичний ефект</w:t>
                                    </w:r>
                                  </w:p>
                                </w:tc>
                              </w:tr>
                            </w:tbl>
                            <w:p w:rsidR="000F6151" w:rsidRDefault="000F6151" w:rsidP="00EB6EBC"/>
                          </w:txbxContent>
                        </wps:txbx>
                        <wps:bodyPr rot="0" vert="horz" wrap="square" lIns="91440" tIns="45720" rIns="91440" bIns="45720" anchor="t" anchorCtr="0" upright="1">
                          <a:noAutofit/>
                        </wps:bodyPr>
                      </wps:wsp>
                      <wps:wsp>
                        <wps:cNvPr id="5" name="Поле 178"/>
                        <wps:cNvSpPr txBox="1">
                          <a:spLocks noChangeArrowheads="1"/>
                        </wps:cNvSpPr>
                        <wps:spPr bwMode="auto">
                          <a:xfrm>
                            <a:off x="0" y="3912632"/>
                            <a:ext cx="2551430" cy="132905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7"/>
                                <w:gridCol w:w="636"/>
                                <w:gridCol w:w="636"/>
                                <w:gridCol w:w="606"/>
                                <w:gridCol w:w="636"/>
                                <w:gridCol w:w="636"/>
                              </w:tblGrid>
                              <w:tr w:rsidR="000F6151" w:rsidTr="00BD47C6">
                                <w:tc>
                                  <w:tcPr>
                                    <w:tcW w:w="3935" w:type="dxa"/>
                                    <w:gridSpan w:val="6"/>
                                    <w:shd w:val="clear" w:color="auto" w:fill="auto"/>
                                  </w:tcPr>
                                  <w:p w:rsidR="000F6151" w:rsidRPr="008252F1" w:rsidRDefault="000F6151" w:rsidP="009B267B">
                                    <w:pPr>
                                      <w:jc w:val="center"/>
                                      <w:rPr>
                                        <w:rFonts w:ascii="Times New Roman" w:hAnsi="Times New Roman" w:cs="Times New Roman"/>
                                        <w:sz w:val="28"/>
                                        <w:szCs w:val="28"/>
                                      </w:rPr>
                                    </w:pPr>
                                    <w:r w:rsidRPr="008252F1">
                                      <w:rPr>
                                        <w:rFonts w:ascii="Times New Roman" w:hAnsi="Times New Roman" w:cs="Times New Roman"/>
                                        <w:sz w:val="28"/>
                                        <w:szCs w:val="28"/>
                                        <w:lang w:val="uk-UA"/>
                                      </w:rPr>
                                      <w:t>Об</w:t>
                                    </w:r>
                                    <w:r>
                                      <w:rPr>
                                        <w:rFonts w:ascii="Times New Roman" w:hAnsi="Times New Roman" w:cs="Times New Roman"/>
                                        <w:sz w:val="28"/>
                                        <w:szCs w:val="28"/>
                                        <w:lang w:val="uk-UA"/>
                                      </w:rPr>
                                      <w:t>ґ</w:t>
                                    </w:r>
                                    <w:r w:rsidRPr="008252F1">
                                      <w:rPr>
                                        <w:rFonts w:ascii="Times New Roman" w:hAnsi="Times New Roman" w:cs="Times New Roman"/>
                                        <w:sz w:val="28"/>
                                        <w:szCs w:val="28"/>
                                        <w:lang w:val="uk-UA"/>
                                      </w:rPr>
                                      <w:t>рунтування оптимальної дози КСКМ</w:t>
                                    </w:r>
                                  </w:p>
                                </w:tc>
                              </w:tr>
                              <w:tr w:rsidR="000F6151" w:rsidTr="00BD47C6">
                                <w:tc>
                                  <w:tcPr>
                                    <w:tcW w:w="1967" w:type="dxa"/>
                                    <w:gridSpan w:val="3"/>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Однобічне введення</w:t>
                                    </w:r>
                                  </w:p>
                                </w:tc>
                                <w:tc>
                                  <w:tcPr>
                                    <w:tcW w:w="1968" w:type="dxa"/>
                                    <w:gridSpan w:val="3"/>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Двобічне введення</w:t>
                                    </w:r>
                                  </w:p>
                                </w:tc>
                              </w:tr>
                              <w:tr w:rsidR="000F6151" w:rsidTr="00BD47C6">
                                <w:tc>
                                  <w:tcPr>
                                    <w:tcW w:w="655"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80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100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200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80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100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200</w:t>
                                    </w:r>
                                  </w:p>
                                </w:tc>
                              </w:tr>
                              <w:tr w:rsidR="000F6151" w:rsidTr="00BD47C6">
                                <w:tc>
                                  <w:tcPr>
                                    <w:tcW w:w="3935" w:type="dxa"/>
                                    <w:gridSpan w:val="6"/>
                                    <w:shd w:val="clear" w:color="auto" w:fill="auto"/>
                                  </w:tcPr>
                                  <w:p w:rsidR="000F6151" w:rsidRPr="008252F1" w:rsidRDefault="000F6151" w:rsidP="00BD47C6">
                                    <w:pPr>
                                      <w:rPr>
                                        <w:rFonts w:ascii="Times New Roman" w:hAnsi="Times New Roman" w:cs="Times New Roman"/>
                                        <w:lang w:val="uk-UA"/>
                                      </w:rPr>
                                    </w:pPr>
                                    <w:r w:rsidRPr="008252F1">
                                      <w:rPr>
                                        <w:rFonts w:ascii="Times New Roman" w:hAnsi="Times New Roman" w:cs="Times New Roman"/>
                                        <w:lang w:val="uk-UA"/>
                                      </w:rPr>
                                      <w:t>тис. КСКМ інтратестикулярно</w:t>
                                    </w:r>
                                  </w:p>
                                </w:tc>
                              </w:tr>
                            </w:tbl>
                            <w:p w:rsidR="000F6151" w:rsidRDefault="000F6151" w:rsidP="00EB6EBC"/>
                          </w:txbxContent>
                        </wps:txbx>
                        <wps:bodyPr rot="0" vert="horz" wrap="square" lIns="91440" tIns="45720" rIns="91440" bIns="45720" anchor="t" anchorCtr="0" upright="1">
                          <a:noAutofit/>
                        </wps:bodyPr>
                      </wps:wsp>
                      <wps:wsp>
                        <wps:cNvPr id="6" name="Поле 179"/>
                        <wps:cNvSpPr txBox="1">
                          <a:spLocks noChangeArrowheads="1"/>
                        </wps:cNvSpPr>
                        <wps:spPr bwMode="auto">
                          <a:xfrm>
                            <a:off x="2766836" y="2232194"/>
                            <a:ext cx="2799595" cy="3128564"/>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tbl>
                              <w:tblPr>
                                <w:tblW w:w="4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2126"/>
                              </w:tblGrid>
                              <w:tr w:rsidR="000F6151" w:rsidTr="00BD47C6">
                                <w:trPr>
                                  <w:trHeight w:val="420"/>
                                </w:trPr>
                                <w:tc>
                                  <w:tcPr>
                                    <w:tcW w:w="1951" w:type="dxa"/>
                                    <w:shd w:val="clear" w:color="auto" w:fill="auto"/>
                                  </w:tcPr>
                                  <w:p w:rsidR="000F6151" w:rsidRPr="008252F1" w:rsidRDefault="000F6151" w:rsidP="00BD47C6">
                                    <w:pPr>
                                      <w:jc w:val="center"/>
                                      <w:rPr>
                                        <w:rFonts w:ascii="Times New Roman" w:hAnsi="Times New Roman" w:cs="Times New Roman"/>
                                        <w:sz w:val="28"/>
                                        <w:szCs w:val="28"/>
                                      </w:rPr>
                                    </w:pPr>
                                    <w:r w:rsidRPr="008252F1">
                                      <w:rPr>
                                        <w:rFonts w:ascii="Times New Roman" w:hAnsi="Times New Roman" w:cs="Times New Roman"/>
                                        <w:sz w:val="28"/>
                                        <w:szCs w:val="28"/>
                                        <w:lang w:val="uk-UA"/>
                                      </w:rPr>
                                      <w:t>Група хворих</w:t>
                                    </w:r>
                                  </w:p>
                                </w:tc>
                                <w:tc>
                                  <w:tcPr>
                                    <w:tcW w:w="2126" w:type="dxa"/>
                                    <w:shd w:val="clear" w:color="auto" w:fill="auto"/>
                                  </w:tcPr>
                                  <w:p w:rsidR="000F6151" w:rsidRPr="008252F1" w:rsidRDefault="000F6151" w:rsidP="00BD47C6">
                                    <w:pPr>
                                      <w:jc w:val="center"/>
                                      <w:rPr>
                                        <w:rFonts w:ascii="Times New Roman" w:hAnsi="Times New Roman" w:cs="Times New Roman"/>
                                        <w:sz w:val="28"/>
                                        <w:szCs w:val="28"/>
                                        <w:lang w:val="uk-UA"/>
                                      </w:rPr>
                                    </w:pPr>
                                    <w:r w:rsidRPr="008252F1">
                                      <w:rPr>
                                        <w:rFonts w:ascii="Times New Roman" w:hAnsi="Times New Roman" w:cs="Times New Roman"/>
                                        <w:sz w:val="28"/>
                                        <w:szCs w:val="28"/>
                                        <w:lang w:val="uk-UA"/>
                                      </w:rPr>
                                      <w:t>Контингент:</w:t>
                                    </w:r>
                                  </w:p>
                                </w:tc>
                              </w:tr>
                              <w:tr w:rsidR="000F6151" w:rsidTr="00BD47C6">
                                <w:trPr>
                                  <w:trHeight w:val="843"/>
                                </w:trPr>
                                <w:tc>
                                  <w:tcPr>
                                    <w:tcW w:w="1951" w:type="dxa"/>
                                    <w:shd w:val="clear" w:color="auto" w:fill="auto"/>
                                  </w:tcPr>
                                  <w:p w:rsidR="000F6151" w:rsidRPr="008252F1" w:rsidRDefault="000F6151" w:rsidP="00BD47C6">
                                    <w:pPr>
                                      <w:rPr>
                                        <w:rFonts w:ascii="Times New Roman" w:hAnsi="Times New Roman" w:cs="Times New Roman"/>
                                        <w:sz w:val="28"/>
                                        <w:szCs w:val="28"/>
                                        <w:lang w:val="uk-UA"/>
                                      </w:rPr>
                                    </w:pPr>
                                    <w:r w:rsidRPr="008252F1">
                                      <w:rPr>
                                        <w:rFonts w:ascii="Times New Roman" w:hAnsi="Times New Roman" w:cs="Times New Roman"/>
                                        <w:sz w:val="28"/>
                                        <w:szCs w:val="28"/>
                                        <w:lang w:val="uk-UA"/>
                                      </w:rPr>
                                      <w:t>Основна:</w:t>
                                    </w:r>
                                  </w:p>
                                  <w:p w:rsidR="000F6151" w:rsidRPr="008252F1" w:rsidRDefault="000F6151" w:rsidP="009B267B">
                                    <w:pPr>
                                      <w:ind w:left="-142"/>
                                      <w:jc w:val="center"/>
                                      <w:rPr>
                                        <w:rFonts w:ascii="Times New Roman" w:hAnsi="Times New Roman" w:cs="Times New Roman"/>
                                        <w:sz w:val="26"/>
                                        <w:szCs w:val="26"/>
                                        <w:lang w:val="uk-UA"/>
                                      </w:rPr>
                                    </w:pPr>
                                    <w:r w:rsidRPr="008252F1">
                                      <w:rPr>
                                        <w:rFonts w:ascii="Times New Roman" w:hAnsi="Times New Roman" w:cs="Times New Roman"/>
                                        <w:sz w:val="26"/>
                                        <w:szCs w:val="26"/>
                                        <w:lang w:val="uk-UA"/>
                                      </w:rPr>
                                      <w:t>Інгібітори</w:t>
                                    </w:r>
                                    <w:r>
                                      <w:rPr>
                                        <w:rFonts w:ascii="Times New Roman" w:hAnsi="Times New Roman" w:cs="Times New Roman"/>
                                        <w:sz w:val="26"/>
                                        <w:szCs w:val="26"/>
                                        <w:lang w:val="uk-UA"/>
                                      </w:rPr>
                                      <w:t xml:space="preserve"> </w:t>
                                    </w:r>
                                    <w:r w:rsidRPr="008252F1">
                                      <w:rPr>
                                        <w:rFonts w:ascii="Times New Roman" w:hAnsi="Times New Roman" w:cs="Times New Roman"/>
                                        <w:sz w:val="26"/>
                                        <w:szCs w:val="26"/>
                                        <w:lang w:val="uk-UA"/>
                                      </w:rPr>
                                      <w:t>ФДЕ</w:t>
                                    </w:r>
                                    <w:r w:rsidRPr="008252F1">
                                      <w:rPr>
                                        <w:rFonts w:ascii="Times New Roman" w:hAnsi="Times New Roman" w:cs="Times New Roman"/>
                                        <w:sz w:val="26"/>
                                        <w:szCs w:val="26"/>
                                        <w:lang w:val="uk-UA"/>
                                      </w:rPr>
                                      <w:noBreakHyphen/>
                                      <w:t>5 за потреб</w:t>
                                    </w:r>
                                    <w:r>
                                      <w:rPr>
                                        <w:rFonts w:ascii="Times New Roman" w:hAnsi="Times New Roman" w:cs="Times New Roman"/>
                                        <w:sz w:val="26"/>
                                        <w:szCs w:val="26"/>
                                        <w:lang w:val="uk-UA"/>
                                      </w:rPr>
                                      <w:t>и</w:t>
                                    </w:r>
                                    <w:r w:rsidRPr="008252F1">
                                      <w:rPr>
                                        <w:rFonts w:ascii="Times New Roman" w:hAnsi="Times New Roman" w:cs="Times New Roman"/>
                                        <w:sz w:val="26"/>
                                        <w:szCs w:val="26"/>
                                        <w:lang w:val="uk-UA"/>
                                      </w:rPr>
                                      <w:t xml:space="preserve"> + КСКМ</w:t>
                                    </w:r>
                                  </w:p>
                                </w:tc>
                                <w:tc>
                                  <w:tcPr>
                                    <w:tcW w:w="2126" w:type="dxa"/>
                                    <w:shd w:val="clear" w:color="auto" w:fill="auto"/>
                                  </w:tcPr>
                                  <w:p w:rsidR="000F6151" w:rsidRPr="008252F1" w:rsidRDefault="000F6151" w:rsidP="00BD47C6">
                                    <w:pPr>
                                      <w:jc w:val="center"/>
                                      <w:rPr>
                                        <w:rFonts w:ascii="Times New Roman" w:hAnsi="Times New Roman" w:cs="Times New Roman"/>
                                        <w:sz w:val="26"/>
                                        <w:szCs w:val="26"/>
                                        <w:lang w:val="uk-UA"/>
                                      </w:rPr>
                                    </w:pPr>
                                    <w:r w:rsidRPr="008252F1">
                                      <w:rPr>
                                        <w:rFonts w:ascii="Times New Roman" w:hAnsi="Times New Roman" w:cs="Times New Roman"/>
                                        <w:sz w:val="26"/>
                                        <w:szCs w:val="26"/>
                                        <w:lang w:val="uk-UA"/>
                                      </w:rPr>
                                      <w:t>Хворі на ЦД з ЕД та анд</w:t>
                                    </w:r>
                                    <w:r w:rsidRPr="008252F1">
                                      <w:rPr>
                                        <w:rFonts w:ascii="Times New Roman" w:hAnsi="Times New Roman" w:cs="Times New Roman"/>
                                        <w:sz w:val="26"/>
                                        <w:szCs w:val="26"/>
                                        <w:lang w:val="uk-UA"/>
                                      </w:rPr>
                                      <w:softHyphen/>
                                      <w:t>ро</w:t>
                                    </w:r>
                                    <w:r w:rsidRPr="008252F1">
                                      <w:rPr>
                                        <w:rFonts w:ascii="Times New Roman" w:hAnsi="Times New Roman" w:cs="Times New Roman"/>
                                        <w:sz w:val="26"/>
                                        <w:szCs w:val="26"/>
                                        <w:lang w:val="uk-UA"/>
                                      </w:rPr>
                                      <w:softHyphen/>
                                      <w:t>ген</w:t>
                                    </w:r>
                                    <w:r w:rsidRPr="008252F1">
                                      <w:rPr>
                                        <w:rFonts w:ascii="Times New Roman" w:hAnsi="Times New Roman" w:cs="Times New Roman"/>
                                        <w:sz w:val="26"/>
                                        <w:szCs w:val="26"/>
                                        <w:lang w:val="uk-UA"/>
                                      </w:rPr>
                                      <w:softHyphen/>
                                      <w:t>ним дефіци</w:t>
                                    </w:r>
                                    <w:r w:rsidRPr="008252F1">
                                      <w:rPr>
                                        <w:rFonts w:ascii="Times New Roman" w:hAnsi="Times New Roman" w:cs="Times New Roman"/>
                                        <w:sz w:val="26"/>
                                        <w:szCs w:val="26"/>
                                        <w:lang w:val="uk-UA"/>
                                      </w:rPr>
                                      <w:softHyphen/>
                                      <w:t>том віком 45-59 р. (</w:t>
                                    </w:r>
                                    <w:r w:rsidRPr="008252F1">
                                      <w:rPr>
                                        <w:rFonts w:ascii="Times New Roman" w:hAnsi="Times New Roman" w:cs="Times New Roman"/>
                                        <w:sz w:val="26"/>
                                        <w:szCs w:val="26"/>
                                        <w:lang w:val="en-US"/>
                                      </w:rPr>
                                      <w:t>n</w:t>
                                    </w:r>
                                    <w:r w:rsidRPr="005007D7">
                                      <w:rPr>
                                        <w:rFonts w:ascii="Times New Roman" w:hAnsi="Times New Roman" w:cs="Times New Roman"/>
                                        <w:sz w:val="26"/>
                                        <w:szCs w:val="26"/>
                                      </w:rPr>
                                      <w:t>=</w:t>
                                    </w:r>
                                    <w:r w:rsidRPr="008252F1">
                                      <w:rPr>
                                        <w:rFonts w:ascii="Times New Roman" w:hAnsi="Times New Roman" w:cs="Times New Roman"/>
                                        <w:sz w:val="26"/>
                                        <w:szCs w:val="26"/>
                                        <w:lang w:val="uk-UA"/>
                                      </w:rPr>
                                      <w:t>1</w:t>
                                    </w:r>
                                    <w:r w:rsidRPr="005007D7">
                                      <w:rPr>
                                        <w:rFonts w:ascii="Times New Roman" w:hAnsi="Times New Roman" w:cs="Times New Roman"/>
                                        <w:sz w:val="26"/>
                                        <w:szCs w:val="26"/>
                                      </w:rPr>
                                      <w:t>0)</w:t>
                                    </w:r>
                                  </w:p>
                                </w:tc>
                              </w:tr>
                              <w:tr w:rsidR="000F6151" w:rsidTr="00BD47C6">
                                <w:trPr>
                                  <w:trHeight w:val="843"/>
                                </w:trPr>
                                <w:tc>
                                  <w:tcPr>
                                    <w:tcW w:w="1951" w:type="dxa"/>
                                    <w:shd w:val="clear" w:color="auto" w:fill="auto"/>
                                  </w:tcPr>
                                  <w:p w:rsidR="000F6151" w:rsidRPr="008252F1" w:rsidRDefault="000F6151" w:rsidP="00BD47C6">
                                    <w:pPr>
                                      <w:rPr>
                                        <w:rFonts w:ascii="Times New Roman" w:hAnsi="Times New Roman" w:cs="Times New Roman"/>
                                        <w:sz w:val="28"/>
                                        <w:szCs w:val="28"/>
                                        <w:lang w:val="uk-UA"/>
                                      </w:rPr>
                                    </w:pPr>
                                    <w:r w:rsidRPr="008252F1">
                                      <w:rPr>
                                        <w:rFonts w:ascii="Times New Roman" w:hAnsi="Times New Roman" w:cs="Times New Roman"/>
                                        <w:sz w:val="28"/>
                                        <w:szCs w:val="28"/>
                                        <w:lang w:val="uk-UA"/>
                                      </w:rPr>
                                      <w:t>Порівняння:</w:t>
                                    </w:r>
                                  </w:p>
                                  <w:p w:rsidR="000F6151" w:rsidRPr="008252F1" w:rsidRDefault="000F6151" w:rsidP="009B267B">
                                    <w:pPr>
                                      <w:jc w:val="center"/>
                                      <w:rPr>
                                        <w:rFonts w:ascii="Times New Roman" w:hAnsi="Times New Roman" w:cs="Times New Roman"/>
                                        <w:sz w:val="26"/>
                                        <w:szCs w:val="26"/>
                                        <w:lang w:val="uk-UA"/>
                                      </w:rPr>
                                    </w:pPr>
                                    <w:r w:rsidRPr="008252F1">
                                      <w:rPr>
                                        <w:rFonts w:ascii="Times New Roman" w:hAnsi="Times New Roman" w:cs="Times New Roman"/>
                                        <w:sz w:val="26"/>
                                        <w:szCs w:val="26"/>
                                        <w:lang w:val="uk-UA"/>
                                      </w:rPr>
                                      <w:t>інгібітори ФДЕ-5 за потреб</w:t>
                                    </w:r>
                                    <w:r>
                                      <w:rPr>
                                        <w:rFonts w:ascii="Times New Roman" w:hAnsi="Times New Roman" w:cs="Times New Roman"/>
                                        <w:sz w:val="26"/>
                                        <w:szCs w:val="26"/>
                                        <w:lang w:val="uk-UA"/>
                                      </w:rPr>
                                      <w:t>и</w:t>
                                    </w:r>
                                    <w:r w:rsidRPr="008252F1">
                                      <w:rPr>
                                        <w:rFonts w:ascii="Times New Roman" w:hAnsi="Times New Roman" w:cs="Times New Roman"/>
                                        <w:sz w:val="26"/>
                                        <w:szCs w:val="26"/>
                                        <w:lang w:val="uk-UA"/>
                                      </w:rPr>
                                      <w:t xml:space="preserve"> + тестостерону ундеконат в/м</w:t>
                                    </w:r>
                                  </w:p>
                                </w:tc>
                                <w:tc>
                                  <w:tcPr>
                                    <w:tcW w:w="2126" w:type="dxa"/>
                                    <w:shd w:val="clear" w:color="auto" w:fill="auto"/>
                                  </w:tcPr>
                                  <w:p w:rsidR="000F6151" w:rsidRPr="008252F1" w:rsidRDefault="000F6151" w:rsidP="00BD47C6">
                                    <w:pPr>
                                      <w:jc w:val="center"/>
                                      <w:rPr>
                                        <w:rFonts w:ascii="Times New Roman" w:hAnsi="Times New Roman" w:cs="Times New Roman"/>
                                        <w:sz w:val="28"/>
                                        <w:szCs w:val="28"/>
                                        <w:lang w:val="uk-UA"/>
                                      </w:rPr>
                                    </w:pPr>
                                    <w:r w:rsidRPr="008252F1">
                                      <w:rPr>
                                        <w:rFonts w:ascii="Times New Roman" w:hAnsi="Times New Roman" w:cs="Times New Roman"/>
                                        <w:sz w:val="26"/>
                                        <w:szCs w:val="26"/>
                                        <w:lang w:val="uk-UA"/>
                                      </w:rPr>
                                      <w:t>Хворі на ЦД з ЕД та анд</w:t>
                                    </w:r>
                                    <w:r w:rsidRPr="008252F1">
                                      <w:rPr>
                                        <w:rFonts w:ascii="Times New Roman" w:hAnsi="Times New Roman" w:cs="Times New Roman"/>
                                        <w:sz w:val="26"/>
                                        <w:szCs w:val="26"/>
                                        <w:lang w:val="uk-UA"/>
                                      </w:rPr>
                                      <w:softHyphen/>
                                      <w:t>ро</w:t>
                                    </w:r>
                                    <w:r w:rsidRPr="008252F1">
                                      <w:rPr>
                                        <w:rFonts w:ascii="Times New Roman" w:hAnsi="Times New Roman" w:cs="Times New Roman"/>
                                        <w:sz w:val="26"/>
                                        <w:szCs w:val="26"/>
                                        <w:lang w:val="uk-UA"/>
                                      </w:rPr>
                                      <w:softHyphen/>
                                      <w:t>ген</w:t>
                                    </w:r>
                                    <w:r w:rsidRPr="008252F1">
                                      <w:rPr>
                                        <w:rFonts w:ascii="Times New Roman" w:hAnsi="Times New Roman" w:cs="Times New Roman"/>
                                        <w:sz w:val="26"/>
                                        <w:szCs w:val="26"/>
                                        <w:lang w:val="uk-UA"/>
                                      </w:rPr>
                                      <w:softHyphen/>
                                      <w:t>ним дефіци</w:t>
                                    </w:r>
                                    <w:r w:rsidRPr="008252F1">
                                      <w:rPr>
                                        <w:rFonts w:ascii="Times New Roman" w:hAnsi="Times New Roman" w:cs="Times New Roman"/>
                                        <w:sz w:val="26"/>
                                        <w:szCs w:val="26"/>
                                        <w:lang w:val="uk-UA"/>
                                      </w:rPr>
                                      <w:softHyphen/>
                                      <w:t>том віком 45-59 р. (</w:t>
                                    </w:r>
                                    <w:r w:rsidRPr="008252F1">
                                      <w:rPr>
                                        <w:rFonts w:ascii="Times New Roman" w:hAnsi="Times New Roman" w:cs="Times New Roman"/>
                                        <w:sz w:val="26"/>
                                        <w:szCs w:val="26"/>
                                        <w:lang w:val="en-US"/>
                                      </w:rPr>
                                      <w:t>n</w:t>
                                    </w:r>
                                    <w:r w:rsidRPr="005007D7">
                                      <w:rPr>
                                        <w:rFonts w:ascii="Times New Roman" w:hAnsi="Times New Roman" w:cs="Times New Roman"/>
                                        <w:sz w:val="26"/>
                                        <w:szCs w:val="26"/>
                                      </w:rPr>
                                      <w:t>=</w:t>
                                    </w:r>
                                    <w:r w:rsidRPr="008252F1">
                                      <w:rPr>
                                        <w:rFonts w:ascii="Times New Roman" w:hAnsi="Times New Roman" w:cs="Times New Roman"/>
                                        <w:sz w:val="26"/>
                                        <w:szCs w:val="26"/>
                                        <w:lang w:val="uk-UA"/>
                                      </w:rPr>
                                      <w:t>1</w:t>
                                    </w:r>
                                    <w:r w:rsidRPr="005007D7">
                                      <w:rPr>
                                        <w:rFonts w:ascii="Times New Roman" w:hAnsi="Times New Roman" w:cs="Times New Roman"/>
                                        <w:sz w:val="26"/>
                                        <w:szCs w:val="26"/>
                                      </w:rPr>
                                      <w:t>0)</w:t>
                                    </w:r>
                                  </w:p>
                                </w:tc>
                              </w:tr>
                              <w:tr w:rsidR="000F6151" w:rsidTr="00BD47C6">
                                <w:trPr>
                                  <w:trHeight w:val="1523"/>
                                </w:trPr>
                                <w:tc>
                                  <w:tcPr>
                                    <w:tcW w:w="1951" w:type="dxa"/>
                                    <w:shd w:val="clear" w:color="auto" w:fill="auto"/>
                                  </w:tcPr>
                                  <w:p w:rsidR="000F6151" w:rsidRPr="008252F1" w:rsidRDefault="000F6151" w:rsidP="00BD47C6">
                                    <w:pPr>
                                      <w:rPr>
                                        <w:rFonts w:ascii="Times New Roman" w:hAnsi="Times New Roman" w:cs="Times New Roman"/>
                                        <w:sz w:val="28"/>
                                        <w:szCs w:val="28"/>
                                        <w:lang w:val="uk-UA"/>
                                      </w:rPr>
                                    </w:pPr>
                                    <w:r w:rsidRPr="008252F1">
                                      <w:rPr>
                                        <w:rFonts w:ascii="Times New Roman" w:hAnsi="Times New Roman" w:cs="Times New Roman"/>
                                        <w:sz w:val="28"/>
                                        <w:szCs w:val="28"/>
                                        <w:lang w:val="uk-UA"/>
                                      </w:rPr>
                                      <w:t xml:space="preserve">Контрольна </w:t>
                                    </w:r>
                                  </w:p>
                                  <w:p w:rsidR="000F6151" w:rsidRPr="008252F1" w:rsidRDefault="000F6151" w:rsidP="00BD47C6">
                                    <w:pPr>
                                      <w:jc w:val="center"/>
                                      <w:rPr>
                                        <w:rFonts w:ascii="Times New Roman" w:hAnsi="Times New Roman" w:cs="Times New Roman"/>
                                        <w:sz w:val="28"/>
                                        <w:szCs w:val="28"/>
                                        <w:lang w:val="uk-UA"/>
                                      </w:rPr>
                                    </w:pPr>
                                  </w:p>
                                </w:tc>
                                <w:tc>
                                  <w:tcPr>
                                    <w:tcW w:w="2126" w:type="dxa"/>
                                    <w:shd w:val="clear" w:color="auto" w:fill="auto"/>
                                  </w:tcPr>
                                  <w:p w:rsidR="000F6151" w:rsidRPr="008252F1" w:rsidRDefault="000F6151" w:rsidP="00BD47C6">
                                    <w:pPr>
                                      <w:jc w:val="center"/>
                                      <w:rPr>
                                        <w:rFonts w:ascii="Times New Roman" w:hAnsi="Times New Roman" w:cs="Times New Roman"/>
                                        <w:sz w:val="26"/>
                                        <w:szCs w:val="26"/>
                                        <w:lang w:val="uk-UA"/>
                                      </w:rPr>
                                    </w:pPr>
                                    <w:r w:rsidRPr="008252F1">
                                      <w:rPr>
                                        <w:rFonts w:ascii="Times New Roman" w:hAnsi="Times New Roman" w:cs="Times New Roman"/>
                                        <w:sz w:val="26"/>
                                        <w:szCs w:val="26"/>
                                        <w:lang w:val="uk-UA"/>
                                      </w:rPr>
                                      <w:t>здорові чоловіки віком 45-59 р. (</w:t>
                                    </w:r>
                                    <w:r w:rsidRPr="008252F1">
                                      <w:rPr>
                                        <w:rFonts w:ascii="Times New Roman" w:hAnsi="Times New Roman" w:cs="Times New Roman"/>
                                        <w:sz w:val="26"/>
                                        <w:szCs w:val="26"/>
                                        <w:lang w:val="en-US"/>
                                      </w:rPr>
                                      <w:t>n</w:t>
                                    </w:r>
                                    <w:r w:rsidRPr="005007D7">
                                      <w:rPr>
                                        <w:rFonts w:ascii="Times New Roman" w:hAnsi="Times New Roman" w:cs="Times New Roman"/>
                                        <w:sz w:val="26"/>
                                        <w:szCs w:val="26"/>
                                      </w:rPr>
                                      <w:t>=20)</w:t>
                                    </w:r>
                                  </w:p>
                                </w:tc>
                              </w:tr>
                            </w:tbl>
                            <w:p w:rsidR="000F6151" w:rsidRDefault="000F6151" w:rsidP="00EB6EBC"/>
                          </w:txbxContent>
                        </wps:txbx>
                        <wps:bodyPr rot="0" vert="horz" wrap="square" lIns="91440" tIns="45720" rIns="91440" bIns="45720" anchor="t" anchorCtr="0" upright="1">
                          <a:noAutofit/>
                        </wps:bodyPr>
                      </wps:wsp>
                      <wps:wsp>
                        <wps:cNvPr id="7" name="Поле 180"/>
                        <wps:cNvSpPr txBox="1">
                          <a:spLocks noChangeArrowheads="1"/>
                        </wps:cNvSpPr>
                        <wps:spPr bwMode="auto">
                          <a:xfrm>
                            <a:off x="2766951" y="5521732"/>
                            <a:ext cx="2799479" cy="1327662"/>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tbl>
                              <w:tblPr>
                                <w:tblW w:w="4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tblGrid>
                              <w:tr w:rsidR="000F6151" w:rsidTr="00BD47C6">
                                <w:tc>
                                  <w:tcPr>
                                    <w:tcW w:w="4077" w:type="dxa"/>
                                    <w:shd w:val="clear" w:color="auto" w:fill="auto"/>
                                  </w:tcPr>
                                  <w:p w:rsidR="000F6151" w:rsidRPr="008252F1" w:rsidRDefault="000F6151" w:rsidP="009B267B">
                                    <w:pPr>
                                      <w:jc w:val="center"/>
                                      <w:rPr>
                                        <w:rFonts w:ascii="Times New Roman" w:hAnsi="Times New Roman" w:cs="Times New Roman"/>
                                        <w:sz w:val="28"/>
                                        <w:szCs w:val="28"/>
                                      </w:rPr>
                                    </w:pPr>
                                    <w:r w:rsidRPr="008252F1">
                                      <w:rPr>
                                        <w:rFonts w:ascii="Times New Roman" w:hAnsi="Times New Roman" w:cs="Times New Roman"/>
                                        <w:sz w:val="28"/>
                                        <w:szCs w:val="28"/>
                                        <w:lang w:val="uk-UA"/>
                                      </w:rPr>
                                      <w:t xml:space="preserve">Оцінка лікувального ефекту </w:t>
                                    </w:r>
                                    <w:r w:rsidRPr="008252F1">
                                      <w:rPr>
                                        <w:rFonts w:ascii="Times New Roman" w:hAnsi="Times New Roman" w:cs="Times New Roman"/>
                                        <w:lang w:val="uk-UA"/>
                                      </w:rPr>
                                      <w:t xml:space="preserve">(через </w:t>
                                    </w:r>
                                    <w:r>
                                      <w:rPr>
                                        <w:rFonts w:ascii="Times New Roman" w:hAnsi="Times New Roman" w:cs="Times New Roman"/>
                                        <w:lang w:val="uk-UA"/>
                                      </w:rPr>
                                      <w:t xml:space="preserve">4, </w:t>
                                    </w:r>
                                    <w:r w:rsidRPr="008252F1">
                                      <w:rPr>
                                        <w:rFonts w:ascii="Times New Roman" w:hAnsi="Times New Roman" w:cs="Times New Roman"/>
                                        <w:lang w:val="uk-UA"/>
                                      </w:rPr>
                                      <w:t>12 та 24 тиж</w:t>
                                    </w:r>
                                    <w:r>
                                      <w:rPr>
                                        <w:rFonts w:ascii="Times New Roman" w:hAnsi="Times New Roman" w:cs="Times New Roman"/>
                                        <w:lang w:val="uk-UA"/>
                                      </w:rPr>
                                      <w:t>ні</w:t>
                                    </w:r>
                                    <w:r w:rsidRPr="008252F1">
                                      <w:rPr>
                                        <w:rFonts w:ascii="Times New Roman" w:hAnsi="Times New Roman" w:cs="Times New Roman"/>
                                        <w:lang w:val="uk-UA"/>
                                      </w:rPr>
                                      <w:t xml:space="preserve"> лікування):</w:t>
                                    </w:r>
                                  </w:p>
                                </w:tc>
                              </w:tr>
                              <w:tr w:rsidR="000F6151" w:rsidTr="00BD47C6">
                                <w:tc>
                                  <w:tcPr>
                                    <w:tcW w:w="4077"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1. Динаміка ЕД за шкалою МІЕФ</w:t>
                                    </w:r>
                                  </w:p>
                                </w:tc>
                              </w:tr>
                              <w:tr w:rsidR="000F6151" w:rsidTr="00BD47C6">
                                <w:tc>
                                  <w:tcPr>
                                    <w:tcW w:w="4077"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2. Динаміка біохімічних показників</w:t>
                                    </w:r>
                                  </w:p>
                                </w:tc>
                              </w:tr>
                              <w:tr w:rsidR="000F6151" w:rsidTr="00BD47C6">
                                <w:tc>
                                  <w:tcPr>
                                    <w:tcW w:w="4077"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3. Вага, ІМТ</w:t>
                                    </w:r>
                                  </w:p>
                                </w:tc>
                              </w:tr>
                              <w:tr w:rsidR="000F6151" w:rsidTr="00BD47C6">
                                <w:tc>
                                  <w:tcPr>
                                    <w:tcW w:w="4077"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4. Побічні ефекти та небажані явища</w:t>
                                    </w:r>
                                  </w:p>
                                </w:tc>
                              </w:tr>
                            </w:tbl>
                            <w:p w:rsidR="000F6151" w:rsidRDefault="000F6151" w:rsidP="00EB6EBC"/>
                          </w:txbxContent>
                        </wps:txbx>
                        <wps:bodyPr rot="0" vert="horz" wrap="square" lIns="91440" tIns="45720" rIns="91440" bIns="45720" anchor="t" anchorCtr="0" upright="1">
                          <a:noAutofit/>
                        </wps:bodyPr>
                      </wps:wsp>
                      <wps:wsp>
                        <wps:cNvPr id="8" name="Прямая со стрелкой 181"/>
                        <wps:cNvCnPr>
                          <a:cxnSpLocks noChangeShapeType="1"/>
                        </wps:cNvCnPr>
                        <wps:spPr bwMode="auto">
                          <a:xfrm>
                            <a:off x="1211284" y="1650670"/>
                            <a:ext cx="0" cy="237506"/>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 name="Прямая со стрелкой 184"/>
                        <wps:cNvCnPr>
                          <a:cxnSpLocks noChangeShapeType="1"/>
                        </wps:cNvCnPr>
                        <wps:spPr bwMode="auto">
                          <a:xfrm>
                            <a:off x="1223159" y="5123915"/>
                            <a:ext cx="0" cy="27622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 name="Прямая со стрелкой 185"/>
                        <wps:cNvCnPr>
                          <a:cxnSpLocks noChangeShapeType="1"/>
                        </wps:cNvCnPr>
                        <wps:spPr bwMode="auto">
                          <a:xfrm>
                            <a:off x="4038619" y="5308270"/>
                            <a:ext cx="0" cy="213752"/>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3" name="Поле 187"/>
                        <wps:cNvSpPr txBox="1">
                          <a:spLocks noChangeArrowheads="1"/>
                        </wps:cNvSpPr>
                        <wps:spPr bwMode="auto">
                          <a:xfrm>
                            <a:off x="1223159" y="0"/>
                            <a:ext cx="2880995" cy="775970"/>
                          </a:xfrm>
                          <a:prstGeom prst="rect">
                            <a:avLst/>
                          </a:prstGeom>
                          <a:solidFill>
                            <a:srgbClr val="FFFFFF"/>
                          </a:solidFill>
                          <a:ln w="6350">
                            <a:solidFill>
                              <a:srgbClr val="000000"/>
                            </a:solidFill>
                            <a:miter lim="800000"/>
                            <a:headEnd/>
                            <a:tailEnd/>
                          </a:ln>
                        </wps:spPr>
                        <wps:txbx>
                          <w:txbxContent>
                            <w:p w:rsidR="000F6151" w:rsidRPr="00C23CC0" w:rsidRDefault="000F6151" w:rsidP="00EB6EBC">
                              <w:pPr>
                                <w:jc w:val="center"/>
                                <w:rPr>
                                  <w:rFonts w:ascii="Times New Roman" w:hAnsi="Times New Roman" w:cs="Times New Roman"/>
                                  <w:sz w:val="28"/>
                                  <w:szCs w:val="28"/>
                                  <w:lang w:val="uk-UA"/>
                                </w:rPr>
                              </w:pPr>
                              <w:r w:rsidRPr="00C23CC0">
                                <w:rPr>
                                  <w:rFonts w:ascii="Times New Roman" w:hAnsi="Times New Roman" w:cs="Times New Roman"/>
                                  <w:sz w:val="28"/>
                                  <w:szCs w:val="28"/>
                                  <w:lang w:val="uk-UA"/>
                                </w:rPr>
                                <w:t>Розробка</w:t>
                              </w:r>
                              <w:r>
                                <w:rPr>
                                  <w:rFonts w:ascii="Times New Roman" w:hAnsi="Times New Roman" w:cs="Times New Roman"/>
                                  <w:sz w:val="28"/>
                                  <w:szCs w:val="28"/>
                                  <w:lang w:val="uk-UA"/>
                                </w:rPr>
                                <w:t xml:space="preserve"> методу лікування ЕД  у хворих з андрогенним дефіцитом із застосуванням КСКМ</w:t>
                              </w:r>
                            </w:p>
                          </w:txbxContent>
                        </wps:txbx>
                        <wps:bodyPr rot="0" vert="horz" wrap="square" lIns="91440" tIns="45720" rIns="91440" bIns="45720" anchor="t" anchorCtr="0" upright="1">
                          <a:noAutofit/>
                        </wps:bodyPr>
                      </wps:wsp>
                      <wps:wsp>
                        <wps:cNvPr id="14" name="Поле 188"/>
                        <wps:cNvSpPr txBox="1">
                          <a:spLocks noChangeArrowheads="1"/>
                        </wps:cNvSpPr>
                        <wps:spPr bwMode="auto">
                          <a:xfrm>
                            <a:off x="24386" y="1876916"/>
                            <a:ext cx="2550794" cy="96127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0"/>
                                <w:gridCol w:w="942"/>
                                <w:gridCol w:w="941"/>
                                <w:gridCol w:w="942"/>
                              </w:tblGrid>
                              <w:tr w:rsidR="000F6151" w:rsidTr="00BD47C6">
                                <w:tc>
                                  <w:tcPr>
                                    <w:tcW w:w="3934" w:type="dxa"/>
                                    <w:gridSpan w:val="4"/>
                                    <w:shd w:val="clear" w:color="auto" w:fill="auto"/>
                                  </w:tcPr>
                                  <w:p w:rsidR="000F6151" w:rsidRPr="008252F1" w:rsidRDefault="000F6151" w:rsidP="00BD47C6">
                                    <w:pPr>
                                      <w:jc w:val="center"/>
                                      <w:rPr>
                                        <w:rFonts w:ascii="Times New Roman" w:hAnsi="Times New Roman" w:cs="Times New Roman"/>
                                        <w:sz w:val="28"/>
                                        <w:szCs w:val="28"/>
                                      </w:rPr>
                                    </w:pPr>
                                    <w:r w:rsidRPr="008252F1">
                                      <w:rPr>
                                        <w:rFonts w:ascii="Times New Roman" w:hAnsi="Times New Roman" w:cs="Times New Roman"/>
                                        <w:sz w:val="28"/>
                                        <w:szCs w:val="28"/>
                                        <w:lang w:val="uk-UA"/>
                                      </w:rPr>
                                      <w:t xml:space="preserve">Розробка моделі ЕАД із застосуванням </w:t>
                                    </w:r>
                                    <w:r w:rsidRPr="008252F1">
                                      <w:rPr>
                                        <w:rFonts w:ascii="Times New Roman" w:hAnsi="Times New Roman" w:cs="Times New Roman"/>
                                        <w:sz w:val="28"/>
                                        <w:szCs w:val="28"/>
                                        <w:lang w:val="en-US"/>
                                      </w:rPr>
                                      <w:t>CdCl</w:t>
                                    </w:r>
                                    <w:r w:rsidRPr="005007D7">
                                      <w:rPr>
                                        <w:rFonts w:ascii="Times New Roman" w:hAnsi="Times New Roman" w:cs="Times New Roman"/>
                                        <w:sz w:val="28"/>
                                        <w:szCs w:val="28"/>
                                        <w:vertAlign w:val="subscript"/>
                                      </w:rPr>
                                      <w:t>2</w:t>
                                    </w:r>
                                  </w:p>
                                </w:tc>
                              </w:tr>
                              <w:tr w:rsidR="000F6151" w:rsidTr="00BD47C6">
                                <w:tc>
                                  <w:tcPr>
                                    <w:tcW w:w="983"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55</w:t>
                                    </w:r>
                                  </w:p>
                                </w:tc>
                                <w:tc>
                                  <w:tcPr>
                                    <w:tcW w:w="984" w:type="dxa"/>
                                    <w:shd w:val="clear" w:color="auto" w:fill="auto"/>
                                  </w:tcPr>
                                  <w:p w:rsidR="000F6151" w:rsidRPr="008252F1" w:rsidRDefault="000F6151">
                                    <w:pPr>
                                      <w:rPr>
                                        <w:rFonts w:ascii="Times New Roman" w:hAnsi="Times New Roman" w:cs="Times New Roman"/>
                                        <w:lang w:val="uk-UA"/>
                                      </w:rPr>
                                    </w:pPr>
                                    <w:r w:rsidRPr="008252F1">
                                      <w:rPr>
                                        <w:rFonts w:ascii="Times New Roman" w:hAnsi="Times New Roman" w:cs="Times New Roman"/>
                                        <w:lang w:val="uk-UA"/>
                                      </w:rPr>
                                      <w:t>100</w:t>
                                    </w:r>
                                  </w:p>
                                </w:tc>
                                <w:tc>
                                  <w:tcPr>
                                    <w:tcW w:w="983" w:type="dxa"/>
                                    <w:shd w:val="clear" w:color="auto" w:fill="auto"/>
                                  </w:tcPr>
                                  <w:p w:rsidR="000F6151" w:rsidRPr="008252F1" w:rsidRDefault="000F6151">
                                    <w:pPr>
                                      <w:rPr>
                                        <w:rFonts w:ascii="Times New Roman" w:hAnsi="Times New Roman" w:cs="Times New Roman"/>
                                        <w:lang w:val="uk-UA"/>
                                      </w:rPr>
                                    </w:pPr>
                                    <w:r w:rsidRPr="008252F1">
                                      <w:rPr>
                                        <w:rFonts w:ascii="Times New Roman" w:hAnsi="Times New Roman" w:cs="Times New Roman"/>
                                        <w:lang w:val="uk-UA"/>
                                      </w:rPr>
                                      <w:t>150</w:t>
                                    </w:r>
                                  </w:p>
                                </w:tc>
                                <w:tc>
                                  <w:tcPr>
                                    <w:tcW w:w="984" w:type="dxa"/>
                                    <w:shd w:val="clear" w:color="auto" w:fill="auto"/>
                                  </w:tcPr>
                                  <w:p w:rsidR="000F6151" w:rsidRPr="008252F1" w:rsidRDefault="000F6151">
                                    <w:pPr>
                                      <w:rPr>
                                        <w:rFonts w:ascii="Times New Roman" w:hAnsi="Times New Roman" w:cs="Times New Roman"/>
                                        <w:lang w:val="uk-UA"/>
                                      </w:rPr>
                                    </w:pPr>
                                    <w:r w:rsidRPr="008252F1">
                                      <w:rPr>
                                        <w:rFonts w:ascii="Times New Roman" w:hAnsi="Times New Roman" w:cs="Times New Roman"/>
                                        <w:lang w:val="uk-UA"/>
                                      </w:rPr>
                                      <w:t>200</w:t>
                                    </w:r>
                                  </w:p>
                                </w:tc>
                              </w:tr>
                              <w:tr w:rsidR="000F6151" w:rsidTr="00BD47C6">
                                <w:tc>
                                  <w:tcPr>
                                    <w:tcW w:w="3934" w:type="dxa"/>
                                    <w:gridSpan w:val="4"/>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мкг/100 г ваги тварини</w:t>
                                    </w:r>
                                  </w:p>
                                </w:tc>
                              </w:tr>
                            </w:tbl>
                            <w:p w:rsidR="000F6151" w:rsidRDefault="000F6151" w:rsidP="00EB6EBC"/>
                          </w:txbxContent>
                        </wps:txbx>
                        <wps:bodyPr rot="0" vert="horz" wrap="square" lIns="91440" tIns="45720" rIns="91440" bIns="45720" anchor="t" anchorCtr="0" upright="1">
                          <a:noAutofit/>
                        </wps:bodyPr>
                      </wps:wsp>
                      <wps:wsp>
                        <wps:cNvPr id="15" name="Прямая со стрелкой 189"/>
                        <wps:cNvCnPr>
                          <a:cxnSpLocks noChangeShapeType="1"/>
                        </wps:cNvCnPr>
                        <wps:spPr bwMode="auto">
                          <a:xfrm flipH="1">
                            <a:off x="1745228" y="771896"/>
                            <a:ext cx="1" cy="19005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 name="Прямая со стрелкой 190"/>
                        <wps:cNvCnPr>
                          <a:cxnSpLocks noChangeShapeType="1"/>
                        </wps:cNvCnPr>
                        <wps:spPr bwMode="auto">
                          <a:xfrm>
                            <a:off x="3978234" y="1781298"/>
                            <a:ext cx="0" cy="451363"/>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9" name="Прямая со стрелкой 182"/>
                        <wps:cNvCnPr>
                          <a:cxnSpLocks noChangeShapeType="1"/>
                        </wps:cNvCnPr>
                        <wps:spPr bwMode="auto">
                          <a:xfrm>
                            <a:off x="1211284" y="2707574"/>
                            <a:ext cx="0" cy="27622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margin">
                  <wp14:pctHeight>0</wp14:pctHeight>
                </wp14:sizeRelV>
              </wp:anchor>
            </w:drawing>
          </mc:Choice>
          <mc:Fallback>
            <w:pict>
              <v:group id="Группа 1" o:spid="_x0000_s1026" style="position:absolute;margin-left:16.25pt;margin-top:2.75pt;width:417.75pt;height:539.45pt;z-index:251659264;mso-height-relative:margin" coordsize="55664,68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">
                <v:shapetype id="_x0000_t32" coordsize="21600,21600" o:spt="32" o:oned="t" path="m,l21600,21600e" filled="f">
                  <v:path arrowok="t" fillok="f" o:connecttype="none"/>
                  <o:lock v:ext="edit" shapetype="t"/>
                </v:shapetype>
                <v:shape id="Прямая со стрелкой 183" o:spid="_x0000_s1027" type="#_x0000_t32" style="position:absolute;left:12231;top:36338;width:0;height:2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tCcQAAADbAAAADwAAAGRycy9kb3ducmV2LnhtbESPQWvCQBCF74X+h2UKvRTdmNIq0VWK&#10;0Cr0pBW8DtlJNpidDdltTP+9cyh4m+G9ee+b1Wb0rRqoj01gA7NpBoq4DLbh2sDp53OyABUTssU2&#10;MBn4owib9ePDCgsbrnyg4ZhqJSEcCzTgUuoKrWPpyGOcho5YtCr0HpOsfa1tj1cJ963Os+xde2xY&#10;Ghx2tHVUXo6/3kCVW5q9XM5uN3/Davv9mg9D+2XM89P4sQSVaEx38//13gq+0MsvMoBe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0JxAAAANsAAAAPAAAAAAAAAAAA&#10;AAAAAKECAABkcnMvZG93bnJldi54bWxQSwUGAAAAAAQABAD5AAAAkgMAAAAA&#10;">
                  <v:stroke endarrow="open"/>
                </v:shape>
                <v:shapetype id="_x0000_t202" coordsize="21600,21600" o:spt="202" path="m,l,21600r21600,l21600,xe">
                  <v:stroke joinstyle="miter"/>
                  <v:path gradientshapeok="t" o:connecttype="rect"/>
                </v:shapetype>
                <v:shape id="Поле 175" o:spid="_x0000_s1028" type="#_x0000_t202" style="position:absolute;left:3325;top:9619;width:18916;height:6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v8TL4A&#10;AADaAAAADwAAAGRycy9kb3ducmV2LnhtbESPQYvCMBSE74L/IbwFbzbdCiLVKLuCIN7UXrw9mmdb&#10;bF5KEm3990YQPA4z8w2z2gymFQ9yvrGs4DdJQRCXVjdcKSjOu+kChA/IGlvLpOBJHjbr8WiFubY9&#10;H+lxCpWIEPY5KqhD6HIpfVmTQZ/Yjjh6V+sMhihdJbXDPsJNK7M0nUuDDceFGjva1lTeTnejYD//&#10;Dxcq9EHPspntC1m6a+uVmvwMf0sQgYbwDX/ae60gg/eVeAPk+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b/Ey+AAAA2gAAAA8AAAAAAAAAAAAAAAAAmAIAAGRycy9kb3ducmV2&#10;LnhtbFBLBQYAAAAABAAEAPUAAACDAwAAAAA=&#10;" strokeweight=".5pt">
                  <v:textbox>
                    <w:txbxContent>
                      <w:p w:rsidR="000F6151" w:rsidRPr="00C23CC0" w:rsidRDefault="000F6151" w:rsidP="00EB6EBC">
                        <w:pPr>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Експериментальне дослідження (314 тварин)</w:t>
                        </w:r>
                      </w:p>
                    </w:txbxContent>
                  </v:textbox>
                </v:shape>
                <v:shape id="Поле 176" o:spid="_x0000_s1029" type="#_x0000_t202" style="position:absolute;left:237;top:53933;width:25514;height:144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EAQL8A&#10;AADaAAAADwAAAGRycy9kb3ducmV2LnhtbESPzYoCMRCE74LvEFrwphl3RWQ0igjCnhb8PTeTdjI4&#10;6QxJ1NGnN4Lgsaiqr6j5srW1uJEPlWMFo2EGgrhwuuJSwWG/GUxBhIissXZMCh4UYLnoduaYa3fn&#10;Ld12sRQJwiFHBSbGJpcyFIYshqFriJN3dt5iTNKXUnu8J7it5U+WTaTFitOCwYbWhorL7moVnEr7&#10;PB1HjTfa1mP+fz72B1cp1e+1qxmISG38hj/tP63gF95X0g2Qi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QBAvwAAANoAAAAPAAAAAAAAAAAAAAAAAJgCAABkcnMvZG93bnJl&#10;di54bWxQSwUGAAAAAAQABAD1AAAAhAMAAAAA&#10;" stroked="f" strokeweight=".5pt">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6"/>
                        </w:tblGrid>
                        <w:tr w:rsidR="000F6151" w:rsidTr="00BD47C6">
                          <w:trPr>
                            <w:trHeight w:val="1406"/>
                          </w:trPr>
                          <w:tc>
                            <w:tcPr>
                              <w:tcW w:w="3935" w:type="dxa"/>
                              <w:shd w:val="clear" w:color="auto" w:fill="auto"/>
                            </w:tcPr>
                            <w:p w:rsidR="000F6151" w:rsidRPr="008252F1" w:rsidRDefault="000F6151" w:rsidP="00BD47C6">
                              <w:pPr>
                                <w:ind w:left="284" w:hanging="284"/>
                                <w:jc w:val="center"/>
                                <w:rPr>
                                  <w:rFonts w:ascii="Times New Roman" w:hAnsi="Times New Roman" w:cs="Times New Roman"/>
                                  <w:lang w:val="uk-UA"/>
                                </w:rPr>
                              </w:pPr>
                              <w:r w:rsidRPr="008252F1">
                                <w:rPr>
                                  <w:rFonts w:ascii="Times New Roman" w:hAnsi="Times New Roman" w:cs="Times New Roman"/>
                                  <w:lang w:val="uk-UA"/>
                                </w:rPr>
                                <w:t>Найближчі результати:</w:t>
                              </w:r>
                            </w:p>
                            <w:p w:rsidR="000F6151" w:rsidRPr="008252F1" w:rsidRDefault="000F6151" w:rsidP="00BD47C6">
                              <w:pPr>
                                <w:ind w:left="284" w:hanging="284"/>
                                <w:rPr>
                                  <w:rFonts w:ascii="Times New Roman" w:hAnsi="Times New Roman" w:cs="Times New Roman"/>
                                </w:rPr>
                              </w:pPr>
                              <w:r w:rsidRPr="008252F1">
                                <w:rPr>
                                  <w:rFonts w:ascii="Times New Roman" w:hAnsi="Times New Roman" w:cs="Times New Roman"/>
                                  <w:lang w:val="uk-UA"/>
                                </w:rPr>
                                <w:t xml:space="preserve">1. Динаміка копулятивної поведінки </w:t>
                              </w:r>
                            </w:p>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2. Оцінка біохімічних показників</w:t>
                              </w:r>
                            </w:p>
                            <w:p w:rsidR="000F6151" w:rsidRPr="008252F1" w:rsidRDefault="000F6151" w:rsidP="00BD47C6">
                              <w:pPr>
                                <w:ind w:left="284" w:hanging="284"/>
                                <w:rPr>
                                  <w:rFonts w:ascii="Times New Roman" w:hAnsi="Times New Roman" w:cs="Times New Roman"/>
                                </w:rPr>
                              </w:pPr>
                              <w:r w:rsidRPr="008252F1">
                                <w:rPr>
                                  <w:rFonts w:ascii="Times New Roman" w:hAnsi="Times New Roman" w:cs="Times New Roman"/>
                                  <w:lang w:val="uk-UA"/>
                                </w:rPr>
                                <w:t>3. Трекінг КСКМ</w:t>
                              </w:r>
                            </w:p>
                          </w:tc>
                        </w:tr>
                        <w:tr w:rsidR="000F6151" w:rsidTr="00BD47C6">
                          <w:tc>
                            <w:tcPr>
                              <w:tcW w:w="3935"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Віддалений результат:</w:t>
                              </w:r>
                            </w:p>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оцінка небажаних явищ</w:t>
                              </w:r>
                            </w:p>
                          </w:tc>
                        </w:tr>
                      </w:tbl>
                      <w:p w:rsidR="000F6151" w:rsidRDefault="000F6151" w:rsidP="00EB6EBC"/>
                    </w:txbxContent>
                  </v:textbox>
                </v:shape>
                <v:shape id="Поле 177" o:spid="_x0000_s1030" type="#_x0000_t202" style="position:absolute;left:237;top:29512;width:25514;height:8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iYNMEA&#10;AADaAAAADwAAAGRycy9kb3ducmV2LnhtbESPwWrDMBBE74X8g9hAb42cYEJxIptSKORUqJ3mvFgb&#10;y8RaGUlNHH99VSjkOMzMG2ZfTXYQV/Khd6xgvcpAELdO99wpODYfL68gQkTWODgmBXcKUJWLpz0W&#10;2t34i6517ESCcChQgYlxLKQMrSGLYeVG4uSdnbcYk/Sd1B5vCW4HucmyrbTYc1owONK7ofZS/1gF&#10;p87Op+/16I22Q86f8705ul6p5+X0tgMRaYqP8H/7oBXk8Hcl3QB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omDTBAAAA2gAAAA8AAAAAAAAAAAAAAAAAmAIAAGRycy9kb3du&#10;cmV2LnhtbFBLBQYAAAAABAAEAPUAAACGAwAAAAA=&#10;" stroked="f" strokeweight=".5pt">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1878"/>
                        </w:tblGrid>
                        <w:tr w:rsidR="000F6151" w:rsidTr="00BD47C6">
                          <w:tc>
                            <w:tcPr>
                              <w:tcW w:w="3935" w:type="dxa"/>
                              <w:gridSpan w:val="2"/>
                              <w:shd w:val="clear" w:color="auto" w:fill="auto"/>
                            </w:tcPr>
                            <w:p w:rsidR="000F6151" w:rsidRPr="008252F1" w:rsidRDefault="000F6151" w:rsidP="00BD47C6">
                              <w:pPr>
                                <w:jc w:val="center"/>
                                <w:rPr>
                                  <w:rFonts w:ascii="Times New Roman" w:hAnsi="Times New Roman" w:cs="Times New Roman"/>
                                  <w:sz w:val="28"/>
                                  <w:szCs w:val="28"/>
                                </w:rPr>
                              </w:pPr>
                              <w:r w:rsidRPr="008252F1">
                                <w:rPr>
                                  <w:rFonts w:ascii="Times New Roman" w:hAnsi="Times New Roman" w:cs="Times New Roman"/>
                                  <w:sz w:val="28"/>
                                  <w:szCs w:val="28"/>
                                  <w:lang w:val="uk-UA"/>
                                </w:rPr>
                                <w:t>Оцінка ЕАД</w:t>
                              </w:r>
                            </w:p>
                          </w:tc>
                        </w:tr>
                        <w:tr w:rsidR="000F6151" w:rsidTr="00BD47C6">
                          <w:tc>
                            <w:tcPr>
                              <w:tcW w:w="1967"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загально-токсичний ефект</w:t>
                              </w:r>
                            </w:p>
                          </w:tc>
                          <w:tc>
                            <w:tcPr>
                              <w:tcW w:w="1968"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гонадо-токсичний ефект</w:t>
                              </w:r>
                            </w:p>
                          </w:tc>
                        </w:tr>
                      </w:tbl>
                      <w:p w:rsidR="000F6151" w:rsidRDefault="000F6151" w:rsidP="00EB6EBC"/>
                    </w:txbxContent>
                  </v:textbox>
                </v:shape>
                <v:shape id="Поле 178" o:spid="_x0000_s1031" type="#_x0000_t202" style="position:absolute;top:39126;width:25514;height:13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Q9r78A&#10;AADaAAAADwAAAGRycy9kb3ducmV2LnhtbESPzYoCMRCE74LvEFrwphmXVWQ0igjCnhb8PTeTdjI4&#10;6QxJ1NGnN4Lgsaiqr6j5srW1uJEPlWMFo2EGgrhwuuJSwWG/GUxBhIissXZMCh4UYLnoduaYa3fn&#10;Ld12sRQJwiFHBSbGJpcyFIYshqFriJN3dt5iTNKXUnu8J7it5U+WTaTFitOCwYbWhorL7moVnEr7&#10;PB1HjTfa1r/8/3zsD65Sqt9rVzMQkdr4DX/af1rBGN5X0g2Qi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JD2vvwAAANoAAAAPAAAAAAAAAAAAAAAAAJgCAABkcnMvZG93bnJl&#10;di54bWxQSwUGAAAAAAQABAD1AAAAhAMAAAAA&#10;" stroked="f" strokeweight=".5pt">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7"/>
                          <w:gridCol w:w="636"/>
                          <w:gridCol w:w="636"/>
                          <w:gridCol w:w="606"/>
                          <w:gridCol w:w="636"/>
                          <w:gridCol w:w="636"/>
                        </w:tblGrid>
                        <w:tr w:rsidR="000F6151" w:rsidTr="00BD47C6">
                          <w:tc>
                            <w:tcPr>
                              <w:tcW w:w="3935" w:type="dxa"/>
                              <w:gridSpan w:val="6"/>
                              <w:shd w:val="clear" w:color="auto" w:fill="auto"/>
                            </w:tcPr>
                            <w:p w:rsidR="000F6151" w:rsidRPr="008252F1" w:rsidRDefault="000F6151" w:rsidP="009B267B">
                              <w:pPr>
                                <w:jc w:val="center"/>
                                <w:rPr>
                                  <w:rFonts w:ascii="Times New Roman" w:hAnsi="Times New Roman" w:cs="Times New Roman"/>
                                  <w:sz w:val="28"/>
                                  <w:szCs w:val="28"/>
                                </w:rPr>
                              </w:pPr>
                              <w:r w:rsidRPr="008252F1">
                                <w:rPr>
                                  <w:rFonts w:ascii="Times New Roman" w:hAnsi="Times New Roman" w:cs="Times New Roman"/>
                                  <w:sz w:val="28"/>
                                  <w:szCs w:val="28"/>
                                  <w:lang w:val="uk-UA"/>
                                </w:rPr>
                                <w:t>Об</w:t>
                              </w:r>
                              <w:r>
                                <w:rPr>
                                  <w:rFonts w:ascii="Times New Roman" w:hAnsi="Times New Roman" w:cs="Times New Roman"/>
                                  <w:sz w:val="28"/>
                                  <w:szCs w:val="28"/>
                                  <w:lang w:val="uk-UA"/>
                                </w:rPr>
                                <w:t>ґ</w:t>
                              </w:r>
                              <w:r w:rsidRPr="008252F1">
                                <w:rPr>
                                  <w:rFonts w:ascii="Times New Roman" w:hAnsi="Times New Roman" w:cs="Times New Roman"/>
                                  <w:sz w:val="28"/>
                                  <w:szCs w:val="28"/>
                                  <w:lang w:val="uk-UA"/>
                                </w:rPr>
                                <w:t>рунтування оптимальної дози КСКМ</w:t>
                              </w:r>
                            </w:p>
                          </w:tc>
                        </w:tr>
                        <w:tr w:rsidR="000F6151" w:rsidTr="00BD47C6">
                          <w:tc>
                            <w:tcPr>
                              <w:tcW w:w="1967" w:type="dxa"/>
                              <w:gridSpan w:val="3"/>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Однобічне введення</w:t>
                              </w:r>
                            </w:p>
                          </w:tc>
                          <w:tc>
                            <w:tcPr>
                              <w:tcW w:w="1968" w:type="dxa"/>
                              <w:gridSpan w:val="3"/>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Двобічне введення</w:t>
                              </w:r>
                            </w:p>
                          </w:tc>
                        </w:tr>
                        <w:tr w:rsidR="000F6151" w:rsidTr="00BD47C6">
                          <w:tc>
                            <w:tcPr>
                              <w:tcW w:w="655"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80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100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200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80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100</w:t>
                              </w:r>
                            </w:p>
                          </w:tc>
                          <w:tc>
                            <w:tcPr>
                              <w:tcW w:w="656"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200</w:t>
                              </w:r>
                            </w:p>
                          </w:tc>
                        </w:tr>
                        <w:tr w:rsidR="000F6151" w:rsidTr="00BD47C6">
                          <w:tc>
                            <w:tcPr>
                              <w:tcW w:w="3935" w:type="dxa"/>
                              <w:gridSpan w:val="6"/>
                              <w:shd w:val="clear" w:color="auto" w:fill="auto"/>
                            </w:tcPr>
                            <w:p w:rsidR="000F6151" w:rsidRPr="008252F1" w:rsidRDefault="000F6151" w:rsidP="00BD47C6">
                              <w:pPr>
                                <w:rPr>
                                  <w:rFonts w:ascii="Times New Roman" w:hAnsi="Times New Roman" w:cs="Times New Roman"/>
                                  <w:lang w:val="uk-UA"/>
                                </w:rPr>
                              </w:pPr>
                              <w:r w:rsidRPr="008252F1">
                                <w:rPr>
                                  <w:rFonts w:ascii="Times New Roman" w:hAnsi="Times New Roman" w:cs="Times New Roman"/>
                                  <w:lang w:val="uk-UA"/>
                                </w:rPr>
                                <w:t>тис. КСКМ інтратестикулярно</w:t>
                              </w:r>
                            </w:p>
                          </w:tc>
                        </w:tr>
                      </w:tbl>
                      <w:p w:rsidR="000F6151" w:rsidRDefault="000F6151" w:rsidP="00EB6EBC"/>
                    </w:txbxContent>
                  </v:textbox>
                </v:shape>
                <v:shape id="Поле 179" o:spid="_x0000_s1032" type="#_x0000_t202" style="position:absolute;left:27668;top:22321;width:27996;height:31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j2MEA&#10;AADaAAAADwAAAGRycy9kb3ducmV2LnhtbESPQWsCMRSE7wX/Q3iCt5q1iJTV7CJCoadC1Xp+bJ7J&#10;4uZlSVJ311/fFAo9DjPzDbOrR9eJO4XYelawWhYgiBuvWzYKzqe351cQMSFr7DyTgoki1NXsaYel&#10;9gN/0v2YjMgQjiUqsCn1pZSxseQwLn1PnL2rDw5TlsFIHXDIcNfJl6LYSIct5wWLPR0sNbfjt1Nw&#10;Me5x+Vr1wWrXrfnjMZ3OvlVqMR/3WxCJxvQf/mu/awUb+L2Sb4Cs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2o9jBAAAA2gAAAA8AAAAAAAAAAAAAAAAAmAIAAGRycy9kb3du&#10;cmV2LnhtbFBLBQYAAAAABAAEAPUAAACGAwAAAAA=&#10;" stroked="f" strokeweight=".5pt">
                  <v:textbox>
                    <w:txbxContent>
                      <w:tbl>
                        <w:tblPr>
                          <w:tblW w:w="4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2126"/>
                        </w:tblGrid>
                        <w:tr w:rsidR="000F6151" w:rsidTr="00BD47C6">
                          <w:trPr>
                            <w:trHeight w:val="420"/>
                          </w:trPr>
                          <w:tc>
                            <w:tcPr>
                              <w:tcW w:w="1951" w:type="dxa"/>
                              <w:shd w:val="clear" w:color="auto" w:fill="auto"/>
                            </w:tcPr>
                            <w:p w:rsidR="000F6151" w:rsidRPr="008252F1" w:rsidRDefault="000F6151" w:rsidP="00BD47C6">
                              <w:pPr>
                                <w:jc w:val="center"/>
                                <w:rPr>
                                  <w:rFonts w:ascii="Times New Roman" w:hAnsi="Times New Roman" w:cs="Times New Roman"/>
                                  <w:sz w:val="28"/>
                                  <w:szCs w:val="28"/>
                                </w:rPr>
                              </w:pPr>
                              <w:r w:rsidRPr="008252F1">
                                <w:rPr>
                                  <w:rFonts w:ascii="Times New Roman" w:hAnsi="Times New Roman" w:cs="Times New Roman"/>
                                  <w:sz w:val="28"/>
                                  <w:szCs w:val="28"/>
                                  <w:lang w:val="uk-UA"/>
                                </w:rPr>
                                <w:t>Група хворих</w:t>
                              </w:r>
                            </w:p>
                          </w:tc>
                          <w:tc>
                            <w:tcPr>
                              <w:tcW w:w="2126" w:type="dxa"/>
                              <w:shd w:val="clear" w:color="auto" w:fill="auto"/>
                            </w:tcPr>
                            <w:p w:rsidR="000F6151" w:rsidRPr="008252F1" w:rsidRDefault="000F6151" w:rsidP="00BD47C6">
                              <w:pPr>
                                <w:jc w:val="center"/>
                                <w:rPr>
                                  <w:rFonts w:ascii="Times New Roman" w:hAnsi="Times New Roman" w:cs="Times New Roman"/>
                                  <w:sz w:val="28"/>
                                  <w:szCs w:val="28"/>
                                  <w:lang w:val="uk-UA"/>
                                </w:rPr>
                              </w:pPr>
                              <w:r w:rsidRPr="008252F1">
                                <w:rPr>
                                  <w:rFonts w:ascii="Times New Roman" w:hAnsi="Times New Roman" w:cs="Times New Roman"/>
                                  <w:sz w:val="28"/>
                                  <w:szCs w:val="28"/>
                                  <w:lang w:val="uk-UA"/>
                                </w:rPr>
                                <w:t>Контингент:</w:t>
                              </w:r>
                            </w:p>
                          </w:tc>
                        </w:tr>
                        <w:tr w:rsidR="000F6151" w:rsidTr="00BD47C6">
                          <w:trPr>
                            <w:trHeight w:val="843"/>
                          </w:trPr>
                          <w:tc>
                            <w:tcPr>
                              <w:tcW w:w="1951" w:type="dxa"/>
                              <w:shd w:val="clear" w:color="auto" w:fill="auto"/>
                            </w:tcPr>
                            <w:p w:rsidR="000F6151" w:rsidRPr="008252F1" w:rsidRDefault="000F6151" w:rsidP="00BD47C6">
                              <w:pPr>
                                <w:rPr>
                                  <w:rFonts w:ascii="Times New Roman" w:hAnsi="Times New Roman" w:cs="Times New Roman"/>
                                  <w:sz w:val="28"/>
                                  <w:szCs w:val="28"/>
                                  <w:lang w:val="uk-UA"/>
                                </w:rPr>
                              </w:pPr>
                              <w:r w:rsidRPr="008252F1">
                                <w:rPr>
                                  <w:rFonts w:ascii="Times New Roman" w:hAnsi="Times New Roman" w:cs="Times New Roman"/>
                                  <w:sz w:val="28"/>
                                  <w:szCs w:val="28"/>
                                  <w:lang w:val="uk-UA"/>
                                </w:rPr>
                                <w:t>Основна:</w:t>
                              </w:r>
                            </w:p>
                            <w:p w:rsidR="000F6151" w:rsidRPr="008252F1" w:rsidRDefault="000F6151" w:rsidP="009B267B">
                              <w:pPr>
                                <w:ind w:left="-142"/>
                                <w:jc w:val="center"/>
                                <w:rPr>
                                  <w:rFonts w:ascii="Times New Roman" w:hAnsi="Times New Roman" w:cs="Times New Roman"/>
                                  <w:sz w:val="26"/>
                                  <w:szCs w:val="26"/>
                                  <w:lang w:val="uk-UA"/>
                                </w:rPr>
                              </w:pPr>
                              <w:r w:rsidRPr="008252F1">
                                <w:rPr>
                                  <w:rFonts w:ascii="Times New Roman" w:hAnsi="Times New Roman" w:cs="Times New Roman"/>
                                  <w:sz w:val="26"/>
                                  <w:szCs w:val="26"/>
                                  <w:lang w:val="uk-UA"/>
                                </w:rPr>
                                <w:t>Інгібітори</w:t>
                              </w:r>
                              <w:r>
                                <w:rPr>
                                  <w:rFonts w:ascii="Times New Roman" w:hAnsi="Times New Roman" w:cs="Times New Roman"/>
                                  <w:sz w:val="26"/>
                                  <w:szCs w:val="26"/>
                                  <w:lang w:val="uk-UA"/>
                                </w:rPr>
                                <w:t xml:space="preserve"> </w:t>
                              </w:r>
                              <w:r w:rsidRPr="008252F1">
                                <w:rPr>
                                  <w:rFonts w:ascii="Times New Roman" w:hAnsi="Times New Roman" w:cs="Times New Roman"/>
                                  <w:sz w:val="26"/>
                                  <w:szCs w:val="26"/>
                                  <w:lang w:val="uk-UA"/>
                                </w:rPr>
                                <w:t>ФДЕ</w:t>
                              </w:r>
                              <w:r w:rsidRPr="008252F1">
                                <w:rPr>
                                  <w:rFonts w:ascii="Times New Roman" w:hAnsi="Times New Roman" w:cs="Times New Roman"/>
                                  <w:sz w:val="26"/>
                                  <w:szCs w:val="26"/>
                                  <w:lang w:val="uk-UA"/>
                                </w:rPr>
                                <w:noBreakHyphen/>
                                <w:t>5 за потреб</w:t>
                              </w:r>
                              <w:r>
                                <w:rPr>
                                  <w:rFonts w:ascii="Times New Roman" w:hAnsi="Times New Roman" w:cs="Times New Roman"/>
                                  <w:sz w:val="26"/>
                                  <w:szCs w:val="26"/>
                                  <w:lang w:val="uk-UA"/>
                                </w:rPr>
                                <w:t>и</w:t>
                              </w:r>
                              <w:r w:rsidRPr="008252F1">
                                <w:rPr>
                                  <w:rFonts w:ascii="Times New Roman" w:hAnsi="Times New Roman" w:cs="Times New Roman"/>
                                  <w:sz w:val="26"/>
                                  <w:szCs w:val="26"/>
                                  <w:lang w:val="uk-UA"/>
                                </w:rPr>
                                <w:t xml:space="preserve"> + КСКМ</w:t>
                              </w:r>
                            </w:p>
                          </w:tc>
                          <w:tc>
                            <w:tcPr>
                              <w:tcW w:w="2126" w:type="dxa"/>
                              <w:shd w:val="clear" w:color="auto" w:fill="auto"/>
                            </w:tcPr>
                            <w:p w:rsidR="000F6151" w:rsidRPr="008252F1" w:rsidRDefault="000F6151" w:rsidP="00BD47C6">
                              <w:pPr>
                                <w:jc w:val="center"/>
                                <w:rPr>
                                  <w:rFonts w:ascii="Times New Roman" w:hAnsi="Times New Roman" w:cs="Times New Roman"/>
                                  <w:sz w:val="26"/>
                                  <w:szCs w:val="26"/>
                                  <w:lang w:val="uk-UA"/>
                                </w:rPr>
                              </w:pPr>
                              <w:r w:rsidRPr="008252F1">
                                <w:rPr>
                                  <w:rFonts w:ascii="Times New Roman" w:hAnsi="Times New Roman" w:cs="Times New Roman"/>
                                  <w:sz w:val="26"/>
                                  <w:szCs w:val="26"/>
                                  <w:lang w:val="uk-UA"/>
                                </w:rPr>
                                <w:t>Хворі на ЦД з ЕД та анд</w:t>
                              </w:r>
                              <w:r w:rsidRPr="008252F1">
                                <w:rPr>
                                  <w:rFonts w:ascii="Times New Roman" w:hAnsi="Times New Roman" w:cs="Times New Roman"/>
                                  <w:sz w:val="26"/>
                                  <w:szCs w:val="26"/>
                                  <w:lang w:val="uk-UA"/>
                                </w:rPr>
                                <w:softHyphen/>
                                <w:t>ро</w:t>
                              </w:r>
                              <w:r w:rsidRPr="008252F1">
                                <w:rPr>
                                  <w:rFonts w:ascii="Times New Roman" w:hAnsi="Times New Roman" w:cs="Times New Roman"/>
                                  <w:sz w:val="26"/>
                                  <w:szCs w:val="26"/>
                                  <w:lang w:val="uk-UA"/>
                                </w:rPr>
                                <w:softHyphen/>
                                <w:t>ген</w:t>
                              </w:r>
                              <w:r w:rsidRPr="008252F1">
                                <w:rPr>
                                  <w:rFonts w:ascii="Times New Roman" w:hAnsi="Times New Roman" w:cs="Times New Roman"/>
                                  <w:sz w:val="26"/>
                                  <w:szCs w:val="26"/>
                                  <w:lang w:val="uk-UA"/>
                                </w:rPr>
                                <w:softHyphen/>
                                <w:t>ним дефіци</w:t>
                              </w:r>
                              <w:r w:rsidRPr="008252F1">
                                <w:rPr>
                                  <w:rFonts w:ascii="Times New Roman" w:hAnsi="Times New Roman" w:cs="Times New Roman"/>
                                  <w:sz w:val="26"/>
                                  <w:szCs w:val="26"/>
                                  <w:lang w:val="uk-UA"/>
                                </w:rPr>
                                <w:softHyphen/>
                                <w:t>том віком 45-59 р. (</w:t>
                              </w:r>
                              <w:r w:rsidRPr="008252F1">
                                <w:rPr>
                                  <w:rFonts w:ascii="Times New Roman" w:hAnsi="Times New Roman" w:cs="Times New Roman"/>
                                  <w:sz w:val="26"/>
                                  <w:szCs w:val="26"/>
                                  <w:lang w:val="en-US"/>
                                </w:rPr>
                                <w:t>n</w:t>
                              </w:r>
                              <w:r w:rsidRPr="005007D7">
                                <w:rPr>
                                  <w:rFonts w:ascii="Times New Roman" w:hAnsi="Times New Roman" w:cs="Times New Roman"/>
                                  <w:sz w:val="26"/>
                                  <w:szCs w:val="26"/>
                                </w:rPr>
                                <w:t>=</w:t>
                              </w:r>
                              <w:r w:rsidRPr="008252F1">
                                <w:rPr>
                                  <w:rFonts w:ascii="Times New Roman" w:hAnsi="Times New Roman" w:cs="Times New Roman"/>
                                  <w:sz w:val="26"/>
                                  <w:szCs w:val="26"/>
                                  <w:lang w:val="uk-UA"/>
                                </w:rPr>
                                <w:t>1</w:t>
                              </w:r>
                              <w:r w:rsidRPr="005007D7">
                                <w:rPr>
                                  <w:rFonts w:ascii="Times New Roman" w:hAnsi="Times New Roman" w:cs="Times New Roman"/>
                                  <w:sz w:val="26"/>
                                  <w:szCs w:val="26"/>
                                </w:rPr>
                                <w:t>0)</w:t>
                              </w:r>
                            </w:p>
                          </w:tc>
                        </w:tr>
                        <w:tr w:rsidR="000F6151" w:rsidTr="00BD47C6">
                          <w:trPr>
                            <w:trHeight w:val="843"/>
                          </w:trPr>
                          <w:tc>
                            <w:tcPr>
                              <w:tcW w:w="1951" w:type="dxa"/>
                              <w:shd w:val="clear" w:color="auto" w:fill="auto"/>
                            </w:tcPr>
                            <w:p w:rsidR="000F6151" w:rsidRPr="008252F1" w:rsidRDefault="000F6151" w:rsidP="00BD47C6">
                              <w:pPr>
                                <w:rPr>
                                  <w:rFonts w:ascii="Times New Roman" w:hAnsi="Times New Roman" w:cs="Times New Roman"/>
                                  <w:sz w:val="28"/>
                                  <w:szCs w:val="28"/>
                                  <w:lang w:val="uk-UA"/>
                                </w:rPr>
                              </w:pPr>
                              <w:r w:rsidRPr="008252F1">
                                <w:rPr>
                                  <w:rFonts w:ascii="Times New Roman" w:hAnsi="Times New Roman" w:cs="Times New Roman"/>
                                  <w:sz w:val="28"/>
                                  <w:szCs w:val="28"/>
                                  <w:lang w:val="uk-UA"/>
                                </w:rPr>
                                <w:t>Порівняння:</w:t>
                              </w:r>
                            </w:p>
                            <w:p w:rsidR="000F6151" w:rsidRPr="008252F1" w:rsidRDefault="000F6151" w:rsidP="009B267B">
                              <w:pPr>
                                <w:jc w:val="center"/>
                                <w:rPr>
                                  <w:rFonts w:ascii="Times New Roman" w:hAnsi="Times New Roman" w:cs="Times New Roman"/>
                                  <w:sz w:val="26"/>
                                  <w:szCs w:val="26"/>
                                  <w:lang w:val="uk-UA"/>
                                </w:rPr>
                              </w:pPr>
                              <w:r w:rsidRPr="008252F1">
                                <w:rPr>
                                  <w:rFonts w:ascii="Times New Roman" w:hAnsi="Times New Roman" w:cs="Times New Roman"/>
                                  <w:sz w:val="26"/>
                                  <w:szCs w:val="26"/>
                                  <w:lang w:val="uk-UA"/>
                                </w:rPr>
                                <w:t>інгібітори ФДЕ-5 за потреб</w:t>
                              </w:r>
                              <w:r>
                                <w:rPr>
                                  <w:rFonts w:ascii="Times New Roman" w:hAnsi="Times New Roman" w:cs="Times New Roman"/>
                                  <w:sz w:val="26"/>
                                  <w:szCs w:val="26"/>
                                  <w:lang w:val="uk-UA"/>
                                </w:rPr>
                                <w:t>и</w:t>
                              </w:r>
                              <w:r w:rsidRPr="008252F1">
                                <w:rPr>
                                  <w:rFonts w:ascii="Times New Roman" w:hAnsi="Times New Roman" w:cs="Times New Roman"/>
                                  <w:sz w:val="26"/>
                                  <w:szCs w:val="26"/>
                                  <w:lang w:val="uk-UA"/>
                                </w:rPr>
                                <w:t xml:space="preserve"> + тестостерону ундеконат в/м</w:t>
                              </w:r>
                            </w:p>
                          </w:tc>
                          <w:tc>
                            <w:tcPr>
                              <w:tcW w:w="2126" w:type="dxa"/>
                              <w:shd w:val="clear" w:color="auto" w:fill="auto"/>
                            </w:tcPr>
                            <w:p w:rsidR="000F6151" w:rsidRPr="008252F1" w:rsidRDefault="000F6151" w:rsidP="00BD47C6">
                              <w:pPr>
                                <w:jc w:val="center"/>
                                <w:rPr>
                                  <w:rFonts w:ascii="Times New Roman" w:hAnsi="Times New Roman" w:cs="Times New Roman"/>
                                  <w:sz w:val="28"/>
                                  <w:szCs w:val="28"/>
                                  <w:lang w:val="uk-UA"/>
                                </w:rPr>
                              </w:pPr>
                              <w:r w:rsidRPr="008252F1">
                                <w:rPr>
                                  <w:rFonts w:ascii="Times New Roman" w:hAnsi="Times New Roman" w:cs="Times New Roman"/>
                                  <w:sz w:val="26"/>
                                  <w:szCs w:val="26"/>
                                  <w:lang w:val="uk-UA"/>
                                </w:rPr>
                                <w:t>Хворі на ЦД з ЕД та анд</w:t>
                              </w:r>
                              <w:r w:rsidRPr="008252F1">
                                <w:rPr>
                                  <w:rFonts w:ascii="Times New Roman" w:hAnsi="Times New Roman" w:cs="Times New Roman"/>
                                  <w:sz w:val="26"/>
                                  <w:szCs w:val="26"/>
                                  <w:lang w:val="uk-UA"/>
                                </w:rPr>
                                <w:softHyphen/>
                                <w:t>ро</w:t>
                              </w:r>
                              <w:r w:rsidRPr="008252F1">
                                <w:rPr>
                                  <w:rFonts w:ascii="Times New Roman" w:hAnsi="Times New Roman" w:cs="Times New Roman"/>
                                  <w:sz w:val="26"/>
                                  <w:szCs w:val="26"/>
                                  <w:lang w:val="uk-UA"/>
                                </w:rPr>
                                <w:softHyphen/>
                                <w:t>ген</w:t>
                              </w:r>
                              <w:r w:rsidRPr="008252F1">
                                <w:rPr>
                                  <w:rFonts w:ascii="Times New Roman" w:hAnsi="Times New Roman" w:cs="Times New Roman"/>
                                  <w:sz w:val="26"/>
                                  <w:szCs w:val="26"/>
                                  <w:lang w:val="uk-UA"/>
                                </w:rPr>
                                <w:softHyphen/>
                                <w:t>ним дефіци</w:t>
                              </w:r>
                              <w:r w:rsidRPr="008252F1">
                                <w:rPr>
                                  <w:rFonts w:ascii="Times New Roman" w:hAnsi="Times New Roman" w:cs="Times New Roman"/>
                                  <w:sz w:val="26"/>
                                  <w:szCs w:val="26"/>
                                  <w:lang w:val="uk-UA"/>
                                </w:rPr>
                                <w:softHyphen/>
                                <w:t>том віком 45-59 р. (</w:t>
                              </w:r>
                              <w:r w:rsidRPr="008252F1">
                                <w:rPr>
                                  <w:rFonts w:ascii="Times New Roman" w:hAnsi="Times New Roman" w:cs="Times New Roman"/>
                                  <w:sz w:val="26"/>
                                  <w:szCs w:val="26"/>
                                  <w:lang w:val="en-US"/>
                                </w:rPr>
                                <w:t>n</w:t>
                              </w:r>
                              <w:r w:rsidRPr="005007D7">
                                <w:rPr>
                                  <w:rFonts w:ascii="Times New Roman" w:hAnsi="Times New Roman" w:cs="Times New Roman"/>
                                  <w:sz w:val="26"/>
                                  <w:szCs w:val="26"/>
                                </w:rPr>
                                <w:t>=</w:t>
                              </w:r>
                              <w:r w:rsidRPr="008252F1">
                                <w:rPr>
                                  <w:rFonts w:ascii="Times New Roman" w:hAnsi="Times New Roman" w:cs="Times New Roman"/>
                                  <w:sz w:val="26"/>
                                  <w:szCs w:val="26"/>
                                  <w:lang w:val="uk-UA"/>
                                </w:rPr>
                                <w:t>1</w:t>
                              </w:r>
                              <w:r w:rsidRPr="005007D7">
                                <w:rPr>
                                  <w:rFonts w:ascii="Times New Roman" w:hAnsi="Times New Roman" w:cs="Times New Roman"/>
                                  <w:sz w:val="26"/>
                                  <w:szCs w:val="26"/>
                                </w:rPr>
                                <w:t>0)</w:t>
                              </w:r>
                            </w:p>
                          </w:tc>
                        </w:tr>
                        <w:tr w:rsidR="000F6151" w:rsidTr="00BD47C6">
                          <w:trPr>
                            <w:trHeight w:val="1523"/>
                          </w:trPr>
                          <w:tc>
                            <w:tcPr>
                              <w:tcW w:w="1951" w:type="dxa"/>
                              <w:shd w:val="clear" w:color="auto" w:fill="auto"/>
                            </w:tcPr>
                            <w:p w:rsidR="000F6151" w:rsidRPr="008252F1" w:rsidRDefault="000F6151" w:rsidP="00BD47C6">
                              <w:pPr>
                                <w:rPr>
                                  <w:rFonts w:ascii="Times New Roman" w:hAnsi="Times New Roman" w:cs="Times New Roman"/>
                                  <w:sz w:val="28"/>
                                  <w:szCs w:val="28"/>
                                  <w:lang w:val="uk-UA"/>
                                </w:rPr>
                              </w:pPr>
                              <w:r w:rsidRPr="008252F1">
                                <w:rPr>
                                  <w:rFonts w:ascii="Times New Roman" w:hAnsi="Times New Roman" w:cs="Times New Roman"/>
                                  <w:sz w:val="28"/>
                                  <w:szCs w:val="28"/>
                                  <w:lang w:val="uk-UA"/>
                                </w:rPr>
                                <w:t xml:space="preserve">Контрольна </w:t>
                              </w:r>
                            </w:p>
                            <w:p w:rsidR="000F6151" w:rsidRPr="008252F1" w:rsidRDefault="000F6151" w:rsidP="00BD47C6">
                              <w:pPr>
                                <w:jc w:val="center"/>
                                <w:rPr>
                                  <w:rFonts w:ascii="Times New Roman" w:hAnsi="Times New Roman" w:cs="Times New Roman"/>
                                  <w:sz w:val="28"/>
                                  <w:szCs w:val="28"/>
                                  <w:lang w:val="uk-UA"/>
                                </w:rPr>
                              </w:pPr>
                            </w:p>
                          </w:tc>
                          <w:tc>
                            <w:tcPr>
                              <w:tcW w:w="2126" w:type="dxa"/>
                              <w:shd w:val="clear" w:color="auto" w:fill="auto"/>
                            </w:tcPr>
                            <w:p w:rsidR="000F6151" w:rsidRPr="008252F1" w:rsidRDefault="000F6151" w:rsidP="00BD47C6">
                              <w:pPr>
                                <w:jc w:val="center"/>
                                <w:rPr>
                                  <w:rFonts w:ascii="Times New Roman" w:hAnsi="Times New Roman" w:cs="Times New Roman"/>
                                  <w:sz w:val="26"/>
                                  <w:szCs w:val="26"/>
                                  <w:lang w:val="uk-UA"/>
                                </w:rPr>
                              </w:pPr>
                              <w:r w:rsidRPr="008252F1">
                                <w:rPr>
                                  <w:rFonts w:ascii="Times New Roman" w:hAnsi="Times New Roman" w:cs="Times New Roman"/>
                                  <w:sz w:val="26"/>
                                  <w:szCs w:val="26"/>
                                  <w:lang w:val="uk-UA"/>
                                </w:rPr>
                                <w:t>здорові чоловіки віком 45-59 р. (</w:t>
                              </w:r>
                              <w:r w:rsidRPr="008252F1">
                                <w:rPr>
                                  <w:rFonts w:ascii="Times New Roman" w:hAnsi="Times New Roman" w:cs="Times New Roman"/>
                                  <w:sz w:val="26"/>
                                  <w:szCs w:val="26"/>
                                  <w:lang w:val="en-US"/>
                                </w:rPr>
                                <w:t>n</w:t>
                              </w:r>
                              <w:r w:rsidRPr="005007D7">
                                <w:rPr>
                                  <w:rFonts w:ascii="Times New Roman" w:hAnsi="Times New Roman" w:cs="Times New Roman"/>
                                  <w:sz w:val="26"/>
                                  <w:szCs w:val="26"/>
                                </w:rPr>
                                <w:t>=20)</w:t>
                              </w:r>
                            </w:p>
                          </w:tc>
                        </w:tr>
                      </w:tbl>
                      <w:p w:rsidR="000F6151" w:rsidRDefault="000F6151" w:rsidP="00EB6EBC"/>
                    </w:txbxContent>
                  </v:textbox>
                </v:shape>
                <v:shape id="Поле 180" o:spid="_x0000_s1033" type="#_x0000_t202" style="position:absolute;left:27669;top:55217;width:27995;height:13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oGQ78A&#10;AADaAAAADwAAAGRycy9kb3ducmV2LnhtbESPzYoCMRCE74LvEFrwphmXRWU0igjCnhb8PTeTdjI4&#10;6QxJ1NGnN4Lgsaiqr6j5srW1uJEPlWMFo2EGgrhwuuJSwWG/GUxBhIissXZMCh4UYLnoduaYa3fn&#10;Ld12sRQJwiFHBSbGJpcyFIYshqFriJN3dt5iTNKXUnu8J7it5U+WjaXFitOCwYbWhorL7moVnEr7&#10;PB1HjTfa1r/8/3zsD65Sqt9rVzMQkdr4DX/af1rBBN5X0g2Qi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ugZDvwAAANoAAAAPAAAAAAAAAAAAAAAAAJgCAABkcnMvZG93bnJl&#10;di54bWxQSwUGAAAAAAQABAD1AAAAhAMAAAAA&#10;" stroked="f" strokeweight=".5pt">
                  <v:textbox>
                    <w:txbxContent>
                      <w:tbl>
                        <w:tblPr>
                          <w:tblW w:w="4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tblGrid>
                        <w:tr w:rsidR="000F6151" w:rsidTr="00BD47C6">
                          <w:tc>
                            <w:tcPr>
                              <w:tcW w:w="4077" w:type="dxa"/>
                              <w:shd w:val="clear" w:color="auto" w:fill="auto"/>
                            </w:tcPr>
                            <w:p w:rsidR="000F6151" w:rsidRPr="008252F1" w:rsidRDefault="000F6151" w:rsidP="009B267B">
                              <w:pPr>
                                <w:jc w:val="center"/>
                                <w:rPr>
                                  <w:rFonts w:ascii="Times New Roman" w:hAnsi="Times New Roman" w:cs="Times New Roman"/>
                                  <w:sz w:val="28"/>
                                  <w:szCs w:val="28"/>
                                </w:rPr>
                              </w:pPr>
                              <w:r w:rsidRPr="008252F1">
                                <w:rPr>
                                  <w:rFonts w:ascii="Times New Roman" w:hAnsi="Times New Roman" w:cs="Times New Roman"/>
                                  <w:sz w:val="28"/>
                                  <w:szCs w:val="28"/>
                                  <w:lang w:val="uk-UA"/>
                                </w:rPr>
                                <w:t xml:space="preserve">Оцінка лікувального ефекту </w:t>
                              </w:r>
                              <w:r w:rsidRPr="008252F1">
                                <w:rPr>
                                  <w:rFonts w:ascii="Times New Roman" w:hAnsi="Times New Roman" w:cs="Times New Roman"/>
                                  <w:lang w:val="uk-UA"/>
                                </w:rPr>
                                <w:t xml:space="preserve">(через </w:t>
                              </w:r>
                              <w:r>
                                <w:rPr>
                                  <w:rFonts w:ascii="Times New Roman" w:hAnsi="Times New Roman" w:cs="Times New Roman"/>
                                  <w:lang w:val="uk-UA"/>
                                </w:rPr>
                                <w:t xml:space="preserve">4, </w:t>
                              </w:r>
                              <w:r w:rsidRPr="008252F1">
                                <w:rPr>
                                  <w:rFonts w:ascii="Times New Roman" w:hAnsi="Times New Roman" w:cs="Times New Roman"/>
                                  <w:lang w:val="uk-UA"/>
                                </w:rPr>
                                <w:t>12 та 24 тиж</w:t>
                              </w:r>
                              <w:r>
                                <w:rPr>
                                  <w:rFonts w:ascii="Times New Roman" w:hAnsi="Times New Roman" w:cs="Times New Roman"/>
                                  <w:lang w:val="uk-UA"/>
                                </w:rPr>
                                <w:t>ні</w:t>
                              </w:r>
                              <w:r w:rsidRPr="008252F1">
                                <w:rPr>
                                  <w:rFonts w:ascii="Times New Roman" w:hAnsi="Times New Roman" w:cs="Times New Roman"/>
                                  <w:lang w:val="uk-UA"/>
                                </w:rPr>
                                <w:t xml:space="preserve"> лікування):</w:t>
                              </w:r>
                            </w:p>
                          </w:tc>
                        </w:tr>
                        <w:tr w:rsidR="000F6151" w:rsidTr="00BD47C6">
                          <w:tc>
                            <w:tcPr>
                              <w:tcW w:w="4077"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1. Динаміка ЕД за шкалою МІЕФ</w:t>
                              </w:r>
                            </w:p>
                          </w:tc>
                        </w:tr>
                        <w:tr w:rsidR="000F6151" w:rsidTr="00BD47C6">
                          <w:tc>
                            <w:tcPr>
                              <w:tcW w:w="4077"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2. Динаміка біохімічних показників</w:t>
                              </w:r>
                            </w:p>
                          </w:tc>
                        </w:tr>
                        <w:tr w:rsidR="000F6151" w:rsidTr="00BD47C6">
                          <w:tc>
                            <w:tcPr>
                              <w:tcW w:w="4077"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3. Вага, ІМТ</w:t>
                              </w:r>
                            </w:p>
                          </w:tc>
                        </w:tr>
                        <w:tr w:rsidR="000F6151" w:rsidTr="00BD47C6">
                          <w:tc>
                            <w:tcPr>
                              <w:tcW w:w="4077" w:type="dxa"/>
                              <w:shd w:val="clear" w:color="auto" w:fill="auto"/>
                            </w:tcPr>
                            <w:p w:rsidR="000F6151" w:rsidRPr="008252F1" w:rsidRDefault="000F6151" w:rsidP="00BD47C6">
                              <w:pPr>
                                <w:ind w:left="284" w:hanging="284"/>
                                <w:rPr>
                                  <w:rFonts w:ascii="Times New Roman" w:hAnsi="Times New Roman" w:cs="Times New Roman"/>
                                  <w:lang w:val="uk-UA"/>
                                </w:rPr>
                              </w:pPr>
                              <w:r w:rsidRPr="008252F1">
                                <w:rPr>
                                  <w:rFonts w:ascii="Times New Roman" w:hAnsi="Times New Roman" w:cs="Times New Roman"/>
                                  <w:lang w:val="uk-UA"/>
                                </w:rPr>
                                <w:t>4. Побічні ефекти та небажані явища</w:t>
                              </w:r>
                            </w:p>
                          </w:tc>
                        </w:tr>
                      </w:tbl>
                      <w:p w:rsidR="000F6151" w:rsidRDefault="000F6151" w:rsidP="00EB6EBC"/>
                    </w:txbxContent>
                  </v:textbox>
                </v:shape>
                <v:shape id="Прямая со стрелкой 181" o:spid="_x0000_s1034" type="#_x0000_t32" style="position:absolute;left:12112;top:16506;width:0;height:23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3m9b8AAADaAAAADwAAAGRycy9kb3ducmV2LnhtbERPy4rCMBTdD/gP4QqzGTS1w6hUo4gw&#10;KszKB7i9NLdNsbkpTaz1781iwOXhvJfr3taio9ZXjhVMxgkI4tzpiksFl/PvaA7CB2SNtWNS8CQP&#10;69XgY4mZdg8+UncKpYgh7DNUYEJoMil9bsiiH7uGOHKFay2GCNtS6hYfMdzWMk2SqbRYcWww2NDW&#10;UH473a2CItU0+bpdzX72g8X27zvtunqn1Oew3yxABOrDW/zvPmgFcWu8Em+AXL0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13m9b8AAADaAAAADwAAAAAAAAAAAAAAAACh&#10;AgAAZHJzL2Rvd25yZXYueG1sUEsFBgAAAAAEAAQA+QAAAI0DAAAAAA==&#10;">
                  <v:stroke endarrow="open"/>
                </v:shape>
                <v:shape id="Прямая со стрелкой 184" o:spid="_x0000_s1035" type="#_x0000_t32" style="position:absolute;left:12231;top:51239;width:0;height:2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NIksEAAADbAAAADwAAAGRycy9kb3ducmV2LnhtbERPTWvCQBC9F/wPyxS8lLpJRFtSVxGh&#10;KnjSFnodspNsMDsbstsY/70rCN7m8T5nsRpsI3rqfO1YQTpJQBAXTtdcKfj9+X7/BOEDssbGMSm4&#10;kofVcvSywFy7Cx+pP4VKxBD2OSowIbS5lL4wZNFPXEscudJ1FkOEXSV1h5cYbhuZJclcWqw5Nhhs&#10;aWOoOJ/+rYIy05S+nf/M7mOG5eYwzfq+2So1fh3WXyACDeEpfrj3Os5P4f5LPEAu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I0iSwQAAANsAAAAPAAAAAAAAAAAAAAAA&#10;AKECAABkcnMvZG93bnJldi54bWxQSwUGAAAAAAQABAD5AAAAjwMAAAAA&#10;">
                  <v:stroke endarrow="open"/>
                </v:shape>
                <v:shape id="Прямая со стрелкой 185" o:spid="_x0000_s1036" type="#_x0000_t32" style="position:absolute;left:40386;top:53082;width:0;height:21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HW5cEAAADbAAAADwAAAGRycy9kb3ducmV2LnhtbERPTWvCQBC9F/oflhF6Kbox0irRVYpg&#10;FXpqWvA6ZCfZYHY2ZNcY/70rCN7m8T5ntRlsI3rqfO1YwXSSgCAunK65UvD/txsvQPiArLFxTAqu&#10;5GGzfn1ZYabdhX+pz0MlYgj7DBWYENpMSl8YsugnriWOXOk6iyHCrpK6w0sMt41Mk+RTWqw5Nhhs&#10;aWuoOOVnq6BMNU3fT0ezn39guf2ZpX3ffCv1Nhq+liACDeEpfrgPOs5P4f5LPECu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8dblwQAAANsAAAAPAAAAAAAAAAAAAAAA&#10;AKECAABkcnMvZG93bnJldi54bWxQSwUGAAAAAAQABAD5AAAAjwMAAAAA&#10;">
                  <v:stroke endarrow="open"/>
                </v:shape>
                <v:shape id="Поле 187" o:spid="_x0000_s1037" type="#_x0000_t202" style="position:absolute;left:12231;width:28810;height:77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VPXr8A&#10;AADbAAAADwAAAGRycy9kb3ducmV2LnhtbERPPWvDMBDdC/0P4gLdGjkxmOJENkmhYLo19ZLtkC62&#10;iXUykho7/z4qFLrd433evl7sKG7kw+BYwWadgSDWzgzcKWi/P17fQISIbHB0TAruFKCunp/2WBo3&#10;8xfdTrETKYRDiQr6GKdSyqB7shjWbiJO3MV5izFB30njcU7hdpTbLCukxYFTQ48Tvfekr6cfq6Ap&#10;jvFMrfk0+TZ3cyu1v4xBqZfVctiBiLTEf/GfuzFpfg6/v6QDZP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FU9evwAAANsAAAAPAAAAAAAAAAAAAAAAAJgCAABkcnMvZG93bnJl&#10;di54bWxQSwUGAAAAAAQABAD1AAAAhAMAAAAA&#10;" strokeweight=".5pt">
                  <v:textbox>
                    <w:txbxContent>
                      <w:p w:rsidR="000F6151" w:rsidRPr="00C23CC0" w:rsidRDefault="000F6151" w:rsidP="00EB6EBC">
                        <w:pPr>
                          <w:jc w:val="center"/>
                          <w:rPr>
                            <w:rFonts w:ascii="Times New Roman" w:hAnsi="Times New Roman" w:cs="Times New Roman"/>
                            <w:sz w:val="28"/>
                            <w:szCs w:val="28"/>
                            <w:lang w:val="uk-UA"/>
                          </w:rPr>
                        </w:pPr>
                        <w:r w:rsidRPr="00C23CC0">
                          <w:rPr>
                            <w:rFonts w:ascii="Times New Roman" w:hAnsi="Times New Roman" w:cs="Times New Roman"/>
                            <w:sz w:val="28"/>
                            <w:szCs w:val="28"/>
                            <w:lang w:val="uk-UA"/>
                          </w:rPr>
                          <w:t>Розробка</w:t>
                        </w:r>
                        <w:r>
                          <w:rPr>
                            <w:rFonts w:ascii="Times New Roman" w:hAnsi="Times New Roman" w:cs="Times New Roman"/>
                            <w:sz w:val="28"/>
                            <w:szCs w:val="28"/>
                            <w:lang w:val="uk-UA"/>
                          </w:rPr>
                          <w:t xml:space="preserve"> методу лікування ЕД  у хворих з андрогенним дефіцитом із застосуванням КСКМ</w:t>
                        </w:r>
                      </w:p>
                    </w:txbxContent>
                  </v:textbox>
                </v:shape>
                <v:shape id="Поле 188" o:spid="_x0000_s1038" type="#_x0000_t202" style="position:absolute;left:243;top:18769;width:25508;height:9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j/ur0A&#10;AADbAAAADwAAAGRycy9kb3ducmV2LnhtbERPy6rCMBDdC/5DGMGdpl7kItUoIgh3JfjqemjGpthM&#10;ShK1+vVGEO5uDuc5i1VnG3EnH2rHCibjDARx6XTNlYLTcTuagQgRWWPjmBQ8KcBq2e8tMNfuwXu6&#10;H2IlUgiHHBWYGNtcylAashjGriVO3MV5izFBX0nt8ZHCbSN/suxXWqw5NRhsaWOovB5uVkFR2Vdx&#10;nrTeaNtMefd6Hk+uVmo46NZzEJG6+C/+uv90mj+Fzy/pALl8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7j/ur0AAADbAAAADwAAAAAAAAAAAAAAAACYAgAAZHJzL2Rvd25yZXYu&#10;eG1sUEsFBgAAAAAEAAQA9QAAAIIDAAAAAA==&#10;" stroked="f" strokeweight=".5pt">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0"/>
                          <w:gridCol w:w="942"/>
                          <w:gridCol w:w="941"/>
                          <w:gridCol w:w="942"/>
                        </w:tblGrid>
                        <w:tr w:rsidR="000F6151" w:rsidTr="00BD47C6">
                          <w:tc>
                            <w:tcPr>
                              <w:tcW w:w="3934" w:type="dxa"/>
                              <w:gridSpan w:val="4"/>
                              <w:shd w:val="clear" w:color="auto" w:fill="auto"/>
                            </w:tcPr>
                            <w:p w:rsidR="000F6151" w:rsidRPr="008252F1" w:rsidRDefault="000F6151" w:rsidP="00BD47C6">
                              <w:pPr>
                                <w:jc w:val="center"/>
                                <w:rPr>
                                  <w:rFonts w:ascii="Times New Roman" w:hAnsi="Times New Roman" w:cs="Times New Roman"/>
                                  <w:sz w:val="28"/>
                                  <w:szCs w:val="28"/>
                                </w:rPr>
                              </w:pPr>
                              <w:r w:rsidRPr="008252F1">
                                <w:rPr>
                                  <w:rFonts w:ascii="Times New Roman" w:hAnsi="Times New Roman" w:cs="Times New Roman"/>
                                  <w:sz w:val="28"/>
                                  <w:szCs w:val="28"/>
                                  <w:lang w:val="uk-UA"/>
                                </w:rPr>
                                <w:t xml:space="preserve">Розробка моделі ЕАД із застосуванням </w:t>
                              </w:r>
                              <w:r w:rsidRPr="008252F1">
                                <w:rPr>
                                  <w:rFonts w:ascii="Times New Roman" w:hAnsi="Times New Roman" w:cs="Times New Roman"/>
                                  <w:sz w:val="28"/>
                                  <w:szCs w:val="28"/>
                                  <w:lang w:val="en-US"/>
                                </w:rPr>
                                <w:t>CdCl</w:t>
                              </w:r>
                              <w:r w:rsidRPr="005007D7">
                                <w:rPr>
                                  <w:rFonts w:ascii="Times New Roman" w:hAnsi="Times New Roman" w:cs="Times New Roman"/>
                                  <w:sz w:val="28"/>
                                  <w:szCs w:val="28"/>
                                  <w:vertAlign w:val="subscript"/>
                                </w:rPr>
                                <w:t>2</w:t>
                              </w:r>
                            </w:p>
                          </w:tc>
                        </w:tr>
                        <w:tr w:rsidR="000F6151" w:rsidTr="00BD47C6">
                          <w:tc>
                            <w:tcPr>
                              <w:tcW w:w="983" w:type="dxa"/>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55</w:t>
                              </w:r>
                            </w:p>
                          </w:tc>
                          <w:tc>
                            <w:tcPr>
                              <w:tcW w:w="984" w:type="dxa"/>
                              <w:shd w:val="clear" w:color="auto" w:fill="auto"/>
                            </w:tcPr>
                            <w:p w:rsidR="000F6151" w:rsidRPr="008252F1" w:rsidRDefault="000F6151">
                              <w:pPr>
                                <w:rPr>
                                  <w:rFonts w:ascii="Times New Roman" w:hAnsi="Times New Roman" w:cs="Times New Roman"/>
                                  <w:lang w:val="uk-UA"/>
                                </w:rPr>
                              </w:pPr>
                              <w:r w:rsidRPr="008252F1">
                                <w:rPr>
                                  <w:rFonts w:ascii="Times New Roman" w:hAnsi="Times New Roman" w:cs="Times New Roman"/>
                                  <w:lang w:val="uk-UA"/>
                                </w:rPr>
                                <w:t>100</w:t>
                              </w:r>
                            </w:p>
                          </w:tc>
                          <w:tc>
                            <w:tcPr>
                              <w:tcW w:w="983" w:type="dxa"/>
                              <w:shd w:val="clear" w:color="auto" w:fill="auto"/>
                            </w:tcPr>
                            <w:p w:rsidR="000F6151" w:rsidRPr="008252F1" w:rsidRDefault="000F6151">
                              <w:pPr>
                                <w:rPr>
                                  <w:rFonts w:ascii="Times New Roman" w:hAnsi="Times New Roman" w:cs="Times New Roman"/>
                                  <w:lang w:val="uk-UA"/>
                                </w:rPr>
                              </w:pPr>
                              <w:r w:rsidRPr="008252F1">
                                <w:rPr>
                                  <w:rFonts w:ascii="Times New Roman" w:hAnsi="Times New Roman" w:cs="Times New Roman"/>
                                  <w:lang w:val="uk-UA"/>
                                </w:rPr>
                                <w:t>150</w:t>
                              </w:r>
                            </w:p>
                          </w:tc>
                          <w:tc>
                            <w:tcPr>
                              <w:tcW w:w="984" w:type="dxa"/>
                              <w:shd w:val="clear" w:color="auto" w:fill="auto"/>
                            </w:tcPr>
                            <w:p w:rsidR="000F6151" w:rsidRPr="008252F1" w:rsidRDefault="000F6151">
                              <w:pPr>
                                <w:rPr>
                                  <w:rFonts w:ascii="Times New Roman" w:hAnsi="Times New Roman" w:cs="Times New Roman"/>
                                  <w:lang w:val="uk-UA"/>
                                </w:rPr>
                              </w:pPr>
                              <w:r w:rsidRPr="008252F1">
                                <w:rPr>
                                  <w:rFonts w:ascii="Times New Roman" w:hAnsi="Times New Roman" w:cs="Times New Roman"/>
                                  <w:lang w:val="uk-UA"/>
                                </w:rPr>
                                <w:t>200</w:t>
                              </w:r>
                            </w:p>
                          </w:tc>
                        </w:tr>
                        <w:tr w:rsidR="000F6151" w:rsidTr="00BD47C6">
                          <w:tc>
                            <w:tcPr>
                              <w:tcW w:w="3934" w:type="dxa"/>
                              <w:gridSpan w:val="4"/>
                              <w:shd w:val="clear" w:color="auto" w:fill="auto"/>
                            </w:tcPr>
                            <w:p w:rsidR="000F6151" w:rsidRPr="008252F1" w:rsidRDefault="000F6151" w:rsidP="00BD47C6">
                              <w:pPr>
                                <w:jc w:val="center"/>
                                <w:rPr>
                                  <w:rFonts w:ascii="Times New Roman" w:hAnsi="Times New Roman" w:cs="Times New Roman"/>
                                  <w:lang w:val="uk-UA"/>
                                </w:rPr>
                              </w:pPr>
                              <w:r w:rsidRPr="008252F1">
                                <w:rPr>
                                  <w:rFonts w:ascii="Times New Roman" w:hAnsi="Times New Roman" w:cs="Times New Roman"/>
                                  <w:lang w:val="uk-UA"/>
                                </w:rPr>
                                <w:t>мкг/100 г ваги тварини</w:t>
                              </w:r>
                            </w:p>
                          </w:tc>
                        </w:tr>
                      </w:tbl>
                      <w:p w:rsidR="000F6151" w:rsidRDefault="000F6151" w:rsidP="00EB6EBC"/>
                    </w:txbxContent>
                  </v:textbox>
                </v:shape>
                <v:shape id="Прямая со стрелкой 189" o:spid="_x0000_s1039" type="#_x0000_t32" style="position:absolute;left:17452;top:7718;width:0;height:19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EV9sIAAADbAAAADwAAAGRycy9kb3ducmV2LnhtbERPTYvCMBC9L/gfwgheFk11UaQaRQRB&#10;lgXR9eJtaKZNsZnUJta6v36zIOxtHu9zluvOVqKlxpeOFYxHCQjizOmSCwXn791wDsIHZI2VY1Lw&#10;JA/rVe9tial2Dz5SewqFiCHsU1RgQqhTKX1myKIfuZo4crlrLIYIm0LqBh8x3FZykiQzabHk2GCw&#10;pq2h7Hq6WwXvx0tZ5Pn96+k/fg7z5PNwM1mr1KDfbRYgAnXhX/xy73WcP4W/X+I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LEV9sIAAADbAAAADwAAAAAAAAAAAAAA&#10;AAChAgAAZHJzL2Rvd25yZXYueG1sUEsFBgAAAAAEAAQA+QAAAJADAAAAAA==&#10;">
                  <v:stroke endarrow="open"/>
                </v:shape>
                <v:shape id="Прямая со стрелкой 190" o:spid="_x0000_s1040" type="#_x0000_t32" style="position:absolute;left:39782;top:17812;width:0;height:45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rQ5sEAAADbAAAADwAAAGRycy9kb3ducmV2LnhtbERPS4vCMBC+L+x/CCN4WTS1srpUoyzC&#10;qrAnH7DXoZk2xWZSmmyt/94Igrf5+J6zXPe2Fh21vnKsYDJOQBDnTldcKjiffkZfIHxA1lg7JgU3&#10;8rBevb8tMdPuygfqjqEUMYR9hgpMCE0mpc8NWfRj1xBHrnCtxRBhW0rd4jWG21qmSTKTFiuODQYb&#10;2hjKL8d/q6BINU0+Ln9mN//EYvM7Tbuu3io1HPTfCxCB+vASP917HefP4PFLPECu7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ytDmwQAAANsAAAAPAAAAAAAAAAAAAAAA&#10;AKECAABkcnMvZG93bnJldi54bWxQSwUGAAAAAAQABAD5AAAAjwMAAAAA&#10;">
                  <v:stroke endarrow="open"/>
                </v:shape>
                <v:shape id="Прямая со стрелкой 182" o:spid="_x0000_s1041" type="#_x0000_t32" style="position:absolute;left:12112;top:27075;width:0;height:2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FDbsMAAADaAAAADwAAAGRycy9kb3ducmV2LnhtbESPQWvCQBSE7wX/w/IEL6VujLTW6CaI&#10;YFvwVC30+si+ZIPZtyG7xvTfu4VCj8PMfMNsi9G2YqDeN44VLOYJCOLS6YZrBV/nw9MrCB+QNbaO&#10;ScEPeSjyycMWM+1u/EnDKdQiQthnqMCE0GVS+tKQRT93HXH0KtdbDFH2tdQ93iLctjJNkhdpseG4&#10;YLCjvaHycrpaBVWqafF4+Tbvq2es9sdlOgztm1Kz6bjbgAg0hv/wX/tDK1jD75V4A2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RQ27DAAAA2gAAAA8AAAAAAAAAAAAA&#10;AAAAoQIAAGRycy9kb3ducmV2LnhtbFBLBQYAAAAABAAEAPkAAACRAwAAAAA=&#10;">
                  <v:stroke endarrow="open"/>
                </v:shape>
              </v:group>
            </w:pict>
          </mc:Fallback>
        </mc:AlternateConten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60288" behindDoc="0" locked="0" layoutInCell="1" allowOverlap="1" wp14:anchorId="3C4850A2" wp14:editId="3D4A1E09">
                <wp:simplePos x="0" y="0"/>
                <wp:positionH relativeFrom="column">
                  <wp:posOffset>2961109</wp:posOffset>
                </wp:positionH>
                <wp:positionV relativeFrom="paragraph">
                  <wp:posOffset>28273</wp:posOffset>
                </wp:positionV>
                <wp:extent cx="1849755" cy="689610"/>
                <wp:effectExtent l="0" t="0" r="17145" b="15240"/>
                <wp:wrapNone/>
                <wp:docPr id="191" name="Поле 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49755" cy="689610"/>
                        </a:xfrm>
                        <a:prstGeom prst="rect">
                          <a:avLst/>
                        </a:prstGeom>
                        <a:solidFill>
                          <a:sysClr val="window" lastClr="FFFFFF"/>
                        </a:solidFill>
                        <a:ln w="6350">
                          <a:solidFill>
                            <a:prstClr val="black"/>
                          </a:solidFill>
                        </a:ln>
                        <a:effectLst/>
                      </wps:spPr>
                      <wps:txbx>
                        <w:txbxContent>
                          <w:p w:rsidR="000F6151" w:rsidRDefault="000F6151" w:rsidP="00EB6EBC">
                            <w:pPr>
                              <w:jc w:val="center"/>
                              <w:rPr>
                                <w:rFonts w:ascii="Times New Roman" w:hAnsi="Times New Roman" w:cs="Times New Roman"/>
                                <w:sz w:val="28"/>
                                <w:szCs w:val="28"/>
                                <w:lang w:val="uk-UA"/>
                              </w:rPr>
                            </w:pPr>
                            <w:r>
                              <w:rPr>
                                <w:rFonts w:ascii="Times New Roman" w:hAnsi="Times New Roman" w:cs="Times New Roman"/>
                                <w:sz w:val="28"/>
                                <w:szCs w:val="28"/>
                                <w:lang w:val="uk-UA"/>
                              </w:rPr>
                              <w:t>Клінічне дослідження</w:t>
                            </w:r>
                          </w:p>
                          <w:p w:rsidR="000F6151" w:rsidRPr="00C23CC0" w:rsidRDefault="000F6151" w:rsidP="00EB6EBC">
                            <w:pPr>
                              <w:jc w:val="center"/>
                              <w:rPr>
                                <w:rFonts w:ascii="Times New Roman" w:hAnsi="Times New Roman" w:cs="Times New Roman"/>
                                <w:sz w:val="28"/>
                                <w:szCs w:val="28"/>
                                <w:lang w:val="uk-UA"/>
                              </w:rPr>
                            </w:pPr>
                            <w:r>
                              <w:rPr>
                                <w:rFonts w:ascii="Times New Roman" w:hAnsi="Times New Roman" w:cs="Times New Roman"/>
                                <w:sz w:val="28"/>
                                <w:szCs w:val="28"/>
                                <w:lang w:val="uk-UA"/>
                              </w:rPr>
                              <w:t>(40 чоловіків)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91" o:spid="_x0000_s1042" type="#_x0000_t202" style="position:absolute;left:0;text-align:left;margin-left:233.15pt;margin-top:2.25pt;width:145.65pt;height:54.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" fillcolor="window" strokeweight=".5pt">
                <v:path arrowok="t"/>
                <v:textbox>
                  <w:txbxContent>
                    <w:p w:rsidR="000F6151" w:rsidRDefault="000F6151" w:rsidP="00EB6EBC">
                      <w:pPr>
                        <w:jc w:val="center"/>
                        <w:rPr>
                          <w:rFonts w:ascii="Times New Roman" w:hAnsi="Times New Roman" w:cs="Times New Roman"/>
                          <w:sz w:val="28"/>
                          <w:szCs w:val="28"/>
                          <w:lang w:val="uk-UA"/>
                        </w:rPr>
                      </w:pPr>
                      <w:r>
                        <w:rPr>
                          <w:rFonts w:ascii="Times New Roman" w:hAnsi="Times New Roman" w:cs="Times New Roman"/>
                          <w:sz w:val="28"/>
                          <w:szCs w:val="28"/>
                          <w:lang w:val="uk-UA"/>
                        </w:rPr>
                        <w:t>Клінічне дослідження</w:t>
                      </w:r>
                    </w:p>
                    <w:p w:rsidR="000F6151" w:rsidRPr="00C23CC0" w:rsidRDefault="000F6151" w:rsidP="00EB6EBC">
                      <w:pPr>
                        <w:jc w:val="center"/>
                        <w:rPr>
                          <w:rFonts w:ascii="Times New Roman" w:hAnsi="Times New Roman" w:cs="Times New Roman"/>
                          <w:sz w:val="28"/>
                          <w:szCs w:val="28"/>
                          <w:lang w:val="uk-UA"/>
                        </w:rPr>
                      </w:pPr>
                      <w:r>
                        <w:rPr>
                          <w:rFonts w:ascii="Times New Roman" w:hAnsi="Times New Roman" w:cs="Times New Roman"/>
                          <w:sz w:val="28"/>
                          <w:szCs w:val="28"/>
                          <w:lang w:val="uk-UA"/>
                        </w:rPr>
                        <w:t>(40 чоловіків)</w:t>
                      </w:r>
                    </w:p>
                  </w:txbxContent>
                </v:textbox>
              </v:shape>
            </w:pict>
          </mc:Fallback>
        </mc:AlternateConten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color w:val="000000" w:themeColor="text1"/>
          <w:sz w:val="28"/>
          <w:szCs w:val="28"/>
          <w:lang w:val="uk-UA"/>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60" w:after="120"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2.1. Дизайн дослідження</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2.1 Матеріал експериментальних досліджень</w:t>
      </w:r>
    </w:p>
    <w:p w:rsidR="00EB6EBC" w:rsidRPr="00CE0A20" w:rsidRDefault="00EB6EBC" w:rsidP="00EB6EBC">
      <w:pPr>
        <w:pStyle w:val="21"/>
        <w:spacing w:after="0" w:line="360" w:lineRule="auto"/>
        <w:ind w:firstLine="709"/>
        <w:jc w:val="both"/>
        <w:rPr>
          <w:rFonts w:ascii="Times New Roman" w:hAnsi="Times New Roman" w:cs="Times New Roman"/>
          <w:color w:val="000000"/>
          <w:kern w:val="2"/>
          <w:sz w:val="28"/>
          <w:szCs w:val="28"/>
          <w:lang w:val="uk-UA"/>
        </w:rPr>
      </w:pPr>
      <w:r w:rsidRPr="00CE0A20">
        <w:rPr>
          <w:rFonts w:ascii="Times New Roman" w:hAnsi="Times New Roman" w:cs="Times New Roman"/>
          <w:color w:val="000000" w:themeColor="text1"/>
          <w:kern w:val="2"/>
          <w:sz w:val="28"/>
          <w:szCs w:val="28"/>
          <w:lang w:val="uk-UA"/>
        </w:rPr>
        <w:t xml:space="preserve">Експериментальні дослідження виконані на базі віварію ХМАПО. Для експериментальних досліджень були використані </w:t>
      </w:r>
      <w:r w:rsidRPr="00CE0A20">
        <w:rPr>
          <w:rFonts w:ascii="Times New Roman" w:hAnsi="Times New Roman" w:cs="Times New Roman"/>
          <w:color w:val="000000"/>
          <w:kern w:val="2"/>
          <w:sz w:val="28"/>
          <w:szCs w:val="28"/>
          <w:lang w:val="uk-UA"/>
        </w:rPr>
        <w:t xml:space="preserve">статевозрілі </w:t>
      </w:r>
      <w:r w:rsidRPr="00CE0A20">
        <w:rPr>
          <w:rFonts w:ascii="Times New Roman" w:hAnsi="Times New Roman" w:cs="Times New Roman"/>
          <w:color w:val="000000"/>
          <w:sz w:val="28"/>
          <w:szCs w:val="28"/>
          <w:lang w:val="uk-UA"/>
        </w:rPr>
        <w:t xml:space="preserve">самці </w:t>
      </w:r>
      <w:r w:rsidRPr="00CE0A20">
        <w:rPr>
          <w:rFonts w:ascii="Times New Roman" w:hAnsi="Times New Roman" w:cs="Times New Roman"/>
          <w:color w:val="000000"/>
          <w:kern w:val="2"/>
          <w:sz w:val="28"/>
          <w:szCs w:val="28"/>
          <w:lang w:val="uk-UA"/>
        </w:rPr>
        <w:t xml:space="preserve">білих </w:t>
      </w:r>
      <w:r w:rsidRPr="00CE0A20">
        <w:rPr>
          <w:rFonts w:ascii="Times New Roman" w:hAnsi="Times New Roman" w:cs="Times New Roman"/>
          <w:color w:val="000000"/>
          <w:sz w:val="28"/>
          <w:szCs w:val="28"/>
          <w:lang w:val="uk-UA"/>
        </w:rPr>
        <w:t>щурів лінії Wistar</w:t>
      </w:r>
      <w:r w:rsidRPr="00CE0A20">
        <w:rPr>
          <w:rFonts w:ascii="Times New Roman" w:hAnsi="Times New Roman" w:cs="Times New Roman"/>
          <w:color w:val="000000"/>
          <w:kern w:val="2"/>
          <w:sz w:val="28"/>
          <w:szCs w:val="28"/>
          <w:lang w:val="uk-UA"/>
        </w:rPr>
        <w:t xml:space="preserve"> віком 10-20 тижнів масою від 200 до 300 г. </w:t>
      </w:r>
    </w:p>
    <w:p w:rsidR="00EB6EBC" w:rsidRPr="00CE0A20" w:rsidRDefault="00EB6EBC" w:rsidP="00EB6EBC">
      <w:pPr>
        <w:pStyle w:val="21"/>
        <w:spacing w:after="0" w:line="360" w:lineRule="auto"/>
        <w:ind w:firstLine="709"/>
        <w:jc w:val="both"/>
        <w:rPr>
          <w:rFonts w:ascii="Times New Roman" w:hAnsi="Times New Roman" w:cs="Times New Roman"/>
          <w:color w:val="000000" w:themeColor="text1"/>
          <w:kern w:val="2"/>
          <w:sz w:val="28"/>
          <w:szCs w:val="28"/>
          <w:lang w:val="uk-UA"/>
        </w:rPr>
      </w:pPr>
      <w:r w:rsidRPr="00CE0A20">
        <w:rPr>
          <w:rFonts w:ascii="Times New Roman" w:hAnsi="Times New Roman" w:cs="Times New Roman"/>
          <w:color w:val="000000" w:themeColor="text1"/>
          <w:kern w:val="2"/>
          <w:sz w:val="28"/>
          <w:szCs w:val="28"/>
          <w:lang w:val="uk-UA"/>
        </w:rPr>
        <w:t xml:space="preserve">Дослідження проводились згідно </w:t>
      </w:r>
      <w:r w:rsidR="009B267B" w:rsidRPr="00CE0A20">
        <w:rPr>
          <w:rFonts w:ascii="Times New Roman" w:hAnsi="Times New Roman" w:cs="Times New Roman"/>
          <w:color w:val="000000" w:themeColor="text1"/>
          <w:kern w:val="2"/>
          <w:sz w:val="28"/>
          <w:szCs w:val="28"/>
          <w:lang w:val="uk-UA"/>
        </w:rPr>
        <w:t xml:space="preserve">з </w:t>
      </w:r>
      <w:r w:rsidRPr="00CE0A20">
        <w:rPr>
          <w:rFonts w:ascii="Times New Roman" w:hAnsi="Times New Roman" w:cs="Times New Roman"/>
          <w:color w:val="000000" w:themeColor="text1"/>
          <w:kern w:val="2"/>
          <w:sz w:val="28"/>
          <w:szCs w:val="28"/>
          <w:lang w:val="uk-UA"/>
        </w:rPr>
        <w:t>правил</w:t>
      </w:r>
      <w:r w:rsidR="009B267B" w:rsidRPr="00CE0A20">
        <w:rPr>
          <w:rFonts w:ascii="Times New Roman" w:hAnsi="Times New Roman" w:cs="Times New Roman"/>
          <w:color w:val="000000" w:themeColor="text1"/>
          <w:kern w:val="2"/>
          <w:sz w:val="28"/>
          <w:szCs w:val="28"/>
          <w:lang w:val="uk-UA"/>
        </w:rPr>
        <w:t>ами</w:t>
      </w:r>
      <w:r w:rsidRPr="00CE0A20">
        <w:rPr>
          <w:rFonts w:ascii="Times New Roman" w:hAnsi="Times New Roman" w:cs="Times New Roman"/>
          <w:color w:val="000000" w:themeColor="text1"/>
          <w:kern w:val="2"/>
          <w:sz w:val="28"/>
          <w:szCs w:val="28"/>
          <w:lang w:val="uk-UA"/>
        </w:rPr>
        <w:t xml:space="preserve"> Національних </w:t>
      </w:r>
      <w:r w:rsidR="009B267B" w:rsidRPr="00CE0A20">
        <w:rPr>
          <w:rFonts w:ascii="Times New Roman" w:hAnsi="Times New Roman" w:cs="Times New Roman"/>
          <w:color w:val="000000" w:themeColor="text1"/>
          <w:kern w:val="2"/>
          <w:sz w:val="28"/>
          <w:szCs w:val="28"/>
          <w:lang w:val="uk-UA"/>
        </w:rPr>
        <w:t>з</w:t>
      </w:r>
      <w:r w:rsidRPr="00CE0A20">
        <w:rPr>
          <w:rFonts w:ascii="Times New Roman" w:hAnsi="Times New Roman" w:cs="Times New Roman"/>
          <w:color w:val="000000" w:themeColor="text1"/>
          <w:kern w:val="2"/>
          <w:sz w:val="28"/>
          <w:szCs w:val="28"/>
          <w:lang w:val="uk-UA"/>
        </w:rPr>
        <w:t>агальних етичних принципів експериментів на тваринах» (Україна, 2001), що відповідають Європейській конвенції по захисту хребетних тварин, яких використовують для експериментальних та інших наукових цілей (Страсбург, 1986) [63; 73].</w:t>
      </w:r>
    </w:p>
    <w:p w:rsidR="00EB6EBC" w:rsidRPr="00CE0A20" w:rsidRDefault="00EB6EBC" w:rsidP="00EB6EBC">
      <w:pPr>
        <w:pStyle w:val="21"/>
        <w:spacing w:after="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kern w:val="2"/>
          <w:sz w:val="28"/>
          <w:szCs w:val="28"/>
          <w:lang w:val="uk-UA"/>
        </w:rPr>
        <w:t xml:space="preserve">Утримання, догляд за тваринами </w:t>
      </w:r>
      <w:r w:rsidR="009B267B" w:rsidRPr="00CE0A20">
        <w:rPr>
          <w:rFonts w:ascii="Times New Roman" w:hAnsi="Times New Roman" w:cs="Times New Roman"/>
          <w:color w:val="000000" w:themeColor="text1"/>
          <w:kern w:val="2"/>
          <w:sz w:val="28"/>
          <w:szCs w:val="28"/>
          <w:lang w:val="uk-UA"/>
        </w:rPr>
        <w:t>й</w:t>
      </w:r>
      <w:r w:rsidRPr="00CE0A20">
        <w:rPr>
          <w:rFonts w:ascii="Times New Roman" w:hAnsi="Times New Roman" w:cs="Times New Roman"/>
          <w:color w:val="000000" w:themeColor="text1"/>
          <w:kern w:val="2"/>
          <w:sz w:val="28"/>
          <w:szCs w:val="28"/>
          <w:lang w:val="uk-UA"/>
        </w:rPr>
        <w:t xml:space="preserve"> експериментальні моделі були виконані відповідно до національних та міжнародних етичних норм, включаючи Закон України №3447-IV «Про захист тварин від жорстокого поводження»; розпорядження МОЗ України №32 від 22.02.88 р., Європейськ</w:t>
      </w:r>
      <w:r w:rsidR="009B267B" w:rsidRPr="00CE0A20">
        <w:rPr>
          <w:rFonts w:ascii="Times New Roman" w:hAnsi="Times New Roman" w:cs="Times New Roman"/>
          <w:color w:val="000000" w:themeColor="text1"/>
          <w:kern w:val="2"/>
          <w:sz w:val="28"/>
          <w:szCs w:val="28"/>
          <w:lang w:val="uk-UA"/>
        </w:rPr>
        <w:t>у</w:t>
      </w:r>
      <w:r w:rsidRPr="00CE0A20">
        <w:rPr>
          <w:rFonts w:ascii="Times New Roman" w:hAnsi="Times New Roman" w:cs="Times New Roman"/>
          <w:color w:val="000000" w:themeColor="text1"/>
          <w:kern w:val="2"/>
          <w:sz w:val="28"/>
          <w:szCs w:val="28"/>
          <w:lang w:val="uk-UA"/>
        </w:rPr>
        <w:t xml:space="preserve"> конвенці</w:t>
      </w:r>
      <w:r w:rsidR="009B267B" w:rsidRPr="00CE0A20">
        <w:rPr>
          <w:rFonts w:ascii="Times New Roman" w:hAnsi="Times New Roman" w:cs="Times New Roman"/>
          <w:color w:val="000000" w:themeColor="text1"/>
          <w:kern w:val="2"/>
          <w:sz w:val="28"/>
          <w:szCs w:val="28"/>
          <w:lang w:val="uk-UA"/>
        </w:rPr>
        <w:t>ю</w:t>
      </w:r>
      <w:r w:rsidRPr="00CE0A20">
        <w:rPr>
          <w:rFonts w:ascii="Times New Roman" w:hAnsi="Times New Roman" w:cs="Times New Roman"/>
          <w:color w:val="000000" w:themeColor="text1"/>
          <w:kern w:val="2"/>
          <w:sz w:val="28"/>
          <w:szCs w:val="28"/>
          <w:lang w:val="uk-UA"/>
        </w:rPr>
        <w:t xml:space="preserve"> про захист хребетних тварин, які використовуються в експериментальних та інших цілях</w:t>
      </w:r>
      <w:r w:rsidR="009B267B" w:rsidRPr="00CE0A20">
        <w:rPr>
          <w:rFonts w:ascii="Times New Roman" w:hAnsi="Times New Roman" w:cs="Times New Roman"/>
          <w:color w:val="000000" w:themeColor="text1"/>
          <w:kern w:val="2"/>
          <w:sz w:val="28"/>
          <w:szCs w:val="28"/>
          <w:lang w:val="uk-UA"/>
        </w:rPr>
        <w:t xml:space="preserve"> </w:t>
      </w:r>
      <w:r w:rsidRPr="00CE0A20">
        <w:rPr>
          <w:rFonts w:ascii="Times New Roman" w:hAnsi="Times New Roman" w:cs="Times New Roman"/>
          <w:color w:val="000000" w:themeColor="text1"/>
          <w:kern w:val="2"/>
          <w:sz w:val="28"/>
          <w:szCs w:val="28"/>
          <w:lang w:val="uk-UA"/>
        </w:rPr>
        <w:t xml:space="preserve"> </w:t>
      </w:r>
      <w:r w:rsidR="009B267B" w:rsidRPr="00CE0A20">
        <w:rPr>
          <w:rFonts w:ascii="Times New Roman" w:hAnsi="Times New Roman" w:cs="Times New Roman"/>
          <w:color w:val="000000" w:themeColor="text1"/>
          <w:kern w:val="2"/>
          <w:sz w:val="28"/>
          <w:szCs w:val="28"/>
          <w:lang w:val="uk-UA"/>
        </w:rPr>
        <w:t>(</w:t>
      </w:r>
      <w:r w:rsidRPr="00CE0A20">
        <w:rPr>
          <w:rFonts w:ascii="Times New Roman" w:hAnsi="Times New Roman" w:cs="Times New Roman"/>
          <w:color w:val="000000" w:themeColor="text1"/>
          <w:kern w:val="2"/>
          <w:sz w:val="28"/>
          <w:szCs w:val="28"/>
          <w:lang w:val="uk-UA"/>
        </w:rPr>
        <w:t>Страсбург, Франція, 1985</w:t>
      </w:r>
      <w:r w:rsidR="009B267B" w:rsidRPr="00CE0A20">
        <w:rPr>
          <w:rFonts w:ascii="Times New Roman" w:hAnsi="Times New Roman" w:cs="Times New Roman"/>
          <w:color w:val="000000" w:themeColor="text1"/>
          <w:kern w:val="2"/>
          <w:sz w:val="28"/>
          <w:szCs w:val="28"/>
          <w:lang w:val="uk-UA"/>
        </w:rPr>
        <w:t>)</w:t>
      </w:r>
      <w:r w:rsidRPr="00CE0A20">
        <w:rPr>
          <w:rFonts w:ascii="Times New Roman" w:hAnsi="Times New Roman" w:cs="Times New Roman"/>
          <w:color w:val="000000" w:themeColor="text1"/>
          <w:kern w:val="2"/>
          <w:sz w:val="28"/>
          <w:szCs w:val="28"/>
          <w:lang w:val="uk-UA"/>
        </w:rPr>
        <w:t>; Директив</w:t>
      </w:r>
      <w:r w:rsidR="009B267B" w:rsidRPr="00CE0A20">
        <w:rPr>
          <w:rFonts w:ascii="Times New Roman" w:hAnsi="Times New Roman" w:cs="Times New Roman"/>
          <w:color w:val="000000" w:themeColor="text1"/>
          <w:kern w:val="2"/>
          <w:sz w:val="28"/>
          <w:szCs w:val="28"/>
          <w:lang w:val="uk-UA"/>
        </w:rPr>
        <w:t>у</w:t>
      </w:r>
      <w:r w:rsidRPr="00CE0A20">
        <w:rPr>
          <w:rFonts w:ascii="Times New Roman" w:hAnsi="Times New Roman" w:cs="Times New Roman"/>
          <w:color w:val="000000" w:themeColor="text1"/>
          <w:kern w:val="2"/>
          <w:sz w:val="28"/>
          <w:szCs w:val="28"/>
          <w:lang w:val="uk-UA"/>
        </w:rPr>
        <w:t xml:space="preserve"> Ради Європейського Співтовариства від 24.11.86 р. та ін.. </w:t>
      </w:r>
      <w:r w:rsidRPr="00CE0A20">
        <w:rPr>
          <w:rFonts w:ascii="Times New Roman" w:hAnsi="Times New Roman" w:cs="Times New Roman"/>
          <w:color w:val="000000" w:themeColor="text1"/>
          <w:sz w:val="28"/>
          <w:szCs w:val="28"/>
          <w:lang w:val="uk-UA"/>
        </w:rPr>
        <w:t>Дизайн  експериментальних досліджень був розглянутий на засіданні комісії з питань етики Харківської медичної академії післядипломної освіти під час затвердження тем науково-дослідних робіт протягом 2006–2014 рр. Матеріали дисертації розглянут</w:t>
      </w:r>
      <w:r w:rsidR="009B267B"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 xml:space="preserve"> на засіданні комісії з питань етики та біоетики ХНМУ (прот. №6 від 06 червня 2018 р.).</w:t>
      </w:r>
    </w:p>
    <w:p w:rsidR="00EB6EBC" w:rsidRPr="00CE0A20" w:rsidRDefault="00EB6EBC" w:rsidP="00EB6EBC">
      <w:pPr>
        <w:pStyle w:val="21"/>
        <w:spacing w:after="0" w:line="360" w:lineRule="auto"/>
        <w:ind w:firstLine="709"/>
        <w:jc w:val="both"/>
        <w:rPr>
          <w:rFonts w:ascii="Times New Roman" w:hAnsi="Times New Roman" w:cs="Times New Roman"/>
          <w:color w:val="000000" w:themeColor="text1"/>
          <w:kern w:val="2"/>
          <w:sz w:val="28"/>
          <w:szCs w:val="28"/>
          <w:lang w:val="uk-UA"/>
        </w:rPr>
      </w:pPr>
      <w:r w:rsidRPr="00CE0A20">
        <w:rPr>
          <w:rFonts w:ascii="Times New Roman" w:hAnsi="Times New Roman" w:cs="Times New Roman"/>
          <w:color w:val="000000" w:themeColor="text1"/>
          <w:kern w:val="2"/>
          <w:sz w:val="28"/>
          <w:szCs w:val="28"/>
          <w:lang w:val="uk-UA"/>
        </w:rPr>
        <w:t xml:space="preserve">Тварин утримували в стандартних умовах - природна зміна світла </w:t>
      </w:r>
      <w:r w:rsidR="009B267B" w:rsidRPr="00CE0A20">
        <w:rPr>
          <w:rFonts w:ascii="Times New Roman" w:hAnsi="Times New Roman" w:cs="Times New Roman"/>
          <w:color w:val="000000" w:themeColor="text1"/>
          <w:kern w:val="2"/>
          <w:sz w:val="28"/>
          <w:szCs w:val="28"/>
          <w:lang w:val="uk-UA"/>
        </w:rPr>
        <w:t>й</w:t>
      </w:r>
      <w:r w:rsidRPr="00CE0A20">
        <w:rPr>
          <w:rFonts w:ascii="Times New Roman" w:hAnsi="Times New Roman" w:cs="Times New Roman"/>
          <w:color w:val="000000" w:themeColor="text1"/>
          <w:kern w:val="2"/>
          <w:sz w:val="28"/>
          <w:szCs w:val="28"/>
          <w:lang w:val="uk-UA"/>
        </w:rPr>
        <w:t xml:space="preserve"> темряви, зовнішня температура - 21±2</w:t>
      </w:r>
      <w:r w:rsidRPr="00CE0A20">
        <w:rPr>
          <w:rFonts w:ascii="Times New Roman" w:hAnsi="Times New Roman" w:cs="Times New Roman"/>
          <w:color w:val="000000" w:themeColor="text1"/>
          <w:kern w:val="2"/>
          <w:sz w:val="28"/>
          <w:szCs w:val="28"/>
          <w:vertAlign w:val="superscript"/>
          <w:lang w:val="uk-UA"/>
        </w:rPr>
        <w:t>о</w:t>
      </w:r>
      <w:r w:rsidRPr="00CE0A20">
        <w:rPr>
          <w:rFonts w:ascii="Times New Roman" w:hAnsi="Times New Roman" w:cs="Times New Roman"/>
          <w:color w:val="000000" w:themeColor="text1"/>
          <w:kern w:val="2"/>
          <w:sz w:val="28"/>
          <w:szCs w:val="28"/>
          <w:lang w:val="uk-UA"/>
        </w:rPr>
        <w:t xml:space="preserve">С. </w:t>
      </w:r>
      <w:r w:rsidR="009B267B" w:rsidRPr="00CE0A20">
        <w:rPr>
          <w:rFonts w:ascii="Times New Roman" w:hAnsi="Times New Roman" w:cs="Times New Roman"/>
          <w:color w:val="000000" w:themeColor="text1"/>
          <w:kern w:val="2"/>
          <w:sz w:val="28"/>
          <w:szCs w:val="28"/>
          <w:lang w:val="uk-UA"/>
        </w:rPr>
        <w:t>У</w:t>
      </w:r>
      <w:r w:rsidRPr="00CE0A20">
        <w:rPr>
          <w:rFonts w:ascii="Times New Roman" w:hAnsi="Times New Roman" w:cs="Times New Roman"/>
          <w:color w:val="000000" w:themeColor="text1"/>
          <w:kern w:val="2"/>
          <w:sz w:val="28"/>
          <w:szCs w:val="28"/>
          <w:lang w:val="uk-UA"/>
        </w:rPr>
        <w:t xml:space="preserve">сі тварини отримували однакове збалансоване дозоване помірно-калорійне харчування змішаним кормом згідно </w:t>
      </w:r>
      <w:r w:rsidR="009B267B" w:rsidRPr="00CE0A20">
        <w:rPr>
          <w:rFonts w:ascii="Times New Roman" w:hAnsi="Times New Roman" w:cs="Times New Roman"/>
          <w:color w:val="000000" w:themeColor="text1"/>
          <w:kern w:val="2"/>
          <w:sz w:val="28"/>
          <w:szCs w:val="28"/>
          <w:lang w:val="uk-UA"/>
        </w:rPr>
        <w:t xml:space="preserve">з </w:t>
      </w:r>
      <w:r w:rsidRPr="00CE0A20">
        <w:rPr>
          <w:rFonts w:ascii="Times New Roman" w:hAnsi="Times New Roman" w:cs="Times New Roman"/>
          <w:color w:val="000000" w:themeColor="text1"/>
          <w:kern w:val="2"/>
          <w:sz w:val="28"/>
          <w:szCs w:val="28"/>
          <w:lang w:val="uk-UA"/>
        </w:rPr>
        <w:t>раціон</w:t>
      </w:r>
      <w:r w:rsidR="009B267B" w:rsidRPr="00CE0A20">
        <w:rPr>
          <w:rFonts w:ascii="Times New Roman" w:hAnsi="Times New Roman" w:cs="Times New Roman"/>
          <w:color w:val="000000" w:themeColor="text1"/>
          <w:kern w:val="2"/>
          <w:sz w:val="28"/>
          <w:szCs w:val="28"/>
          <w:lang w:val="uk-UA"/>
        </w:rPr>
        <w:t>ом</w:t>
      </w:r>
      <w:r w:rsidRPr="00CE0A20">
        <w:rPr>
          <w:rFonts w:ascii="Times New Roman" w:hAnsi="Times New Roman" w:cs="Times New Roman"/>
          <w:color w:val="000000" w:themeColor="text1"/>
          <w:kern w:val="2"/>
          <w:sz w:val="28"/>
          <w:szCs w:val="28"/>
          <w:lang w:val="uk-UA"/>
        </w:rPr>
        <w:t xml:space="preserve"> для лабораторних щурів. Безперешкодний доступ щурів до їжі </w:t>
      </w:r>
      <w:r w:rsidR="009B267B" w:rsidRPr="00CE0A20">
        <w:rPr>
          <w:rFonts w:ascii="Times New Roman" w:hAnsi="Times New Roman" w:cs="Times New Roman"/>
          <w:color w:val="000000" w:themeColor="text1"/>
          <w:kern w:val="2"/>
          <w:sz w:val="28"/>
          <w:szCs w:val="28"/>
          <w:lang w:val="uk-UA"/>
        </w:rPr>
        <w:t>й</w:t>
      </w:r>
      <w:r w:rsidRPr="00CE0A20">
        <w:rPr>
          <w:rFonts w:ascii="Times New Roman" w:hAnsi="Times New Roman" w:cs="Times New Roman"/>
          <w:color w:val="000000" w:themeColor="text1"/>
          <w:kern w:val="2"/>
          <w:sz w:val="28"/>
          <w:szCs w:val="28"/>
          <w:lang w:val="uk-UA"/>
        </w:rPr>
        <w:t xml:space="preserve"> води був забезпечений цілодобово. Виведення тварин з експерименту здійснювалося шляхом декапітації під ефірним наркозом.</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11"/>
          <w:color w:val="000000" w:themeColor="text1"/>
          <w:sz w:val="28"/>
          <w:szCs w:val="28"/>
          <w:lang w:val="uk-UA"/>
        </w:rPr>
      </w:pPr>
      <w:r w:rsidRPr="00CE0A20">
        <w:rPr>
          <w:rFonts w:ascii="Times New Roman" w:hAnsi="Times New Roman" w:cs="Times New Roman"/>
          <w:color w:val="000000" w:themeColor="text1"/>
          <w:sz w:val="28"/>
          <w:szCs w:val="28"/>
          <w:lang w:val="uk-UA" w:eastAsia="en-US"/>
        </w:rPr>
        <w:t>На першому етапі експерименту здійснено розробку моделі копуля</w:t>
      </w:r>
      <w:r w:rsidRPr="00CE0A20">
        <w:rPr>
          <w:rFonts w:ascii="Times New Roman" w:hAnsi="Times New Roman" w:cs="Times New Roman"/>
          <w:color w:val="000000" w:themeColor="text1"/>
          <w:sz w:val="28"/>
          <w:szCs w:val="28"/>
          <w:lang w:val="uk-UA" w:eastAsia="en-US"/>
        </w:rPr>
        <w:softHyphen/>
        <w:t xml:space="preserve">тивної дисфункції на тлі  стійкого андрогенного дефіциту </w:t>
      </w:r>
      <w:r w:rsidR="009B267B" w:rsidRPr="00CE0A20">
        <w:rPr>
          <w:rFonts w:ascii="Times New Roman" w:hAnsi="Times New Roman" w:cs="Times New Roman"/>
          <w:color w:val="000000" w:themeColor="text1"/>
          <w:sz w:val="28"/>
          <w:szCs w:val="28"/>
          <w:lang w:val="uk-UA" w:eastAsia="en-US"/>
        </w:rPr>
        <w:t>в</w:t>
      </w:r>
      <w:r w:rsidRPr="00CE0A20">
        <w:rPr>
          <w:rFonts w:ascii="Times New Roman" w:hAnsi="Times New Roman" w:cs="Times New Roman"/>
          <w:color w:val="000000" w:themeColor="text1"/>
          <w:sz w:val="28"/>
          <w:szCs w:val="28"/>
          <w:lang w:val="uk-UA" w:eastAsia="en-US"/>
        </w:rPr>
        <w:t xml:space="preserve"> експеримен</w:t>
      </w:r>
      <w:r w:rsidRPr="00CE0A20">
        <w:rPr>
          <w:rFonts w:ascii="Times New Roman" w:hAnsi="Times New Roman" w:cs="Times New Roman"/>
          <w:color w:val="000000" w:themeColor="text1"/>
          <w:sz w:val="28"/>
          <w:szCs w:val="28"/>
          <w:lang w:val="uk-UA" w:eastAsia="en-US"/>
        </w:rPr>
        <w:softHyphen/>
        <w:t xml:space="preserve">тальних тварин (експериментальний андрогенний дефіцит – ЕАД). </w:t>
      </w:r>
      <w:r w:rsidRPr="00CE0A20">
        <w:rPr>
          <w:rStyle w:val="11"/>
          <w:color w:val="000000" w:themeColor="text1"/>
          <w:sz w:val="28"/>
          <w:szCs w:val="28"/>
          <w:lang w:val="uk-UA"/>
        </w:rPr>
        <w:t>Модель ЕАД створювалась за допомогою хлориду кадмію (CdCl</w:t>
      </w:r>
      <w:r w:rsidRPr="00CE0A20">
        <w:rPr>
          <w:rStyle w:val="11"/>
          <w:color w:val="000000" w:themeColor="text1"/>
          <w:sz w:val="28"/>
          <w:szCs w:val="28"/>
          <w:vertAlign w:val="subscript"/>
          <w:lang w:val="uk-UA"/>
        </w:rPr>
        <w:t>2</w:t>
      </w:r>
      <w:r w:rsidRPr="00CE0A20">
        <w:rPr>
          <w:rStyle w:val="11"/>
          <w:color w:val="000000" w:themeColor="text1"/>
          <w:sz w:val="28"/>
          <w:szCs w:val="28"/>
          <w:lang w:val="uk-UA"/>
        </w:rPr>
        <w:t>) у концентрації 3</w:t>
      </w:r>
      <w:r w:rsidR="009B267B" w:rsidRPr="00CE0A20">
        <w:rPr>
          <w:rStyle w:val="11"/>
          <w:color w:val="000000" w:themeColor="text1"/>
          <w:sz w:val="28"/>
          <w:szCs w:val="28"/>
          <w:lang w:val="uk-UA"/>
        </w:rPr>
        <w:t> </w:t>
      </w:r>
      <w:r w:rsidRPr="00CE0A20">
        <w:rPr>
          <w:rStyle w:val="11"/>
          <w:color w:val="000000" w:themeColor="text1"/>
          <w:sz w:val="28"/>
          <w:szCs w:val="28"/>
          <w:lang w:val="uk-UA"/>
        </w:rPr>
        <w:t>мг/мл стерильного розчину, який вводився внутрішньо</w:t>
      </w:r>
      <w:r w:rsidRPr="00CE0A20">
        <w:rPr>
          <w:rStyle w:val="11"/>
          <w:color w:val="000000" w:themeColor="text1"/>
          <w:sz w:val="28"/>
          <w:szCs w:val="28"/>
          <w:lang w:val="uk-UA"/>
        </w:rPr>
        <w:softHyphen/>
        <w:t>очеревинн</w:t>
      </w:r>
      <w:r w:rsidR="009B267B" w:rsidRPr="00CE0A20">
        <w:rPr>
          <w:rStyle w:val="11"/>
          <w:color w:val="000000" w:themeColor="text1"/>
          <w:sz w:val="28"/>
          <w:szCs w:val="28"/>
          <w:lang w:val="uk-UA"/>
        </w:rPr>
        <w:t>о</w:t>
      </w:r>
      <w:r w:rsidRPr="00CE0A20">
        <w:rPr>
          <w:rStyle w:val="11"/>
          <w:color w:val="000000" w:themeColor="text1"/>
          <w:sz w:val="28"/>
          <w:szCs w:val="28"/>
          <w:lang w:val="uk-UA"/>
        </w:rPr>
        <w:t>. Оптимальна гонадотоксична доза токсину (у розрахунку на масу тварини) була обґрунтована в перший серії експериментів з використанням п’яти груп експериментальних тварин у віці від 12 до 20 тижнів:</w:t>
      </w:r>
    </w:p>
    <w:p w:rsidR="00EB6EBC" w:rsidRPr="00CE0A20" w:rsidRDefault="00EB6EBC" w:rsidP="00EB6EBC">
      <w:pPr>
        <w:spacing w:line="360" w:lineRule="auto"/>
        <w:ind w:firstLine="709"/>
        <w:jc w:val="both"/>
        <w:textAlignment w:val="top"/>
        <w:rPr>
          <w:rStyle w:val="11"/>
          <w:color w:val="000000" w:themeColor="text1"/>
          <w:sz w:val="28"/>
          <w:szCs w:val="28"/>
          <w:lang w:val="uk-UA"/>
        </w:rPr>
      </w:pPr>
      <w:r w:rsidRPr="00CE0A20">
        <w:rPr>
          <w:rStyle w:val="11"/>
          <w:color w:val="000000" w:themeColor="text1"/>
          <w:sz w:val="28"/>
          <w:szCs w:val="28"/>
          <w:lang w:val="uk-UA"/>
        </w:rPr>
        <w:t>1-а група (контрольна) – 20 інтактних статевозрілих самців щурів;</w:t>
      </w:r>
    </w:p>
    <w:p w:rsidR="00EB6EBC" w:rsidRPr="00CE0A20" w:rsidRDefault="00EB6EBC" w:rsidP="00EB6EBC">
      <w:pPr>
        <w:spacing w:line="360" w:lineRule="auto"/>
        <w:ind w:firstLine="709"/>
        <w:jc w:val="both"/>
        <w:textAlignment w:val="top"/>
        <w:rPr>
          <w:rFonts w:ascii="Times New Roman" w:hAnsi="Times New Roman" w:cs="Times New Roman"/>
          <w:color w:val="000000" w:themeColor="text1"/>
          <w:sz w:val="28"/>
          <w:szCs w:val="28"/>
          <w:lang w:val="uk-UA"/>
        </w:rPr>
      </w:pPr>
      <w:r w:rsidRPr="00CE0A20">
        <w:rPr>
          <w:rStyle w:val="11"/>
          <w:color w:val="000000" w:themeColor="text1"/>
          <w:sz w:val="28"/>
          <w:szCs w:val="28"/>
          <w:lang w:val="uk-UA"/>
        </w:rPr>
        <w:t xml:space="preserve">2-а група – </w:t>
      </w:r>
      <w:r w:rsidRPr="00CE0A20">
        <w:rPr>
          <w:rStyle w:val="11"/>
          <w:color w:val="000000" w:themeColor="text1"/>
          <w:sz w:val="28"/>
          <w:szCs w:val="28"/>
        </w:rPr>
        <w:t>34</w:t>
      </w:r>
      <w:r w:rsidRPr="00CE0A20">
        <w:rPr>
          <w:rStyle w:val="11"/>
          <w:color w:val="000000" w:themeColor="text1"/>
          <w:sz w:val="28"/>
          <w:szCs w:val="28"/>
          <w:lang w:val="uk-UA"/>
        </w:rPr>
        <w:t xml:space="preserve"> статевозрілих самців щурів, яким для створення ЕАД вводився </w:t>
      </w:r>
      <w:r w:rsidRPr="00CE0A20">
        <w:rPr>
          <w:rFonts w:ascii="Times New Roman" w:hAnsi="Times New Roman" w:cs="Times New Roman"/>
          <w:color w:val="000000" w:themeColor="text1"/>
          <w:sz w:val="28"/>
          <w:szCs w:val="28"/>
          <w:lang w:val="uk-UA"/>
        </w:rPr>
        <w:t>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в дозі 55 мкг/100 г маси тіла тварини; </w:t>
      </w:r>
    </w:p>
    <w:p w:rsidR="00EB6EBC" w:rsidRPr="00CE0A20" w:rsidRDefault="00EB6EBC" w:rsidP="00EB6EBC">
      <w:pPr>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3-я група – </w:t>
      </w:r>
      <w:r w:rsidRPr="00CE0A20">
        <w:rPr>
          <w:rStyle w:val="11"/>
          <w:color w:val="000000" w:themeColor="text1"/>
          <w:sz w:val="28"/>
          <w:szCs w:val="28"/>
        </w:rPr>
        <w:t>34</w:t>
      </w:r>
      <w:r w:rsidRPr="00CE0A20">
        <w:rPr>
          <w:rStyle w:val="11"/>
          <w:color w:val="000000" w:themeColor="text1"/>
          <w:sz w:val="28"/>
          <w:szCs w:val="28"/>
          <w:lang w:val="uk-UA"/>
        </w:rPr>
        <w:t xml:space="preserve"> статевозрілих самці щурів, яким для створення ЕАД вводився </w:t>
      </w:r>
      <w:r w:rsidRPr="00CE0A20">
        <w:rPr>
          <w:rFonts w:ascii="Times New Roman" w:hAnsi="Times New Roman" w:cs="Times New Roman"/>
          <w:color w:val="000000" w:themeColor="text1"/>
          <w:sz w:val="28"/>
          <w:szCs w:val="28"/>
          <w:lang w:val="uk-UA"/>
        </w:rPr>
        <w:t>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в дозі 100 мкг/100 г маси тіла тварини; </w:t>
      </w:r>
    </w:p>
    <w:p w:rsidR="00EB6EBC" w:rsidRPr="00CE0A20" w:rsidRDefault="00EB6EBC" w:rsidP="00EB6EBC">
      <w:pPr>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4-а група – </w:t>
      </w:r>
      <w:r w:rsidRPr="00CE0A20">
        <w:rPr>
          <w:rStyle w:val="11"/>
          <w:color w:val="000000" w:themeColor="text1"/>
          <w:sz w:val="28"/>
          <w:szCs w:val="28"/>
        </w:rPr>
        <w:t>34</w:t>
      </w:r>
      <w:r w:rsidRPr="00CE0A20">
        <w:rPr>
          <w:rStyle w:val="11"/>
          <w:color w:val="000000" w:themeColor="text1"/>
          <w:sz w:val="28"/>
          <w:szCs w:val="28"/>
          <w:lang w:val="uk-UA"/>
        </w:rPr>
        <w:t xml:space="preserve"> статевозрілих самці щурів, яким для створення ЕАД вводився </w:t>
      </w:r>
      <w:r w:rsidRPr="00CE0A20">
        <w:rPr>
          <w:rFonts w:ascii="Times New Roman" w:hAnsi="Times New Roman" w:cs="Times New Roman"/>
          <w:color w:val="000000" w:themeColor="text1"/>
          <w:sz w:val="28"/>
          <w:szCs w:val="28"/>
          <w:lang w:val="uk-UA"/>
        </w:rPr>
        <w:t>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в дозі  150 мкг/100 г маси тіла тварини; </w:t>
      </w:r>
    </w:p>
    <w:p w:rsidR="00EB6EBC" w:rsidRPr="00CE0A20" w:rsidRDefault="00EB6EBC" w:rsidP="00EB6EBC">
      <w:pPr>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5-а група – </w:t>
      </w:r>
      <w:r w:rsidRPr="00CE0A20">
        <w:rPr>
          <w:rStyle w:val="11"/>
          <w:color w:val="000000" w:themeColor="text1"/>
          <w:sz w:val="28"/>
          <w:szCs w:val="28"/>
          <w:lang w:val="uk-UA"/>
        </w:rPr>
        <w:t xml:space="preserve">20 статевозрілих самців щурів, яким для створення ЕАД вводився </w:t>
      </w:r>
      <w:r w:rsidRPr="00CE0A20">
        <w:rPr>
          <w:rFonts w:ascii="Times New Roman" w:hAnsi="Times New Roman" w:cs="Times New Roman"/>
          <w:color w:val="000000" w:themeColor="text1"/>
          <w:sz w:val="28"/>
          <w:szCs w:val="28"/>
          <w:lang w:val="uk-UA"/>
        </w:rPr>
        <w:t>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в дозі 200 мкг/100 г маси тіла.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На другому етапі експерименту було визначено оптимальний метод трансплантації КСКМ для лікування ЕАД. З цією метою виконані дослідження  </w:t>
      </w:r>
      <w:r w:rsidR="009B267B"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експериментальних тварин, розподілених на </w:t>
      </w:r>
      <w:r w:rsidR="009B267B" w:rsidRPr="00CE0A20">
        <w:rPr>
          <w:rFonts w:ascii="Times New Roman" w:hAnsi="Times New Roman" w:cs="Times New Roman"/>
          <w:color w:val="000000" w:themeColor="text1"/>
          <w:sz w:val="28"/>
          <w:szCs w:val="28"/>
          <w:lang w:val="uk-UA"/>
        </w:rPr>
        <w:t>так</w:t>
      </w:r>
      <w:r w:rsidRPr="00CE0A20">
        <w:rPr>
          <w:rFonts w:ascii="Times New Roman" w:hAnsi="Times New Roman" w:cs="Times New Roman"/>
          <w:color w:val="000000" w:themeColor="text1"/>
          <w:sz w:val="28"/>
          <w:szCs w:val="28"/>
          <w:lang w:val="uk-UA"/>
        </w:rPr>
        <w:t>і групи:</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1-а група (контрольна) – 20 інтактних статевозрілих самців щурів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2-а група (порівняння) – 20 статевозрілих самців щурів з ЕАД;</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3-я група – 60 самців щурів з ЕАД (на 7-у добу після введення CdCl</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в дозі 150 мкг/100 г маси тіла тварини), яким виконано трансплантацію КСКМ в одне яєчко, у тому числі: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3а – у кількості 80 000 КСКМ (20 тварин);</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3б – у кількості 100 000 КСКМ (20 тварин);</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3в – у кількості 200 000 КСКМ (20 тварин).</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4-а група – 60 самців щурів з ЕАД (на 7-у добу після введення CdCl</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в дозі  150 мкг/100 г маси тіла тварини), яким виконано трансплантацію КСКМ в обидва яєчка, у тому числі: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4а – у кількості 80 000 КСКМ (20 тварин);</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4б – у кількості 100 000 КСКМ (20 тварин);</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4в – у кількості 200 000 КСКМ (20 тварин).</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Додатково для вивчення трекінгу КСКМ здійснено дослідження з використанням </w:t>
      </w:r>
      <w:r w:rsidRPr="00CE0A20">
        <w:rPr>
          <w:rFonts w:ascii="Times New Roman" w:hAnsi="Times New Roman" w:cs="Times New Roman"/>
          <w:color w:val="000000" w:themeColor="text1"/>
          <w:sz w:val="28"/>
          <w:szCs w:val="28"/>
        </w:rPr>
        <w:t xml:space="preserve">6 </w:t>
      </w:r>
      <w:r w:rsidRPr="00CE0A20">
        <w:rPr>
          <w:rFonts w:ascii="Times New Roman" w:hAnsi="Times New Roman" w:cs="Times New Roman"/>
          <w:color w:val="000000" w:themeColor="text1"/>
          <w:sz w:val="28"/>
          <w:szCs w:val="28"/>
          <w:lang w:val="uk-UA"/>
        </w:rPr>
        <w:t xml:space="preserve">експериментальних тварин: 1 тварина – одразу після інтратестикулярної трансплантації  </w:t>
      </w:r>
      <w:r w:rsidRPr="00CE0A20">
        <w:rPr>
          <w:rFonts w:ascii="Times New Roman" w:hAnsi="Times New Roman" w:cs="Times New Roman"/>
          <w:color w:val="000000" w:themeColor="text1"/>
          <w:sz w:val="28"/>
          <w:szCs w:val="28"/>
          <w:lang w:val="en-US"/>
        </w:rPr>
        <w:t>ex</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vivo</w:t>
      </w:r>
      <w:r w:rsidRPr="00CE0A20">
        <w:rPr>
          <w:rFonts w:ascii="Times New Roman" w:hAnsi="Times New Roman" w:cs="Times New Roman"/>
          <w:color w:val="000000" w:themeColor="text1"/>
          <w:sz w:val="28"/>
          <w:szCs w:val="28"/>
          <w:lang w:val="uk-UA"/>
        </w:rPr>
        <w:t>, 1 тварина – у першу добу після трансплантації, 2 тварин – на 14-у добу та 2 тварини – на 28-у добу.</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третьому етапі експерименту вивчено віддалені результати інтратест</w:t>
      </w:r>
      <w:r w:rsidR="00E32214"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кулярної трансплантації КСКМ з метою лікування ЕАД та ризик розвитку новоутворень. З цією метою виконан</w:t>
      </w:r>
      <w:r w:rsidR="00E32214"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 xml:space="preserve"> дослідження експери</w:t>
      </w:r>
      <w:r w:rsidRPr="00CE0A20">
        <w:rPr>
          <w:rFonts w:ascii="Times New Roman" w:hAnsi="Times New Roman" w:cs="Times New Roman"/>
          <w:color w:val="000000" w:themeColor="text1"/>
          <w:sz w:val="28"/>
          <w:szCs w:val="28"/>
          <w:lang w:val="uk-UA"/>
        </w:rPr>
        <w:softHyphen/>
        <w:t xml:space="preserve">ментальних тварин, смерть яких відбулася природним шляхом після досягнення граничного віку (33–36 міс.), які були розподілені на </w:t>
      </w:r>
      <w:r w:rsidR="00E32214" w:rsidRPr="00CE0A20">
        <w:rPr>
          <w:rFonts w:ascii="Times New Roman" w:hAnsi="Times New Roman" w:cs="Times New Roman"/>
          <w:color w:val="000000" w:themeColor="text1"/>
          <w:sz w:val="28"/>
          <w:szCs w:val="28"/>
          <w:lang w:val="uk-UA"/>
        </w:rPr>
        <w:t>так</w:t>
      </w:r>
      <w:r w:rsidRPr="00CE0A20">
        <w:rPr>
          <w:rFonts w:ascii="Times New Roman" w:hAnsi="Times New Roman" w:cs="Times New Roman"/>
          <w:color w:val="000000" w:themeColor="text1"/>
          <w:sz w:val="28"/>
          <w:szCs w:val="28"/>
          <w:lang w:val="uk-UA"/>
        </w:rPr>
        <w:t>і групи:</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1-а група (контрольна) –  20 інтактних статевозрілих самців щурів;</w:t>
      </w:r>
    </w:p>
    <w:p w:rsidR="00EB6EBC" w:rsidRPr="00CE0A20" w:rsidRDefault="00A53B42"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w:t>
      </w:r>
      <w:r w:rsidR="00EB6EBC" w:rsidRPr="00CE0A20">
        <w:rPr>
          <w:rFonts w:ascii="Times New Roman" w:hAnsi="Times New Roman" w:cs="Times New Roman"/>
          <w:color w:val="000000" w:themeColor="text1"/>
          <w:sz w:val="28"/>
          <w:szCs w:val="28"/>
          <w:lang w:val="uk-UA"/>
        </w:rPr>
        <w:t>-я група (основна) – 20 статевозрілих самців щурів з ЕАД (після введення CdCl</w:t>
      </w:r>
      <w:r w:rsidR="00EB6EBC" w:rsidRPr="00CE0A20">
        <w:rPr>
          <w:rFonts w:ascii="Times New Roman" w:hAnsi="Times New Roman" w:cs="Times New Roman"/>
          <w:color w:val="000000" w:themeColor="text1"/>
          <w:sz w:val="28"/>
          <w:szCs w:val="28"/>
          <w:vertAlign w:val="subscript"/>
          <w:lang w:val="uk-UA"/>
        </w:rPr>
        <w:t xml:space="preserve">2 </w:t>
      </w:r>
      <w:r w:rsidR="00EB6EBC" w:rsidRPr="00CE0A20">
        <w:rPr>
          <w:rFonts w:ascii="Times New Roman" w:hAnsi="Times New Roman" w:cs="Times New Roman"/>
          <w:color w:val="000000" w:themeColor="text1"/>
          <w:sz w:val="28"/>
          <w:szCs w:val="28"/>
          <w:lang w:val="uk-UA"/>
        </w:rPr>
        <w:t>в дозі 150 мкг/100 г маси тіла тварини) після інтратест</w:t>
      </w:r>
      <w:r w:rsidR="00E32214" w:rsidRPr="00CE0A20">
        <w:rPr>
          <w:rFonts w:ascii="Times New Roman" w:hAnsi="Times New Roman" w:cs="Times New Roman"/>
          <w:color w:val="000000" w:themeColor="text1"/>
          <w:sz w:val="28"/>
          <w:szCs w:val="28"/>
          <w:lang w:val="uk-UA"/>
        </w:rPr>
        <w:t>и</w:t>
      </w:r>
      <w:r w:rsidR="00EB6EBC" w:rsidRPr="00CE0A20">
        <w:rPr>
          <w:rFonts w:ascii="Times New Roman" w:hAnsi="Times New Roman" w:cs="Times New Roman"/>
          <w:color w:val="000000" w:themeColor="text1"/>
          <w:sz w:val="28"/>
          <w:szCs w:val="28"/>
          <w:lang w:val="uk-UA"/>
        </w:rPr>
        <w:t>кулярної трансплантації КСМК у кількості 200 000 клітин у кожне яєчко.</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p>
    <w:p w:rsidR="00EB6EBC" w:rsidRPr="00CE0A20" w:rsidRDefault="00EB6EBC" w:rsidP="00EB6EBC">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2.2 Методи експериментальних досліджень</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Оптимальну дозу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для створення ЕАД визначено шляхом аналізу показників гонадотоксичної та загальнотоксичної дії [41].</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29pt"/>
          <w:rFonts w:ascii="Times New Roman" w:hAnsi="Times New Roman" w:cs="Times New Roman"/>
          <w:b w:val="0"/>
          <w:bCs w:val="0"/>
          <w:i w:val="0"/>
          <w:iCs w:val="0"/>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Гонадотоксичну дію оцінювали за результатами гістологічного дослідження органів-мішеней експериментальних тварин, залежних від тестостерону, а також за рівнем гормонів, що впливають на репродуктивну функцію: </w:t>
      </w:r>
      <w:r w:rsidRPr="00CE0A20">
        <w:rPr>
          <w:rStyle w:val="29pt"/>
          <w:rFonts w:ascii="Times New Roman" w:hAnsi="Times New Roman" w:cs="Times New Roman"/>
          <w:b w:val="0"/>
          <w:bCs w:val="0"/>
          <w:i w:val="0"/>
          <w:iCs w:val="0"/>
          <w:color w:val="000000" w:themeColor="text1"/>
          <w:sz w:val="28"/>
          <w:szCs w:val="28"/>
          <w:lang w:val="uk-UA"/>
        </w:rPr>
        <w:t>тестостерону, естрогену, фолікулостимулюючого гормону</w:t>
      </w:r>
      <w:r w:rsidRPr="00CE0A20">
        <w:rPr>
          <w:rStyle w:val="26"/>
          <w:rFonts w:ascii="Times New Roman" w:hAnsi="Times New Roman" w:cs="Times New Roman"/>
          <w:i w:val="0"/>
          <w:iCs w:val="0"/>
          <w:color w:val="000000" w:themeColor="text1"/>
          <w:sz w:val="28"/>
          <w:szCs w:val="28"/>
          <w:lang w:val="uk-UA"/>
        </w:rPr>
        <w:t>(ФСГ),</w:t>
      </w:r>
      <w:r w:rsidRPr="00CE0A20">
        <w:rPr>
          <w:rStyle w:val="29pt"/>
          <w:rFonts w:ascii="Times New Roman" w:hAnsi="Times New Roman" w:cs="Times New Roman"/>
          <w:b w:val="0"/>
          <w:bCs w:val="0"/>
          <w:i w:val="0"/>
          <w:iCs w:val="0"/>
          <w:color w:val="000000" w:themeColor="text1"/>
          <w:sz w:val="28"/>
          <w:szCs w:val="28"/>
          <w:lang w:val="uk-UA"/>
        </w:rPr>
        <w:t xml:space="preserve"> лютеїнізуючого гормону (ЛГ), пролактину (ПРЛ), глобулінзв’язуючого статевого гормону (ГЗСГ).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29pt"/>
          <w:rFonts w:ascii="Times New Roman" w:hAnsi="Times New Roman" w:cs="Times New Roman"/>
          <w:b w:val="0"/>
          <w:bCs w:val="0"/>
          <w:i w:val="0"/>
          <w:iCs w:val="0"/>
          <w:color w:val="000000" w:themeColor="text1"/>
          <w:sz w:val="28"/>
          <w:szCs w:val="28"/>
          <w:lang w:val="uk-UA"/>
        </w:rPr>
      </w:pPr>
      <w:r w:rsidRPr="00CE0A20">
        <w:rPr>
          <w:rStyle w:val="29pt"/>
          <w:rFonts w:ascii="Times New Roman" w:hAnsi="Times New Roman" w:cs="Times New Roman"/>
          <w:b w:val="0"/>
          <w:bCs w:val="0"/>
          <w:i w:val="0"/>
          <w:iCs w:val="0"/>
          <w:color w:val="000000" w:themeColor="text1"/>
          <w:sz w:val="28"/>
          <w:szCs w:val="28"/>
          <w:lang w:val="uk-UA"/>
        </w:rPr>
        <w:t xml:space="preserve">Аналогічні гістологічні та біохімічні методи застосовані для визначення оптимального методу </w:t>
      </w:r>
      <w:r w:rsidRPr="00CE0A20">
        <w:rPr>
          <w:rFonts w:ascii="Times New Roman" w:hAnsi="Times New Roman" w:cs="Times New Roman"/>
          <w:color w:val="000000" w:themeColor="text1"/>
          <w:sz w:val="28"/>
          <w:szCs w:val="28"/>
          <w:lang w:val="uk-UA"/>
        </w:rPr>
        <w:t>інтратест</w:t>
      </w:r>
      <w:r w:rsidR="00E32214"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кулярної трансплантації КСМК</w:t>
      </w:r>
      <w:r w:rsidRPr="00CE0A20">
        <w:rPr>
          <w:rStyle w:val="29pt"/>
          <w:rFonts w:ascii="Times New Roman" w:hAnsi="Times New Roman" w:cs="Times New Roman"/>
          <w:b w:val="0"/>
          <w:bCs w:val="0"/>
          <w:i w:val="0"/>
          <w:iCs w:val="0"/>
          <w:color w:val="000000" w:themeColor="text1"/>
          <w:sz w:val="28"/>
          <w:szCs w:val="28"/>
          <w:lang w:val="uk-UA"/>
        </w:rPr>
        <w:t xml:space="preserve"> з метою лікування ЕАД з оцінкою його безпосередніх та віддалених результатів.</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Style w:val="29pt"/>
          <w:rFonts w:ascii="Times New Roman" w:hAnsi="Times New Roman" w:cs="Times New Roman"/>
          <w:b w:val="0"/>
          <w:bCs w:val="0"/>
          <w:i w:val="0"/>
          <w:iCs w:val="0"/>
          <w:color w:val="000000" w:themeColor="text1"/>
          <w:sz w:val="28"/>
          <w:szCs w:val="28"/>
          <w:lang w:val="uk-UA"/>
        </w:rPr>
        <w:t xml:space="preserve">Загальнотоксичну дію </w:t>
      </w:r>
      <w:r w:rsidRPr="00CE0A20">
        <w:rPr>
          <w:rFonts w:ascii="Times New Roman" w:hAnsi="Times New Roman" w:cs="Times New Roman"/>
          <w:color w:val="000000" w:themeColor="text1"/>
          <w:sz w:val="28"/>
          <w:szCs w:val="28"/>
          <w:lang w:val="uk-UA"/>
        </w:rPr>
        <w:t>CdCl</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визначали за динамікою ваги та виживаністю експериментальних тварин, а також за показниками гепатотоксичності (концентрація АЛТ та АСТ </w:t>
      </w:r>
      <w:r w:rsidR="00E32214"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сироватці крові) та за показниками антиоксидантного захисту (концентрація супероксиддисмутази (СОД) та каталази в сироватці крові) на 7-у, 14-у та 28-у добу експерименту.</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11"/>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Також у всіх експериментальних тварин оцінювали </w:t>
      </w:r>
      <w:r w:rsidRPr="00CE0A20">
        <w:rPr>
          <w:rStyle w:val="11"/>
          <w:color w:val="000000" w:themeColor="text1"/>
          <w:sz w:val="28"/>
          <w:szCs w:val="28"/>
          <w:lang w:val="uk-UA"/>
        </w:rPr>
        <w:t xml:space="preserve">копулятивну поведінку за </w:t>
      </w:r>
      <w:r w:rsidR="00E32214" w:rsidRPr="00CE0A20">
        <w:rPr>
          <w:rStyle w:val="11"/>
          <w:color w:val="000000" w:themeColor="text1"/>
          <w:sz w:val="28"/>
          <w:szCs w:val="28"/>
          <w:lang w:val="uk-UA"/>
        </w:rPr>
        <w:t>таки</w:t>
      </w:r>
      <w:r w:rsidRPr="00CE0A20">
        <w:rPr>
          <w:rStyle w:val="11"/>
          <w:color w:val="000000" w:themeColor="text1"/>
          <w:sz w:val="28"/>
          <w:szCs w:val="28"/>
          <w:lang w:val="uk-UA"/>
        </w:rPr>
        <w:t xml:space="preserve">ми показниками: </w:t>
      </w:r>
    </w:p>
    <w:p w:rsidR="00EB6EBC" w:rsidRPr="00CE0A20" w:rsidRDefault="00EB6EBC" w:rsidP="00EB6EBC">
      <w:pPr>
        <w:pStyle w:val="a3"/>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кількість садок до першої еякуляції – КС; </w:t>
      </w:r>
    </w:p>
    <w:p w:rsidR="00EB6EBC" w:rsidRPr="00CE0A20" w:rsidRDefault="00EB6EBC" w:rsidP="00EB6EBC">
      <w:pPr>
        <w:pStyle w:val="a3"/>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кількість садок, що закінчується інтромісією – КІ; </w:t>
      </w:r>
    </w:p>
    <w:p w:rsidR="00EB6EBC" w:rsidRPr="00CE0A20" w:rsidRDefault="00EB6EBC" w:rsidP="00EB6EBC">
      <w:pPr>
        <w:pStyle w:val="a3"/>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тривалість латентного періоду еякуляції – ЛПЕ (сек.); </w:t>
      </w:r>
    </w:p>
    <w:p w:rsidR="00EB6EBC" w:rsidRPr="00CE0A20" w:rsidRDefault="00EB6EBC" w:rsidP="00EB6EBC">
      <w:pPr>
        <w:pStyle w:val="a3"/>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копулятивна ефективність – КЕ;</w:t>
      </w:r>
    </w:p>
    <w:p w:rsidR="00EB6EBC" w:rsidRPr="00CE0A20" w:rsidRDefault="00EB6EBC" w:rsidP="00EB6EBC">
      <w:pPr>
        <w:pStyle w:val="a3"/>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Style w:val="11"/>
          <w:color w:val="000000" w:themeColor="text1"/>
          <w:sz w:val="28"/>
          <w:szCs w:val="28"/>
          <w:lang w:val="uk-UA"/>
        </w:rPr>
      </w:pPr>
      <w:r w:rsidRPr="00CE0A20">
        <w:rPr>
          <w:rFonts w:ascii="Times New Roman" w:hAnsi="Times New Roman" w:cs="Times New Roman"/>
          <w:color w:val="000000" w:themeColor="text1"/>
          <w:lang w:val="uk-UA"/>
        </w:rPr>
        <w:t>міжкопулятивний інтервал – МКІ (сек.)</w:t>
      </w:r>
      <w:r w:rsidRPr="00CE0A20">
        <w:rPr>
          <w:rStyle w:val="11"/>
          <w:rFonts w:eastAsia="Arial Unicode MS"/>
          <w:color w:val="000000" w:themeColor="text1"/>
          <w:sz w:val="28"/>
          <w:szCs w:val="28"/>
          <w:lang w:val="uk-UA"/>
        </w:rPr>
        <w:t>.</w:t>
      </w:r>
    </w:p>
    <w:p w:rsidR="00EB6EBC" w:rsidRPr="00CE0A20" w:rsidRDefault="00EB6EBC" w:rsidP="00BB29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Копулятивну ефективність (КЕ) визначали  за формулою:</w:t>
      </w:r>
    </w:p>
    <w:p w:rsidR="00EB6EBC" w:rsidRPr="00CE0A20" w:rsidRDefault="00EB6EBC" w:rsidP="00BB29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m:oMath>
        <m:r>
          <w:rPr>
            <w:rFonts w:ascii="Cambria Math" w:hAnsi="Cambria Math" w:cs="Times New Roman"/>
            <w:color w:val="000000" w:themeColor="text1"/>
            <w:sz w:val="28"/>
            <w:szCs w:val="28"/>
            <w:lang w:val="uk-UA"/>
          </w:rPr>
          <m:t>КЕ=</m:t>
        </m:r>
        <m:f>
          <m:fPr>
            <m:ctrlPr>
              <w:rPr>
                <w:rFonts w:ascii="Cambria Math" w:hAnsi="Cambria Math" w:cs="Times New Roman"/>
                <w:i/>
                <w:color w:val="000000" w:themeColor="text1"/>
                <w:sz w:val="28"/>
                <w:szCs w:val="28"/>
                <w:lang w:val="uk-UA"/>
              </w:rPr>
            </m:ctrlPr>
          </m:fPr>
          <m:num>
            <m:r>
              <w:rPr>
                <w:rFonts w:ascii="Cambria Math" w:hAnsi="Cambria Math" w:cs="Times New Roman"/>
                <w:color w:val="000000" w:themeColor="text1"/>
                <w:sz w:val="28"/>
                <w:szCs w:val="28"/>
                <w:lang w:val="uk-UA"/>
              </w:rPr>
              <m:t>КІ</m:t>
            </m:r>
          </m:num>
          <m:den>
            <m:r>
              <w:rPr>
                <w:rFonts w:ascii="Cambria Math" w:hAnsi="Cambria Math" w:cs="Times New Roman"/>
                <w:color w:val="000000" w:themeColor="text1"/>
                <w:sz w:val="28"/>
                <w:szCs w:val="28"/>
                <w:lang w:val="uk-UA"/>
              </w:rPr>
              <m:t>КС+КІ</m:t>
            </m:r>
          </m:den>
        </m:f>
        <m:r>
          <w:rPr>
            <w:rFonts w:ascii="Cambria Math" w:hAnsi="Cambria Math" w:cs="Times New Roman"/>
            <w:color w:val="000000" w:themeColor="text1"/>
            <w:sz w:val="28"/>
            <w:szCs w:val="28"/>
            <w:lang w:val="uk-UA"/>
          </w:rPr>
          <m:t>×100%</m:t>
        </m:r>
      </m:oMath>
      <w:r w:rsidRPr="00CE0A20">
        <w:rPr>
          <w:rFonts w:ascii="Times New Roman" w:hAnsi="Times New Roman" w:cs="Times New Roman"/>
          <w:color w:val="000000" w:themeColor="text1"/>
          <w:sz w:val="28"/>
          <w:szCs w:val="28"/>
          <w:lang w:val="uk-UA"/>
        </w:rPr>
        <w:tab/>
        <w:t>(2.1)</w:t>
      </w:r>
    </w:p>
    <w:p w:rsidR="00BB29C6" w:rsidRPr="00CE0A20" w:rsidRDefault="00BB29C6" w:rsidP="00BB29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p>
    <w:p w:rsidR="00EB6EBC" w:rsidRPr="00CE0A20" w:rsidRDefault="00EB6EBC" w:rsidP="00BB29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Міжкопулятивний інтервал (МКІ) визначали за формулою:</w:t>
      </w:r>
    </w:p>
    <w:p w:rsidR="00EB6EBC" w:rsidRPr="00CE0A20" w:rsidRDefault="00EB6EBC" w:rsidP="00BB29C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t xml:space="preserve">МКІ = ЛПЕ / КІ </w:t>
      </w: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 xml:space="preserve"> (2.2.)</w:t>
      </w:r>
    </w:p>
    <w:p w:rsidR="00EB6EBC" w:rsidRPr="00CE0A20" w:rsidRDefault="00EB6EBC" w:rsidP="00EB6EBC">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2.2.1 Гістологічні дослідження</w:t>
      </w:r>
    </w:p>
    <w:p w:rsidR="00BB29C6" w:rsidRPr="00CE0A20" w:rsidRDefault="00BB29C6" w:rsidP="00EB6EBC">
      <w:pPr>
        <w:spacing w:line="360" w:lineRule="auto"/>
        <w:ind w:firstLine="709"/>
        <w:jc w:val="both"/>
        <w:rPr>
          <w:rFonts w:ascii="Times New Roman" w:hAnsi="Times New Roman" w:cs="Times New Roman"/>
          <w:color w:val="000000" w:themeColor="text1"/>
          <w:sz w:val="28"/>
          <w:szCs w:val="28"/>
          <w:lang w:val="uk-UA"/>
        </w:rPr>
      </w:pP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Гістологічні дослідження виконані на базі лабораторії Центральної науково-дослідної лабораторії Національного фармацевтичного університету. У першій серії об'єктом дослідження стали яєчка щурів після одноразового </w:t>
      </w:r>
      <w:r w:rsidRPr="00CE0A20">
        <w:rPr>
          <w:rStyle w:val="11"/>
          <w:color w:val="000000" w:themeColor="text1"/>
          <w:sz w:val="28"/>
          <w:szCs w:val="28"/>
          <w:lang w:val="uk-UA"/>
        </w:rPr>
        <w:t>внутрішньоочеревинного</w:t>
      </w:r>
      <w:r w:rsidRPr="00CE0A20">
        <w:rPr>
          <w:rFonts w:ascii="Times New Roman" w:hAnsi="Times New Roman" w:cs="Times New Roman"/>
          <w:color w:val="000000" w:themeColor="text1"/>
          <w:sz w:val="28"/>
          <w:szCs w:val="28"/>
          <w:lang w:val="uk-UA"/>
        </w:rPr>
        <w:t xml:space="preserve"> введення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дозах 55 мкг/100 г , 100 мкг/100 г, 150 мкг/100 г та 200 мкг/100 г маси тіла та яєчка інтактних щурів (інтактний контроль) – по одному яєчку від кожного самця. Забір матеріалу проведено на 7</w:t>
      </w:r>
      <w:r w:rsidR="00885BC3">
        <w:rPr>
          <w:rFonts w:ascii="Times New Roman" w:hAnsi="Times New Roman" w:cs="Times New Roman"/>
          <w:color w:val="000000" w:themeColor="text1"/>
          <w:sz w:val="28"/>
          <w:szCs w:val="28"/>
          <w:lang w:val="uk-UA"/>
        </w:rPr>
        <w:t>-му</w:t>
      </w:r>
      <w:r w:rsidRPr="00CE0A20">
        <w:rPr>
          <w:rFonts w:ascii="Times New Roman" w:hAnsi="Times New Roman" w:cs="Times New Roman"/>
          <w:color w:val="000000" w:themeColor="text1"/>
          <w:sz w:val="28"/>
          <w:szCs w:val="28"/>
          <w:lang w:val="uk-UA"/>
        </w:rPr>
        <w:t>, 14</w:t>
      </w:r>
      <w:r w:rsidR="00885BC3">
        <w:rPr>
          <w:rFonts w:ascii="Times New Roman" w:hAnsi="Times New Roman" w:cs="Times New Roman"/>
          <w:color w:val="000000" w:themeColor="text1"/>
          <w:sz w:val="28"/>
          <w:szCs w:val="28"/>
          <w:lang w:val="uk-UA"/>
        </w:rPr>
        <w:t>-ту</w:t>
      </w:r>
      <w:r w:rsidRPr="00CE0A20">
        <w:rPr>
          <w:rFonts w:ascii="Times New Roman" w:hAnsi="Times New Roman" w:cs="Times New Roman"/>
          <w:color w:val="000000" w:themeColor="text1"/>
          <w:sz w:val="28"/>
          <w:szCs w:val="28"/>
          <w:lang w:val="uk-UA"/>
        </w:rPr>
        <w:t xml:space="preserve"> та 28</w:t>
      </w:r>
      <w:r w:rsidR="00E32214" w:rsidRPr="00CE0A20">
        <w:rPr>
          <w:rFonts w:ascii="Times New Roman" w:hAnsi="Times New Roman" w:cs="Times New Roman"/>
          <w:color w:val="000000" w:themeColor="text1"/>
          <w:sz w:val="28"/>
          <w:szCs w:val="28"/>
          <w:lang w:val="uk-UA"/>
        </w:rPr>
        <w:t>-</w:t>
      </w:r>
      <w:r w:rsidR="00885BC3">
        <w:rPr>
          <w:rFonts w:ascii="Times New Roman" w:hAnsi="Times New Roman" w:cs="Times New Roman"/>
          <w:color w:val="000000" w:themeColor="text1"/>
          <w:sz w:val="28"/>
          <w:szCs w:val="28"/>
          <w:lang w:val="uk-UA"/>
        </w:rPr>
        <w:t>му</w:t>
      </w:r>
      <w:r w:rsidRPr="00CE0A20">
        <w:rPr>
          <w:rFonts w:ascii="Times New Roman" w:hAnsi="Times New Roman" w:cs="Times New Roman"/>
          <w:color w:val="000000" w:themeColor="text1"/>
          <w:sz w:val="28"/>
          <w:szCs w:val="28"/>
          <w:lang w:val="uk-UA"/>
        </w:rPr>
        <w:t xml:space="preserve"> </w:t>
      </w:r>
      <w:r w:rsidR="00885BC3">
        <w:rPr>
          <w:rFonts w:ascii="Times New Roman" w:hAnsi="Times New Roman" w:cs="Times New Roman"/>
          <w:color w:val="000000" w:themeColor="text1"/>
          <w:sz w:val="28"/>
          <w:szCs w:val="28"/>
          <w:lang w:val="uk-UA"/>
        </w:rPr>
        <w:t>добу</w:t>
      </w:r>
      <w:r w:rsidRPr="00CE0A20">
        <w:rPr>
          <w:rFonts w:ascii="Times New Roman" w:hAnsi="Times New Roman" w:cs="Times New Roman"/>
          <w:color w:val="000000" w:themeColor="text1"/>
          <w:sz w:val="28"/>
          <w:szCs w:val="28"/>
          <w:lang w:val="uk-UA"/>
        </w:rPr>
        <w:t xml:space="preserve"> після введення токсину.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другій серії дос</w:t>
      </w:r>
      <w:r w:rsidR="00885BC3">
        <w:rPr>
          <w:rFonts w:ascii="Times New Roman" w:hAnsi="Times New Roman" w:cs="Times New Roman"/>
          <w:color w:val="000000" w:themeColor="text1"/>
          <w:sz w:val="28"/>
          <w:szCs w:val="28"/>
          <w:lang w:val="uk-UA"/>
        </w:rPr>
        <w:t>ліджено яєчка щурів, яким на 7-му добу</w:t>
      </w:r>
      <w:r w:rsidRPr="00CE0A20">
        <w:rPr>
          <w:rFonts w:ascii="Times New Roman" w:hAnsi="Times New Roman" w:cs="Times New Roman"/>
          <w:color w:val="000000" w:themeColor="text1"/>
          <w:sz w:val="28"/>
          <w:szCs w:val="28"/>
          <w:lang w:val="uk-UA"/>
        </w:rPr>
        <w:t xml:space="preserve"> після введення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150 мкг/100 г маси тіла інтратестикулярно вводили клітини строми кісткового мозку (КСКМ) у дозах 80000 клітин, 100000 клітин, 200000 тисяч клітин. Стовбурові клітини вводили або тільки </w:t>
      </w:r>
      <w:r w:rsidR="00B22AAA"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одне яєчко (праве), або одночасно </w:t>
      </w:r>
      <w:r w:rsidR="00B22AAA"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обидва яєчка. При введенні КСКМ </w:t>
      </w:r>
      <w:r w:rsidR="00B22AAA"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обидва яєчка контролем слугували яєчка щурів, яким токсин вводили у дозі 150 мкг/100 г маси тіла, а також яєчка інтактних щурів. При введенні КСКМ </w:t>
      </w:r>
      <w:r w:rsidR="00B22AAA"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одн</w:t>
      </w:r>
      <w:r w:rsidR="00B22AAA" w:rsidRPr="00CE0A20">
        <w:rPr>
          <w:rFonts w:ascii="Times New Roman" w:hAnsi="Times New Roman" w:cs="Times New Roman"/>
          <w:color w:val="000000" w:themeColor="text1"/>
          <w:sz w:val="28"/>
          <w:szCs w:val="28"/>
          <w:lang w:val="uk-UA"/>
        </w:rPr>
        <w:t>е</w:t>
      </w:r>
      <w:r w:rsidRPr="00CE0A20">
        <w:rPr>
          <w:rFonts w:ascii="Times New Roman" w:hAnsi="Times New Roman" w:cs="Times New Roman"/>
          <w:color w:val="000000" w:themeColor="text1"/>
          <w:sz w:val="28"/>
          <w:szCs w:val="28"/>
          <w:lang w:val="uk-UA"/>
        </w:rPr>
        <w:t xml:space="preserve"> яєчко контролем слугувало друге яєчко (ліве). </w:t>
      </w:r>
    </w:p>
    <w:p w:rsidR="00EB6EBC" w:rsidRPr="00CE0A20" w:rsidRDefault="00EB6EBC" w:rsidP="00EB6EBC">
      <w:pPr>
        <w:pStyle w:val="21"/>
        <w:spacing w:after="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kern w:val="2"/>
          <w:sz w:val="28"/>
          <w:szCs w:val="28"/>
          <w:lang w:val="uk-UA"/>
        </w:rPr>
        <w:t>Після виведення тварин з експерименту вилучали матеріал для гістологічних досліджень (</w:t>
      </w:r>
      <w:r w:rsidRPr="00CE0A20">
        <w:rPr>
          <w:rFonts w:ascii="Times New Roman" w:hAnsi="Times New Roman" w:cs="Times New Roman"/>
          <w:color w:val="000000" w:themeColor="text1"/>
          <w:sz w:val="28"/>
          <w:szCs w:val="28"/>
          <w:lang w:val="uk-UA"/>
        </w:rPr>
        <w:t>сім’яники</w:t>
      </w:r>
      <w:r w:rsidRPr="00CE0A20">
        <w:rPr>
          <w:rFonts w:ascii="Times New Roman" w:hAnsi="Times New Roman" w:cs="Times New Roman"/>
          <w:color w:val="000000" w:themeColor="text1"/>
          <w:kern w:val="2"/>
          <w:sz w:val="28"/>
          <w:szCs w:val="28"/>
          <w:lang w:val="uk-UA"/>
        </w:rPr>
        <w:t xml:space="preserve"> з придатками, сім’яні пухирці  та передміхурову залозу),</w:t>
      </w:r>
      <w:r w:rsidRPr="00CE0A20">
        <w:rPr>
          <w:rFonts w:ascii="Times New Roman" w:hAnsi="Times New Roman" w:cs="Times New Roman"/>
          <w:color w:val="000000" w:themeColor="text1"/>
          <w:sz w:val="28"/>
          <w:szCs w:val="28"/>
          <w:lang w:val="uk-UA"/>
        </w:rPr>
        <w:t xml:space="preserve"> який роздільно зважували. Весь тканинний матеріал фіксували у 10% розчині нейтрального формаліну, зневоднювали у спиртах зростаючої міцності, занурювали у парафін. Мікротомовані зрізи </w:t>
      </w:r>
      <w:r w:rsidR="00B22AAA" w:rsidRPr="00CE0A20">
        <w:rPr>
          <w:rFonts w:ascii="Times New Roman" w:hAnsi="Times New Roman" w:cs="Times New Roman"/>
          <w:color w:val="000000" w:themeColor="text1"/>
          <w:sz w:val="28"/>
          <w:szCs w:val="28"/>
          <w:lang w:val="uk-UA"/>
        </w:rPr>
        <w:t>зав</w:t>
      </w:r>
      <w:r w:rsidRPr="00CE0A20">
        <w:rPr>
          <w:rFonts w:ascii="Times New Roman" w:hAnsi="Times New Roman" w:cs="Times New Roman"/>
          <w:color w:val="000000" w:themeColor="text1"/>
          <w:sz w:val="28"/>
          <w:szCs w:val="28"/>
          <w:lang w:val="uk-UA"/>
        </w:rPr>
        <w:t>тов</w:t>
      </w:r>
      <w:r w:rsidR="00B22AAA" w:rsidRPr="00CE0A20">
        <w:rPr>
          <w:rFonts w:ascii="Times New Roman" w:hAnsi="Times New Roman" w:cs="Times New Roman"/>
          <w:color w:val="000000" w:themeColor="text1"/>
          <w:sz w:val="28"/>
          <w:szCs w:val="28"/>
          <w:lang w:val="uk-UA"/>
        </w:rPr>
        <w:t>шки</w:t>
      </w:r>
      <w:r w:rsidRPr="00CE0A20">
        <w:rPr>
          <w:rFonts w:ascii="Times New Roman" w:hAnsi="Times New Roman" w:cs="Times New Roman"/>
          <w:color w:val="000000" w:themeColor="text1"/>
          <w:sz w:val="28"/>
          <w:szCs w:val="28"/>
          <w:lang w:val="uk-UA"/>
        </w:rPr>
        <w:t xml:space="preserve"> 3-5 мкм </w:t>
      </w:r>
      <w:r w:rsidR="00B22AAA" w:rsidRPr="00CE0A20">
        <w:rPr>
          <w:rFonts w:ascii="Times New Roman" w:hAnsi="Times New Roman" w:cs="Times New Roman"/>
          <w:color w:val="000000" w:themeColor="text1"/>
          <w:sz w:val="28"/>
          <w:szCs w:val="28"/>
          <w:lang w:val="uk-UA"/>
        </w:rPr>
        <w:t>забарвлюва</w:t>
      </w:r>
      <w:r w:rsidRPr="00CE0A20">
        <w:rPr>
          <w:rFonts w:ascii="Times New Roman" w:hAnsi="Times New Roman" w:cs="Times New Roman"/>
          <w:color w:val="000000" w:themeColor="text1"/>
          <w:sz w:val="28"/>
          <w:szCs w:val="28"/>
          <w:lang w:val="uk-UA"/>
        </w:rPr>
        <w:t xml:space="preserve">ли гематоксиліном та еозином. </w:t>
      </w:r>
    </w:p>
    <w:p w:rsidR="00EB6EBC" w:rsidRPr="00CE0A20" w:rsidRDefault="00EB6EBC" w:rsidP="00EB6EBC">
      <w:pPr>
        <w:pStyle w:val="230"/>
        <w:shd w:val="clear" w:color="auto" w:fill="auto"/>
        <w:spacing w:after="0" w:line="360" w:lineRule="auto"/>
        <w:ind w:left="20" w:right="40" w:firstLine="68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Мікроскопію </w:t>
      </w:r>
      <w:r w:rsidR="00B22AAA"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фотографування препаратів здійснено на мікроскопі Micros 400 (Austria), доукомплектованого цифровим фотоапаратом Nikon Cool Ріх4500. Фотографування проведено в системі Aver Media, фотознімки обробляли на персональному комп'ютері за допомогою програми Nikon View 5.</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Під час морфологічного дослідження додатково здійснювали </w:t>
      </w:r>
      <w:r w:rsidRPr="00CE0A20">
        <w:rPr>
          <w:rFonts w:ascii="Times New Roman" w:hAnsi="Times New Roman" w:cs="Times New Roman"/>
          <w:color w:val="000000" w:themeColor="text1"/>
          <w:sz w:val="28"/>
          <w:szCs w:val="28"/>
          <w:lang w:val="uk-UA" w:eastAsia="en-US"/>
        </w:rPr>
        <w:t>м</w:t>
      </w:r>
      <w:r w:rsidRPr="00CE0A20">
        <w:rPr>
          <w:rFonts w:ascii="Times New Roman" w:hAnsi="Times New Roman" w:cs="Times New Roman"/>
          <w:color w:val="000000" w:themeColor="text1"/>
          <w:sz w:val="28"/>
          <w:szCs w:val="28"/>
          <w:lang w:val="uk-UA"/>
        </w:rPr>
        <w:t xml:space="preserve">орфометрічну оцінку стану сперматогенного епітелію за такими кількісними показниками: </w:t>
      </w:r>
    </w:p>
    <w:p w:rsidR="00EB6EBC" w:rsidRPr="00CE0A20" w:rsidRDefault="00EB6EBC" w:rsidP="00EB6EBC">
      <w:pPr>
        <w:pStyle w:val="a3"/>
        <w:numPr>
          <w:ilvl w:val="0"/>
          <w:numId w:val="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індекс сперматогенезу (ІС) за 4-бальною системою: фіксували у звивистому сім'яному канальці наявність шарів: сперматогоній, сперматоцитів, сперматид і сперматозоїдів (кожний шар - один бал). ІС розраховували за формулою:</w:t>
      </w:r>
    </w:p>
    <w:p w:rsidR="00EB6EBC" w:rsidRPr="00CE0A20" w:rsidRDefault="001C43D0"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360"/>
        <w:jc w:val="right"/>
        <w:rPr>
          <w:rFonts w:ascii="Times New Roman" w:hAnsi="Times New Roman" w:cs="Times New Roman"/>
          <w:color w:val="000000" w:themeColor="text1"/>
          <w:sz w:val="28"/>
          <w:szCs w:val="28"/>
          <w:lang w:val="uk-UA"/>
        </w:rPr>
      </w:pPr>
      <m:oMath>
        <m:nary>
          <m:naryPr>
            <m:chr m:val="∑"/>
            <m:limLoc m:val="undOvr"/>
            <m:subHide m:val="1"/>
            <m:supHide m:val="1"/>
            <m:ctrlPr>
              <w:rPr>
                <w:rFonts w:ascii="Cambria Math" w:hAnsi="Cambria Math" w:cs="Times New Roman"/>
                <w:i/>
                <w:color w:val="000000" w:themeColor="text1"/>
                <w:sz w:val="28"/>
                <w:szCs w:val="28"/>
                <w:lang w:val="uk-UA"/>
              </w:rPr>
            </m:ctrlPr>
          </m:naryPr>
          <m:sub/>
          <m:sup/>
          <m:e>
            <m:f>
              <m:fPr>
                <m:ctrlPr>
                  <w:rPr>
                    <w:rFonts w:ascii="Cambria Math" w:hAnsi="Cambria Math" w:cs="Times New Roman"/>
                    <w:i/>
                    <w:color w:val="000000" w:themeColor="text1"/>
                    <w:sz w:val="28"/>
                    <w:szCs w:val="28"/>
                    <w:lang w:val="uk-UA"/>
                  </w:rPr>
                </m:ctrlPr>
              </m:fPr>
              <m:num>
                <m:r>
                  <w:rPr>
                    <w:rFonts w:ascii="Cambria Math" w:hAnsi="Cambria Math" w:cs="Times New Roman"/>
                    <w:color w:val="000000" w:themeColor="text1"/>
                    <w:sz w:val="28"/>
                    <w:szCs w:val="28"/>
                    <w:lang w:val="uk-UA"/>
                  </w:rPr>
                  <m:t>А</m:t>
                </m:r>
              </m:num>
              <m:den>
                <m:r>
                  <w:rPr>
                    <w:rFonts w:ascii="Cambria Math" w:hAnsi="Cambria Math" w:cs="Times New Roman"/>
                    <w:color w:val="000000" w:themeColor="text1"/>
                    <w:sz w:val="28"/>
                    <w:szCs w:val="28"/>
                    <w:lang w:val="uk-UA"/>
                  </w:rPr>
                  <m:t>100</m:t>
                </m:r>
              </m:den>
            </m:f>
          </m:e>
        </m:nary>
      </m:oMath>
      <w:r w:rsidR="00EB6EBC" w:rsidRPr="00CE0A20">
        <w:rPr>
          <w:rFonts w:ascii="Times New Roman" w:hAnsi="Times New Roman" w:cs="Times New Roman"/>
          <w:color w:val="000000" w:themeColor="text1"/>
          <w:sz w:val="28"/>
          <w:szCs w:val="28"/>
          <w:lang w:val="uk-UA"/>
        </w:rPr>
        <w:tab/>
      </w:r>
      <w:r w:rsidR="00EB6EBC" w:rsidRPr="00CE0A20">
        <w:rPr>
          <w:rFonts w:ascii="Times New Roman" w:hAnsi="Times New Roman" w:cs="Times New Roman"/>
          <w:color w:val="000000" w:themeColor="text1"/>
          <w:sz w:val="28"/>
          <w:szCs w:val="28"/>
          <w:lang w:val="uk-UA"/>
        </w:rPr>
        <w:tab/>
      </w:r>
      <w:r w:rsidR="00EB6EBC" w:rsidRPr="00CE0A20">
        <w:rPr>
          <w:rFonts w:ascii="Times New Roman" w:hAnsi="Times New Roman" w:cs="Times New Roman"/>
          <w:color w:val="000000" w:themeColor="text1"/>
          <w:sz w:val="28"/>
          <w:szCs w:val="28"/>
          <w:lang w:val="uk-UA"/>
        </w:rPr>
        <w:tab/>
      </w:r>
      <w:r w:rsidR="00EB6EBC" w:rsidRPr="00CE0A20">
        <w:rPr>
          <w:rFonts w:ascii="Times New Roman" w:hAnsi="Times New Roman" w:cs="Times New Roman"/>
          <w:color w:val="000000" w:themeColor="text1"/>
          <w:sz w:val="28"/>
          <w:szCs w:val="28"/>
          <w:lang w:val="uk-UA"/>
        </w:rPr>
        <w:tab/>
        <w:t>(2.3)</w:t>
      </w:r>
      <w:r w:rsidR="00B22AAA" w:rsidRPr="00CE0A20">
        <w:rPr>
          <w:rFonts w:ascii="Times New Roman" w:hAnsi="Times New Roman" w:cs="Times New Roman"/>
          <w:color w:val="000000" w:themeColor="text1"/>
          <w:sz w:val="28"/>
          <w:szCs w:val="28"/>
          <w:lang w:val="uk-UA"/>
        </w:rPr>
        <w:t>,</w:t>
      </w:r>
      <w:r w:rsidR="00EB6EBC" w:rsidRPr="00CE0A20">
        <w:rPr>
          <w:rFonts w:ascii="Times New Roman" w:hAnsi="Times New Roman" w:cs="Times New Roman"/>
          <w:color w:val="000000" w:themeColor="text1"/>
          <w:sz w:val="28"/>
          <w:szCs w:val="28"/>
          <w:lang w:val="uk-UA"/>
        </w:rPr>
        <w:t xml:space="preserve">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360" w:hanging="36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де А - число шарі</w:t>
      </w:r>
      <w:r w:rsidRPr="00CE0A20">
        <w:rPr>
          <w:rFonts w:ascii="Times New Roman" w:eastAsia="Malgun Gothic Semilight"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w:t>
      </w:r>
      <w:r w:rsidRPr="00CE0A20">
        <w:rPr>
          <w:rFonts w:ascii="Times New Roman" w:eastAsia="Malgun Gothic Semilight"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w:t>
      </w:r>
      <w:r w:rsidRPr="00CE0A20">
        <w:rPr>
          <w:rFonts w:ascii="Times New Roman" w:eastAsia="Malgun Gothic Semilight" w:hAnsi="Times New Roman" w:cs="Times New Roman"/>
          <w:color w:val="000000" w:themeColor="text1"/>
          <w:sz w:val="28"/>
          <w:szCs w:val="28"/>
          <w:lang w:val="uk-UA"/>
        </w:rPr>
        <w:t>кожному</w:t>
      </w:r>
      <w:r w:rsidRPr="00CE0A20">
        <w:rPr>
          <w:rFonts w:ascii="Times New Roman" w:hAnsi="Times New Roman" w:cs="Times New Roman"/>
          <w:color w:val="000000" w:themeColor="text1"/>
          <w:sz w:val="28"/>
          <w:szCs w:val="28"/>
          <w:lang w:val="uk-UA"/>
        </w:rPr>
        <w:t xml:space="preserve"> </w:t>
      </w:r>
      <w:r w:rsidRPr="00CE0A20">
        <w:rPr>
          <w:rFonts w:ascii="Times New Roman" w:eastAsia="Malgun Gothic Semilight" w:hAnsi="Times New Roman" w:cs="Times New Roman"/>
          <w:color w:val="000000" w:themeColor="text1"/>
          <w:sz w:val="28"/>
          <w:szCs w:val="28"/>
          <w:lang w:val="uk-UA"/>
        </w:rPr>
        <w:t>канальц</w:t>
      </w:r>
      <w:r w:rsidRPr="00CE0A20">
        <w:rPr>
          <w:rFonts w:ascii="Times New Roman" w:hAnsi="Times New Roman" w:cs="Times New Roman"/>
          <w:color w:val="000000" w:themeColor="text1"/>
          <w:sz w:val="28"/>
          <w:szCs w:val="28"/>
          <w:lang w:val="uk-UA"/>
        </w:rPr>
        <w:t>і, 100 - число врахованих канальці</w:t>
      </w:r>
      <w:r w:rsidRPr="00CE0A20">
        <w:rPr>
          <w:rFonts w:ascii="Times New Roman" w:eastAsia="Malgun Gothic Semilight"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w:t>
      </w:r>
    </w:p>
    <w:p w:rsidR="00EB6EBC" w:rsidRPr="00CE0A20" w:rsidRDefault="00EB6EBC" w:rsidP="00EB6EBC">
      <w:pPr>
        <w:pStyle w:val="a3"/>
        <w:numPr>
          <w:ilvl w:val="0"/>
          <w:numId w:val="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відносна кількість звивистих канальців (КЗК) зі злущеним сперматогенним епітелієм (ЗСЕ) (підраховували при перегляді 100 канальців); </w:t>
      </w:r>
    </w:p>
    <w:p w:rsidR="00EB6EBC" w:rsidRPr="00CE0A20" w:rsidRDefault="00EB6EBC" w:rsidP="00EB6EBC">
      <w:pPr>
        <w:pStyle w:val="a3"/>
        <w:numPr>
          <w:ilvl w:val="0"/>
          <w:numId w:val="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відносна кількість звивистих канальців зі сперматоцитами у метафазі 2-го поділу дозрівання (з 12-ю стадією мейозу – 12СМ) (КЗК - 12СМ) (підраховували при перегляді 100 канальців); </w:t>
      </w:r>
    </w:p>
    <w:p w:rsidR="00EB6EBC" w:rsidRPr="00CE0A20" w:rsidRDefault="00EB6EBC" w:rsidP="00EB6EBC">
      <w:pPr>
        <w:pStyle w:val="a3"/>
        <w:numPr>
          <w:ilvl w:val="0"/>
          <w:numId w:val="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кількість нормальних сперматогоній (КНС) у звивистому сім'яному канальці.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Гістологічні дослідження на першому етапі експерименту здійснювали на 7-у, 14-у та 28-у добу; на другому етапі експерименту – на 28-у добу; на третьому етапі – після загибелі експериментальної тварини природним шляхом. </w:t>
      </w:r>
    </w:p>
    <w:p w:rsidR="00BB29C6" w:rsidRPr="00CE0A20" w:rsidRDefault="00BB29C6" w:rsidP="00EB6EBC">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b/>
          <w:color w:val="000000" w:themeColor="text1"/>
          <w:sz w:val="28"/>
          <w:szCs w:val="28"/>
          <w:lang w:val="uk-UA"/>
        </w:rPr>
      </w:pPr>
    </w:p>
    <w:p w:rsidR="00EB6EBC" w:rsidRPr="00CE0A20" w:rsidRDefault="00EB6EBC" w:rsidP="00EB6EBC">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2.2.2 Біохімічні дослідження</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kern w:val="2"/>
          <w:sz w:val="28"/>
          <w:szCs w:val="28"/>
          <w:lang w:val="uk-UA"/>
        </w:rPr>
        <w:t>Забір крові для біохімічних досліджень здійснювався шляхом пункції</w:t>
      </w:r>
      <w:r w:rsidR="00FA29D6" w:rsidRPr="00CE0A20">
        <w:rPr>
          <w:rFonts w:ascii="Times New Roman" w:hAnsi="Times New Roman" w:cs="Times New Roman"/>
          <w:color w:val="000000" w:themeColor="text1"/>
          <w:kern w:val="2"/>
          <w:sz w:val="28"/>
          <w:szCs w:val="28"/>
          <w:lang w:val="uk-UA"/>
        </w:rPr>
        <w:t xml:space="preserve"> </w:t>
      </w:r>
      <w:r w:rsidRPr="00CE0A20">
        <w:rPr>
          <w:rFonts w:ascii="Times New Roman" w:hAnsi="Times New Roman" w:cs="Times New Roman"/>
          <w:color w:val="000000" w:themeColor="text1"/>
          <w:kern w:val="2"/>
          <w:sz w:val="28"/>
          <w:szCs w:val="28"/>
          <w:lang w:val="uk-UA"/>
        </w:rPr>
        <w:t xml:space="preserve">хвостової вени у відповідні терміни 1-3 етапів експерименту. </w:t>
      </w:r>
      <w:r w:rsidRPr="00CE0A20">
        <w:rPr>
          <w:rStyle w:val="14"/>
          <w:i w:val="0"/>
          <w:color w:val="000000" w:themeColor="text1"/>
        </w:rPr>
        <w:t>Отриману кров центрифугували, відокремлювали плазму, яку збирали в пробірку Епендорф, заморожували при температурі -20ºС і зберігали до виконання дослідження.</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Style w:val="29pt"/>
          <w:rFonts w:ascii="Times New Roman" w:hAnsi="Times New Roman" w:cs="Times New Roman"/>
          <w:b w:val="0"/>
          <w:bCs w:val="0"/>
          <w:i w:val="0"/>
          <w:iCs w:val="0"/>
          <w:color w:val="000000" w:themeColor="text1"/>
          <w:sz w:val="28"/>
          <w:szCs w:val="28"/>
          <w:lang w:val="uk-UA"/>
        </w:rPr>
      </w:pPr>
      <w:r w:rsidRPr="00CE0A20">
        <w:rPr>
          <w:rStyle w:val="29pt"/>
          <w:rFonts w:ascii="Times New Roman" w:hAnsi="Times New Roman" w:cs="Times New Roman"/>
          <w:b w:val="0"/>
          <w:bCs w:val="0"/>
          <w:i w:val="0"/>
          <w:iCs w:val="0"/>
          <w:color w:val="000000" w:themeColor="text1"/>
          <w:sz w:val="28"/>
          <w:szCs w:val="28"/>
          <w:lang w:val="uk-UA"/>
        </w:rPr>
        <w:t xml:space="preserve">Концентрацію гормонів (тестостерону, естрадіолу, ФСГ, ЛГ, ПРЛ та ГЗСГ) визначали за методом ІФА на аналізаторі автоматичному імуноферментному Chem Well 2900 виробництва Awareness technology inc., США. </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color w:val="000000" w:themeColor="text1"/>
          <w:sz w:val="28"/>
          <w:szCs w:val="28"/>
          <w:lang w:val="uk-UA"/>
        </w:rPr>
      </w:pPr>
      <w:r w:rsidRPr="00CE0A20">
        <w:rPr>
          <w:rStyle w:val="29pt"/>
          <w:rFonts w:ascii="Times New Roman" w:hAnsi="Times New Roman" w:cs="Times New Roman"/>
          <w:b w:val="0"/>
          <w:bCs w:val="0"/>
          <w:i w:val="0"/>
          <w:iCs w:val="0"/>
          <w:color w:val="000000" w:themeColor="text1"/>
          <w:sz w:val="28"/>
          <w:szCs w:val="28"/>
          <w:lang w:val="uk-UA"/>
        </w:rPr>
        <w:t xml:space="preserve">Додатково розраховували співвідношення андроген/естроген – індекс Т/Е та андрогенний </w:t>
      </w:r>
      <w:r w:rsidRPr="00CE0A20">
        <w:rPr>
          <w:rStyle w:val="29pt0"/>
          <w:rFonts w:ascii="Times New Roman" w:hAnsi="Times New Roman" w:cs="Times New Roman"/>
          <w:b w:val="0"/>
          <w:i w:val="0"/>
          <w:color w:val="000000" w:themeColor="text1"/>
          <w:sz w:val="28"/>
          <w:szCs w:val="28"/>
          <w:lang w:val="uk-UA"/>
        </w:rPr>
        <w:t xml:space="preserve">індекс (АІ) </w:t>
      </w:r>
      <w:r w:rsidRPr="00CE0A20">
        <w:rPr>
          <w:rFonts w:ascii="Times New Roman" w:hAnsi="Times New Roman" w:cs="Times New Roman"/>
          <w:color w:val="000000" w:themeColor="text1"/>
          <w:sz w:val="28"/>
          <w:szCs w:val="28"/>
          <w:lang w:val="uk-UA"/>
        </w:rPr>
        <w:t>за формулою:</w:t>
      </w:r>
    </w:p>
    <w:p w:rsidR="00EB6EBC" w:rsidRPr="00CE0A20" w:rsidRDefault="00EB6EBC" w:rsidP="00661B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center"/>
        <w:rPr>
          <w:rFonts w:ascii="Times New Roman" w:hAnsi="Times New Roman" w:cs="Times New Roman"/>
          <w:color w:val="000000" w:themeColor="text1"/>
          <w:sz w:val="28"/>
          <w:szCs w:val="28"/>
          <w:lang w:val="uk-UA"/>
        </w:rPr>
      </w:pPr>
      <m:oMath>
        <m:r>
          <w:rPr>
            <w:rFonts w:ascii="Cambria Math" w:hAnsi="Cambria Math" w:cs="Times New Roman"/>
            <w:color w:val="000000" w:themeColor="text1"/>
            <w:sz w:val="28"/>
            <w:szCs w:val="28"/>
            <w:lang w:val="uk-UA"/>
          </w:rPr>
          <m:t>АІ=</m:t>
        </m:r>
        <m:f>
          <m:fPr>
            <m:ctrlPr>
              <w:rPr>
                <w:rFonts w:ascii="Cambria Math" w:hAnsi="Cambria Math" w:cs="Times New Roman"/>
                <w:i/>
                <w:color w:val="000000" w:themeColor="text1"/>
                <w:sz w:val="28"/>
                <w:szCs w:val="28"/>
                <w:lang w:val="uk-UA"/>
              </w:rPr>
            </m:ctrlPr>
          </m:fPr>
          <m:num>
            <m:r>
              <w:rPr>
                <w:rFonts w:ascii="Cambria Math" w:hAnsi="Cambria Math" w:cs="Times New Roman"/>
                <w:color w:val="000000" w:themeColor="text1"/>
                <w:sz w:val="28"/>
                <w:szCs w:val="28"/>
                <w:lang w:val="uk-UA"/>
              </w:rPr>
              <m:t>Т</m:t>
            </m:r>
          </m:num>
          <m:den>
            <m:r>
              <w:rPr>
                <w:rFonts w:ascii="Cambria Math" w:hAnsi="Cambria Math" w:cs="Times New Roman"/>
                <w:color w:val="000000" w:themeColor="text1"/>
                <w:sz w:val="28"/>
                <w:szCs w:val="28"/>
                <w:lang w:val="uk-UA"/>
              </w:rPr>
              <m:t>ГЗСГ</m:t>
            </m:r>
          </m:den>
        </m:f>
        <m:r>
          <w:rPr>
            <w:rFonts w:ascii="Cambria Math" w:hAnsi="Cambria Math" w:cs="Times New Roman"/>
            <w:color w:val="000000" w:themeColor="text1"/>
            <w:sz w:val="28"/>
            <w:szCs w:val="28"/>
            <w:lang w:val="uk-UA"/>
          </w:rPr>
          <m:t>100%</m:t>
        </m:r>
      </m:oMath>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(2.4)</w:t>
      </w:r>
      <w:r w:rsidR="00FA29D6" w:rsidRPr="00CE0A20">
        <w:rPr>
          <w:rFonts w:ascii="Times New Roman" w:hAnsi="Times New Roman" w:cs="Times New Roman"/>
          <w:color w:val="000000" w:themeColor="text1"/>
          <w:sz w:val="28"/>
          <w:szCs w:val="28"/>
          <w:lang w:val="uk-UA"/>
        </w:rPr>
        <w:t>,</w:t>
      </w: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де Т – концентрація Т </w:t>
      </w:r>
      <w:r w:rsidR="00FA29D6"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нмоль/мл; ГЗТС – концентрація ГЗГС </w:t>
      </w:r>
      <w:r w:rsidR="00FA29D6"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нмоль/мл.</w:t>
      </w:r>
    </w:p>
    <w:p w:rsidR="007D08ED" w:rsidRPr="00CE0A20" w:rsidRDefault="007D08ED"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b/>
          <w:color w:val="000000" w:themeColor="text1"/>
          <w:sz w:val="28"/>
          <w:szCs w:val="28"/>
          <w:lang w:val="en-US"/>
        </w:rPr>
      </w:pPr>
    </w:p>
    <w:p w:rsidR="00EB6EBC" w:rsidRPr="00CE0A20" w:rsidRDefault="00EB6EBC" w:rsidP="00EB6E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2.3 Загальна клінічна характеристика обстежених хворих</w:t>
      </w:r>
    </w:p>
    <w:p w:rsidR="00BB29C6" w:rsidRPr="00CE0A20" w:rsidRDefault="00BB29C6" w:rsidP="00EB6EBC">
      <w:pPr>
        <w:pStyle w:val="Table"/>
        <w:jc w:val="both"/>
        <w:rPr>
          <w:i w:val="0"/>
          <w:iCs w:val="0"/>
          <w:color w:val="000000" w:themeColor="text1"/>
          <w:lang w:val="uk-UA"/>
        </w:rPr>
      </w:pPr>
    </w:p>
    <w:p w:rsidR="00EB6EBC" w:rsidRPr="00CE0A20" w:rsidRDefault="00EB6EBC" w:rsidP="00EB6EBC">
      <w:pPr>
        <w:pStyle w:val="Table"/>
        <w:jc w:val="both"/>
        <w:rPr>
          <w:i w:val="0"/>
          <w:iCs w:val="0"/>
          <w:color w:val="000000" w:themeColor="text1"/>
          <w:lang w:val="uk-UA"/>
        </w:rPr>
      </w:pPr>
      <w:r w:rsidRPr="00CE0A20">
        <w:rPr>
          <w:i w:val="0"/>
          <w:iCs w:val="0"/>
          <w:color w:val="000000" w:themeColor="text1"/>
          <w:lang w:val="uk-UA"/>
        </w:rPr>
        <w:t>Дослідження виконано КНП ХОР  «Обласний медичний клінічний центр урології та нефрології ім. В.І. Шаповала», яке є клінічною базою кафедри загальної, дитячої та онкологічної урології Харківської медичної академії післядипломної освіти Міністерства охорони здоров’я України.</w:t>
      </w:r>
    </w:p>
    <w:p w:rsidR="00EB6EBC" w:rsidRPr="00CE0A20" w:rsidRDefault="00EB6EBC" w:rsidP="00EB6EBC">
      <w:pPr>
        <w:pStyle w:val="Table"/>
        <w:jc w:val="both"/>
        <w:rPr>
          <w:i w:val="0"/>
          <w:iCs w:val="0"/>
          <w:color w:val="000000" w:themeColor="text1"/>
          <w:lang w:val="uk-UA"/>
        </w:rPr>
      </w:pPr>
      <w:r w:rsidRPr="00CE0A20">
        <w:rPr>
          <w:i w:val="0"/>
          <w:iCs w:val="0"/>
          <w:color w:val="000000" w:themeColor="text1"/>
          <w:lang w:val="uk-UA"/>
        </w:rPr>
        <w:t xml:space="preserve">У дослідження </w:t>
      </w:r>
      <w:r w:rsidR="007C0EC3" w:rsidRPr="00CE0A20">
        <w:rPr>
          <w:i w:val="0"/>
          <w:iCs w:val="0"/>
          <w:color w:val="000000" w:themeColor="text1"/>
          <w:lang w:val="uk-UA"/>
        </w:rPr>
        <w:t>залуче</w:t>
      </w:r>
      <w:r w:rsidRPr="00CE0A20">
        <w:rPr>
          <w:i w:val="0"/>
          <w:iCs w:val="0"/>
          <w:color w:val="000000" w:themeColor="text1"/>
          <w:lang w:val="uk-UA"/>
        </w:rPr>
        <w:t>но 20 пацієнтів чоловіків з ЕД та андрогенною недостатністю на тлі  ЦД 2</w:t>
      </w:r>
      <w:r w:rsidR="007C0EC3" w:rsidRPr="00CE0A20">
        <w:rPr>
          <w:i w:val="0"/>
          <w:iCs w:val="0"/>
          <w:color w:val="000000" w:themeColor="text1"/>
          <w:lang w:val="uk-UA"/>
        </w:rPr>
        <w:t>-го</w:t>
      </w:r>
      <w:r w:rsidRPr="00CE0A20">
        <w:rPr>
          <w:i w:val="0"/>
          <w:iCs w:val="0"/>
          <w:color w:val="000000" w:themeColor="text1"/>
          <w:lang w:val="uk-UA"/>
        </w:rPr>
        <w:t xml:space="preserve"> типу. Основною причиною звернення до уролога була наявність ЕД, яку оцінювали за шкалою МІЕФ-5 [318]. </w:t>
      </w:r>
    </w:p>
    <w:p w:rsidR="00EB6EBC" w:rsidRPr="00CE0A20" w:rsidRDefault="00EB6EBC" w:rsidP="00EB6EBC">
      <w:pPr>
        <w:pStyle w:val="Table"/>
        <w:jc w:val="both"/>
        <w:rPr>
          <w:i w:val="0"/>
          <w:iCs w:val="0"/>
          <w:color w:val="000000" w:themeColor="text1"/>
          <w:lang w:val="uk-UA"/>
        </w:rPr>
      </w:pPr>
      <w:r w:rsidRPr="00CE0A20">
        <w:rPr>
          <w:i w:val="0"/>
          <w:iCs w:val="0"/>
          <w:color w:val="000000" w:themeColor="text1"/>
          <w:lang w:val="uk-UA"/>
        </w:rPr>
        <w:t>Критерії включення:</w:t>
      </w:r>
    </w:p>
    <w:p w:rsidR="00EB6EBC" w:rsidRPr="00CE0A20" w:rsidRDefault="00EB6EBC" w:rsidP="00EB6EBC">
      <w:pPr>
        <w:pStyle w:val="Table"/>
        <w:numPr>
          <w:ilvl w:val="0"/>
          <w:numId w:val="5"/>
        </w:numPr>
        <w:ind w:hanging="720"/>
        <w:jc w:val="both"/>
        <w:rPr>
          <w:i w:val="0"/>
          <w:iCs w:val="0"/>
          <w:color w:val="000000" w:themeColor="text1"/>
          <w:lang w:val="uk-UA"/>
        </w:rPr>
      </w:pPr>
      <w:r w:rsidRPr="00CE0A20">
        <w:rPr>
          <w:i w:val="0"/>
          <w:iCs w:val="0"/>
          <w:color w:val="000000" w:themeColor="text1"/>
          <w:lang w:val="uk-UA"/>
        </w:rPr>
        <w:t>згода пацієнта на участь у дослідженні після інформування про можливий варіант лікування, у тому числі про забір губчастої речовини клубової кістки та інтратест</w:t>
      </w:r>
      <w:r w:rsidR="007C0EC3" w:rsidRPr="00CE0A20">
        <w:rPr>
          <w:i w:val="0"/>
          <w:iCs w:val="0"/>
          <w:color w:val="000000" w:themeColor="text1"/>
          <w:lang w:val="uk-UA"/>
        </w:rPr>
        <w:t>и</w:t>
      </w:r>
      <w:r w:rsidRPr="00CE0A20">
        <w:rPr>
          <w:i w:val="0"/>
          <w:iCs w:val="0"/>
          <w:color w:val="000000" w:themeColor="text1"/>
          <w:lang w:val="uk-UA"/>
        </w:rPr>
        <w:t>кулярне введення аутологічних КСКМ;</w:t>
      </w:r>
    </w:p>
    <w:p w:rsidR="00EB6EBC" w:rsidRPr="00CE0A20" w:rsidRDefault="00EB6EBC" w:rsidP="00EB6EBC">
      <w:pPr>
        <w:pStyle w:val="Table"/>
        <w:numPr>
          <w:ilvl w:val="0"/>
          <w:numId w:val="5"/>
        </w:numPr>
        <w:ind w:hanging="720"/>
        <w:jc w:val="both"/>
        <w:rPr>
          <w:i w:val="0"/>
          <w:iCs w:val="0"/>
          <w:color w:val="000000" w:themeColor="text1"/>
          <w:lang w:val="uk-UA"/>
        </w:rPr>
      </w:pPr>
      <w:r w:rsidRPr="00CE0A20">
        <w:rPr>
          <w:i w:val="0"/>
          <w:iCs w:val="0"/>
          <w:color w:val="000000" w:themeColor="text1"/>
          <w:lang w:val="uk-UA"/>
        </w:rPr>
        <w:t>загальний рівень тестостерону  8,0 нмоль/л та менше;</w:t>
      </w:r>
    </w:p>
    <w:p w:rsidR="00EB6EBC" w:rsidRPr="00CE0A20" w:rsidRDefault="00EB6EBC" w:rsidP="00EB6EBC">
      <w:pPr>
        <w:pStyle w:val="Table"/>
        <w:numPr>
          <w:ilvl w:val="0"/>
          <w:numId w:val="5"/>
        </w:numPr>
        <w:ind w:hanging="720"/>
        <w:jc w:val="both"/>
        <w:rPr>
          <w:i w:val="0"/>
          <w:iCs w:val="0"/>
          <w:color w:val="000000" w:themeColor="text1"/>
          <w:lang w:val="uk-UA"/>
        </w:rPr>
      </w:pPr>
      <w:r w:rsidRPr="00CE0A20">
        <w:rPr>
          <w:i w:val="0"/>
          <w:iCs w:val="0"/>
          <w:color w:val="000000" w:themeColor="text1"/>
          <w:lang w:val="uk-UA"/>
        </w:rPr>
        <w:t>наявність ознак ЕД за шкалою МІЕФ-5;</w:t>
      </w:r>
    </w:p>
    <w:p w:rsidR="00EB6EBC" w:rsidRPr="00CE0A20" w:rsidRDefault="00EB6EBC" w:rsidP="00EB6EBC">
      <w:pPr>
        <w:pStyle w:val="Table"/>
        <w:numPr>
          <w:ilvl w:val="0"/>
          <w:numId w:val="5"/>
        </w:numPr>
        <w:ind w:hanging="720"/>
        <w:jc w:val="both"/>
        <w:rPr>
          <w:i w:val="0"/>
          <w:iCs w:val="0"/>
          <w:color w:val="000000" w:themeColor="text1"/>
          <w:lang w:val="uk-UA"/>
        </w:rPr>
      </w:pPr>
      <w:r w:rsidRPr="00CE0A20">
        <w:rPr>
          <w:i w:val="0"/>
          <w:iCs w:val="0"/>
          <w:color w:val="000000" w:themeColor="text1"/>
          <w:lang w:val="uk-UA"/>
        </w:rPr>
        <w:t>підтверджений діагноз ЦД 2</w:t>
      </w:r>
      <w:r w:rsidR="007C0EC3" w:rsidRPr="00CE0A20">
        <w:rPr>
          <w:i w:val="0"/>
          <w:iCs w:val="0"/>
          <w:color w:val="000000" w:themeColor="text1"/>
          <w:lang w:val="uk-UA"/>
        </w:rPr>
        <w:t>-го</w:t>
      </w:r>
      <w:r w:rsidRPr="00CE0A20">
        <w:rPr>
          <w:i w:val="0"/>
          <w:iCs w:val="0"/>
          <w:color w:val="000000" w:themeColor="text1"/>
          <w:lang w:val="uk-UA"/>
        </w:rPr>
        <w:t xml:space="preserve"> типу;</w:t>
      </w:r>
    </w:p>
    <w:p w:rsidR="00EB6EBC" w:rsidRPr="00CE0A20" w:rsidRDefault="00EB6EBC" w:rsidP="00EB6EBC">
      <w:pPr>
        <w:pStyle w:val="af0"/>
        <w:numPr>
          <w:ilvl w:val="0"/>
          <w:numId w:val="5"/>
        </w:numPr>
        <w:ind w:hanging="720"/>
        <w:rPr>
          <w:rFonts w:ascii="Times New Roman" w:hAnsi="Times New Roman"/>
          <w:color w:val="000000" w:themeColor="text1"/>
          <w:lang w:val="uk-UA"/>
        </w:rPr>
      </w:pPr>
      <w:r w:rsidRPr="00CE0A20">
        <w:rPr>
          <w:rFonts w:ascii="Times New Roman" w:hAnsi="Times New Roman"/>
          <w:color w:val="000000" w:themeColor="text1"/>
          <w:lang w:val="uk-UA"/>
        </w:rPr>
        <w:t>ІМТ більш 25 кг/м</w:t>
      </w:r>
      <w:r w:rsidRPr="00CE0A20">
        <w:rPr>
          <w:rFonts w:ascii="Times New Roman" w:hAnsi="Times New Roman"/>
          <w:color w:val="000000" w:themeColor="text1"/>
          <w:vertAlign w:val="superscript"/>
          <w:lang w:val="uk-UA"/>
        </w:rPr>
        <w:t>2</w:t>
      </w:r>
      <w:r w:rsidRPr="00CE0A20">
        <w:rPr>
          <w:rFonts w:ascii="Times New Roman" w:hAnsi="Times New Roman"/>
          <w:color w:val="000000" w:themeColor="text1"/>
          <w:lang w:val="uk-UA"/>
        </w:rPr>
        <w:t>.</w:t>
      </w:r>
    </w:p>
    <w:p w:rsidR="00EB6EBC" w:rsidRPr="00CE0A20" w:rsidRDefault="00EB6EBC" w:rsidP="00EB6EBC">
      <w:pPr>
        <w:pStyle w:val="Table"/>
        <w:jc w:val="both"/>
        <w:rPr>
          <w:i w:val="0"/>
          <w:iCs w:val="0"/>
          <w:color w:val="000000" w:themeColor="text1"/>
          <w:lang w:val="uk-UA"/>
        </w:rPr>
      </w:pPr>
      <w:r w:rsidRPr="00CE0A20">
        <w:rPr>
          <w:i w:val="0"/>
          <w:iCs w:val="0"/>
          <w:color w:val="000000" w:themeColor="text1"/>
          <w:lang w:val="uk-UA"/>
        </w:rPr>
        <w:t xml:space="preserve">У дослідження не </w:t>
      </w:r>
      <w:r w:rsidR="007C0EC3" w:rsidRPr="00CE0A20">
        <w:rPr>
          <w:i w:val="0"/>
          <w:iCs w:val="0"/>
          <w:color w:val="000000" w:themeColor="text1"/>
          <w:lang w:val="uk-UA"/>
        </w:rPr>
        <w:t>залучено</w:t>
      </w:r>
      <w:r w:rsidRPr="00CE0A20">
        <w:rPr>
          <w:i w:val="0"/>
          <w:iCs w:val="0"/>
          <w:color w:val="000000" w:themeColor="text1"/>
          <w:lang w:val="uk-UA"/>
        </w:rPr>
        <w:t xml:space="preserve"> хвор</w:t>
      </w:r>
      <w:r w:rsidR="007C0EC3" w:rsidRPr="00CE0A20">
        <w:rPr>
          <w:i w:val="0"/>
          <w:iCs w:val="0"/>
          <w:color w:val="000000" w:themeColor="text1"/>
          <w:lang w:val="uk-UA"/>
        </w:rPr>
        <w:t>их</w:t>
      </w:r>
      <w:r w:rsidRPr="00CE0A20">
        <w:rPr>
          <w:i w:val="0"/>
          <w:iCs w:val="0"/>
          <w:color w:val="000000" w:themeColor="text1"/>
          <w:lang w:val="uk-UA"/>
        </w:rPr>
        <w:t>, у яких було виявлено:</w:t>
      </w:r>
    </w:p>
    <w:p w:rsidR="00EB6EBC" w:rsidRPr="00CE0A20" w:rsidRDefault="00EB6EBC" w:rsidP="00EB6EBC">
      <w:pPr>
        <w:pStyle w:val="Table"/>
        <w:numPr>
          <w:ilvl w:val="0"/>
          <w:numId w:val="4"/>
        </w:numPr>
        <w:ind w:hanging="720"/>
        <w:jc w:val="both"/>
        <w:rPr>
          <w:i w:val="0"/>
          <w:iCs w:val="0"/>
          <w:color w:val="000000" w:themeColor="text1"/>
          <w:lang w:val="uk-UA"/>
        </w:rPr>
      </w:pPr>
      <w:r w:rsidRPr="00CE0A20">
        <w:rPr>
          <w:i w:val="0"/>
          <w:iCs w:val="0"/>
          <w:color w:val="000000" w:themeColor="text1"/>
          <w:lang w:val="uk-UA"/>
        </w:rPr>
        <w:t>рівень ПСА більше 4,0 нг/мл;</w:t>
      </w:r>
    </w:p>
    <w:p w:rsidR="00EB6EBC" w:rsidRPr="00CE0A20" w:rsidRDefault="00EB6EBC" w:rsidP="00EB6EBC">
      <w:pPr>
        <w:pStyle w:val="Table"/>
        <w:numPr>
          <w:ilvl w:val="0"/>
          <w:numId w:val="4"/>
        </w:numPr>
        <w:ind w:hanging="720"/>
        <w:jc w:val="both"/>
        <w:rPr>
          <w:i w:val="0"/>
          <w:iCs w:val="0"/>
          <w:color w:val="000000" w:themeColor="text1"/>
          <w:lang w:val="uk-UA"/>
        </w:rPr>
      </w:pPr>
      <w:r w:rsidRPr="00CE0A20">
        <w:rPr>
          <w:i w:val="0"/>
          <w:iCs w:val="0"/>
          <w:color w:val="000000" w:themeColor="text1"/>
          <w:lang w:val="uk-UA"/>
        </w:rPr>
        <w:t>наявність або підозра на наявність онкозахворювання;</w:t>
      </w:r>
    </w:p>
    <w:p w:rsidR="00EB6EBC" w:rsidRPr="00CE0A20" w:rsidRDefault="007C0EC3" w:rsidP="00EB6EBC">
      <w:pPr>
        <w:pStyle w:val="Table"/>
        <w:numPr>
          <w:ilvl w:val="0"/>
          <w:numId w:val="4"/>
        </w:numPr>
        <w:ind w:hanging="720"/>
        <w:jc w:val="both"/>
        <w:rPr>
          <w:i w:val="0"/>
          <w:iCs w:val="0"/>
          <w:color w:val="000000" w:themeColor="text1"/>
          <w:lang w:val="uk-UA"/>
        </w:rPr>
      </w:pPr>
      <w:r w:rsidRPr="00CE0A20">
        <w:rPr>
          <w:i w:val="0"/>
          <w:iCs w:val="0"/>
          <w:color w:val="000000" w:themeColor="text1"/>
          <w:lang w:val="uk-UA"/>
        </w:rPr>
        <w:t>тя</w:t>
      </w:r>
      <w:r w:rsidR="00EB6EBC" w:rsidRPr="00CE0A20">
        <w:rPr>
          <w:i w:val="0"/>
          <w:iCs w:val="0"/>
          <w:color w:val="000000" w:themeColor="text1"/>
          <w:lang w:val="uk-UA"/>
        </w:rPr>
        <w:t>жкі та хронічні захворювання нирок, щитоподібної залози, захворю</w:t>
      </w:r>
      <w:r w:rsidR="00EB6EBC" w:rsidRPr="00CE0A20">
        <w:rPr>
          <w:i w:val="0"/>
          <w:iCs w:val="0"/>
          <w:color w:val="000000" w:themeColor="text1"/>
          <w:lang w:val="uk-UA"/>
        </w:rPr>
        <w:softHyphen/>
        <w:t xml:space="preserve">вання серцево-судинної системи, </w:t>
      </w:r>
      <w:r w:rsidRPr="00CE0A20">
        <w:rPr>
          <w:i w:val="0"/>
          <w:iCs w:val="0"/>
          <w:color w:val="000000" w:themeColor="text1"/>
          <w:lang w:val="uk-UA"/>
        </w:rPr>
        <w:t>тя</w:t>
      </w:r>
      <w:r w:rsidR="00EB6EBC" w:rsidRPr="00CE0A20">
        <w:rPr>
          <w:i w:val="0"/>
          <w:iCs w:val="0"/>
          <w:color w:val="000000" w:themeColor="text1"/>
          <w:lang w:val="uk-UA"/>
        </w:rPr>
        <w:t>жкі порушення неврологічного характеру, гострі інфекційні захворювання та ін.</w:t>
      </w:r>
    </w:p>
    <w:p w:rsidR="00EB6EBC" w:rsidRPr="00CE0A20" w:rsidRDefault="00EB6EBC" w:rsidP="00EB6EBC">
      <w:pPr>
        <w:pStyle w:val="af0"/>
        <w:numPr>
          <w:ilvl w:val="0"/>
          <w:numId w:val="24"/>
        </w:numPr>
        <w:ind w:left="709" w:hanging="709"/>
        <w:rPr>
          <w:rFonts w:ascii="Times New Roman" w:hAnsi="Times New Roman"/>
          <w:color w:val="000000" w:themeColor="text1"/>
          <w:lang w:val="uk-UA"/>
        </w:rPr>
      </w:pPr>
      <w:r w:rsidRPr="00CE0A20">
        <w:rPr>
          <w:rFonts w:ascii="Times New Roman" w:hAnsi="Times New Roman"/>
          <w:color w:val="000000" w:themeColor="text1"/>
          <w:lang w:val="uk-UA"/>
        </w:rPr>
        <w:t>васкулогенний характер ЕД, що визначалось за допомогою ультрасонографічної допплерографії судин зовнішніх статевих органів.</w:t>
      </w:r>
    </w:p>
    <w:p w:rsidR="00EB6EBC" w:rsidRPr="00CE0A20" w:rsidRDefault="00EB6EBC" w:rsidP="00EB6EBC">
      <w:pPr>
        <w:pStyle w:val="Table"/>
        <w:jc w:val="both"/>
        <w:rPr>
          <w:i w:val="0"/>
          <w:iCs w:val="0"/>
          <w:color w:val="000000" w:themeColor="text1"/>
          <w:lang w:val="uk-UA"/>
        </w:rPr>
      </w:pPr>
      <w:r w:rsidRPr="00CE0A20">
        <w:rPr>
          <w:i w:val="0"/>
          <w:iCs w:val="0"/>
          <w:color w:val="000000" w:themeColor="text1"/>
          <w:lang w:val="uk-UA"/>
        </w:rPr>
        <w:t>Хворі, включені у дослідження, були розподілені на дві підгрупи:</w:t>
      </w:r>
    </w:p>
    <w:p w:rsidR="00EB6EBC" w:rsidRPr="00CE0A20" w:rsidRDefault="00EB6EBC" w:rsidP="00EB6EBC">
      <w:pPr>
        <w:pStyle w:val="af0"/>
        <w:rPr>
          <w:rFonts w:ascii="Times New Roman" w:hAnsi="Times New Roman"/>
          <w:color w:val="000000" w:themeColor="text1"/>
          <w:lang w:val="uk-UA"/>
        </w:rPr>
      </w:pPr>
      <w:r w:rsidRPr="00CE0A20">
        <w:rPr>
          <w:rFonts w:ascii="Times New Roman" w:hAnsi="Times New Roman"/>
          <w:color w:val="000000" w:themeColor="text1"/>
          <w:lang w:val="uk-UA"/>
        </w:rPr>
        <w:t>1а підгрупа (основна) – 10 хворих, які отримували лікування із застосуванням клітинної терапії з використанням аутологічних КСКМ;</w:t>
      </w:r>
    </w:p>
    <w:p w:rsidR="00EB6EBC" w:rsidRPr="00CE0A20" w:rsidRDefault="00EB6EBC" w:rsidP="00EB6EBC">
      <w:pPr>
        <w:pStyle w:val="af0"/>
        <w:rPr>
          <w:rFonts w:ascii="Times New Roman" w:hAnsi="Times New Roman"/>
          <w:color w:val="000000" w:themeColor="text1"/>
          <w:lang w:val="uk-UA"/>
        </w:rPr>
      </w:pPr>
      <w:r w:rsidRPr="00CE0A20">
        <w:rPr>
          <w:rFonts w:ascii="Times New Roman" w:hAnsi="Times New Roman"/>
          <w:color w:val="000000" w:themeColor="text1"/>
          <w:lang w:val="uk-UA"/>
        </w:rPr>
        <w:t>1б підгрупа (порівняння) – 10 хворих, які отримували лікування із застосуванням ГЗТ тестостероном ундеконатом у вигляді внутрішньо</w:t>
      </w:r>
      <w:r w:rsidRPr="00CE0A20">
        <w:rPr>
          <w:rFonts w:ascii="Times New Roman" w:hAnsi="Times New Roman"/>
          <w:color w:val="000000" w:themeColor="text1"/>
          <w:lang w:val="uk-UA"/>
        </w:rPr>
        <w:softHyphen/>
        <w:t>м’язових ін’єкцій  тестостерона  по 4 мл (1 г) на початку дослідження та на 12 тиж</w:t>
      </w:r>
      <w:r w:rsidR="007C0EC3" w:rsidRPr="00CE0A20">
        <w:rPr>
          <w:rFonts w:ascii="Times New Roman" w:hAnsi="Times New Roman"/>
          <w:color w:val="000000" w:themeColor="text1"/>
          <w:lang w:val="uk-UA"/>
        </w:rPr>
        <w:t>ні</w:t>
      </w:r>
      <w:r w:rsidRPr="00CE0A20">
        <w:rPr>
          <w:rFonts w:ascii="Times New Roman" w:hAnsi="Times New Roman"/>
          <w:color w:val="000000" w:themeColor="text1"/>
          <w:lang w:val="uk-UA"/>
        </w:rPr>
        <w:t xml:space="preserve"> лікування. </w:t>
      </w:r>
    </w:p>
    <w:p w:rsidR="00EB6EBC" w:rsidRPr="00CE0A20" w:rsidRDefault="00EB6EBC" w:rsidP="00EB6EBC">
      <w:pPr>
        <w:pStyle w:val="Table"/>
        <w:jc w:val="both"/>
        <w:rPr>
          <w:i w:val="0"/>
          <w:iCs w:val="0"/>
          <w:color w:val="000000" w:themeColor="text1"/>
          <w:lang w:val="uk-UA"/>
        </w:rPr>
      </w:pPr>
      <w:r w:rsidRPr="00CE0A20">
        <w:rPr>
          <w:i w:val="0"/>
          <w:color w:val="000000" w:themeColor="text1"/>
          <w:lang w:val="uk-UA"/>
        </w:rPr>
        <w:t>Крім цього, пацієнти обох підгруп під час участі в дослідженні застосовували інгібітор ФДЕ-5 за потреб</w:t>
      </w:r>
      <w:r w:rsidR="007C0EC3" w:rsidRPr="00CE0A20">
        <w:rPr>
          <w:i w:val="0"/>
          <w:color w:val="000000" w:themeColor="text1"/>
          <w:lang w:val="uk-UA"/>
        </w:rPr>
        <w:t>и</w:t>
      </w:r>
      <w:r w:rsidRPr="00CE0A20">
        <w:rPr>
          <w:i w:val="0"/>
          <w:color w:val="000000" w:themeColor="text1"/>
          <w:lang w:val="uk-UA"/>
        </w:rPr>
        <w:t xml:space="preserve">. При цьому, </w:t>
      </w:r>
      <w:r w:rsidR="007C0EC3" w:rsidRPr="00CE0A20">
        <w:rPr>
          <w:i w:val="0"/>
          <w:color w:val="000000" w:themeColor="text1"/>
          <w:lang w:val="uk-UA"/>
        </w:rPr>
        <w:t>у</w:t>
      </w:r>
      <w:r w:rsidRPr="00CE0A20">
        <w:rPr>
          <w:i w:val="0"/>
          <w:iCs w:val="0"/>
          <w:color w:val="000000" w:themeColor="text1"/>
          <w:lang w:val="uk-UA"/>
        </w:rPr>
        <w:t>сі пацієнти мали досвід використання інгібіторів ФДЕ-5, але приймали його не системно, без визначеної схеми лікування.</w:t>
      </w:r>
    </w:p>
    <w:p w:rsidR="00EB6EBC" w:rsidRPr="00CE0A20" w:rsidRDefault="00EB6EBC" w:rsidP="00EB6EBC">
      <w:pPr>
        <w:pStyle w:val="af0"/>
        <w:rPr>
          <w:rFonts w:ascii="Times New Roman" w:hAnsi="Times New Roman"/>
          <w:color w:val="000000" w:themeColor="text1"/>
          <w:lang w:val="uk-UA"/>
        </w:rPr>
      </w:pPr>
      <w:r w:rsidRPr="00CE0A20">
        <w:rPr>
          <w:rFonts w:ascii="Times New Roman" w:hAnsi="Times New Roman"/>
          <w:color w:val="000000" w:themeColor="text1"/>
          <w:lang w:val="uk-UA"/>
        </w:rPr>
        <w:t>Контрольну групу склали 20 практично здорових чоловіків, які звернулись  до лікаря у зв’язку з профілакти</w:t>
      </w:r>
      <w:r w:rsidR="007C0EC3" w:rsidRPr="00CE0A20">
        <w:rPr>
          <w:rFonts w:ascii="Times New Roman" w:hAnsi="Times New Roman"/>
          <w:color w:val="000000" w:themeColor="text1"/>
          <w:lang w:val="uk-UA"/>
        </w:rPr>
        <w:t>ч</w:t>
      </w:r>
      <w:r w:rsidRPr="00CE0A20">
        <w:rPr>
          <w:rFonts w:ascii="Times New Roman" w:hAnsi="Times New Roman"/>
          <w:color w:val="000000" w:themeColor="text1"/>
          <w:lang w:val="uk-UA"/>
        </w:rPr>
        <w:t>ним оглядом.</w:t>
      </w:r>
    </w:p>
    <w:p w:rsidR="00EB6EBC" w:rsidRPr="00CE0A20" w:rsidRDefault="00EB6EBC" w:rsidP="00EB6EBC">
      <w:pPr>
        <w:pStyle w:val="Table"/>
        <w:jc w:val="both"/>
        <w:rPr>
          <w:i w:val="0"/>
          <w:iCs w:val="0"/>
          <w:color w:val="000000" w:themeColor="text1"/>
          <w:lang w:val="uk-UA"/>
        </w:rPr>
      </w:pPr>
      <w:r w:rsidRPr="00CE0A20">
        <w:rPr>
          <w:i w:val="0"/>
          <w:iCs w:val="0"/>
          <w:color w:val="000000" w:themeColor="text1"/>
          <w:lang w:val="uk-UA"/>
        </w:rPr>
        <w:t xml:space="preserve">Віковий діапазон пацієнтів, </w:t>
      </w:r>
      <w:r w:rsidR="007C0EC3" w:rsidRPr="00CE0A20">
        <w:rPr>
          <w:i w:val="0"/>
          <w:iCs w:val="0"/>
          <w:color w:val="000000" w:themeColor="text1"/>
          <w:lang w:val="uk-UA"/>
        </w:rPr>
        <w:t>залучен</w:t>
      </w:r>
      <w:r w:rsidRPr="00CE0A20">
        <w:rPr>
          <w:i w:val="0"/>
          <w:iCs w:val="0"/>
          <w:color w:val="000000" w:themeColor="text1"/>
          <w:lang w:val="uk-UA"/>
        </w:rPr>
        <w:t>их в дослідження, с</w:t>
      </w:r>
      <w:r w:rsidR="007C0EC3" w:rsidRPr="00CE0A20">
        <w:rPr>
          <w:i w:val="0"/>
          <w:iCs w:val="0"/>
          <w:color w:val="000000" w:themeColor="text1"/>
          <w:lang w:val="uk-UA"/>
        </w:rPr>
        <w:t>танови</w:t>
      </w:r>
      <w:r w:rsidRPr="00CE0A20">
        <w:rPr>
          <w:i w:val="0"/>
          <w:iCs w:val="0"/>
          <w:color w:val="000000" w:themeColor="text1"/>
          <w:lang w:val="uk-UA"/>
        </w:rPr>
        <w:t xml:space="preserve">в 45-59 років.  </w:t>
      </w:r>
    </w:p>
    <w:p w:rsidR="00EB6EBC" w:rsidRPr="00CE0A20" w:rsidRDefault="00EB6EBC" w:rsidP="00EB6EBC">
      <w:pPr>
        <w:pStyle w:val="af0"/>
        <w:rPr>
          <w:rFonts w:ascii="Times New Roman" w:hAnsi="Times New Roman"/>
          <w:color w:val="000000" w:themeColor="text1"/>
          <w:lang w:val="uk-UA"/>
        </w:rPr>
      </w:pPr>
      <w:r w:rsidRPr="00CE0A20">
        <w:rPr>
          <w:rFonts w:ascii="Times New Roman" w:hAnsi="Times New Roman"/>
          <w:color w:val="000000" w:themeColor="text1"/>
          <w:lang w:val="uk-UA"/>
        </w:rPr>
        <w:t xml:space="preserve">На стартовому візиті – оцінка критеріїв включення та невключення та первинні лабораторні аналізи, контрольні візити  відбувались  на 4-у, 12-у та 24-у тижні з оцінкою клінічних та лабораторних даних. </w:t>
      </w:r>
    </w:p>
    <w:p w:rsidR="00EB6EBC" w:rsidRPr="00CE0A20" w:rsidRDefault="00EB6EBC" w:rsidP="00EB6EBC">
      <w:pPr>
        <w:pStyle w:val="af0"/>
        <w:rPr>
          <w:rFonts w:ascii="Times New Roman" w:hAnsi="Times New Roman"/>
          <w:color w:val="000000" w:themeColor="text1"/>
          <w:lang w:val="uk-UA"/>
        </w:rPr>
      </w:pPr>
      <w:r w:rsidRPr="00CE0A20">
        <w:rPr>
          <w:rFonts w:ascii="Times New Roman" w:hAnsi="Times New Roman"/>
          <w:color w:val="000000" w:themeColor="text1"/>
          <w:lang w:val="uk-UA"/>
        </w:rPr>
        <w:t>У хворих основної групи на стартовому візиті здійснювали забір КСКМ, які культивували протягом 2-3 тижнів (в одному випадку – 4 тиж</w:t>
      </w:r>
      <w:r w:rsidR="007C0EC3" w:rsidRPr="00CE0A20">
        <w:rPr>
          <w:rFonts w:ascii="Times New Roman" w:hAnsi="Times New Roman"/>
          <w:color w:val="000000" w:themeColor="text1"/>
          <w:lang w:val="uk-UA"/>
        </w:rPr>
        <w:t>ні</w:t>
      </w:r>
      <w:r w:rsidRPr="00CE0A20">
        <w:rPr>
          <w:rFonts w:ascii="Times New Roman" w:hAnsi="Times New Roman"/>
          <w:color w:val="000000" w:themeColor="text1"/>
          <w:lang w:val="uk-UA"/>
        </w:rPr>
        <w:t xml:space="preserve"> та в одному випадку – 6 тижнів).  </w:t>
      </w:r>
    </w:p>
    <w:p w:rsidR="00EB6EBC" w:rsidRPr="00CE0A20" w:rsidRDefault="00EB6EBC" w:rsidP="00EB6EBC">
      <w:pPr>
        <w:pStyle w:val="110"/>
        <w:keepNext/>
        <w:spacing w:after="0"/>
        <w:ind w:left="0"/>
        <w:rPr>
          <w:b/>
          <w:color w:val="000000" w:themeColor="text1"/>
          <w:lang w:val="uk-UA"/>
        </w:rPr>
      </w:pPr>
      <w:r w:rsidRPr="00CE0A20">
        <w:rPr>
          <w:color w:val="000000" w:themeColor="text1"/>
          <w:lang w:val="uk-UA"/>
        </w:rPr>
        <w:t>Початок лікування враховували з моменту введення КСКМ у 1а підгруп</w:t>
      </w:r>
      <w:r w:rsidR="007C0EC3" w:rsidRPr="00CE0A20">
        <w:rPr>
          <w:color w:val="000000" w:themeColor="text1"/>
          <w:lang w:val="uk-UA"/>
        </w:rPr>
        <w:t>і</w:t>
      </w:r>
      <w:r w:rsidRPr="00CE0A20">
        <w:rPr>
          <w:color w:val="000000" w:themeColor="text1"/>
          <w:lang w:val="uk-UA"/>
        </w:rPr>
        <w:t xml:space="preserve"> та тестостерону – у 1б підгрупі. Тривалість лікування </w:t>
      </w:r>
      <w:r w:rsidR="007C0EC3" w:rsidRPr="00CE0A20">
        <w:rPr>
          <w:color w:val="000000" w:themeColor="text1"/>
          <w:lang w:val="uk-UA"/>
        </w:rPr>
        <w:t>в</w:t>
      </w:r>
      <w:r w:rsidRPr="00CE0A20">
        <w:rPr>
          <w:color w:val="000000" w:themeColor="text1"/>
          <w:lang w:val="uk-UA"/>
        </w:rPr>
        <w:t xml:space="preserve"> дослідженні с</w:t>
      </w:r>
      <w:r w:rsidR="007C0EC3" w:rsidRPr="00CE0A20">
        <w:rPr>
          <w:color w:val="000000" w:themeColor="text1"/>
          <w:lang w:val="uk-UA"/>
        </w:rPr>
        <w:t>тановил</w:t>
      </w:r>
      <w:r w:rsidRPr="00CE0A20">
        <w:rPr>
          <w:color w:val="000000" w:themeColor="text1"/>
          <w:lang w:val="uk-UA"/>
        </w:rPr>
        <w:t>а 24 тижні</w:t>
      </w:r>
      <w:r w:rsidR="007C0EC3" w:rsidRPr="00CE0A20">
        <w:rPr>
          <w:color w:val="000000" w:themeColor="text1"/>
          <w:lang w:val="uk-UA"/>
        </w:rPr>
        <w:t>.</w:t>
      </w:r>
    </w:p>
    <w:p w:rsidR="00EB6EBC" w:rsidRPr="00CE0A20" w:rsidRDefault="00EB6EBC" w:rsidP="00EB6EBC">
      <w:pPr>
        <w:pStyle w:val="110"/>
        <w:keepNext/>
        <w:spacing w:after="0"/>
        <w:ind w:firstLine="0"/>
        <w:rPr>
          <w:b/>
          <w:color w:val="000000" w:themeColor="text1"/>
          <w:lang w:val="uk-UA"/>
        </w:rPr>
      </w:pPr>
    </w:p>
    <w:p w:rsidR="00EB6EBC" w:rsidRPr="00CE0A20" w:rsidRDefault="00EB6EBC" w:rsidP="00EB6EBC">
      <w:pPr>
        <w:pStyle w:val="110"/>
        <w:keepNext/>
        <w:spacing w:after="0"/>
        <w:ind w:firstLine="0"/>
        <w:rPr>
          <w:b/>
          <w:color w:val="000000" w:themeColor="text1"/>
          <w:lang w:val="uk-UA"/>
        </w:rPr>
      </w:pPr>
      <w:r w:rsidRPr="00CE0A20">
        <w:rPr>
          <w:b/>
          <w:color w:val="000000" w:themeColor="text1"/>
          <w:lang w:val="uk-UA"/>
        </w:rPr>
        <w:t>2.4 Методи клінічних досліджень</w:t>
      </w:r>
    </w:p>
    <w:p w:rsidR="00BB29C6" w:rsidRPr="00CE0A20" w:rsidRDefault="00BB29C6" w:rsidP="00EB6EBC">
      <w:pPr>
        <w:spacing w:line="360" w:lineRule="auto"/>
        <w:ind w:firstLine="708"/>
        <w:jc w:val="both"/>
        <w:rPr>
          <w:rFonts w:ascii="Times New Roman" w:hAnsi="Times New Roman" w:cs="Times New Roman"/>
          <w:color w:val="000000" w:themeColor="text1"/>
          <w:sz w:val="28"/>
          <w:szCs w:val="28"/>
          <w:lang w:val="uk-UA" w:eastAsia="ar-SA"/>
        </w:rPr>
      </w:pPr>
    </w:p>
    <w:p w:rsidR="00EB6EBC" w:rsidRPr="00CE0A20" w:rsidRDefault="007C0EC3" w:rsidP="00EB6EBC">
      <w:pPr>
        <w:spacing w:line="360" w:lineRule="auto"/>
        <w:ind w:firstLine="708"/>
        <w:jc w:val="both"/>
        <w:rPr>
          <w:rFonts w:ascii="Times New Roman" w:hAnsi="Times New Roman" w:cs="Times New Roman"/>
          <w:color w:val="000000" w:themeColor="text1"/>
          <w:sz w:val="28"/>
          <w:szCs w:val="28"/>
          <w:lang w:val="uk-UA" w:eastAsia="ar-SA"/>
        </w:rPr>
      </w:pPr>
      <w:r w:rsidRPr="00CE0A20">
        <w:rPr>
          <w:rFonts w:ascii="Times New Roman" w:hAnsi="Times New Roman" w:cs="Times New Roman"/>
          <w:color w:val="000000" w:themeColor="text1"/>
          <w:sz w:val="28"/>
          <w:szCs w:val="28"/>
          <w:lang w:val="uk-UA" w:eastAsia="ar-SA"/>
        </w:rPr>
        <w:t>У</w:t>
      </w:r>
      <w:r w:rsidR="00EB6EBC" w:rsidRPr="00CE0A20">
        <w:rPr>
          <w:rFonts w:ascii="Times New Roman" w:hAnsi="Times New Roman" w:cs="Times New Roman"/>
          <w:color w:val="000000" w:themeColor="text1"/>
          <w:sz w:val="28"/>
          <w:szCs w:val="28"/>
          <w:lang w:val="uk-UA" w:eastAsia="ar-SA"/>
        </w:rPr>
        <w:t>сім хворим виконано комплексне обстеження, що включало аналіз анамнестичних даних, особливостей перебігу ЦД та розвитку ознак андрогенної недостатності.</w:t>
      </w:r>
    </w:p>
    <w:p w:rsidR="00EB6EBC" w:rsidRPr="00CE0A20" w:rsidRDefault="00EB6EBC" w:rsidP="00EB6EBC">
      <w:pPr>
        <w:spacing w:line="360" w:lineRule="auto"/>
        <w:ind w:firstLine="708"/>
        <w:jc w:val="both"/>
        <w:rPr>
          <w:rFonts w:ascii="Times New Roman" w:hAnsi="Times New Roman" w:cs="Times New Roman"/>
          <w:color w:val="000000" w:themeColor="text1"/>
          <w:sz w:val="28"/>
          <w:szCs w:val="28"/>
          <w:lang w:val="uk-UA" w:eastAsia="ar-SA"/>
        </w:rPr>
      </w:pPr>
      <w:r w:rsidRPr="00CE0A20">
        <w:rPr>
          <w:rFonts w:ascii="Times New Roman" w:hAnsi="Times New Roman" w:cs="Times New Roman"/>
          <w:color w:val="000000" w:themeColor="text1"/>
          <w:sz w:val="28"/>
          <w:szCs w:val="28"/>
          <w:lang w:val="uk-UA" w:eastAsia="ar-SA"/>
        </w:rPr>
        <w:t>Вимірювали зріст (</w:t>
      </w:r>
      <w:r w:rsidR="007C0EC3" w:rsidRPr="00CE0A20">
        <w:rPr>
          <w:rFonts w:ascii="Times New Roman" w:hAnsi="Times New Roman" w:cs="Times New Roman"/>
          <w:color w:val="000000" w:themeColor="text1"/>
          <w:sz w:val="28"/>
          <w:szCs w:val="28"/>
          <w:lang w:val="uk-UA" w:eastAsia="ar-SA"/>
        </w:rPr>
        <w:t>у</w:t>
      </w:r>
      <w:r w:rsidRPr="00CE0A20">
        <w:rPr>
          <w:rFonts w:ascii="Times New Roman" w:hAnsi="Times New Roman" w:cs="Times New Roman"/>
          <w:color w:val="000000" w:themeColor="text1"/>
          <w:sz w:val="28"/>
          <w:szCs w:val="28"/>
          <w:lang w:val="uk-UA" w:eastAsia="ar-SA"/>
        </w:rPr>
        <w:t xml:space="preserve"> см) і вагу (</w:t>
      </w:r>
      <w:r w:rsidR="007C0EC3" w:rsidRPr="00CE0A20">
        <w:rPr>
          <w:rFonts w:ascii="Times New Roman" w:hAnsi="Times New Roman" w:cs="Times New Roman"/>
          <w:color w:val="000000" w:themeColor="text1"/>
          <w:sz w:val="28"/>
          <w:szCs w:val="28"/>
          <w:lang w:val="uk-UA" w:eastAsia="ar-SA"/>
        </w:rPr>
        <w:t>у</w:t>
      </w:r>
      <w:r w:rsidRPr="00CE0A20">
        <w:rPr>
          <w:rFonts w:ascii="Times New Roman" w:hAnsi="Times New Roman" w:cs="Times New Roman"/>
          <w:color w:val="000000" w:themeColor="text1"/>
          <w:sz w:val="28"/>
          <w:szCs w:val="28"/>
          <w:lang w:val="uk-UA" w:eastAsia="ar-SA"/>
        </w:rPr>
        <w:t xml:space="preserve"> кг) хворого з обчисленням індексу маси тіла (ІМТ).</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eastAsia="ar-SA"/>
        </w:rPr>
      </w:pPr>
      <w:r w:rsidRPr="00CE0A20">
        <w:rPr>
          <w:rFonts w:ascii="Times New Roman" w:hAnsi="Times New Roman" w:cs="Times New Roman"/>
          <w:color w:val="000000" w:themeColor="text1"/>
          <w:sz w:val="28"/>
          <w:szCs w:val="28"/>
          <w:lang w:val="uk-UA" w:eastAsia="ar-SA"/>
        </w:rPr>
        <w:t>Індекс маси тіла розраховували за формулою:</w:t>
      </w:r>
    </w:p>
    <w:p w:rsidR="00EB6EBC" w:rsidRPr="00CE0A20" w:rsidRDefault="00EB6EBC" w:rsidP="00EB6EBC">
      <w:pPr>
        <w:spacing w:line="360" w:lineRule="auto"/>
        <w:ind w:left="720" w:firstLine="840"/>
        <w:jc w:val="center"/>
        <w:rPr>
          <w:rFonts w:ascii="Times New Roman" w:eastAsia="Times New Roman" w:hAnsi="Times New Roman" w:cs="Times New Roman"/>
          <w:color w:val="000000" w:themeColor="text1"/>
          <w:sz w:val="28"/>
          <w:szCs w:val="28"/>
          <w:lang w:val="uk-UA"/>
        </w:rPr>
      </w:pPr>
      <m:oMath>
        <m:r>
          <m:rPr>
            <m:sty m:val="p"/>
          </m:rPr>
          <w:rPr>
            <w:rFonts w:ascii="Cambria Math" w:eastAsia="Times New Roman" w:hAnsi="Cambria Math" w:cs="Times New Roman"/>
            <w:color w:val="000000" w:themeColor="text1"/>
            <w:sz w:val="28"/>
            <w:szCs w:val="28"/>
            <w:lang w:val="uk-UA"/>
          </w:rPr>
          <m:t>ІМТ=</m:t>
        </m:r>
        <m:f>
          <m:fPr>
            <m:ctrlPr>
              <w:rPr>
                <w:rFonts w:ascii="Cambria Math" w:eastAsia="Times New Roman" w:hAnsi="Cambria Math" w:cs="Times New Roman"/>
                <w:color w:val="000000" w:themeColor="text1"/>
                <w:sz w:val="28"/>
                <w:szCs w:val="28"/>
                <w:lang w:val="uk-UA"/>
              </w:rPr>
            </m:ctrlPr>
          </m:fPr>
          <m:num>
            <m:r>
              <m:rPr>
                <m:sty m:val="p"/>
              </m:rPr>
              <w:rPr>
                <w:rFonts w:ascii="Cambria Math" w:eastAsia="Times New Roman" w:hAnsi="Cambria Math" w:cs="Times New Roman"/>
                <w:color w:val="000000" w:themeColor="text1"/>
                <w:sz w:val="28"/>
                <w:szCs w:val="28"/>
                <w:lang w:val="uk-UA"/>
              </w:rPr>
              <m:t>m</m:t>
            </m:r>
          </m:num>
          <m:den>
            <m:sSup>
              <m:sSupPr>
                <m:ctrlPr>
                  <w:rPr>
                    <w:rFonts w:ascii="Cambria Math" w:eastAsia="Times New Roman" w:hAnsi="Cambria Math" w:cs="Times New Roman"/>
                    <w:color w:val="000000" w:themeColor="text1"/>
                    <w:sz w:val="28"/>
                    <w:szCs w:val="28"/>
                    <w:lang w:val="uk-UA"/>
                  </w:rPr>
                </m:ctrlPr>
              </m:sSupPr>
              <m:e>
                <m:r>
                  <m:rPr>
                    <m:sty m:val="p"/>
                  </m:rPr>
                  <w:rPr>
                    <w:rFonts w:ascii="Cambria Math" w:eastAsia="Times New Roman" w:hAnsi="Cambria Math" w:cs="Times New Roman"/>
                    <w:color w:val="000000" w:themeColor="text1"/>
                    <w:sz w:val="28"/>
                    <w:szCs w:val="28"/>
                    <w:lang w:val="uk-UA"/>
                  </w:rPr>
                  <m:t>h</m:t>
                </m:r>
              </m:e>
              <m:sup>
                <m:r>
                  <m:rPr>
                    <m:sty m:val="p"/>
                  </m:rPr>
                  <w:rPr>
                    <w:rFonts w:ascii="Cambria Math" w:eastAsia="Times New Roman" w:hAnsi="Cambria Math" w:cs="Times New Roman"/>
                    <w:color w:val="000000" w:themeColor="text1"/>
                    <w:sz w:val="28"/>
                    <w:szCs w:val="28"/>
                    <w:lang w:val="uk-UA"/>
                  </w:rPr>
                  <m:t>2</m:t>
                </m:r>
              </m:sup>
            </m:sSup>
          </m:den>
        </m:f>
      </m:oMath>
      <w:r w:rsidRPr="00CE0A20">
        <w:rPr>
          <w:rFonts w:ascii="Times New Roman" w:eastAsia="Times New Roman" w:hAnsi="Times New Roman" w:cs="Times New Roman"/>
          <w:color w:val="000000" w:themeColor="text1"/>
          <w:sz w:val="28"/>
          <w:szCs w:val="28"/>
          <w:lang w:val="uk-UA"/>
        </w:rPr>
        <w:tab/>
        <w:t xml:space="preserve"> (кг/м²)</w:t>
      </w:r>
      <w:r w:rsidRPr="00CE0A20">
        <w:rPr>
          <w:rFonts w:ascii="Times New Roman" w:eastAsia="Times New Roman" w:hAnsi="Times New Roman" w:cs="Times New Roman"/>
          <w:color w:val="000000" w:themeColor="text1"/>
          <w:sz w:val="28"/>
          <w:szCs w:val="28"/>
          <w:lang w:val="uk-UA"/>
        </w:rPr>
        <w:tab/>
      </w:r>
      <w:r w:rsidRPr="00CE0A20">
        <w:rPr>
          <w:rFonts w:ascii="Times New Roman" w:eastAsia="Times New Roman" w:hAnsi="Times New Roman" w:cs="Times New Roman"/>
          <w:color w:val="000000" w:themeColor="text1"/>
          <w:sz w:val="28"/>
          <w:szCs w:val="28"/>
          <w:lang w:val="uk-UA"/>
        </w:rPr>
        <w:tab/>
      </w:r>
      <w:r w:rsidRPr="00CE0A20">
        <w:rPr>
          <w:rFonts w:ascii="Times New Roman" w:eastAsia="Times New Roman" w:hAnsi="Times New Roman" w:cs="Times New Roman"/>
          <w:color w:val="000000" w:themeColor="text1"/>
          <w:sz w:val="28"/>
          <w:szCs w:val="28"/>
          <w:lang w:val="uk-UA"/>
        </w:rPr>
        <w:tab/>
      </w:r>
      <w:r w:rsidRPr="00CE0A20">
        <w:rPr>
          <w:rFonts w:ascii="Times New Roman" w:eastAsia="Times New Roman" w:hAnsi="Times New Roman" w:cs="Times New Roman"/>
          <w:color w:val="000000" w:themeColor="text1"/>
          <w:sz w:val="28"/>
          <w:szCs w:val="28"/>
          <w:lang w:val="uk-UA"/>
        </w:rPr>
        <w:tab/>
      </w:r>
      <w:r w:rsidRPr="00CE0A20">
        <w:rPr>
          <w:rFonts w:ascii="Times New Roman" w:eastAsia="Times New Roman" w:hAnsi="Times New Roman" w:cs="Times New Roman"/>
          <w:color w:val="000000" w:themeColor="text1"/>
          <w:sz w:val="28"/>
          <w:szCs w:val="28"/>
          <w:lang w:val="uk-UA"/>
        </w:rPr>
        <w:tab/>
        <w:t>(2.5)</w:t>
      </w:r>
      <w:r w:rsidR="007C0EC3" w:rsidRPr="00CE0A20">
        <w:rPr>
          <w:rFonts w:ascii="Times New Roman" w:eastAsia="Times New Roman" w:hAnsi="Times New Roman" w:cs="Times New Roman"/>
          <w:color w:val="000000" w:themeColor="text1"/>
          <w:sz w:val="28"/>
          <w:szCs w:val="28"/>
          <w:lang w:val="uk-UA"/>
        </w:rPr>
        <w:t>,</w:t>
      </w:r>
    </w:p>
    <w:p w:rsidR="00EB6EBC" w:rsidRPr="00CE0A20" w:rsidRDefault="00EB6EBC" w:rsidP="00EB6EBC">
      <w:pPr>
        <w:spacing w:line="360" w:lineRule="auto"/>
        <w:ind w:left="720"/>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де: </w:t>
      </w:r>
      <w:r w:rsidRPr="00CE0A20">
        <w:rPr>
          <w:rFonts w:ascii="Times New Roman" w:eastAsia="Times New Roman" w:hAnsi="Times New Roman" w:cs="Times New Roman"/>
          <w:iCs/>
          <w:color w:val="000000" w:themeColor="text1"/>
          <w:sz w:val="28"/>
          <w:szCs w:val="28"/>
          <w:lang w:val="uk-UA"/>
        </w:rPr>
        <w:t>m</w:t>
      </w:r>
      <w:r w:rsidRPr="00CE0A20">
        <w:rPr>
          <w:rFonts w:ascii="Times New Roman" w:eastAsia="Times New Roman" w:hAnsi="Times New Roman" w:cs="Times New Roman"/>
          <w:color w:val="000000" w:themeColor="text1"/>
          <w:sz w:val="28"/>
          <w:szCs w:val="28"/>
          <w:lang w:val="uk-UA"/>
        </w:rPr>
        <w:t xml:space="preserve"> — маса тіла в кілограмах; </w:t>
      </w:r>
      <w:r w:rsidRPr="00CE0A20">
        <w:rPr>
          <w:rFonts w:ascii="Times New Roman" w:eastAsia="Times New Roman" w:hAnsi="Times New Roman" w:cs="Times New Roman"/>
          <w:iCs/>
          <w:color w:val="000000" w:themeColor="text1"/>
          <w:sz w:val="28"/>
          <w:szCs w:val="28"/>
          <w:lang w:val="uk-UA"/>
        </w:rPr>
        <w:t>h</w:t>
      </w:r>
      <w:r w:rsidRPr="00CE0A20">
        <w:rPr>
          <w:rFonts w:ascii="Times New Roman" w:eastAsia="Times New Roman" w:hAnsi="Times New Roman" w:cs="Times New Roman"/>
          <w:color w:val="000000" w:themeColor="text1"/>
          <w:sz w:val="28"/>
          <w:szCs w:val="28"/>
          <w:lang w:val="uk-UA"/>
        </w:rPr>
        <w:t xml:space="preserve"> — зріст </w:t>
      </w:r>
      <w:r w:rsidR="007C0EC3" w:rsidRPr="00CE0A20">
        <w:rPr>
          <w:rFonts w:ascii="Times New Roman" w:eastAsia="Times New Roman" w:hAnsi="Times New Roman" w:cs="Times New Roman"/>
          <w:color w:val="000000" w:themeColor="text1"/>
          <w:sz w:val="28"/>
          <w:szCs w:val="28"/>
          <w:lang w:val="uk-UA"/>
        </w:rPr>
        <w:t>у</w:t>
      </w:r>
      <w:r w:rsidRPr="00CE0A20">
        <w:rPr>
          <w:rFonts w:ascii="Times New Roman" w:eastAsia="Times New Roman" w:hAnsi="Times New Roman" w:cs="Times New Roman"/>
          <w:color w:val="000000" w:themeColor="text1"/>
          <w:sz w:val="28"/>
          <w:szCs w:val="28"/>
          <w:lang w:val="uk-UA"/>
        </w:rPr>
        <w:t xml:space="preserve"> метрах</w:t>
      </w:r>
      <w:r w:rsidR="007C0EC3" w:rsidRPr="00CE0A20">
        <w:rPr>
          <w:rFonts w:ascii="Times New Roman" w:eastAsia="Times New Roman" w:hAnsi="Times New Roman" w:cs="Times New Roman"/>
          <w:color w:val="000000" w:themeColor="text1"/>
          <w:sz w:val="28"/>
          <w:szCs w:val="28"/>
          <w:lang w:val="uk-UA"/>
        </w:rPr>
        <w:t>.</w:t>
      </w:r>
    </w:p>
    <w:p w:rsidR="00EB6EBC" w:rsidRPr="00CE0A20" w:rsidRDefault="00EB6EBC" w:rsidP="00EB6EBC">
      <w:pPr>
        <w:pStyle w:val="af0"/>
        <w:rPr>
          <w:rFonts w:ascii="Times New Roman" w:hAnsi="Times New Roman"/>
          <w:color w:val="000000" w:themeColor="text1"/>
          <w:lang w:val="uk-UA"/>
        </w:rPr>
      </w:pPr>
      <w:r w:rsidRPr="00CE0A20">
        <w:rPr>
          <w:rFonts w:ascii="Times New Roman" w:hAnsi="Times New Roman"/>
          <w:color w:val="000000" w:themeColor="text1"/>
          <w:lang w:val="uk-UA"/>
        </w:rPr>
        <w:t>Інтерпретацію даних виконували відповідно до рекомендацій ВООЗ</w:t>
      </w:r>
      <w:r w:rsidR="007C0EC3" w:rsidRPr="00CE0A20">
        <w:rPr>
          <w:rFonts w:ascii="Times New Roman" w:hAnsi="Times New Roman"/>
          <w:color w:val="000000" w:themeColor="text1"/>
          <w:lang w:val="uk-UA"/>
        </w:rPr>
        <w:t>:</w:t>
      </w:r>
      <w:r w:rsidRPr="00CE0A20">
        <w:rPr>
          <w:rFonts w:ascii="Times New Roman" w:hAnsi="Times New Roman"/>
          <w:color w:val="000000" w:themeColor="text1"/>
          <w:lang w:val="uk-UA"/>
        </w:rPr>
        <w:t xml:space="preserve"> норма – 18,5–24,9 кг/м²; надлишкова маса тіла – 25–29,9 кг/м²; ожиріння І ст. – 30–34,9 кг/м²; ожиріння ІІ ст. – 35–39,9 кг/м²; ожиріння ІІІ ст. – 40 кг/м² і більше.</w:t>
      </w:r>
    </w:p>
    <w:p w:rsidR="00EB6EBC" w:rsidRPr="00CE0A20" w:rsidRDefault="007C0EC3" w:rsidP="00EB6EBC">
      <w:pPr>
        <w:pStyle w:val="af0"/>
        <w:rPr>
          <w:rFonts w:ascii="Times New Roman" w:hAnsi="Times New Roman"/>
          <w:color w:val="000000" w:themeColor="text1"/>
          <w:lang w:val="uk-UA"/>
        </w:rPr>
      </w:pPr>
      <w:r w:rsidRPr="00CE0A20">
        <w:rPr>
          <w:rFonts w:ascii="Times New Roman" w:hAnsi="Times New Roman"/>
          <w:color w:val="000000" w:themeColor="text1"/>
          <w:lang w:val="uk-UA"/>
        </w:rPr>
        <w:t>Під час</w:t>
      </w:r>
      <w:r w:rsidR="00EB6EBC" w:rsidRPr="00CE0A20">
        <w:rPr>
          <w:rFonts w:ascii="Times New Roman" w:hAnsi="Times New Roman"/>
          <w:color w:val="000000" w:themeColor="text1"/>
          <w:lang w:val="uk-UA"/>
        </w:rPr>
        <w:t xml:space="preserve"> першо</w:t>
      </w:r>
      <w:r w:rsidRPr="00CE0A20">
        <w:rPr>
          <w:rFonts w:ascii="Times New Roman" w:hAnsi="Times New Roman"/>
          <w:color w:val="000000" w:themeColor="text1"/>
          <w:lang w:val="uk-UA"/>
        </w:rPr>
        <w:t>го</w:t>
      </w:r>
      <w:r w:rsidR="00EB6EBC" w:rsidRPr="00CE0A20">
        <w:rPr>
          <w:rFonts w:ascii="Times New Roman" w:hAnsi="Times New Roman"/>
          <w:color w:val="000000" w:themeColor="text1"/>
          <w:lang w:val="uk-UA"/>
        </w:rPr>
        <w:t xml:space="preserve"> візит</w:t>
      </w:r>
      <w:r w:rsidRPr="00CE0A20">
        <w:rPr>
          <w:rFonts w:ascii="Times New Roman" w:hAnsi="Times New Roman"/>
          <w:color w:val="000000" w:themeColor="text1"/>
          <w:lang w:val="uk-UA"/>
        </w:rPr>
        <w:t>у</w:t>
      </w:r>
      <w:r w:rsidR="00EB6EBC" w:rsidRPr="00CE0A20">
        <w:rPr>
          <w:rFonts w:ascii="Times New Roman" w:hAnsi="Times New Roman"/>
          <w:color w:val="000000" w:themeColor="text1"/>
          <w:lang w:val="uk-UA"/>
        </w:rPr>
        <w:t xml:space="preserve"> всі</w:t>
      </w:r>
      <w:r w:rsidRPr="00CE0A20">
        <w:rPr>
          <w:rFonts w:ascii="Times New Roman" w:hAnsi="Times New Roman"/>
          <w:color w:val="000000" w:themeColor="text1"/>
          <w:lang w:val="uk-UA"/>
        </w:rPr>
        <w:t>м</w:t>
      </w:r>
      <w:r w:rsidR="00EB6EBC" w:rsidRPr="00CE0A20">
        <w:rPr>
          <w:rFonts w:ascii="Times New Roman" w:hAnsi="Times New Roman"/>
          <w:color w:val="000000" w:themeColor="text1"/>
          <w:lang w:val="uk-UA"/>
        </w:rPr>
        <w:t xml:space="preserve"> хвори</w:t>
      </w:r>
      <w:r w:rsidRPr="00CE0A20">
        <w:rPr>
          <w:rFonts w:ascii="Times New Roman" w:hAnsi="Times New Roman"/>
          <w:color w:val="000000" w:themeColor="text1"/>
          <w:lang w:val="uk-UA"/>
        </w:rPr>
        <w:t>м</w:t>
      </w:r>
      <w:r w:rsidR="00EB6EBC" w:rsidRPr="00CE0A20">
        <w:rPr>
          <w:rFonts w:ascii="Times New Roman" w:hAnsi="Times New Roman"/>
          <w:color w:val="000000" w:themeColor="text1"/>
          <w:lang w:val="uk-UA"/>
        </w:rPr>
        <w:t xml:space="preserve"> виконували ультразвукове дослідження зовнішніх статевих органів та передміхурової залози, а також стан крово</w:t>
      </w:r>
      <w:r w:rsidRPr="00CE0A20">
        <w:rPr>
          <w:rFonts w:ascii="Times New Roman" w:hAnsi="Times New Roman"/>
          <w:color w:val="000000" w:themeColor="text1"/>
          <w:lang w:val="uk-UA"/>
        </w:rPr>
        <w:t>плин</w:t>
      </w:r>
      <w:r w:rsidR="00EB6EBC" w:rsidRPr="00CE0A20">
        <w:rPr>
          <w:rFonts w:ascii="Times New Roman" w:hAnsi="Times New Roman"/>
          <w:color w:val="000000" w:themeColor="text1"/>
          <w:lang w:val="uk-UA"/>
        </w:rPr>
        <w:t>у в артеріальних та венозних судинах (у режимі допплер</w:t>
      </w:r>
      <w:r w:rsidRPr="00CE0A20">
        <w:rPr>
          <w:rFonts w:ascii="Times New Roman" w:hAnsi="Times New Roman"/>
          <w:color w:val="000000" w:themeColor="text1"/>
          <w:lang w:val="uk-UA"/>
        </w:rPr>
        <w:t>а</w:t>
      </w:r>
      <w:r w:rsidR="00EB6EBC" w:rsidRPr="00CE0A20">
        <w:rPr>
          <w:rFonts w:ascii="Times New Roman" w:hAnsi="Times New Roman"/>
          <w:color w:val="000000" w:themeColor="text1"/>
          <w:lang w:val="uk-UA"/>
        </w:rPr>
        <w:t xml:space="preserve">) для виключення васкулогенного характеру ЕД на апараті </w:t>
      </w:r>
      <w:r w:rsidR="00EB6EBC" w:rsidRPr="00CE0A20">
        <w:rPr>
          <w:rFonts w:ascii="Times New Roman" w:hAnsi="Times New Roman"/>
          <w:color w:val="000000" w:themeColor="text1"/>
          <w:lang w:val="en-US"/>
        </w:rPr>
        <w:t>Aloka</w:t>
      </w:r>
      <w:r w:rsidR="00EB6EBC" w:rsidRPr="00CE0A20">
        <w:rPr>
          <w:rFonts w:ascii="Times New Roman" w:hAnsi="Times New Roman"/>
          <w:color w:val="000000" w:themeColor="text1"/>
          <w:lang w:val="uk-UA"/>
        </w:rPr>
        <w:t xml:space="preserve"> </w:t>
      </w:r>
      <w:r w:rsidR="00EB6EBC" w:rsidRPr="00CE0A20">
        <w:rPr>
          <w:rFonts w:ascii="Times New Roman" w:hAnsi="Times New Roman"/>
          <w:color w:val="000000" w:themeColor="text1"/>
          <w:lang w:val="en-US"/>
        </w:rPr>
        <w:t>SSD</w:t>
      </w:r>
      <w:r w:rsidR="00EB6EBC" w:rsidRPr="00CE0A20">
        <w:rPr>
          <w:rFonts w:ascii="Times New Roman" w:hAnsi="Times New Roman"/>
          <w:color w:val="000000" w:themeColor="text1"/>
          <w:lang w:val="uk-UA"/>
        </w:rPr>
        <w:t xml:space="preserve"> 5502. У всіх хворих УЗД також застосовано одразу після інтратестикулярної трансплан</w:t>
      </w:r>
      <w:r w:rsidR="00EB6EBC" w:rsidRPr="00CE0A20">
        <w:rPr>
          <w:rFonts w:ascii="Times New Roman" w:hAnsi="Times New Roman"/>
          <w:color w:val="000000" w:themeColor="text1"/>
          <w:lang w:val="uk-UA"/>
        </w:rPr>
        <w:softHyphen/>
        <w:t>тації КСКМ для контролю можливих ускладнень інʼєкції</w:t>
      </w:r>
      <w:r w:rsidRPr="00CE0A20">
        <w:rPr>
          <w:rFonts w:ascii="Times New Roman" w:hAnsi="Times New Roman"/>
          <w:color w:val="000000" w:themeColor="text1"/>
          <w:lang w:val="uk-UA"/>
        </w:rPr>
        <w:t>.</w:t>
      </w:r>
    </w:p>
    <w:p w:rsidR="00EB6EBC" w:rsidRPr="00CE0A20" w:rsidRDefault="00EB6EBC" w:rsidP="00EB6EBC">
      <w:pPr>
        <w:spacing w:line="360" w:lineRule="auto"/>
        <w:ind w:firstLine="709"/>
        <w:jc w:val="both"/>
        <w:rPr>
          <w:rStyle w:val="29pt"/>
          <w:rFonts w:ascii="Times New Roman" w:hAnsi="Times New Roman" w:cs="Times New Roman"/>
          <w:b w:val="0"/>
          <w:bCs w:val="0"/>
          <w:i w:val="0"/>
          <w:iCs w:val="0"/>
          <w:color w:val="000000" w:themeColor="text1"/>
          <w:sz w:val="28"/>
          <w:szCs w:val="28"/>
          <w:lang w:val="uk-UA"/>
        </w:rPr>
      </w:pPr>
      <w:r w:rsidRPr="00CE0A20">
        <w:rPr>
          <w:rStyle w:val="29pt"/>
          <w:rFonts w:ascii="Times New Roman" w:hAnsi="Times New Roman" w:cs="Times New Roman"/>
          <w:b w:val="0"/>
          <w:bCs w:val="0"/>
          <w:i w:val="0"/>
          <w:iCs w:val="0"/>
          <w:color w:val="000000" w:themeColor="text1"/>
          <w:sz w:val="28"/>
          <w:szCs w:val="28"/>
          <w:lang w:val="uk-UA"/>
        </w:rPr>
        <w:t xml:space="preserve">Концентрацію гормонів (тестостерону, естрадіолу, ФСГ, ЛГ, ПРЛ та ГЗСГ) визначали за методом ІФА на аналізаторі автоматичному імуноферментному Chem Well 2900 виробництва Awareness technology inc., США. </w:t>
      </w:r>
    </w:p>
    <w:p w:rsidR="00EB6EBC" w:rsidRPr="00CE0A20" w:rsidRDefault="00EB6EBC" w:rsidP="00EB6EBC">
      <w:pPr>
        <w:pStyle w:val="af0"/>
        <w:rPr>
          <w:rStyle w:val="29pt0"/>
          <w:rFonts w:ascii="Times New Roman" w:hAnsi="Times New Roman" w:cs="Times New Roman"/>
          <w:b w:val="0"/>
          <w:i w:val="0"/>
          <w:color w:val="000000" w:themeColor="text1"/>
          <w:sz w:val="28"/>
          <w:szCs w:val="28"/>
          <w:lang w:val="uk-UA"/>
        </w:rPr>
      </w:pPr>
      <w:r w:rsidRPr="00CE0A20">
        <w:rPr>
          <w:rFonts w:ascii="Times New Roman" w:hAnsi="Times New Roman"/>
          <w:color w:val="000000" w:themeColor="text1"/>
          <w:lang w:val="uk-UA"/>
        </w:rPr>
        <w:t xml:space="preserve">Вміст глюкози, </w:t>
      </w:r>
      <w:r w:rsidRPr="00CE0A20">
        <w:rPr>
          <w:rFonts w:ascii="Times New Roman" w:hAnsi="Times New Roman"/>
          <w:bCs/>
          <w:color w:val="000000" w:themeColor="text1"/>
          <w:lang w:val="uk-UA" w:eastAsia="ru-RU"/>
        </w:rPr>
        <w:t xml:space="preserve">HbA1, АЛТ, АСТ визначали </w:t>
      </w:r>
      <w:r w:rsidRPr="00CE0A20">
        <w:rPr>
          <w:rStyle w:val="29pt0"/>
          <w:rFonts w:ascii="Times New Roman" w:hAnsi="Times New Roman" w:cs="Times New Roman"/>
          <w:b w:val="0"/>
          <w:i w:val="0"/>
          <w:color w:val="000000" w:themeColor="text1"/>
          <w:sz w:val="28"/>
          <w:szCs w:val="28"/>
          <w:lang w:val="uk-UA"/>
        </w:rPr>
        <w:t>за допомогою аналізатора-фотометра біохімічного DS-261 виробництва Sinnova, КНР.</w:t>
      </w:r>
    </w:p>
    <w:p w:rsidR="00661B2E" w:rsidRPr="00CE0A20" w:rsidRDefault="00661B2E" w:rsidP="00EB6EBC">
      <w:pPr>
        <w:pStyle w:val="af0"/>
        <w:keepNext/>
        <w:rPr>
          <w:rStyle w:val="14"/>
          <w:b/>
          <w:i w:val="0"/>
          <w:color w:val="000000" w:themeColor="text1"/>
          <w:lang w:val="en-US"/>
        </w:rPr>
      </w:pPr>
    </w:p>
    <w:p w:rsidR="00EB6EBC" w:rsidRPr="00CE0A20" w:rsidRDefault="00EB6EBC" w:rsidP="00EB6EBC">
      <w:pPr>
        <w:pStyle w:val="af0"/>
        <w:keepNext/>
        <w:rPr>
          <w:rStyle w:val="14"/>
          <w:b/>
          <w:i w:val="0"/>
          <w:color w:val="000000" w:themeColor="text1"/>
        </w:rPr>
      </w:pPr>
      <w:r w:rsidRPr="00CE0A20">
        <w:rPr>
          <w:rStyle w:val="14"/>
          <w:b/>
          <w:i w:val="0"/>
          <w:color w:val="000000" w:themeColor="text1"/>
        </w:rPr>
        <w:t>2.5 Методика отримання культури клітин строми кісткового мозку та їх трансплантації</w:t>
      </w:r>
    </w:p>
    <w:p w:rsidR="00BB29C6" w:rsidRPr="00CE0A20" w:rsidRDefault="00BB29C6" w:rsidP="00EB6EBC">
      <w:pPr>
        <w:pStyle w:val="a3"/>
        <w:autoSpaceDE w:val="0"/>
        <w:autoSpaceDN w:val="0"/>
        <w:adjustRightInd w:val="0"/>
        <w:ind w:left="0" w:firstLine="709"/>
        <w:jc w:val="both"/>
        <w:rPr>
          <w:rFonts w:ascii="Times New Roman" w:hAnsi="Times New Roman" w:cs="Times New Roman"/>
          <w:color w:val="000000" w:themeColor="text1"/>
          <w:lang w:val="uk-UA"/>
        </w:rPr>
      </w:pPr>
    </w:p>
    <w:p w:rsidR="00EB6EBC" w:rsidRPr="00CE0A20" w:rsidRDefault="00EB6EBC" w:rsidP="00EB6EBC">
      <w:pPr>
        <w:pStyle w:val="a3"/>
        <w:autoSpaceDE w:val="0"/>
        <w:autoSpaceDN w:val="0"/>
        <w:adjustRightInd w:val="0"/>
        <w:ind w:left="0" w:firstLine="709"/>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Культуру КСКМ отримували згідно </w:t>
      </w:r>
      <w:r w:rsidR="007C0EC3" w:rsidRPr="00CE0A20">
        <w:rPr>
          <w:rFonts w:ascii="Times New Roman" w:hAnsi="Times New Roman" w:cs="Times New Roman"/>
          <w:color w:val="000000" w:themeColor="text1"/>
          <w:lang w:val="uk-UA"/>
        </w:rPr>
        <w:t xml:space="preserve">з </w:t>
      </w:r>
      <w:r w:rsidRPr="00CE0A20">
        <w:rPr>
          <w:rFonts w:ascii="Times New Roman" w:hAnsi="Times New Roman" w:cs="Times New Roman"/>
          <w:color w:val="000000" w:themeColor="text1"/>
          <w:lang w:val="uk-UA"/>
        </w:rPr>
        <w:t>розроблено</w:t>
      </w:r>
      <w:r w:rsidR="007C0EC3" w:rsidRPr="00CE0A20">
        <w:rPr>
          <w:rFonts w:ascii="Times New Roman" w:hAnsi="Times New Roman" w:cs="Times New Roman"/>
          <w:color w:val="000000" w:themeColor="text1"/>
          <w:lang w:val="uk-UA"/>
        </w:rPr>
        <w:t>ю</w:t>
      </w:r>
      <w:r w:rsidRPr="00CE0A20">
        <w:rPr>
          <w:rFonts w:ascii="Times New Roman" w:hAnsi="Times New Roman" w:cs="Times New Roman"/>
          <w:color w:val="000000" w:themeColor="text1"/>
          <w:lang w:val="uk-UA"/>
        </w:rPr>
        <w:t xml:space="preserve"> методик</w:t>
      </w:r>
      <w:r w:rsidR="007C0EC3" w:rsidRPr="00CE0A20">
        <w:rPr>
          <w:rFonts w:ascii="Times New Roman" w:hAnsi="Times New Roman" w:cs="Times New Roman"/>
          <w:color w:val="000000" w:themeColor="text1"/>
          <w:lang w:val="uk-UA"/>
        </w:rPr>
        <w:t>ою</w:t>
      </w:r>
      <w:r w:rsidRPr="00CE0A20">
        <w:rPr>
          <w:rFonts w:ascii="Times New Roman" w:hAnsi="Times New Roman" w:cs="Times New Roman"/>
          <w:color w:val="000000" w:themeColor="text1"/>
          <w:lang w:val="uk-UA"/>
        </w:rPr>
        <w:t xml:space="preserve">. </w:t>
      </w:r>
      <w:r w:rsidR="007C0EC3" w:rsidRPr="00CE0A20">
        <w:rPr>
          <w:rFonts w:ascii="Times New Roman" w:hAnsi="Times New Roman" w:cs="Times New Roman"/>
          <w:color w:val="000000" w:themeColor="text1"/>
          <w:lang w:val="uk-UA"/>
        </w:rPr>
        <w:t>У</w:t>
      </w:r>
      <w:r w:rsidRPr="00CE0A20">
        <w:rPr>
          <w:rFonts w:ascii="Times New Roman" w:hAnsi="Times New Roman" w:cs="Times New Roman"/>
          <w:color w:val="000000" w:themeColor="text1"/>
          <w:lang w:val="uk-UA"/>
        </w:rPr>
        <w:t xml:space="preserve">сі роботи з культурою клітин проводили в стерильному ламінарному боксі відповідно до загальноприйнятих правил. Кістковий мозок виділяли </w:t>
      </w:r>
      <w:r w:rsidRPr="00CE0A20">
        <w:rPr>
          <w:rFonts w:ascii="Times New Roman" w:eastAsia="TimesNewRomanPSMT" w:hAnsi="Times New Roman" w:cs="Times New Roman"/>
          <w:color w:val="000000" w:themeColor="text1"/>
          <w:lang w:val="uk-UA"/>
        </w:rPr>
        <w:t xml:space="preserve">зі стегнових кісток щурів-самців лінії Wistar віком 3 міс </w:t>
      </w:r>
      <w:r w:rsidR="007C0EC3" w:rsidRPr="00CE0A20">
        <w:rPr>
          <w:rFonts w:ascii="Times New Roman" w:eastAsia="TimesNewRomanPSMT" w:hAnsi="Times New Roman" w:cs="Times New Roman"/>
          <w:color w:val="000000" w:themeColor="text1"/>
          <w:lang w:val="uk-UA"/>
        </w:rPr>
        <w:t>в</w:t>
      </w:r>
      <w:r w:rsidRPr="00CE0A20">
        <w:rPr>
          <w:rFonts w:ascii="Times New Roman" w:eastAsia="TimesNewRomanPSMT" w:hAnsi="Times New Roman" w:cs="Times New Roman"/>
          <w:color w:val="000000" w:themeColor="text1"/>
          <w:lang w:val="uk-UA"/>
        </w:rPr>
        <w:t xml:space="preserve"> асептичних умовах.</w:t>
      </w:r>
      <w:r w:rsidRPr="00CE0A20">
        <w:rPr>
          <w:rFonts w:ascii="Times New Roman" w:hAnsi="Times New Roman" w:cs="Times New Roman"/>
          <w:color w:val="000000" w:themeColor="text1"/>
          <w:lang w:val="uk-UA"/>
        </w:rPr>
        <w:t xml:space="preserve"> </w:t>
      </w:r>
    </w:p>
    <w:p w:rsidR="00EB6EBC" w:rsidRPr="00CE0A20" w:rsidRDefault="00EB6EBC" w:rsidP="00EB6EBC">
      <w:pPr>
        <w:pStyle w:val="a3"/>
        <w:autoSpaceDE w:val="0"/>
        <w:autoSpaceDN w:val="0"/>
        <w:adjustRightInd w:val="0"/>
        <w:ind w:left="0" w:firstLine="709"/>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Суспензію клітин кісткового мозку відмивали двічі в розчині Хенкса центрифугуванням при 300g протягом 10 хв. Осад ресуспендували в середовищі DMEM/F12 (1/1) (Sigma) з 10% фетальної бичачої сироватки (Sigma), 2 мМ L-Глютам</w:t>
      </w:r>
      <w:r w:rsidR="007C0EC3" w:rsidRPr="00CE0A20">
        <w:rPr>
          <w:rFonts w:ascii="Times New Roman" w:hAnsi="Times New Roman" w:cs="Times New Roman"/>
          <w:color w:val="000000" w:themeColor="text1"/>
          <w:lang w:val="uk-UA"/>
        </w:rPr>
        <w:t>і</w:t>
      </w:r>
      <w:r w:rsidRPr="00CE0A20">
        <w:rPr>
          <w:rFonts w:ascii="Times New Roman" w:hAnsi="Times New Roman" w:cs="Times New Roman"/>
          <w:color w:val="000000" w:themeColor="text1"/>
          <w:lang w:val="uk-UA"/>
        </w:rPr>
        <w:t>н (Sigma) і 50 мкг/мл гентаміцину (KRKA). Клітини розсіювали в культуральні флакони Nunc 75 см</w:t>
      </w:r>
      <w:r w:rsidRPr="00CE0A20">
        <w:rPr>
          <w:rFonts w:ascii="Times New Roman" w:hAnsi="Times New Roman" w:cs="Times New Roman"/>
          <w:color w:val="000000" w:themeColor="text1"/>
          <w:vertAlign w:val="superscript"/>
          <w:lang w:val="uk-UA"/>
        </w:rPr>
        <w:t>2</w:t>
      </w:r>
      <w:r w:rsidRPr="00CE0A20">
        <w:rPr>
          <w:rFonts w:ascii="Times New Roman" w:hAnsi="Times New Roman" w:cs="Times New Roman"/>
          <w:color w:val="000000" w:themeColor="text1"/>
          <w:lang w:val="uk-UA"/>
        </w:rPr>
        <w:t xml:space="preserve">. Через 24 години культивування зливали культуральне середовище, щоб видалити кровотворні клітини, що не прикріпилися та двічі промивали флакон розчином Хенкса. Додавали свіже культуральне середовище </w:t>
      </w:r>
      <w:r w:rsidR="007C0EC3" w:rsidRPr="00CE0A20">
        <w:rPr>
          <w:rFonts w:ascii="Times New Roman" w:hAnsi="Times New Roman" w:cs="Times New Roman"/>
          <w:color w:val="000000" w:themeColor="text1"/>
          <w:lang w:val="uk-UA"/>
        </w:rPr>
        <w:t>й</w:t>
      </w:r>
      <w:r w:rsidRPr="00CE0A20">
        <w:rPr>
          <w:rFonts w:ascii="Times New Roman" w:hAnsi="Times New Roman" w:cs="Times New Roman"/>
          <w:color w:val="000000" w:themeColor="text1"/>
          <w:lang w:val="uk-UA"/>
        </w:rPr>
        <w:t xml:space="preserve"> культивували стромальні клітини при 37 ºС і 5% СО</w:t>
      </w:r>
      <w:r w:rsidRPr="00CE0A20">
        <w:rPr>
          <w:rFonts w:ascii="Times New Roman" w:hAnsi="Times New Roman" w:cs="Times New Roman"/>
          <w:color w:val="000000" w:themeColor="text1"/>
          <w:vertAlign w:val="subscript"/>
          <w:lang w:val="uk-UA"/>
        </w:rPr>
        <w:t xml:space="preserve">2 </w:t>
      </w:r>
      <w:r w:rsidRPr="00CE0A20">
        <w:rPr>
          <w:rFonts w:ascii="Times New Roman" w:hAnsi="Times New Roman" w:cs="Times New Roman"/>
          <w:color w:val="000000" w:themeColor="text1"/>
          <w:lang w:val="uk-UA"/>
        </w:rPr>
        <w:t>протягом 14</w:t>
      </w:r>
      <w:r w:rsidR="007C0EC3" w:rsidRPr="00CE0A20">
        <w:rPr>
          <w:rFonts w:ascii="Times New Roman" w:hAnsi="Times New Roman" w:cs="Times New Roman"/>
          <w:color w:val="000000" w:themeColor="text1"/>
          <w:lang w:val="uk-UA"/>
        </w:rPr>
        <w:t>-ти</w:t>
      </w:r>
      <w:r w:rsidRPr="00CE0A20">
        <w:rPr>
          <w:rFonts w:ascii="Times New Roman" w:hAnsi="Times New Roman" w:cs="Times New Roman"/>
          <w:color w:val="000000" w:themeColor="text1"/>
          <w:lang w:val="uk-UA"/>
        </w:rPr>
        <w:t xml:space="preserve"> діб до утворення субконфлюентного клітин</w:t>
      </w:r>
      <w:r w:rsidRPr="00CE0A20">
        <w:rPr>
          <w:rFonts w:ascii="Times New Roman" w:hAnsi="Times New Roman" w:cs="Times New Roman"/>
          <w:color w:val="000000" w:themeColor="text1"/>
          <w:lang w:val="uk-UA"/>
        </w:rPr>
        <w:softHyphen/>
        <w:t>ного моношару. Зміну середовища проводили кожні 3 доби протягом 2 тиж</w:t>
      </w:r>
      <w:r w:rsidRPr="00CE0A20">
        <w:rPr>
          <w:rFonts w:ascii="Times New Roman" w:hAnsi="Times New Roman" w:cs="Times New Roman"/>
          <w:color w:val="000000" w:themeColor="text1"/>
          <w:lang w:val="uk-UA"/>
        </w:rPr>
        <w:softHyphen/>
        <w:t>нів. Потім клітини знімали з культурального флакону після коротко</w:t>
      </w:r>
      <w:r w:rsidRPr="00CE0A20">
        <w:rPr>
          <w:rFonts w:ascii="Times New Roman" w:hAnsi="Times New Roman" w:cs="Times New Roman"/>
          <w:color w:val="000000" w:themeColor="text1"/>
          <w:lang w:val="uk-UA"/>
        </w:rPr>
        <w:softHyphen/>
        <w:t xml:space="preserve">часної інкубації їх в 0,25% розчині трипсину/EDTA, ресуспендували у свіжому культуральному середовищі та центрифугували при 300g протягом 10 хв. </w:t>
      </w:r>
    </w:p>
    <w:p w:rsidR="00EB6EBC" w:rsidRPr="00CE0A20" w:rsidRDefault="00EB6EBC" w:rsidP="00EB6EBC">
      <w:pPr>
        <w:pStyle w:val="af0"/>
        <w:rPr>
          <w:rFonts w:ascii="Times New Roman" w:hAnsi="Times New Roman"/>
          <w:color w:val="000000" w:themeColor="text1"/>
          <w:lang w:val="uk-UA"/>
        </w:rPr>
      </w:pPr>
      <w:r w:rsidRPr="00CE0A20">
        <w:rPr>
          <w:rFonts w:ascii="Times New Roman" w:hAnsi="Times New Roman"/>
          <w:color w:val="000000" w:themeColor="text1"/>
          <w:lang w:val="uk-UA"/>
        </w:rPr>
        <w:t>КСКМ щурів утворювали на дні культурального флакону колонії фібробластоподібних клітин. Концентрацію клітин підрахо</w:t>
      </w:r>
      <w:r w:rsidR="007C0EC3" w:rsidRPr="00CE0A20">
        <w:rPr>
          <w:rFonts w:ascii="Times New Roman" w:hAnsi="Times New Roman"/>
          <w:color w:val="000000" w:themeColor="text1"/>
          <w:lang w:val="uk-UA"/>
        </w:rPr>
        <w:t>ву</w:t>
      </w:r>
      <w:r w:rsidRPr="00CE0A20">
        <w:rPr>
          <w:rFonts w:ascii="Times New Roman" w:hAnsi="Times New Roman"/>
          <w:color w:val="000000" w:themeColor="text1"/>
          <w:lang w:val="uk-UA"/>
        </w:rPr>
        <w:t>вали в камері Горяєва за допомогою світлового мікроскоп</w:t>
      </w:r>
      <w:r w:rsidR="007C0EC3" w:rsidRPr="00CE0A20">
        <w:rPr>
          <w:rFonts w:ascii="Times New Roman" w:hAnsi="Times New Roman"/>
          <w:color w:val="000000" w:themeColor="text1"/>
          <w:lang w:val="uk-UA"/>
        </w:rPr>
        <w:t>а</w:t>
      </w:r>
      <w:r w:rsidRPr="00CE0A20">
        <w:rPr>
          <w:rFonts w:ascii="Times New Roman" w:hAnsi="Times New Roman"/>
          <w:color w:val="000000" w:themeColor="text1"/>
          <w:lang w:val="uk-UA"/>
        </w:rPr>
        <w:t>. З одного культурального флакон</w:t>
      </w:r>
      <w:r w:rsidR="007C0EC3" w:rsidRPr="00CE0A20">
        <w:rPr>
          <w:rFonts w:ascii="Times New Roman" w:hAnsi="Times New Roman"/>
          <w:color w:val="000000" w:themeColor="text1"/>
          <w:lang w:val="uk-UA"/>
        </w:rPr>
        <w:t>а</w:t>
      </w:r>
      <w:r w:rsidRPr="00CE0A20">
        <w:rPr>
          <w:rFonts w:ascii="Times New Roman" w:hAnsi="Times New Roman"/>
          <w:color w:val="000000" w:themeColor="text1"/>
          <w:lang w:val="uk-UA"/>
        </w:rPr>
        <w:t xml:space="preserve"> отримували 1-2х10</w:t>
      </w:r>
      <w:r w:rsidRPr="00CE0A20">
        <w:rPr>
          <w:rFonts w:ascii="Times New Roman" w:hAnsi="Times New Roman"/>
          <w:color w:val="000000" w:themeColor="text1"/>
          <w:vertAlign w:val="superscript"/>
          <w:lang w:val="uk-UA"/>
        </w:rPr>
        <w:t>6</w:t>
      </w:r>
      <w:r w:rsidRPr="00CE0A20">
        <w:rPr>
          <w:rFonts w:ascii="Times New Roman" w:hAnsi="Times New Roman"/>
          <w:color w:val="000000" w:themeColor="text1"/>
          <w:lang w:val="uk-UA"/>
        </w:rPr>
        <w:t xml:space="preserve"> КСКМ [129].</w:t>
      </w:r>
    </w:p>
    <w:p w:rsidR="00EB6EBC" w:rsidRPr="00CE0A20" w:rsidRDefault="00EB6EBC" w:rsidP="00EB6EBC">
      <w:pPr>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Отриману культуру КСКМ зберігали до часу трансплантації. Трансплантацію КСКМ здійснювали шляхом інтратести</w:t>
      </w:r>
      <w:r w:rsidRPr="00CE0A20">
        <w:rPr>
          <w:rFonts w:ascii="Times New Roman" w:hAnsi="Times New Roman" w:cs="Times New Roman"/>
          <w:color w:val="000000" w:themeColor="text1"/>
          <w:sz w:val="28"/>
          <w:szCs w:val="28"/>
          <w:lang w:val="uk-UA"/>
        </w:rPr>
        <w:softHyphen/>
        <w:t>кулярної ін’єкції за допомогою інсулінових шприців. Голку вводили вздовж довгої осі яєчка та виконували ін’єкцію при її зворотному руху в трьох точках інокуляції.</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чоловіків основної групи виконували забір губчастої речовини клубової кістки шляхом трепан-біопсії за допомогою циліндричної голки зі стилетом, яка була обладнана пристроєм для утримання кісткової тканини (Nolose system). Розмір голки G 07-09, L-15 см. У місці забору кісткового фрагмента на дефект шкіри накладали металеву дужку, асептичну наклейку і холод на 20–30 хв. Процедуру здійснювали в стерильних умовах із застосуванням місцевої анестезії. Після взяття матеріалу, останній об'ємом до 1 см</w:t>
      </w:r>
      <w:r w:rsidRPr="00CE0A20">
        <w:rPr>
          <w:rFonts w:ascii="Times New Roman" w:hAnsi="Times New Roman" w:cs="Times New Roman"/>
          <w:color w:val="000000" w:themeColor="text1"/>
          <w:sz w:val="28"/>
          <w:szCs w:val="28"/>
          <w:vertAlign w:val="superscript"/>
          <w:lang w:val="uk-UA"/>
        </w:rPr>
        <w:t>3</w:t>
      </w:r>
      <w:r w:rsidRPr="00CE0A20">
        <w:rPr>
          <w:rFonts w:ascii="Times New Roman" w:hAnsi="Times New Roman" w:cs="Times New Roman"/>
          <w:color w:val="000000" w:themeColor="text1"/>
          <w:sz w:val="28"/>
          <w:szCs w:val="28"/>
          <w:lang w:val="uk-UA"/>
        </w:rPr>
        <w:t xml:space="preserve">, </w:t>
      </w:r>
      <w:r w:rsidR="00E87107"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спеціальному контейнері направляли в лабораторію.</w:t>
      </w:r>
    </w:p>
    <w:p w:rsidR="00EB6EBC" w:rsidRPr="00CE0A20" w:rsidRDefault="00EB6EBC" w:rsidP="00EB6EBC">
      <w:pPr>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Протягом наступних 2-3</w:t>
      </w:r>
      <w:r w:rsidR="00E87107" w:rsidRPr="00CE0A20">
        <w:rPr>
          <w:rFonts w:ascii="Times New Roman" w:hAnsi="Times New Roman" w:cs="Times New Roman"/>
          <w:color w:val="000000" w:themeColor="text1"/>
          <w:sz w:val="28"/>
          <w:szCs w:val="28"/>
          <w:lang w:val="uk-UA"/>
        </w:rPr>
        <w:t>-х</w:t>
      </w:r>
      <w:r w:rsidRPr="00CE0A20">
        <w:rPr>
          <w:rFonts w:ascii="Times New Roman" w:hAnsi="Times New Roman" w:cs="Times New Roman"/>
          <w:color w:val="000000" w:themeColor="text1"/>
          <w:sz w:val="28"/>
          <w:szCs w:val="28"/>
          <w:lang w:val="uk-UA"/>
        </w:rPr>
        <w:t xml:space="preserve"> годин пацієнти перебували під наглядом. Шкірну дужку видалили на 6-7</w:t>
      </w:r>
      <w:r w:rsidR="00E87107"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добу. У двох випадках мали місце незначні підшкірні гематоми, які піддалися зворотному розвитку самостійно.</w:t>
      </w:r>
    </w:p>
    <w:p w:rsidR="00EB6EBC" w:rsidRPr="00CE0A20" w:rsidRDefault="00EB6EBC" w:rsidP="00EB6EBC">
      <w:pPr>
        <w:ind w:firstLine="708"/>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 xml:space="preserve">2.6 Техніка аутотрансплантації КСКМ хворим, </w:t>
      </w:r>
      <w:r w:rsidR="00027489" w:rsidRPr="00CE0A20">
        <w:rPr>
          <w:rFonts w:ascii="Times New Roman" w:hAnsi="Times New Roman" w:cs="Times New Roman"/>
          <w:b/>
          <w:color w:val="000000" w:themeColor="text1"/>
          <w:sz w:val="28"/>
          <w:szCs w:val="28"/>
          <w:lang w:val="uk-UA"/>
        </w:rPr>
        <w:t>залученим</w:t>
      </w:r>
      <w:r w:rsidRPr="00CE0A20">
        <w:rPr>
          <w:rFonts w:ascii="Times New Roman" w:hAnsi="Times New Roman" w:cs="Times New Roman"/>
          <w:b/>
          <w:color w:val="000000" w:themeColor="text1"/>
          <w:sz w:val="28"/>
          <w:szCs w:val="28"/>
          <w:lang w:val="uk-UA"/>
        </w:rPr>
        <w:t xml:space="preserve"> у дослідження</w:t>
      </w:r>
    </w:p>
    <w:p w:rsidR="00EB6EBC" w:rsidRPr="00CE0A20" w:rsidRDefault="00EB6EBC" w:rsidP="00EB6EBC">
      <w:pPr>
        <w:ind w:firstLine="708"/>
        <w:jc w:val="both"/>
        <w:rPr>
          <w:rFonts w:ascii="Times New Roman" w:hAnsi="Times New Roman" w:cs="Times New Roman"/>
          <w:color w:val="000000" w:themeColor="text1"/>
          <w:sz w:val="28"/>
          <w:szCs w:val="28"/>
          <w:lang w:val="uk-UA"/>
        </w:rPr>
      </w:pPr>
    </w:p>
    <w:p w:rsidR="00BB29C6" w:rsidRPr="00CE0A20" w:rsidRDefault="00BB29C6" w:rsidP="00EB6EBC">
      <w:pPr>
        <w:spacing w:line="360" w:lineRule="auto"/>
        <w:ind w:firstLine="708"/>
        <w:jc w:val="both"/>
        <w:rPr>
          <w:rFonts w:ascii="Times New Roman" w:hAnsi="Times New Roman" w:cs="Times New Roman"/>
          <w:color w:val="000000" w:themeColor="text1"/>
          <w:sz w:val="28"/>
          <w:szCs w:val="28"/>
          <w:lang w:val="uk-UA"/>
        </w:rPr>
      </w:pPr>
    </w:p>
    <w:p w:rsidR="00EB6EBC" w:rsidRPr="00CE0A20" w:rsidRDefault="00EB6EBC" w:rsidP="00EB6EBC">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На початку дослідження здійснювали ультразвукове дослідження органів мошонки для оцінки структури </w:t>
      </w:r>
      <w:r w:rsidR="00E87107"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об’єму кожного яєчка. </w:t>
      </w:r>
    </w:p>
    <w:p w:rsidR="00EB6EBC" w:rsidRPr="00CE0A20" w:rsidRDefault="00EB6EBC" w:rsidP="00EB6EBC">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Після завершення лабораторного етапу підготовки клітин до трансплантації останні поміщали в пробірку </w:t>
      </w:r>
      <w:r w:rsidR="00E87107"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транспортували при дотриманні температурного режиму до місця проведення інтратестикулярної ін'єкції. У супровідному документі </w:t>
      </w:r>
      <w:r w:rsidR="00E87107" w:rsidRPr="00CE0A20">
        <w:rPr>
          <w:rFonts w:ascii="Times New Roman" w:hAnsi="Times New Roman" w:cs="Times New Roman"/>
          <w:color w:val="000000" w:themeColor="text1"/>
          <w:sz w:val="28"/>
          <w:szCs w:val="28"/>
          <w:lang w:val="uk-UA"/>
        </w:rPr>
        <w:t>зазнача</w:t>
      </w:r>
      <w:r w:rsidRPr="00CE0A20">
        <w:rPr>
          <w:rFonts w:ascii="Times New Roman" w:hAnsi="Times New Roman" w:cs="Times New Roman"/>
          <w:color w:val="000000" w:themeColor="text1"/>
          <w:sz w:val="28"/>
          <w:szCs w:val="28"/>
          <w:lang w:val="uk-UA"/>
        </w:rPr>
        <w:t xml:space="preserve">ли ПІБ пацієнта, дату забору, а також дату </w:t>
      </w:r>
      <w:r w:rsidR="00E87107"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час приготування клітинного матеріалу </w:t>
      </w:r>
      <w:r w:rsidR="00E87107" w:rsidRPr="00CE0A20">
        <w:rPr>
          <w:rFonts w:ascii="Times New Roman" w:hAnsi="Times New Roman" w:cs="Times New Roman"/>
          <w:color w:val="000000" w:themeColor="text1"/>
          <w:sz w:val="28"/>
          <w:szCs w:val="28"/>
          <w:lang w:val="uk-UA"/>
        </w:rPr>
        <w:t>та</w:t>
      </w:r>
      <w:r w:rsidRPr="00CE0A20">
        <w:rPr>
          <w:rFonts w:ascii="Times New Roman" w:hAnsi="Times New Roman" w:cs="Times New Roman"/>
          <w:color w:val="000000" w:themeColor="text1"/>
          <w:sz w:val="28"/>
          <w:szCs w:val="28"/>
          <w:lang w:val="uk-UA"/>
        </w:rPr>
        <w:t xml:space="preserve"> граничний час його введення, а також загальну кількість КСКМ та об</w:t>
      </w:r>
      <w:r w:rsidR="00E87107" w:rsidRPr="00CE0A20">
        <w:rPr>
          <w:rFonts w:ascii="Times New Roman" w:hAnsi="Times New Roman" w:cs="Times New Roman"/>
          <w:color w:val="000000" w:themeColor="text1"/>
          <w:sz w:val="28"/>
          <w:szCs w:val="28"/>
        </w:rPr>
        <w:t>’</w:t>
      </w:r>
      <w:r w:rsidR="00E87107" w:rsidRPr="00CE0A20">
        <w:rPr>
          <w:rFonts w:ascii="Times New Roman" w:hAnsi="Times New Roman" w:cs="Times New Roman"/>
          <w:color w:val="000000" w:themeColor="text1"/>
          <w:sz w:val="28"/>
          <w:szCs w:val="28"/>
          <w:lang w:val="uk-UA"/>
        </w:rPr>
        <w:t>єм</w:t>
      </w:r>
      <w:r w:rsidRPr="00CE0A20">
        <w:rPr>
          <w:rFonts w:ascii="Times New Roman" w:hAnsi="Times New Roman" w:cs="Times New Roman"/>
          <w:color w:val="000000" w:themeColor="text1"/>
          <w:sz w:val="28"/>
          <w:szCs w:val="28"/>
          <w:lang w:val="uk-UA"/>
        </w:rPr>
        <w:t xml:space="preserve"> рідини, в як</w:t>
      </w:r>
      <w:r w:rsidR="00E87107" w:rsidRPr="00CE0A20">
        <w:rPr>
          <w:rFonts w:ascii="Times New Roman" w:hAnsi="Times New Roman" w:cs="Times New Roman"/>
          <w:color w:val="000000" w:themeColor="text1"/>
          <w:sz w:val="28"/>
          <w:szCs w:val="28"/>
          <w:lang w:val="uk-UA"/>
        </w:rPr>
        <w:t>ій</w:t>
      </w:r>
      <w:r w:rsidRPr="00CE0A20">
        <w:rPr>
          <w:rFonts w:ascii="Times New Roman" w:hAnsi="Times New Roman" w:cs="Times New Roman"/>
          <w:color w:val="000000" w:themeColor="text1"/>
          <w:sz w:val="28"/>
          <w:szCs w:val="28"/>
          <w:lang w:val="uk-UA"/>
        </w:rPr>
        <w:t xml:space="preserve"> вони перебували. Як правило, 2–3 тижнів було досить для проведення 1-го циклу культивування та отримання 3–4-х мільйонів КСКМ. Однак в одному випадку у зв’язку з малою кількістю КСКМ було потрібн</w:t>
      </w:r>
      <w:r w:rsidR="00E87107" w:rsidRPr="00CE0A20">
        <w:rPr>
          <w:rFonts w:ascii="Times New Roman" w:hAnsi="Times New Roman" w:cs="Times New Roman"/>
          <w:color w:val="000000" w:themeColor="text1"/>
          <w:sz w:val="28"/>
          <w:szCs w:val="28"/>
          <w:lang w:val="uk-UA"/>
        </w:rPr>
        <w:t>им</w:t>
      </w:r>
      <w:r w:rsidRPr="00CE0A20">
        <w:rPr>
          <w:rFonts w:ascii="Times New Roman" w:hAnsi="Times New Roman" w:cs="Times New Roman"/>
          <w:color w:val="000000" w:themeColor="text1"/>
          <w:sz w:val="28"/>
          <w:szCs w:val="28"/>
          <w:lang w:val="uk-UA"/>
        </w:rPr>
        <w:t xml:space="preserve"> проведення повторного циклу культивування, таким чином</w:t>
      </w:r>
      <w:r w:rsidR="00E87107"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між забором матеріалу та подальшо</w:t>
      </w:r>
      <w:r w:rsidR="00E87107"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 xml:space="preserve"> аутотрансплантацією </w:t>
      </w:r>
      <w:r w:rsidR="00E87107" w:rsidRPr="00CE0A20">
        <w:rPr>
          <w:rFonts w:ascii="Times New Roman" w:hAnsi="Times New Roman" w:cs="Times New Roman"/>
          <w:color w:val="000000" w:themeColor="text1"/>
          <w:sz w:val="28"/>
          <w:szCs w:val="28"/>
          <w:lang w:val="uk-UA"/>
        </w:rPr>
        <w:t>мину</w:t>
      </w:r>
      <w:r w:rsidRPr="00CE0A20">
        <w:rPr>
          <w:rFonts w:ascii="Times New Roman" w:hAnsi="Times New Roman" w:cs="Times New Roman"/>
          <w:color w:val="000000" w:themeColor="text1"/>
          <w:sz w:val="28"/>
          <w:szCs w:val="28"/>
          <w:lang w:val="uk-UA"/>
        </w:rPr>
        <w:t xml:space="preserve">ло 4 тижні і ще в одному – 6 тижнів. Аутотрансплантацію КСКМ проводили в стерильних умовах після обробки шкіри мошонки розчинами антисептиків в аерозолі. Для проведення маніпуляції використовували інсуліновий шприц зі знімною голкою L-35 mm з тригранним заточуванням. Використання такої голки не </w:t>
      </w:r>
      <w:r w:rsidR="00E87107" w:rsidRPr="00CE0A20">
        <w:rPr>
          <w:rFonts w:ascii="Times New Roman" w:hAnsi="Times New Roman" w:cs="Times New Roman"/>
          <w:color w:val="000000" w:themeColor="text1"/>
          <w:sz w:val="28"/>
          <w:szCs w:val="28"/>
          <w:lang w:val="uk-UA"/>
        </w:rPr>
        <w:t>потребува</w:t>
      </w:r>
      <w:r w:rsidRPr="00CE0A20">
        <w:rPr>
          <w:rFonts w:ascii="Times New Roman" w:hAnsi="Times New Roman" w:cs="Times New Roman"/>
          <w:color w:val="000000" w:themeColor="text1"/>
          <w:sz w:val="28"/>
          <w:szCs w:val="28"/>
          <w:lang w:val="uk-UA"/>
        </w:rPr>
        <w:t>ло додаткової анестезії при проведенні ітратест</w:t>
      </w:r>
      <w:r w:rsidR="00E87107"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кулярних ін'єкцій.</w:t>
      </w:r>
    </w:p>
    <w:p w:rsidR="00EB6EBC" w:rsidRPr="00CE0A20" w:rsidRDefault="00EB6EBC" w:rsidP="00EB6EBC">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Інтратестикулярні ін'єкції виконували послідовно з обох </w:t>
      </w:r>
      <w:r w:rsidR="00E87107" w:rsidRPr="00CE0A20">
        <w:rPr>
          <w:rFonts w:ascii="Times New Roman" w:hAnsi="Times New Roman" w:cs="Times New Roman"/>
          <w:color w:val="000000" w:themeColor="text1"/>
          <w:sz w:val="28"/>
          <w:szCs w:val="28"/>
          <w:lang w:val="uk-UA"/>
        </w:rPr>
        <w:t>боків</w:t>
      </w:r>
      <w:r w:rsidRPr="00CE0A20">
        <w:rPr>
          <w:rFonts w:ascii="Times New Roman" w:hAnsi="Times New Roman" w:cs="Times New Roman"/>
          <w:color w:val="000000" w:themeColor="text1"/>
          <w:sz w:val="28"/>
          <w:szCs w:val="28"/>
          <w:lang w:val="uk-UA"/>
        </w:rPr>
        <w:t>, використовуючи два різних інсулінових шприців зі знімними голками G30. З огляду на малий об’єм, в якому знаходилися КСКМ (менш 5% від об’єму яєчка), їх введення в яєчко не викликало додаткового болю. Місцем пункції був один з полюсів яєчка далеко від його придатка. Голку проводили максимально глибоко до протилежного полюса, де вводили третину об’єму, при руху на себе наступним місцем інокуляції був рівень екватора і остання точка – на 1 см вглиб від місця первинної пункції яєчка (рис.</w:t>
      </w:r>
      <w:r w:rsidR="00E87107" w:rsidRPr="00CE0A20">
        <w:rPr>
          <w:rFonts w:ascii="Times New Roman" w:hAnsi="Times New Roman" w:cs="Times New Roman"/>
          <w:color w:val="000000" w:themeColor="text1"/>
          <w:sz w:val="28"/>
          <w:szCs w:val="28"/>
          <w:lang w:val="uk-UA"/>
        </w:rPr>
        <w:t> </w:t>
      </w:r>
      <w:r w:rsidRPr="00CE0A20">
        <w:rPr>
          <w:rFonts w:ascii="Times New Roman" w:hAnsi="Times New Roman" w:cs="Times New Roman"/>
          <w:color w:val="000000" w:themeColor="text1"/>
          <w:sz w:val="28"/>
          <w:szCs w:val="28"/>
          <w:lang w:val="uk-UA"/>
        </w:rPr>
        <w:t xml:space="preserve">2.2). </w:t>
      </w:r>
    </w:p>
    <w:p w:rsidR="00661B2E" w:rsidRPr="00CE0A20" w:rsidRDefault="00661B2E" w:rsidP="00661B2E">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подібна методика дозволяла рівномірно розподілити весь клітинний об’єм.</w:t>
      </w:r>
    </w:p>
    <w:p w:rsidR="00661B2E" w:rsidRPr="00CE0A20" w:rsidRDefault="00661B2E" w:rsidP="00661B2E">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найближчі 2-3 години після проведення інтратестикулярної трансплантації КСКМ пацієнти залишалися під наглядом, який завершувався проведенням контрольного УЗД органів мошонки. Яких-небудь додаткових заходів не проводили. Больового синдрому не спостерігалося. Патологічних змін об'єктивно й візуально не було виявлено.</w:t>
      </w:r>
    </w:p>
    <w:p w:rsidR="00EB6EBC" w:rsidRPr="00CE0A20" w:rsidRDefault="00EB6EBC" w:rsidP="00EB6EBC">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anchor distT="0" distB="0" distL="114300" distR="114300" simplePos="0" relativeHeight="251661312" behindDoc="1" locked="0" layoutInCell="1" allowOverlap="1" wp14:anchorId="5F6F082C" wp14:editId="41997612">
            <wp:simplePos x="0" y="0"/>
            <wp:positionH relativeFrom="column">
              <wp:posOffset>1528445</wp:posOffset>
            </wp:positionH>
            <wp:positionV relativeFrom="paragraph">
              <wp:posOffset>13970</wp:posOffset>
            </wp:positionV>
            <wp:extent cx="2878455" cy="2776220"/>
            <wp:effectExtent l="0" t="0" r="0" b="5080"/>
            <wp:wrapTight wrapText="bothSides">
              <wp:wrapPolygon edited="0">
                <wp:start x="0" y="0"/>
                <wp:lineTo x="0" y="21491"/>
                <wp:lineTo x="21443" y="21491"/>
                <wp:lineTo x="21443" y="0"/>
                <wp:lineTo x="0" y="0"/>
              </wp:wrapPolygon>
            </wp:wrapTight>
            <wp:docPr id="160" name="Рисунок 160" descr="Введение мужика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ведение мужикам"/>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78455" cy="2776220"/>
                    </a:xfrm>
                    <a:prstGeom prst="rect">
                      <a:avLst/>
                    </a:prstGeom>
                    <a:noFill/>
                  </pic:spPr>
                </pic:pic>
              </a:graphicData>
            </a:graphic>
            <wp14:sizeRelH relativeFrom="page">
              <wp14:pctWidth>0</wp14:pctWidth>
            </wp14:sizeRelH>
            <wp14:sizeRelV relativeFrom="page">
              <wp14:pctHeight>0</wp14:pctHeight>
            </wp14:sizeRelV>
          </wp:anchor>
        </w:drawing>
      </w:r>
    </w:p>
    <w:p w:rsidR="00EB6EBC" w:rsidRPr="00CE0A20" w:rsidRDefault="00EB6EBC" w:rsidP="00EB6EBC">
      <w:pPr>
        <w:spacing w:line="360" w:lineRule="auto"/>
        <w:ind w:firstLine="708"/>
        <w:jc w:val="both"/>
        <w:rPr>
          <w:rFonts w:ascii="Times New Roman" w:hAnsi="Times New Roman" w:cs="Times New Roman"/>
          <w:color w:val="000000" w:themeColor="text1"/>
          <w:sz w:val="28"/>
          <w:szCs w:val="28"/>
          <w:lang w:val="uk-UA"/>
        </w:rPr>
      </w:pPr>
    </w:p>
    <w:p w:rsidR="007D08ED" w:rsidRPr="00CE0A20" w:rsidRDefault="007D08ED" w:rsidP="00EB6EBC">
      <w:pPr>
        <w:spacing w:line="360" w:lineRule="auto"/>
        <w:ind w:firstLine="708"/>
        <w:jc w:val="both"/>
        <w:rPr>
          <w:rFonts w:ascii="Times New Roman" w:hAnsi="Times New Roman" w:cs="Times New Roman"/>
          <w:color w:val="000000" w:themeColor="text1"/>
          <w:sz w:val="28"/>
          <w:szCs w:val="28"/>
          <w:lang w:val="en-US" w:eastAsia="ar-SA"/>
        </w:rPr>
      </w:pPr>
    </w:p>
    <w:p w:rsidR="007D08ED" w:rsidRPr="00CE0A20" w:rsidRDefault="007D08ED" w:rsidP="00EB6EBC">
      <w:pPr>
        <w:spacing w:line="360" w:lineRule="auto"/>
        <w:ind w:firstLine="708"/>
        <w:jc w:val="both"/>
        <w:rPr>
          <w:rFonts w:ascii="Times New Roman" w:hAnsi="Times New Roman" w:cs="Times New Roman"/>
          <w:color w:val="000000" w:themeColor="text1"/>
          <w:sz w:val="28"/>
          <w:szCs w:val="28"/>
          <w:lang w:val="en-US" w:eastAsia="ar-SA"/>
        </w:rPr>
      </w:pPr>
    </w:p>
    <w:p w:rsidR="007D08ED" w:rsidRPr="00CE0A20" w:rsidRDefault="007D08ED" w:rsidP="00EB6EBC">
      <w:pPr>
        <w:spacing w:line="360" w:lineRule="auto"/>
        <w:ind w:firstLine="708"/>
        <w:jc w:val="both"/>
        <w:rPr>
          <w:rFonts w:ascii="Times New Roman" w:hAnsi="Times New Roman" w:cs="Times New Roman"/>
          <w:color w:val="000000" w:themeColor="text1"/>
          <w:sz w:val="28"/>
          <w:szCs w:val="28"/>
          <w:lang w:val="en-US" w:eastAsia="ar-SA"/>
        </w:rPr>
      </w:pPr>
    </w:p>
    <w:p w:rsidR="007D08ED" w:rsidRPr="00CE0A20" w:rsidRDefault="007D08ED" w:rsidP="00EB6EBC">
      <w:pPr>
        <w:spacing w:line="360" w:lineRule="auto"/>
        <w:ind w:firstLine="708"/>
        <w:jc w:val="both"/>
        <w:rPr>
          <w:rFonts w:ascii="Times New Roman" w:hAnsi="Times New Roman" w:cs="Times New Roman"/>
          <w:color w:val="000000" w:themeColor="text1"/>
          <w:sz w:val="28"/>
          <w:szCs w:val="28"/>
          <w:lang w:val="en-US" w:eastAsia="ar-SA"/>
        </w:rPr>
      </w:pPr>
    </w:p>
    <w:p w:rsidR="007D08ED" w:rsidRPr="00CE0A20" w:rsidRDefault="007D08ED" w:rsidP="00EB6EBC">
      <w:pPr>
        <w:spacing w:line="360" w:lineRule="auto"/>
        <w:ind w:firstLine="708"/>
        <w:jc w:val="both"/>
        <w:rPr>
          <w:rFonts w:ascii="Times New Roman" w:hAnsi="Times New Roman" w:cs="Times New Roman"/>
          <w:color w:val="000000" w:themeColor="text1"/>
          <w:sz w:val="28"/>
          <w:szCs w:val="28"/>
          <w:lang w:val="en-US" w:eastAsia="ar-SA"/>
        </w:rPr>
      </w:pPr>
    </w:p>
    <w:p w:rsidR="007D08ED" w:rsidRPr="00CE0A20" w:rsidRDefault="007D08ED" w:rsidP="00EB6EBC">
      <w:pPr>
        <w:spacing w:line="360" w:lineRule="auto"/>
        <w:ind w:firstLine="708"/>
        <w:jc w:val="both"/>
        <w:rPr>
          <w:rFonts w:ascii="Times New Roman" w:hAnsi="Times New Roman" w:cs="Times New Roman"/>
          <w:color w:val="000000" w:themeColor="text1"/>
          <w:sz w:val="28"/>
          <w:szCs w:val="28"/>
          <w:lang w:val="en-US" w:eastAsia="ar-SA"/>
        </w:rPr>
      </w:pPr>
    </w:p>
    <w:p w:rsidR="007D08ED" w:rsidRPr="00CE0A20" w:rsidRDefault="007D08ED" w:rsidP="00EB6EBC">
      <w:pPr>
        <w:spacing w:line="360" w:lineRule="auto"/>
        <w:ind w:firstLine="708"/>
        <w:jc w:val="both"/>
        <w:rPr>
          <w:rFonts w:ascii="Times New Roman" w:hAnsi="Times New Roman" w:cs="Times New Roman"/>
          <w:color w:val="000000" w:themeColor="text1"/>
          <w:sz w:val="28"/>
          <w:szCs w:val="28"/>
          <w:lang w:val="en-US" w:eastAsia="ar-SA"/>
        </w:rPr>
      </w:pPr>
    </w:p>
    <w:p w:rsidR="00661B2E" w:rsidRPr="00CE0A20" w:rsidRDefault="00661B2E" w:rsidP="00EB6EBC">
      <w:pPr>
        <w:spacing w:line="360" w:lineRule="auto"/>
        <w:ind w:firstLine="708"/>
        <w:jc w:val="both"/>
        <w:rPr>
          <w:rFonts w:ascii="Times New Roman" w:hAnsi="Times New Roman" w:cs="Times New Roman"/>
          <w:color w:val="000000" w:themeColor="text1"/>
          <w:sz w:val="28"/>
          <w:szCs w:val="28"/>
          <w:lang w:val="en-US" w:eastAsia="ar-SA"/>
        </w:rPr>
      </w:pPr>
    </w:p>
    <w:p w:rsidR="00EB6EBC" w:rsidRPr="00CE0A20" w:rsidRDefault="00EB6EBC" w:rsidP="00EB6EBC">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eastAsia="ar-SA"/>
        </w:rPr>
        <w:t>Рис. 2.2. Техніка інтратестикулярного введення аутоКСКМ</w:t>
      </w:r>
    </w:p>
    <w:p w:rsidR="00EB6EBC" w:rsidRPr="00CE0A20" w:rsidRDefault="00EB6EBC" w:rsidP="00EB6EBC">
      <w:pPr>
        <w:spacing w:line="360" w:lineRule="auto"/>
        <w:ind w:firstLine="708"/>
        <w:jc w:val="both"/>
        <w:rPr>
          <w:rFonts w:ascii="Times New Roman" w:hAnsi="Times New Roman" w:cs="Times New Roman"/>
          <w:color w:val="000000" w:themeColor="text1"/>
          <w:sz w:val="28"/>
          <w:szCs w:val="28"/>
          <w:lang w:val="uk-UA"/>
        </w:rPr>
      </w:pPr>
    </w:p>
    <w:p w:rsidR="00EB6EBC" w:rsidRPr="00CE0A20" w:rsidRDefault="00EB6EBC" w:rsidP="00EB6EBC">
      <w:pPr>
        <w:keepNext/>
        <w:spacing w:line="360" w:lineRule="auto"/>
        <w:ind w:firstLine="709"/>
        <w:jc w:val="both"/>
        <w:textAlignment w:val="top"/>
        <w:rPr>
          <w:rFonts w:ascii="Times New Roman" w:hAnsi="Times New Roman" w:cs="Times New Roman"/>
          <w:b/>
          <w:sz w:val="28"/>
          <w:szCs w:val="28"/>
          <w:lang w:val="uk-UA"/>
        </w:rPr>
      </w:pPr>
      <w:r w:rsidRPr="00CE0A20">
        <w:rPr>
          <w:rFonts w:ascii="Times New Roman" w:hAnsi="Times New Roman" w:cs="Times New Roman"/>
          <w:b/>
          <w:color w:val="000000" w:themeColor="text1"/>
          <w:sz w:val="28"/>
          <w:szCs w:val="28"/>
          <w:lang w:val="uk-UA"/>
        </w:rPr>
        <w:t xml:space="preserve">2.7. Методика отримання культури КСКМ,  </w:t>
      </w:r>
      <w:r w:rsidRPr="00CE0A20">
        <w:rPr>
          <w:rFonts w:ascii="Times New Roman" w:hAnsi="Times New Roman" w:cs="Times New Roman"/>
          <w:b/>
          <w:sz w:val="28"/>
          <w:szCs w:val="28"/>
          <w:lang w:val="uk-UA"/>
        </w:rPr>
        <w:t>що експресують зелений флюоресцентний білок (GFP)</w:t>
      </w:r>
    </w:p>
    <w:p w:rsidR="00BB29C6" w:rsidRPr="00CE0A20" w:rsidRDefault="00BB29C6" w:rsidP="00EB6EBC">
      <w:pPr>
        <w:keepNext/>
        <w:spacing w:line="360" w:lineRule="auto"/>
        <w:ind w:firstLine="709"/>
        <w:jc w:val="both"/>
        <w:textAlignment w:val="top"/>
        <w:rPr>
          <w:rFonts w:ascii="Times New Roman" w:hAnsi="Times New Roman" w:cs="Times New Roman"/>
          <w:color w:val="000000" w:themeColor="text1"/>
          <w:sz w:val="28"/>
          <w:szCs w:val="28"/>
          <w:lang w:val="uk-UA"/>
        </w:rPr>
      </w:pPr>
    </w:p>
    <w:p w:rsidR="00EB6EBC" w:rsidRPr="00CE0A20" w:rsidRDefault="00EB6EBC" w:rsidP="00EB6EBC">
      <w:pPr>
        <w:keepNext/>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Для оцінки приживаності та трекінгу КСКМ та їх розподілу в тест</w:t>
      </w:r>
      <w:r w:rsidR="00E87107"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кулярній тканині після інтратест</w:t>
      </w:r>
      <w:r w:rsidR="00E87107"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кулярної трансплантації використо</w:t>
      </w:r>
      <w:r w:rsidRPr="00CE0A20">
        <w:rPr>
          <w:rFonts w:ascii="Times New Roman" w:hAnsi="Times New Roman" w:cs="Times New Roman"/>
          <w:color w:val="000000" w:themeColor="text1"/>
          <w:sz w:val="28"/>
          <w:szCs w:val="28"/>
          <w:lang w:val="uk-UA"/>
        </w:rPr>
        <w:softHyphen/>
        <w:t>вували технологію фл</w:t>
      </w:r>
      <w:r w:rsidR="00E87107"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оресцентної мікроскопії з використанням КСКМ, що експресують зелений фл</w:t>
      </w:r>
      <w:r w:rsidR="00E87107"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оресцентний білок GFP. Для отримання таких КСКМ проводили їх трансфекцію геном GFP.</w:t>
      </w:r>
    </w:p>
    <w:p w:rsidR="00EB6EBC" w:rsidRPr="00CE0A20" w:rsidRDefault="00EB6EBC" w:rsidP="00EB6EBC">
      <w:pPr>
        <w:spacing w:line="360" w:lineRule="auto"/>
        <w:ind w:firstLine="709"/>
        <w:jc w:val="both"/>
        <w:textAlignment w:val="top"/>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За основу процедур для отримання культур КСКМ, які перманентно експресують GFP, був узятий протокол лабораторії D. Trono і модифікований </w:t>
      </w:r>
      <w:r w:rsidR="00E87107"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нашій лабораторії. (École Polytechnique Fédérale de Lausanne, Швейцарія) [151]. </w:t>
      </w:r>
    </w:p>
    <w:p w:rsidR="00EB6EBC" w:rsidRPr="00CE0A20" w:rsidRDefault="00EB6EBC" w:rsidP="00EB6EBC">
      <w:pPr>
        <w:pStyle w:val="a3"/>
        <w:autoSpaceDE w:val="0"/>
        <w:autoSpaceDN w:val="0"/>
        <w:adjustRightInd w:val="0"/>
        <w:ind w:left="0" w:firstLine="709"/>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Для продукції лент</w:t>
      </w:r>
      <w:r w:rsidR="00E87107" w:rsidRPr="00CE0A20">
        <w:rPr>
          <w:rFonts w:ascii="Times New Roman" w:hAnsi="Times New Roman" w:cs="Times New Roman"/>
          <w:color w:val="000000" w:themeColor="text1"/>
          <w:lang w:val="uk-UA"/>
        </w:rPr>
        <w:t>и</w:t>
      </w:r>
      <w:r w:rsidRPr="00CE0A20">
        <w:rPr>
          <w:rFonts w:ascii="Times New Roman" w:hAnsi="Times New Roman" w:cs="Times New Roman"/>
          <w:color w:val="000000" w:themeColor="text1"/>
          <w:lang w:val="uk-UA"/>
        </w:rPr>
        <w:t xml:space="preserve">вірусних частинок використовували клітини лінії НЕК 293Т. Клітини НЕК 293Т виступають </w:t>
      </w:r>
      <w:r w:rsidR="00E87107" w:rsidRPr="00CE0A20">
        <w:rPr>
          <w:rFonts w:ascii="Times New Roman" w:hAnsi="Times New Roman" w:cs="Times New Roman"/>
          <w:color w:val="000000" w:themeColor="text1"/>
          <w:lang w:val="uk-UA"/>
        </w:rPr>
        <w:t>у</w:t>
      </w:r>
      <w:r w:rsidRPr="00CE0A20">
        <w:rPr>
          <w:rFonts w:ascii="Times New Roman" w:hAnsi="Times New Roman" w:cs="Times New Roman"/>
          <w:color w:val="000000" w:themeColor="text1"/>
          <w:lang w:val="uk-UA"/>
        </w:rPr>
        <w:t xml:space="preserve"> ролі клітин - продуцентів для розмноження вірусних векторів.</w:t>
      </w:r>
    </w:p>
    <w:p w:rsidR="00EB6EBC" w:rsidRPr="00CE0A20" w:rsidRDefault="00EB6EBC" w:rsidP="00EB6EBC">
      <w:pPr>
        <w:pStyle w:val="a3"/>
        <w:autoSpaceDE w:val="0"/>
        <w:autoSpaceDN w:val="0"/>
        <w:adjustRightInd w:val="0"/>
        <w:ind w:left="0" w:firstLine="709"/>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Клітини НЕК 293Т культивували в середовищі DMEM, 10% FBS, 2мM глутамін (Sigma) і 50 мкг/мл гентаміцину (KRKA) при при 37 ºС і 5% СО</w:t>
      </w:r>
      <w:r w:rsidRPr="00CE0A20">
        <w:rPr>
          <w:rFonts w:ascii="Times New Roman" w:hAnsi="Times New Roman" w:cs="Times New Roman"/>
          <w:color w:val="000000" w:themeColor="text1"/>
          <w:vertAlign w:val="subscript"/>
          <w:lang w:val="uk-UA"/>
        </w:rPr>
        <w:t>2.</w:t>
      </w:r>
    </w:p>
    <w:p w:rsidR="00EB6EBC" w:rsidRPr="00CE0A20" w:rsidRDefault="00EB6EBC" w:rsidP="00EB6EBC">
      <w:pPr>
        <w:pStyle w:val="a3"/>
        <w:autoSpaceDE w:val="0"/>
        <w:autoSpaceDN w:val="0"/>
        <w:adjustRightInd w:val="0"/>
        <w:ind w:left="0" w:firstLine="709"/>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За </w:t>
      </w:r>
      <w:r w:rsidR="00885BC3">
        <w:rPr>
          <w:rFonts w:ascii="Times New Roman" w:hAnsi="Times New Roman" w:cs="Times New Roman"/>
          <w:color w:val="000000" w:themeColor="text1"/>
          <w:lang w:val="uk-UA"/>
        </w:rPr>
        <w:t xml:space="preserve">добу </w:t>
      </w:r>
      <w:r w:rsidRPr="00CE0A20">
        <w:rPr>
          <w:rFonts w:ascii="Times New Roman" w:hAnsi="Times New Roman" w:cs="Times New Roman"/>
          <w:color w:val="000000" w:themeColor="text1"/>
          <w:lang w:val="uk-UA"/>
        </w:rPr>
        <w:t>до трансфекції клітини розсіювали на чашки Петрі діаметром 10 см у 9 мл культурального середовища по 2,5x10</w:t>
      </w:r>
      <w:r w:rsidRPr="00CE0A20">
        <w:rPr>
          <w:rFonts w:ascii="Times New Roman" w:hAnsi="Times New Roman" w:cs="Times New Roman"/>
          <w:color w:val="000000" w:themeColor="text1"/>
          <w:vertAlign w:val="superscript"/>
          <w:lang w:val="uk-UA"/>
        </w:rPr>
        <w:t>6</w:t>
      </w:r>
      <w:r w:rsidRPr="00CE0A20">
        <w:rPr>
          <w:rFonts w:ascii="Times New Roman" w:hAnsi="Times New Roman" w:cs="Times New Roman"/>
          <w:color w:val="000000" w:themeColor="text1"/>
          <w:lang w:val="uk-UA"/>
        </w:rPr>
        <w:t xml:space="preserve"> клітин на чашку.</w:t>
      </w:r>
    </w:p>
    <w:p w:rsidR="00EB6EBC" w:rsidRPr="00CE0A20" w:rsidRDefault="00EB6EBC" w:rsidP="00EB6EBC">
      <w:pPr>
        <w:pStyle w:val="a3"/>
        <w:autoSpaceDE w:val="0"/>
        <w:autoSpaceDN w:val="0"/>
        <w:adjustRightInd w:val="0"/>
        <w:ind w:left="0" w:firstLine="709"/>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Використовували метод кальцій-фосфатної трансфекції: ізотонічний розчин, що містить буфер HEPES, фосфат і плазміди змішували з CaCl</w:t>
      </w:r>
      <w:r w:rsidRPr="00CE0A20">
        <w:rPr>
          <w:rFonts w:ascii="Times New Roman" w:hAnsi="Times New Roman" w:cs="Times New Roman"/>
          <w:color w:val="000000" w:themeColor="text1"/>
          <w:vertAlign w:val="subscript"/>
          <w:lang w:val="uk-UA"/>
        </w:rPr>
        <w:t>2</w:t>
      </w:r>
      <w:r w:rsidRPr="00CE0A20">
        <w:rPr>
          <w:rFonts w:ascii="Times New Roman" w:hAnsi="Times New Roman" w:cs="Times New Roman"/>
          <w:color w:val="000000" w:themeColor="text1"/>
          <w:lang w:val="uk-UA"/>
        </w:rPr>
        <w:t xml:space="preserve">. При цьому утворюється осад з частинок фосфату кальцію </w:t>
      </w:r>
      <w:r w:rsidR="00E87107" w:rsidRPr="00CE0A20">
        <w:rPr>
          <w:rFonts w:ascii="Times New Roman" w:hAnsi="Times New Roman" w:cs="Times New Roman"/>
          <w:color w:val="000000" w:themeColor="text1"/>
          <w:lang w:val="uk-UA"/>
        </w:rPr>
        <w:t>й</w:t>
      </w:r>
      <w:r w:rsidRPr="00CE0A20">
        <w:rPr>
          <w:rFonts w:ascii="Times New Roman" w:hAnsi="Times New Roman" w:cs="Times New Roman"/>
          <w:color w:val="000000" w:themeColor="text1"/>
          <w:lang w:val="uk-UA"/>
        </w:rPr>
        <w:t xml:space="preserve"> ДНК (ДНК адсорбується на кристалах фосфату кальцію, утворю</w:t>
      </w:r>
      <w:r w:rsidR="00E87107" w:rsidRPr="00CE0A20">
        <w:rPr>
          <w:rFonts w:ascii="Times New Roman" w:hAnsi="Times New Roman" w:cs="Times New Roman"/>
          <w:color w:val="000000" w:themeColor="text1"/>
          <w:lang w:val="uk-UA"/>
        </w:rPr>
        <w:t>ю</w:t>
      </w:r>
      <w:r w:rsidRPr="00CE0A20">
        <w:rPr>
          <w:rFonts w:ascii="Times New Roman" w:hAnsi="Times New Roman" w:cs="Times New Roman"/>
          <w:color w:val="000000" w:themeColor="text1"/>
          <w:lang w:val="uk-UA"/>
        </w:rPr>
        <w:t xml:space="preserve">ться частинки кальцієвого преципітату), розмір яких лежить в нанометровому діапазоні. Такі частинки поглинаються клітинами НЕК 293Т шляхом фагоцитозу. </w:t>
      </w:r>
    </w:p>
    <w:p w:rsidR="00EB6EBC" w:rsidRPr="00CE0A20" w:rsidRDefault="00E87107" w:rsidP="00EB6EBC">
      <w:pPr>
        <w:pStyle w:val="a3"/>
        <w:autoSpaceDE w:val="0"/>
        <w:autoSpaceDN w:val="0"/>
        <w:adjustRightInd w:val="0"/>
        <w:ind w:left="0" w:firstLine="709"/>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Я</w:t>
      </w:r>
      <w:r w:rsidR="00EB6EBC" w:rsidRPr="00CE0A20">
        <w:rPr>
          <w:rFonts w:ascii="Times New Roman" w:hAnsi="Times New Roman" w:cs="Times New Roman"/>
          <w:color w:val="000000" w:themeColor="text1"/>
          <w:lang w:val="uk-UA"/>
        </w:rPr>
        <w:t>к вектор</w:t>
      </w:r>
      <w:r w:rsidRPr="00CE0A20">
        <w:rPr>
          <w:rFonts w:ascii="Times New Roman" w:hAnsi="Times New Roman" w:cs="Times New Roman"/>
          <w:color w:val="000000" w:themeColor="text1"/>
          <w:lang w:val="uk-UA"/>
        </w:rPr>
        <w:t>и</w:t>
      </w:r>
      <w:r w:rsidR="00EB6EBC" w:rsidRPr="00CE0A20">
        <w:rPr>
          <w:rFonts w:ascii="Times New Roman" w:hAnsi="Times New Roman" w:cs="Times New Roman"/>
          <w:color w:val="000000" w:themeColor="text1"/>
          <w:lang w:val="uk-UA"/>
        </w:rPr>
        <w:t>, використовували плазміди, що були сконструйовані в лабораторії D.Trono (École Polytechnique Fédérale de Lausanne, Швейцар</w:t>
      </w:r>
      <w:r w:rsidRPr="00CE0A20">
        <w:rPr>
          <w:rFonts w:ascii="Times New Roman" w:hAnsi="Times New Roman" w:cs="Times New Roman"/>
          <w:color w:val="000000" w:themeColor="text1"/>
          <w:lang w:val="uk-UA"/>
        </w:rPr>
        <w:t>і</w:t>
      </w:r>
      <w:r w:rsidR="00EB6EBC" w:rsidRPr="00CE0A20">
        <w:rPr>
          <w:rFonts w:ascii="Times New Roman" w:hAnsi="Times New Roman" w:cs="Times New Roman"/>
          <w:color w:val="000000" w:themeColor="text1"/>
          <w:lang w:val="uk-UA"/>
        </w:rPr>
        <w:t>я). Дві плазміди є необхідними для продукції вірусних част</w:t>
      </w:r>
      <w:r w:rsidRPr="00CE0A20">
        <w:rPr>
          <w:rFonts w:ascii="Times New Roman" w:hAnsi="Times New Roman" w:cs="Times New Roman"/>
          <w:color w:val="000000" w:themeColor="text1"/>
          <w:lang w:val="uk-UA"/>
        </w:rPr>
        <w:t>оч</w:t>
      </w:r>
      <w:r w:rsidR="00EB6EBC" w:rsidRPr="00CE0A20">
        <w:rPr>
          <w:rFonts w:ascii="Times New Roman" w:hAnsi="Times New Roman" w:cs="Times New Roman"/>
          <w:color w:val="000000" w:themeColor="text1"/>
          <w:lang w:val="uk-UA"/>
        </w:rPr>
        <w:t xml:space="preserve">ок (psPAX2, pMD2G), одна несе ген GFP (pLVTHM-GFP). Плазміди не вбудовуються в геном клітин НЕК 293Т, з них зчитуються вірусні білки, </w:t>
      </w:r>
      <w:r w:rsidRPr="00CE0A20">
        <w:rPr>
          <w:rFonts w:ascii="Times New Roman" w:hAnsi="Times New Roman" w:cs="Times New Roman"/>
          <w:color w:val="000000" w:themeColor="text1"/>
          <w:lang w:val="uk-UA"/>
        </w:rPr>
        <w:t>у</w:t>
      </w:r>
      <w:r w:rsidR="00EB6EBC" w:rsidRPr="00CE0A20">
        <w:rPr>
          <w:rFonts w:ascii="Times New Roman" w:hAnsi="Times New Roman" w:cs="Times New Roman"/>
          <w:color w:val="000000" w:themeColor="text1"/>
          <w:lang w:val="uk-UA"/>
        </w:rPr>
        <w:t xml:space="preserve"> результаті чого утворюється химерний (штучно створений) вірус. Вірус є реплікативно-дефектним і мезенхімальні стромальні клітини не можуть його виробляти, але при зараженні МСК він вбудовується в геном. Тому при проліфераціїї клітин яскравість фл</w:t>
      </w:r>
      <w:r w:rsidRPr="00CE0A20">
        <w:rPr>
          <w:rFonts w:ascii="Times New Roman" w:hAnsi="Times New Roman" w:cs="Times New Roman"/>
          <w:color w:val="000000" w:themeColor="text1"/>
          <w:lang w:val="uk-UA"/>
        </w:rPr>
        <w:t>ю</w:t>
      </w:r>
      <w:r w:rsidR="00EB6EBC" w:rsidRPr="00CE0A20">
        <w:rPr>
          <w:rFonts w:ascii="Times New Roman" w:hAnsi="Times New Roman" w:cs="Times New Roman"/>
          <w:color w:val="000000" w:themeColor="text1"/>
          <w:lang w:val="uk-UA"/>
        </w:rPr>
        <w:t>оресценції не зменшується на відміну від хімічних або фізичних барвників.</w:t>
      </w:r>
    </w:p>
    <w:p w:rsidR="00EB6EBC" w:rsidRPr="00CE0A20" w:rsidRDefault="00EB6EBC" w:rsidP="00EB6EBC">
      <w:pPr>
        <w:pStyle w:val="a3"/>
        <w:autoSpaceDE w:val="0"/>
        <w:autoSpaceDN w:val="0"/>
        <w:adjustRightInd w:val="0"/>
        <w:ind w:left="0" w:firstLine="709"/>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Трансфекцію здійснювали </w:t>
      </w:r>
      <w:r w:rsidR="00E87107" w:rsidRPr="00CE0A20">
        <w:rPr>
          <w:rFonts w:ascii="Times New Roman" w:hAnsi="Times New Roman" w:cs="Times New Roman"/>
          <w:color w:val="000000" w:themeColor="text1"/>
          <w:lang w:val="uk-UA"/>
        </w:rPr>
        <w:t>у такий спосіб</w:t>
      </w:r>
      <w:r w:rsidRPr="00CE0A20">
        <w:rPr>
          <w:rFonts w:ascii="Times New Roman" w:hAnsi="Times New Roman" w:cs="Times New Roman"/>
          <w:color w:val="000000" w:themeColor="text1"/>
          <w:lang w:val="uk-UA"/>
        </w:rPr>
        <w:t xml:space="preserve">. У </w:t>
      </w:r>
      <w:r w:rsidR="00E87107" w:rsidRPr="00CE0A20">
        <w:rPr>
          <w:rFonts w:ascii="Times New Roman" w:hAnsi="Times New Roman" w:cs="Times New Roman"/>
          <w:color w:val="000000" w:themeColor="text1"/>
          <w:lang w:val="uk-UA"/>
        </w:rPr>
        <w:t>п’ятнадцятиміліметровій</w:t>
      </w:r>
      <w:r w:rsidRPr="00CE0A20">
        <w:rPr>
          <w:rFonts w:ascii="Times New Roman" w:hAnsi="Times New Roman" w:cs="Times New Roman"/>
          <w:color w:val="000000" w:themeColor="text1"/>
          <w:lang w:val="uk-UA"/>
        </w:rPr>
        <w:t xml:space="preserve"> пробірці змішували 3 плазміди (з розрахунку на одну чашку Петрі діаметром 10 см): psPAX2 (9.75 мкг), pMD2.G (5.27 мкг), pLVTHM-GFP (15 мкг), додавали 440 мкл буфера TE (0.1 x) (10мм Тріс-HCl, 1 мМ ЕДТА, pH 7.4), 73,5 мкл CaCl</w:t>
      </w:r>
      <w:r w:rsidRPr="00CE0A20">
        <w:rPr>
          <w:rFonts w:ascii="Times New Roman" w:hAnsi="Times New Roman" w:cs="Times New Roman"/>
          <w:color w:val="000000" w:themeColor="text1"/>
          <w:vertAlign w:val="subscript"/>
          <w:lang w:val="uk-UA"/>
        </w:rPr>
        <w:t>2</w:t>
      </w:r>
      <w:r w:rsidRPr="00CE0A20">
        <w:rPr>
          <w:rFonts w:ascii="Times New Roman" w:hAnsi="Times New Roman" w:cs="Times New Roman"/>
          <w:color w:val="000000" w:themeColor="text1"/>
          <w:lang w:val="uk-UA"/>
        </w:rPr>
        <w:t xml:space="preserve"> (2.5 М) та стерильну H</w:t>
      </w:r>
      <w:r w:rsidRPr="00CE0A20">
        <w:rPr>
          <w:rFonts w:ascii="Times New Roman" w:hAnsi="Times New Roman" w:cs="Times New Roman"/>
          <w:color w:val="000000" w:themeColor="text1"/>
          <w:vertAlign w:val="subscript"/>
          <w:lang w:val="uk-UA"/>
        </w:rPr>
        <w:t>2</w:t>
      </w:r>
      <w:r w:rsidRPr="00CE0A20">
        <w:rPr>
          <w:rFonts w:ascii="Times New Roman" w:hAnsi="Times New Roman" w:cs="Times New Roman"/>
          <w:color w:val="000000" w:themeColor="text1"/>
          <w:lang w:val="uk-UA"/>
        </w:rPr>
        <w:t>О до кінцевого об'єму 760 мкл.</w:t>
      </w:r>
    </w:p>
    <w:p w:rsidR="00EB6EBC" w:rsidRPr="00CE0A20" w:rsidRDefault="00EB6EBC" w:rsidP="00EB6EBC">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Отриману суміш краплина</w:t>
      </w:r>
      <w:r w:rsidR="005F5A0E" w:rsidRPr="00CE0A20">
        <w:rPr>
          <w:rFonts w:ascii="Times New Roman" w:hAnsi="Times New Roman" w:cs="Times New Roman"/>
          <w:color w:val="000000" w:themeColor="text1"/>
          <w:sz w:val="28"/>
          <w:szCs w:val="28"/>
          <w:lang w:val="uk-UA"/>
        </w:rPr>
        <w:t>ми</w:t>
      </w:r>
      <w:r w:rsidRPr="00CE0A20">
        <w:rPr>
          <w:rFonts w:ascii="Times New Roman" w:hAnsi="Times New Roman" w:cs="Times New Roman"/>
          <w:color w:val="000000" w:themeColor="text1"/>
          <w:sz w:val="28"/>
          <w:szCs w:val="28"/>
          <w:lang w:val="uk-UA"/>
        </w:rPr>
        <w:t xml:space="preserve"> додавали в другу </w:t>
      </w:r>
      <w:r w:rsidR="005F5A0E" w:rsidRPr="00CE0A20">
        <w:rPr>
          <w:rFonts w:ascii="Times New Roman" w:hAnsi="Times New Roman" w:cs="Times New Roman"/>
          <w:color w:val="000000" w:themeColor="text1"/>
          <w:sz w:val="28"/>
          <w:szCs w:val="28"/>
          <w:lang w:val="uk-UA"/>
        </w:rPr>
        <w:t>п’ятнадцятиміліметрову</w:t>
      </w:r>
      <w:r w:rsidRPr="00CE0A20">
        <w:rPr>
          <w:rFonts w:ascii="Times New Roman" w:hAnsi="Times New Roman" w:cs="Times New Roman"/>
          <w:color w:val="000000" w:themeColor="text1"/>
          <w:sz w:val="28"/>
          <w:szCs w:val="28"/>
          <w:lang w:val="uk-UA"/>
        </w:rPr>
        <w:t xml:space="preserve"> пробірку з 760 мкл HBS (280 мM NaCl, 1.5 мM Na</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HPO</w:t>
      </w:r>
      <w:r w:rsidRPr="00CE0A20">
        <w:rPr>
          <w:rFonts w:ascii="Times New Roman" w:hAnsi="Times New Roman" w:cs="Times New Roman"/>
          <w:color w:val="000000" w:themeColor="text1"/>
          <w:sz w:val="28"/>
          <w:szCs w:val="28"/>
          <w:vertAlign w:val="subscript"/>
          <w:lang w:val="uk-UA"/>
        </w:rPr>
        <w:t>4</w:t>
      </w:r>
      <w:r w:rsidRPr="00CE0A20">
        <w:rPr>
          <w:rFonts w:ascii="Times New Roman" w:hAnsi="Times New Roman" w:cs="Times New Roman"/>
          <w:color w:val="000000" w:themeColor="text1"/>
          <w:sz w:val="28"/>
          <w:szCs w:val="28"/>
          <w:lang w:val="uk-UA"/>
        </w:rPr>
        <w:t>, 50 мM HEPES, pH 7.13)</w:t>
      </w:r>
      <w:r w:rsidR="005F5A0E"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перемішуючи на вортексі. Інкубували суміш протягом 15 хв. при кімнатній температурі.</w:t>
      </w:r>
    </w:p>
    <w:p w:rsidR="00EB6EBC" w:rsidRPr="00CE0A20" w:rsidRDefault="00EB6EBC" w:rsidP="00EB6EBC">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Отриману суспензію додавали до культури клітин НЕК 293Т, які поглинають частки шляхом фагоцитозу </w:t>
      </w:r>
      <w:r w:rsidR="00C6301D" w:rsidRPr="00CE0A20">
        <w:rPr>
          <w:rFonts w:ascii="Times New Roman" w:hAnsi="Times New Roman" w:cs="Times New Roman"/>
          <w:color w:val="000000" w:themeColor="text1"/>
          <w:sz w:val="28"/>
          <w:szCs w:val="28"/>
          <w:lang w:val="uk-UA"/>
        </w:rPr>
        <w:t>й</w:t>
      </w:r>
      <w:r w:rsidRPr="00CE0A20">
        <w:rPr>
          <w:rFonts w:ascii="Times New Roman" w:hAnsi="Times New Roman" w:cs="Times New Roman"/>
          <w:color w:val="000000" w:themeColor="text1"/>
          <w:sz w:val="28"/>
          <w:szCs w:val="28"/>
          <w:lang w:val="uk-UA"/>
        </w:rPr>
        <w:t xml:space="preserve"> починають виробляти реплікативно-дефектні віруси. Через 16 годин культуральне середовище змінювали на 7 мл свіжо</w:t>
      </w:r>
      <w:r w:rsidR="00C6301D" w:rsidRPr="00CE0A20">
        <w:rPr>
          <w:rFonts w:ascii="Times New Roman" w:hAnsi="Times New Roman" w:cs="Times New Roman"/>
          <w:color w:val="000000" w:themeColor="text1"/>
          <w:sz w:val="28"/>
          <w:szCs w:val="28"/>
          <w:lang w:val="uk-UA"/>
        </w:rPr>
        <w:t>го</w:t>
      </w:r>
      <w:r w:rsidRPr="00CE0A20">
        <w:rPr>
          <w:rFonts w:ascii="Times New Roman" w:hAnsi="Times New Roman" w:cs="Times New Roman"/>
          <w:color w:val="000000" w:themeColor="text1"/>
          <w:sz w:val="28"/>
          <w:szCs w:val="28"/>
          <w:lang w:val="uk-UA"/>
        </w:rPr>
        <w:t xml:space="preserve">. Після цього збирали супернатант з чашок Петрі, де проходила трансфекція, через кожні 12-24 години (максимум через 48 годин після трансфекції). Середовище збирали в </w:t>
      </w:r>
      <w:r w:rsidR="00C6301D" w:rsidRPr="00CE0A20">
        <w:rPr>
          <w:rFonts w:ascii="Times New Roman" w:hAnsi="Times New Roman" w:cs="Times New Roman"/>
          <w:color w:val="000000" w:themeColor="text1"/>
          <w:sz w:val="28"/>
          <w:szCs w:val="28"/>
          <w:lang w:val="uk-UA"/>
        </w:rPr>
        <w:t xml:space="preserve">п’ятнадцятиміліметрову  </w:t>
      </w:r>
      <w:r w:rsidRPr="00CE0A20">
        <w:rPr>
          <w:rFonts w:ascii="Times New Roman" w:hAnsi="Times New Roman" w:cs="Times New Roman"/>
          <w:color w:val="000000" w:themeColor="text1"/>
          <w:sz w:val="28"/>
          <w:szCs w:val="28"/>
          <w:lang w:val="uk-UA"/>
        </w:rPr>
        <w:t>центрифугальну пробірку, центрифугували 5 хв при 300 g. Супернатант фільтрували, використовуючи PES фільтр (0,45 мкм). За необхідн</w:t>
      </w:r>
      <w:r w:rsidR="00C6301D"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lang w:val="uk-UA"/>
        </w:rPr>
        <w:t>ст</w:t>
      </w:r>
      <w:r w:rsidR="00C6301D"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його заморожували в аліквотах і зберігали при -80˚C. </w:t>
      </w:r>
    </w:p>
    <w:p w:rsidR="00EB6EBC" w:rsidRPr="00CE0A20" w:rsidRDefault="00EB6EBC" w:rsidP="00EB6EBC">
      <w:pPr>
        <w:autoSpaceDE w:val="0"/>
        <w:autoSpaceDN w:val="0"/>
        <w:adjustRightInd w:val="0"/>
        <w:spacing w:line="360" w:lineRule="auto"/>
        <w:ind w:firstLine="709"/>
        <w:jc w:val="both"/>
        <w:rPr>
          <w:rFonts w:ascii="Times New Roman" w:hAnsi="Times New Roman" w:cs="Times New Roman"/>
          <w:color w:val="000000" w:themeColor="text1"/>
          <w:sz w:val="28"/>
          <w:szCs w:val="28"/>
          <w:u w:val="single"/>
          <w:lang w:val="uk-UA"/>
        </w:rPr>
      </w:pPr>
      <w:r w:rsidRPr="00CE0A20">
        <w:rPr>
          <w:rFonts w:ascii="Times New Roman" w:hAnsi="Times New Roman" w:cs="Times New Roman"/>
          <w:color w:val="000000" w:themeColor="text1"/>
          <w:sz w:val="28"/>
          <w:szCs w:val="28"/>
          <w:lang w:val="uk-UA"/>
        </w:rPr>
        <w:t xml:space="preserve">Для трансдукції КСКМ розсіювали у відповідний культуральний планшет для отримання 60% конфлюентності </w:t>
      </w:r>
      <w:r w:rsidR="00F12220"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культуральне середовище DMEM/F12 за добу.</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Отриманий супернатант додавали до культури КСКМ і культивували 16–24 години. Химерний вірус включається в геном клітин і починається  експресія білка GFP, клітини можуть бути детектовані </w:t>
      </w:r>
      <w:r w:rsidR="00F12220"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фл</w:t>
      </w:r>
      <w:r w:rsidR="00F12220"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lang w:val="uk-UA"/>
        </w:rPr>
        <w:t>оресцентному мікроскопі вже через 48 годин після трансдукції. Пе</w:t>
      </w:r>
      <w:r w:rsidR="00F12220" w:rsidRPr="00CE0A20">
        <w:rPr>
          <w:rFonts w:ascii="Times New Roman" w:hAnsi="Times New Roman" w:cs="Times New Roman"/>
          <w:color w:val="000000" w:themeColor="text1"/>
          <w:sz w:val="28"/>
          <w:szCs w:val="28"/>
          <w:lang w:val="uk-UA"/>
        </w:rPr>
        <w:t>р</w:t>
      </w:r>
      <w:r w:rsidRPr="00CE0A20">
        <w:rPr>
          <w:rFonts w:ascii="Times New Roman" w:hAnsi="Times New Roman" w:cs="Times New Roman"/>
          <w:color w:val="000000" w:themeColor="text1"/>
          <w:sz w:val="28"/>
          <w:szCs w:val="28"/>
          <w:lang w:val="uk-UA"/>
        </w:rPr>
        <w:t xml:space="preserve">шу </w:t>
      </w:r>
      <w:r w:rsidR="00501047" w:rsidRPr="00CE0A20">
        <w:rPr>
          <w:rFonts w:ascii="Times New Roman" w:hAnsi="Times New Roman" w:cs="Times New Roman"/>
          <w:color w:val="000000" w:themeColor="text1"/>
          <w:sz w:val="28"/>
          <w:szCs w:val="28"/>
          <w:lang w:val="uk-UA"/>
        </w:rPr>
        <w:t>ям</w:t>
      </w:r>
      <w:r w:rsidRPr="00CE0A20">
        <w:rPr>
          <w:rFonts w:ascii="Times New Roman" w:hAnsi="Times New Roman" w:cs="Times New Roman"/>
          <w:color w:val="000000" w:themeColor="text1"/>
          <w:sz w:val="28"/>
          <w:szCs w:val="28"/>
          <w:lang w:val="uk-UA"/>
        </w:rPr>
        <w:t>ку планшета залишали як контрол</w:t>
      </w:r>
      <w:r w:rsidR="00F12220" w:rsidRPr="00CE0A20">
        <w:rPr>
          <w:rFonts w:ascii="Times New Roman" w:hAnsi="Times New Roman" w:cs="Times New Roman"/>
          <w:color w:val="000000" w:themeColor="text1"/>
          <w:sz w:val="28"/>
          <w:szCs w:val="28"/>
          <w:lang w:val="uk-UA"/>
        </w:rPr>
        <w:t>ьну</w:t>
      </w:r>
      <w:r w:rsidRPr="00CE0A20">
        <w:rPr>
          <w:rFonts w:ascii="Times New Roman" w:hAnsi="Times New Roman" w:cs="Times New Roman"/>
          <w:color w:val="000000" w:themeColor="text1"/>
          <w:sz w:val="28"/>
          <w:szCs w:val="28"/>
          <w:lang w:val="uk-UA"/>
        </w:rPr>
        <w:t xml:space="preserve"> (з</w:t>
      </w:r>
      <w:r w:rsidR="00F12220"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звичайним культуральним середовищем).</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Клітини знімали з культурального флакон</w:t>
      </w:r>
      <w:r w:rsidR="00F12220"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за вище описаною методи</w:t>
      </w:r>
      <w:r w:rsidRPr="00CE0A20">
        <w:rPr>
          <w:rFonts w:ascii="Times New Roman" w:hAnsi="Times New Roman" w:cs="Times New Roman"/>
          <w:color w:val="000000" w:themeColor="text1"/>
          <w:sz w:val="28"/>
          <w:szCs w:val="28"/>
          <w:lang w:val="uk-UA"/>
        </w:rPr>
        <w:softHyphen/>
        <w:t>кою. Флуоресценцію клітин перевіряли за допомогою флуоресцентного мікроскоп</w:t>
      </w:r>
      <w:r w:rsidR="00F12220"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Olympus X71. Параметри фільтру: смуга збудження 450 (460)-490 нм (синій), смуга люмінесценції 500 (510) нм (зелений-помаранчевий). Збільшення окуляр</w:t>
      </w:r>
      <w:r w:rsidR="00F12220"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х10, об'єктив</w:t>
      </w:r>
      <w:r w:rsidR="00F12220"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х40.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p>
    <w:p w:rsidR="00BB29C6" w:rsidRPr="00CE0A20" w:rsidRDefault="00BB29C6">
      <w:pPr>
        <w:spacing w:after="200" w:line="276" w:lineRule="auto"/>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br w:type="page"/>
      </w:r>
    </w:p>
    <w:p w:rsidR="00EB6EBC" w:rsidRPr="00CE0A20" w:rsidRDefault="00EB6EBC" w:rsidP="00EB6EBC">
      <w:pPr>
        <w:keepNext/>
        <w:spacing w:before="120" w:after="120"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2.8. Методика фл</w:t>
      </w:r>
      <w:r w:rsidR="00F12220" w:rsidRPr="00CE0A20">
        <w:rPr>
          <w:rFonts w:ascii="Times New Roman" w:hAnsi="Times New Roman" w:cs="Times New Roman"/>
          <w:b/>
          <w:color w:val="000000" w:themeColor="text1"/>
          <w:sz w:val="28"/>
          <w:szCs w:val="28"/>
          <w:lang w:val="uk-UA"/>
        </w:rPr>
        <w:t>ю</w:t>
      </w:r>
      <w:r w:rsidRPr="00CE0A20">
        <w:rPr>
          <w:rFonts w:ascii="Times New Roman" w:hAnsi="Times New Roman" w:cs="Times New Roman"/>
          <w:b/>
          <w:color w:val="000000" w:themeColor="text1"/>
          <w:sz w:val="28"/>
          <w:szCs w:val="28"/>
          <w:lang w:val="uk-UA"/>
        </w:rPr>
        <w:t>оресцентної мікроскопії</w:t>
      </w:r>
    </w:p>
    <w:p w:rsidR="00BB29C6" w:rsidRPr="00CE0A20" w:rsidRDefault="00BB29C6" w:rsidP="00EB6EBC">
      <w:pPr>
        <w:spacing w:line="360" w:lineRule="auto"/>
        <w:ind w:firstLine="709"/>
        <w:jc w:val="both"/>
        <w:rPr>
          <w:rFonts w:ascii="Times New Roman" w:hAnsi="Times New Roman" w:cs="Times New Roman"/>
          <w:color w:val="000000" w:themeColor="text1"/>
          <w:sz w:val="28"/>
          <w:szCs w:val="28"/>
          <w:lang w:val="uk-UA"/>
        </w:rPr>
      </w:pP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Для відстеж</w:t>
      </w:r>
      <w:r w:rsidR="00F12220" w:rsidRPr="00CE0A20">
        <w:rPr>
          <w:rFonts w:ascii="Times New Roman" w:hAnsi="Times New Roman" w:cs="Times New Roman"/>
          <w:color w:val="000000" w:themeColor="text1"/>
          <w:sz w:val="28"/>
          <w:szCs w:val="28"/>
          <w:lang w:val="uk-UA"/>
        </w:rPr>
        <w:t>ува</w:t>
      </w:r>
      <w:r w:rsidRPr="00CE0A20">
        <w:rPr>
          <w:rFonts w:ascii="Times New Roman" w:hAnsi="Times New Roman" w:cs="Times New Roman"/>
          <w:color w:val="000000" w:themeColor="text1"/>
          <w:sz w:val="28"/>
          <w:szCs w:val="28"/>
          <w:lang w:val="uk-UA"/>
        </w:rPr>
        <w:t xml:space="preserve">ння трекінгу КСКМ та запобігання подальших помилок </w:t>
      </w:r>
      <w:r w:rsidR="00F12220"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їх візуалізації було насамперед виконано їх</w:t>
      </w:r>
      <w:r w:rsidR="00F12220" w:rsidRPr="00CE0A20">
        <w:rPr>
          <w:rFonts w:ascii="Times New Roman" w:hAnsi="Times New Roman" w:cs="Times New Roman"/>
          <w:color w:val="000000" w:themeColor="text1"/>
          <w:sz w:val="28"/>
          <w:szCs w:val="28"/>
          <w:lang w:val="uk-UA"/>
        </w:rPr>
        <w:t>ню</w:t>
      </w:r>
      <w:r w:rsidRPr="00CE0A20">
        <w:rPr>
          <w:rFonts w:ascii="Times New Roman" w:hAnsi="Times New Roman" w:cs="Times New Roman"/>
          <w:color w:val="000000" w:themeColor="text1"/>
          <w:sz w:val="28"/>
          <w:szCs w:val="28"/>
          <w:lang w:val="uk-UA"/>
        </w:rPr>
        <w:t xml:space="preserve"> візуалізацію ex vivo. Після декапітації тварини видаляли яєчка та в нього одразу вводили мічені клітини за допомогою інсулінових шприців. Увесь необхідний об’єм клітин розподіляли рівномірно від одного полюсу яєчка до іншого: 1/3 – у дистальній частині орган</w:t>
      </w:r>
      <w:r w:rsidR="00F12220"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1/3 – </w:t>
      </w:r>
      <w:r w:rsidR="00F12220"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середині та ще 1/3 – у кінцевій частині. Після ін’єкції готували заморожені зрізи яєчок для відстеж</w:t>
      </w:r>
      <w:r w:rsidR="00F12220" w:rsidRPr="00CE0A20">
        <w:rPr>
          <w:rFonts w:ascii="Times New Roman" w:hAnsi="Times New Roman" w:cs="Times New Roman"/>
          <w:color w:val="000000" w:themeColor="text1"/>
          <w:sz w:val="28"/>
          <w:szCs w:val="28"/>
          <w:lang w:val="uk-UA"/>
        </w:rPr>
        <w:t>ува</w:t>
      </w:r>
      <w:r w:rsidRPr="00CE0A20">
        <w:rPr>
          <w:rFonts w:ascii="Times New Roman" w:hAnsi="Times New Roman" w:cs="Times New Roman"/>
          <w:color w:val="000000" w:themeColor="text1"/>
          <w:sz w:val="28"/>
          <w:szCs w:val="28"/>
          <w:lang w:val="uk-UA"/>
        </w:rPr>
        <w:t>ння трекінгу КСКМ.</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 метою подальшого вивчення трекінгу КСКМ у часі також готували заморожені зрізи. Але для цього використовували тварин з ЕАД, яких декапітували через 1 добу, 14 діб та 28 діб після введення клітин. Клітини вводили тваринам із застосуванням кетамінового наркозу тим самим шляхом, що й ex vivo. Тобто по 1/3 необхідного об’єму шляхом ін’єкції від одного полюсу яєчка до іншого.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Приготування заморожених зрізів виконували на кріостаті із вмонтованим ротаційним мікротомом (кріотомом) при температурі у кріокамері -25 С. </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Об’єкти дослідження (сім’яники щурів) були приморожені до латунних утримувачів, які послідовно встановлювались на спеціальний стр</w:t>
      </w:r>
      <w:r w:rsidR="00F12220"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lang w:val="uk-UA"/>
        </w:rPr>
        <w:t xml:space="preserve">жень. Положення сім’яників було </w:t>
      </w:r>
      <w:r w:rsidR="00F12220" w:rsidRPr="00CE0A20">
        <w:rPr>
          <w:rFonts w:ascii="Times New Roman" w:hAnsi="Times New Roman" w:cs="Times New Roman"/>
          <w:color w:val="000000" w:themeColor="text1"/>
          <w:sz w:val="28"/>
          <w:szCs w:val="28"/>
          <w:lang w:val="uk-UA"/>
        </w:rPr>
        <w:t>ви</w:t>
      </w:r>
      <w:r w:rsidRPr="00CE0A20">
        <w:rPr>
          <w:rFonts w:ascii="Times New Roman" w:hAnsi="Times New Roman" w:cs="Times New Roman"/>
          <w:color w:val="000000" w:themeColor="text1"/>
          <w:sz w:val="28"/>
          <w:szCs w:val="28"/>
          <w:lang w:val="uk-UA"/>
        </w:rPr>
        <w:t>брано так, щоб напрям канальців був перпендикулярний кромці ножа мікротома, який ріже. Перед отриманням зрізів була знята майже одна третина об’єкту для того, щоб зрізи мали достатню площину. У процесі розрізання ніж проходив майже 90 % об’єкт</w:t>
      </w:r>
      <w:r w:rsidR="00F12220"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Кінчик зрізу не був відділений від об’єкт</w:t>
      </w:r>
      <w:r w:rsidR="00F12220"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що давало можливість, за необхідності, розпрямити зріз спеціальним пензликом. До зрізу прикладалос</w:t>
      </w:r>
      <w:r w:rsidR="00F12220" w:rsidRPr="00CE0A20">
        <w:rPr>
          <w:rFonts w:ascii="Times New Roman" w:hAnsi="Times New Roman" w:cs="Times New Roman"/>
          <w:color w:val="000000" w:themeColor="text1"/>
          <w:sz w:val="28"/>
          <w:szCs w:val="28"/>
          <w:lang w:val="uk-UA"/>
        </w:rPr>
        <w:t>я</w:t>
      </w:r>
      <w:r w:rsidRPr="00CE0A20">
        <w:rPr>
          <w:rFonts w:ascii="Times New Roman" w:hAnsi="Times New Roman" w:cs="Times New Roman"/>
          <w:color w:val="000000" w:themeColor="text1"/>
          <w:sz w:val="28"/>
          <w:szCs w:val="28"/>
          <w:lang w:val="uk-UA"/>
        </w:rPr>
        <w:t xml:space="preserve"> предметне скло кімнатної температури, щоб убезпечити танення зрізу та миттєве приклеювання.</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Забарвлення заморожених зрізів гематоксилін-еозином для гістологічних досліджень відбувалася у </w:t>
      </w:r>
      <w:r w:rsidR="00F12220" w:rsidRPr="00CE0A20">
        <w:rPr>
          <w:rFonts w:ascii="Times New Roman" w:hAnsi="Times New Roman" w:cs="Times New Roman"/>
          <w:color w:val="000000" w:themeColor="text1"/>
          <w:sz w:val="28"/>
          <w:szCs w:val="28"/>
          <w:lang w:val="uk-UA"/>
        </w:rPr>
        <w:t>так</w:t>
      </w:r>
      <w:r w:rsidRPr="00CE0A20">
        <w:rPr>
          <w:rFonts w:ascii="Times New Roman" w:hAnsi="Times New Roman" w:cs="Times New Roman"/>
          <w:color w:val="000000" w:themeColor="text1"/>
          <w:sz w:val="28"/>
          <w:szCs w:val="28"/>
          <w:lang w:val="uk-UA"/>
        </w:rPr>
        <w:t>ій послідовності:</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Фіксація наклеєних на предметні с</w:t>
      </w:r>
      <w:r w:rsidR="00F12220" w:rsidRPr="00CE0A20">
        <w:rPr>
          <w:rFonts w:ascii="Times New Roman" w:hAnsi="Times New Roman" w:cs="Times New Roman"/>
          <w:color w:val="000000" w:themeColor="text1"/>
          <w:sz w:val="28"/>
          <w:szCs w:val="28"/>
          <w:lang w:val="uk-UA"/>
        </w:rPr>
        <w:t>кельця</w:t>
      </w:r>
      <w:r w:rsidRPr="00CE0A20">
        <w:rPr>
          <w:rFonts w:ascii="Times New Roman" w:hAnsi="Times New Roman" w:cs="Times New Roman"/>
          <w:color w:val="000000" w:themeColor="text1"/>
          <w:sz w:val="28"/>
          <w:szCs w:val="28"/>
          <w:lang w:val="uk-UA"/>
        </w:rPr>
        <w:t xml:space="preserve"> зрізів </w:t>
      </w:r>
      <w:r w:rsidR="00F12220"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10 % формаліні шляхом занурення с</w:t>
      </w:r>
      <w:r w:rsidR="00F12220" w:rsidRPr="00CE0A20">
        <w:rPr>
          <w:rFonts w:ascii="Times New Roman" w:hAnsi="Times New Roman" w:cs="Times New Roman"/>
          <w:color w:val="000000" w:themeColor="text1"/>
          <w:sz w:val="28"/>
          <w:szCs w:val="28"/>
          <w:lang w:val="uk-UA"/>
        </w:rPr>
        <w:t>келець</w:t>
      </w:r>
      <w:r w:rsidRPr="00CE0A20">
        <w:rPr>
          <w:rFonts w:ascii="Times New Roman" w:hAnsi="Times New Roman" w:cs="Times New Roman"/>
          <w:color w:val="000000" w:themeColor="text1"/>
          <w:sz w:val="28"/>
          <w:szCs w:val="28"/>
          <w:lang w:val="uk-UA"/>
        </w:rPr>
        <w:t xml:space="preserve"> </w:t>
      </w:r>
      <w:r w:rsidR="00F12220"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розчин формаліну протягом 3-5 секунд.</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Ополіскування в 96 % етиловому спирті з метою видалення формаліну, а також знежирення зрізів.</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Промивання у дистильованій воді.</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Забарвлення гематоксиліном шляхом занурення предметних с</w:t>
      </w:r>
      <w:r w:rsidR="00F12220" w:rsidRPr="00CE0A20">
        <w:rPr>
          <w:rFonts w:ascii="Times New Roman" w:hAnsi="Times New Roman" w:cs="Times New Roman"/>
          <w:color w:val="000000" w:themeColor="text1"/>
          <w:sz w:val="28"/>
          <w:szCs w:val="28"/>
          <w:lang w:val="uk-UA"/>
        </w:rPr>
        <w:t>келець</w:t>
      </w:r>
      <w:r w:rsidRPr="00CE0A20">
        <w:rPr>
          <w:rFonts w:ascii="Times New Roman" w:hAnsi="Times New Roman" w:cs="Times New Roman"/>
          <w:color w:val="000000" w:themeColor="text1"/>
          <w:sz w:val="28"/>
          <w:szCs w:val="28"/>
          <w:lang w:val="uk-UA"/>
        </w:rPr>
        <w:t xml:space="preserve"> у гематоксилін Карацц</w:t>
      </w:r>
      <w:r w:rsidR="00F12220" w:rsidRPr="00CE0A20">
        <w:rPr>
          <w:rFonts w:ascii="Times New Roman" w:hAnsi="Times New Roman" w:cs="Times New Roman"/>
          <w:color w:val="000000" w:themeColor="text1"/>
          <w:sz w:val="28"/>
          <w:szCs w:val="28"/>
          <w:lang w:val="uk-UA"/>
        </w:rPr>
        <w:t>і</w:t>
      </w:r>
      <w:r w:rsidRPr="00CE0A20">
        <w:rPr>
          <w:rFonts w:ascii="Times New Roman" w:hAnsi="Times New Roman" w:cs="Times New Roman"/>
          <w:color w:val="000000" w:themeColor="text1"/>
          <w:sz w:val="28"/>
          <w:szCs w:val="28"/>
          <w:lang w:val="uk-UA"/>
        </w:rPr>
        <w:t xml:space="preserve"> на 20-25 хвилин або </w:t>
      </w:r>
      <w:r w:rsidR="007A6C6D"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lang w:val="uk-UA"/>
        </w:rPr>
        <w:t xml:space="preserve"> гематоксилін Гарриса (або аналогічний) на 1-2 хвилини. При забарвленні гематоксиліном важливо враховувати той факт, що забарвлення заморожуваних зрізів має </w:t>
      </w:r>
      <w:r w:rsidR="007A6C6D" w:rsidRPr="00CE0A20">
        <w:rPr>
          <w:rFonts w:ascii="Times New Roman" w:hAnsi="Times New Roman" w:cs="Times New Roman"/>
          <w:color w:val="000000" w:themeColor="text1"/>
          <w:sz w:val="28"/>
          <w:szCs w:val="28"/>
          <w:lang w:val="uk-UA"/>
        </w:rPr>
        <w:t xml:space="preserve">тривати </w:t>
      </w:r>
      <w:r w:rsidRPr="00CE0A20">
        <w:rPr>
          <w:rFonts w:ascii="Times New Roman" w:hAnsi="Times New Roman" w:cs="Times New Roman"/>
          <w:color w:val="000000" w:themeColor="text1"/>
          <w:sz w:val="28"/>
          <w:szCs w:val="28"/>
          <w:lang w:val="uk-UA"/>
        </w:rPr>
        <w:t xml:space="preserve">в 2-3 рази довше, ніж парафінових. Це пов’язано з тим, що при парафіновому методі відбувається стискування матеріалу більш, ніж на 50 %, що убезпечує високу концентрацію базофільних речовин; при заморожуванні об’єктів стискання матеріалу не відбувається, </w:t>
      </w:r>
      <w:r w:rsidR="007A6C6D" w:rsidRPr="00CE0A20">
        <w:rPr>
          <w:rFonts w:ascii="Times New Roman" w:hAnsi="Times New Roman" w:cs="Times New Roman"/>
          <w:color w:val="000000" w:themeColor="text1"/>
          <w:sz w:val="28"/>
          <w:szCs w:val="28"/>
          <w:lang w:val="uk-UA"/>
        </w:rPr>
        <w:t>крім</w:t>
      </w:r>
      <w:r w:rsidRPr="00CE0A20">
        <w:rPr>
          <w:rFonts w:ascii="Times New Roman" w:hAnsi="Times New Roman" w:cs="Times New Roman"/>
          <w:color w:val="000000" w:themeColor="text1"/>
          <w:sz w:val="28"/>
          <w:szCs w:val="28"/>
          <w:lang w:val="uk-UA"/>
        </w:rPr>
        <w:t xml:space="preserve"> того, має місце незначне розширення.</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Диференціювання зрізів солянокислим або азотнокислим спиртом. Важливо проводити диференціювання після забарвлення гематоксиліном типу Гарриса.</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Промивання предметних с</w:t>
      </w:r>
      <w:r w:rsidR="007A6C6D" w:rsidRPr="00CE0A20">
        <w:rPr>
          <w:rFonts w:ascii="Times New Roman" w:hAnsi="Times New Roman" w:cs="Times New Roman"/>
          <w:color w:val="000000" w:themeColor="text1"/>
          <w:sz w:val="28"/>
          <w:szCs w:val="28"/>
          <w:lang w:val="uk-UA"/>
        </w:rPr>
        <w:t>келець</w:t>
      </w:r>
      <w:r w:rsidRPr="00CE0A20">
        <w:rPr>
          <w:rFonts w:ascii="Times New Roman" w:hAnsi="Times New Roman" w:cs="Times New Roman"/>
          <w:color w:val="000000" w:themeColor="text1"/>
          <w:sz w:val="28"/>
          <w:szCs w:val="28"/>
          <w:lang w:val="uk-UA"/>
        </w:rPr>
        <w:t xml:space="preserve"> у проточній водопровідній воді не менше 5 хвилин.</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Забарвлення еозином. Проводиться у водному розчині еозину, з концентрацією 1 г на літр протягом 3-5 хвилин.</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Промивка в дистильованій воді.</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Обробка препаратів етиловим спиртом  шляхом занурення предметних с</w:t>
      </w:r>
      <w:r w:rsidR="007A6C6D" w:rsidRPr="00CE0A20">
        <w:rPr>
          <w:rFonts w:ascii="Times New Roman" w:hAnsi="Times New Roman" w:cs="Times New Roman"/>
          <w:color w:val="000000" w:themeColor="text1"/>
          <w:sz w:val="28"/>
          <w:szCs w:val="28"/>
          <w:lang w:val="uk-UA"/>
        </w:rPr>
        <w:t>келець</w:t>
      </w:r>
      <w:r w:rsidRPr="00CE0A20">
        <w:rPr>
          <w:rFonts w:ascii="Times New Roman" w:hAnsi="Times New Roman" w:cs="Times New Roman"/>
          <w:color w:val="000000" w:themeColor="text1"/>
          <w:sz w:val="28"/>
          <w:szCs w:val="28"/>
          <w:lang w:val="uk-UA"/>
        </w:rPr>
        <w:t xml:space="preserve"> послідовно у дві порції 96 % етилового спирту на 2-3 хвилини.</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Обробка препаратів ксилолом. Проводилас</w:t>
      </w:r>
      <w:r w:rsidR="007A6C6D" w:rsidRPr="00CE0A20">
        <w:rPr>
          <w:rFonts w:ascii="Times New Roman" w:hAnsi="Times New Roman" w:cs="Times New Roman"/>
          <w:color w:val="000000" w:themeColor="text1"/>
          <w:sz w:val="28"/>
          <w:szCs w:val="28"/>
          <w:lang w:val="uk-UA"/>
        </w:rPr>
        <w:t>я</w:t>
      </w:r>
      <w:r w:rsidRPr="00CE0A20">
        <w:rPr>
          <w:rFonts w:ascii="Times New Roman" w:hAnsi="Times New Roman" w:cs="Times New Roman"/>
          <w:color w:val="000000" w:themeColor="text1"/>
          <w:sz w:val="28"/>
          <w:szCs w:val="28"/>
          <w:lang w:val="uk-UA"/>
        </w:rPr>
        <w:t xml:space="preserve"> шляхом занурення предметних с</w:t>
      </w:r>
      <w:r w:rsidR="007A6C6D" w:rsidRPr="00CE0A20">
        <w:rPr>
          <w:rFonts w:ascii="Times New Roman" w:hAnsi="Times New Roman" w:cs="Times New Roman"/>
          <w:color w:val="000000" w:themeColor="text1"/>
          <w:sz w:val="28"/>
          <w:szCs w:val="28"/>
          <w:lang w:val="uk-UA"/>
        </w:rPr>
        <w:t>келець</w:t>
      </w:r>
      <w:r w:rsidRPr="00CE0A20">
        <w:rPr>
          <w:rFonts w:ascii="Times New Roman" w:hAnsi="Times New Roman" w:cs="Times New Roman"/>
          <w:color w:val="000000" w:themeColor="text1"/>
          <w:sz w:val="28"/>
          <w:szCs w:val="28"/>
          <w:lang w:val="uk-UA"/>
        </w:rPr>
        <w:t xml:space="preserve"> послідовно у дві порції ксилолу на 3-5 хвилин.</w:t>
      </w:r>
    </w:p>
    <w:p w:rsidR="00EB6EBC" w:rsidRPr="00CE0A20" w:rsidRDefault="00EB6EBC" w:rsidP="00EB6EBC">
      <w:pPr>
        <w:numPr>
          <w:ilvl w:val="0"/>
          <w:numId w:val="8"/>
        </w:numPr>
        <w:spacing w:line="360" w:lineRule="auto"/>
        <w:ind w:left="426"/>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Розміщення предметних с</w:t>
      </w:r>
      <w:r w:rsidR="007A6C6D" w:rsidRPr="00CE0A20">
        <w:rPr>
          <w:rFonts w:ascii="Times New Roman" w:hAnsi="Times New Roman" w:cs="Times New Roman"/>
          <w:color w:val="000000" w:themeColor="text1"/>
          <w:sz w:val="28"/>
          <w:szCs w:val="28"/>
          <w:lang w:val="uk-UA"/>
        </w:rPr>
        <w:t>келець</w:t>
      </w:r>
      <w:r w:rsidRPr="00CE0A20">
        <w:rPr>
          <w:rFonts w:ascii="Times New Roman" w:hAnsi="Times New Roman" w:cs="Times New Roman"/>
          <w:color w:val="000000" w:themeColor="text1"/>
          <w:sz w:val="28"/>
          <w:szCs w:val="28"/>
          <w:lang w:val="uk-UA"/>
        </w:rPr>
        <w:t xml:space="preserve"> </w:t>
      </w:r>
      <w:r w:rsidR="007A6C6D" w:rsidRPr="00CE0A20">
        <w:rPr>
          <w:rFonts w:ascii="Times New Roman" w:hAnsi="Times New Roman" w:cs="Times New Roman"/>
          <w:color w:val="000000" w:themeColor="text1"/>
          <w:sz w:val="28"/>
          <w:szCs w:val="28"/>
          <w:lang w:val="uk-UA"/>
        </w:rPr>
        <w:t>у</w:t>
      </w:r>
      <w:r w:rsidRPr="00CE0A20">
        <w:rPr>
          <w:rFonts w:ascii="Times New Roman" w:hAnsi="Times New Roman" w:cs="Times New Roman"/>
          <w:color w:val="000000" w:themeColor="text1"/>
          <w:sz w:val="28"/>
          <w:szCs w:val="28"/>
          <w:lang w:val="uk-UA"/>
        </w:rPr>
        <w:t xml:space="preserve"> полістирол.</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Для оцінки зрізів використовували флуоресцентний мікроскоп Olympus X71. Смуга збудження 450(460)-490 нм (синій), смуга люмінесценції 500 (510) нм (зелений-помаранчевий). Збільшення окуляр</w:t>
      </w:r>
      <w:r w:rsidR="007A6C6D"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х10, об'єктив</w:t>
      </w:r>
      <w:r w:rsidR="007A6C6D"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х40.</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Також використовували смугу збудження 510-555 (560) нм (зелений), смугу люмінесценції 570(575) нм (червоний). Смуга збудження 545-580 нм (жовтий), смуга люмінесценції 610-800 нм (глибокий червоний). Збільшення окуляр</w:t>
      </w:r>
      <w:r w:rsidR="007A6C6D"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х10, об'єктив</w:t>
      </w:r>
      <w:r w:rsidR="007A6C6D" w:rsidRPr="00CE0A20">
        <w:rPr>
          <w:rFonts w:ascii="Times New Roman" w:hAnsi="Times New Roman" w:cs="Times New Roman"/>
          <w:color w:val="000000" w:themeColor="text1"/>
          <w:sz w:val="28"/>
          <w:szCs w:val="28"/>
          <w:lang w:val="uk-UA"/>
        </w:rPr>
        <w:t>а</w:t>
      </w:r>
      <w:r w:rsidRPr="00CE0A20">
        <w:rPr>
          <w:rFonts w:ascii="Times New Roman" w:hAnsi="Times New Roman" w:cs="Times New Roman"/>
          <w:color w:val="000000" w:themeColor="text1"/>
          <w:sz w:val="28"/>
          <w:szCs w:val="28"/>
          <w:lang w:val="uk-UA"/>
        </w:rPr>
        <w:t xml:space="preserve"> х40.</w:t>
      </w:r>
    </w:p>
    <w:p w:rsidR="00EB6EBC" w:rsidRPr="00CE0A20" w:rsidRDefault="00EB6EBC" w:rsidP="00EB6EBC">
      <w:pPr>
        <w:spacing w:line="360" w:lineRule="auto"/>
        <w:ind w:firstLine="709"/>
        <w:jc w:val="both"/>
        <w:rPr>
          <w:rFonts w:ascii="Times New Roman" w:hAnsi="Times New Roman" w:cs="Times New Roman"/>
          <w:color w:val="000000" w:themeColor="text1"/>
          <w:sz w:val="28"/>
          <w:szCs w:val="28"/>
          <w:u w:val="single"/>
          <w:lang w:val="uk-UA"/>
        </w:rPr>
      </w:pPr>
    </w:p>
    <w:p w:rsidR="00EB6EBC" w:rsidRPr="00CE0A20" w:rsidRDefault="00EB6EBC" w:rsidP="00EB6EBC">
      <w:pPr>
        <w:spacing w:line="360" w:lineRule="auto"/>
        <w:ind w:firstLine="709"/>
        <w:jc w:val="both"/>
        <w:rPr>
          <w:rStyle w:val="14"/>
          <w:b/>
          <w:i w:val="0"/>
          <w:iCs w:val="0"/>
          <w:color w:val="000000" w:themeColor="text1"/>
          <w:lang w:val="uk-UA" w:eastAsia="ar-SA"/>
        </w:rPr>
      </w:pPr>
      <w:r w:rsidRPr="00CE0A20">
        <w:rPr>
          <w:rStyle w:val="14"/>
          <w:b/>
          <w:i w:val="0"/>
          <w:color w:val="000000" w:themeColor="text1"/>
          <w:lang w:val="uk-UA" w:eastAsia="ar-SA"/>
        </w:rPr>
        <w:t xml:space="preserve">2.9. Методи статистичної обробки даних </w:t>
      </w:r>
    </w:p>
    <w:p w:rsidR="00BB29C6" w:rsidRPr="00CE0A20" w:rsidRDefault="00BB29C6" w:rsidP="00EB6EBC">
      <w:pPr>
        <w:spacing w:line="360" w:lineRule="auto"/>
        <w:ind w:firstLine="708"/>
        <w:jc w:val="both"/>
        <w:rPr>
          <w:rStyle w:val="14"/>
          <w:i w:val="0"/>
          <w:color w:val="000000" w:themeColor="text1"/>
          <w:lang w:val="uk-UA" w:eastAsia="ar-SA"/>
        </w:rPr>
      </w:pPr>
    </w:p>
    <w:p w:rsidR="00EB6EBC" w:rsidRPr="00CE0A20" w:rsidRDefault="00EB6EBC" w:rsidP="00EB6EBC">
      <w:pPr>
        <w:spacing w:line="360" w:lineRule="auto"/>
        <w:ind w:firstLine="708"/>
        <w:jc w:val="both"/>
        <w:rPr>
          <w:rStyle w:val="14"/>
          <w:i w:val="0"/>
          <w:iCs w:val="0"/>
          <w:color w:val="000000" w:themeColor="text1"/>
          <w:lang w:val="uk-UA" w:eastAsia="ar-SA"/>
        </w:rPr>
      </w:pPr>
      <w:r w:rsidRPr="00CE0A20">
        <w:rPr>
          <w:rStyle w:val="14"/>
          <w:i w:val="0"/>
          <w:color w:val="000000" w:themeColor="text1"/>
          <w:lang w:val="uk-UA" w:eastAsia="ar-SA"/>
        </w:rPr>
        <w:t xml:space="preserve">Отримані при експериментальних та клінічних дослідженнях дані  оброблялися за допомогою пакета статистичних програм </w:t>
      </w:r>
      <w:r w:rsidRPr="00CE0A20">
        <w:rPr>
          <w:rStyle w:val="14"/>
          <w:i w:val="0"/>
          <w:color w:val="000000" w:themeColor="text1"/>
          <w:lang w:eastAsia="ar-SA"/>
        </w:rPr>
        <w:t>SPSS</w:t>
      </w:r>
      <w:r w:rsidRPr="00CE0A20">
        <w:rPr>
          <w:rStyle w:val="14"/>
          <w:i w:val="0"/>
          <w:color w:val="000000" w:themeColor="text1"/>
          <w:lang w:val="uk-UA" w:eastAsia="ar-SA"/>
        </w:rPr>
        <w:t xml:space="preserve"> </w:t>
      </w:r>
      <w:r w:rsidRPr="00CE0A20">
        <w:rPr>
          <w:rStyle w:val="14"/>
          <w:i w:val="0"/>
          <w:color w:val="000000" w:themeColor="text1"/>
          <w:lang w:eastAsia="ar-SA"/>
        </w:rPr>
        <w:t>for</w:t>
      </w:r>
      <w:r w:rsidRPr="00CE0A20">
        <w:rPr>
          <w:rStyle w:val="14"/>
          <w:i w:val="0"/>
          <w:color w:val="000000" w:themeColor="text1"/>
          <w:lang w:val="uk-UA" w:eastAsia="ar-SA"/>
        </w:rPr>
        <w:t xml:space="preserve"> </w:t>
      </w:r>
      <w:r w:rsidRPr="00CE0A20">
        <w:rPr>
          <w:rStyle w:val="14"/>
          <w:i w:val="0"/>
          <w:color w:val="000000" w:themeColor="text1"/>
          <w:lang w:eastAsia="ar-SA"/>
        </w:rPr>
        <w:t>Windows</w:t>
      </w:r>
      <w:r w:rsidRPr="00CE0A20">
        <w:rPr>
          <w:rStyle w:val="14"/>
          <w:i w:val="0"/>
          <w:color w:val="000000" w:themeColor="text1"/>
          <w:lang w:val="uk-UA" w:eastAsia="ar-SA"/>
        </w:rPr>
        <w:t xml:space="preserve"> </w:t>
      </w:r>
      <w:r w:rsidRPr="00CE0A20">
        <w:rPr>
          <w:rStyle w:val="14"/>
          <w:i w:val="0"/>
          <w:color w:val="000000" w:themeColor="text1"/>
          <w:lang w:eastAsia="ar-SA"/>
        </w:rPr>
        <w:t>Release</w:t>
      </w:r>
      <w:r w:rsidRPr="00CE0A20">
        <w:rPr>
          <w:rStyle w:val="14"/>
          <w:i w:val="0"/>
          <w:color w:val="000000" w:themeColor="text1"/>
          <w:lang w:val="uk-UA" w:eastAsia="ar-SA"/>
        </w:rPr>
        <w:t xml:space="preserve"> 19,0 (</w:t>
      </w:r>
      <w:r w:rsidRPr="00CE0A20">
        <w:rPr>
          <w:rStyle w:val="14"/>
          <w:i w:val="0"/>
          <w:color w:val="000000" w:themeColor="text1"/>
          <w:lang w:eastAsia="ar-SA"/>
        </w:rPr>
        <w:t>SPSS</w:t>
      </w:r>
      <w:r w:rsidRPr="00CE0A20">
        <w:rPr>
          <w:rStyle w:val="14"/>
          <w:i w:val="0"/>
          <w:color w:val="000000" w:themeColor="text1"/>
          <w:lang w:val="uk-UA" w:eastAsia="ar-SA"/>
        </w:rPr>
        <w:t xml:space="preserve"> </w:t>
      </w:r>
      <w:r w:rsidRPr="00CE0A20">
        <w:rPr>
          <w:rStyle w:val="14"/>
          <w:i w:val="0"/>
          <w:color w:val="000000" w:themeColor="text1"/>
          <w:lang w:eastAsia="ar-SA"/>
        </w:rPr>
        <w:t>Inc</w:t>
      </w:r>
      <w:r w:rsidRPr="00CE0A20">
        <w:rPr>
          <w:rStyle w:val="14"/>
          <w:i w:val="0"/>
          <w:color w:val="000000" w:themeColor="text1"/>
          <w:lang w:val="uk-UA" w:eastAsia="ar-SA"/>
        </w:rPr>
        <w:t xml:space="preserve">. </w:t>
      </w:r>
      <w:r w:rsidRPr="00CE0A20">
        <w:rPr>
          <w:rStyle w:val="14"/>
          <w:i w:val="0"/>
          <w:color w:val="000000" w:themeColor="text1"/>
          <w:lang w:eastAsia="ar-SA"/>
        </w:rPr>
        <w:t>Chicago</w:t>
      </w:r>
      <w:r w:rsidRPr="00CE0A20">
        <w:rPr>
          <w:rStyle w:val="14"/>
          <w:i w:val="0"/>
          <w:color w:val="000000" w:themeColor="text1"/>
          <w:lang w:val="uk-UA" w:eastAsia="ar-SA"/>
        </w:rPr>
        <w:t xml:space="preserve">, </w:t>
      </w:r>
      <w:r w:rsidRPr="00CE0A20">
        <w:rPr>
          <w:rStyle w:val="14"/>
          <w:i w:val="0"/>
          <w:color w:val="000000" w:themeColor="text1"/>
          <w:lang w:eastAsia="ar-SA"/>
        </w:rPr>
        <w:t>Illinois</w:t>
      </w:r>
      <w:r w:rsidRPr="00CE0A20">
        <w:rPr>
          <w:rStyle w:val="14"/>
          <w:i w:val="0"/>
          <w:color w:val="000000" w:themeColor="text1"/>
          <w:lang w:val="uk-UA" w:eastAsia="ar-SA"/>
        </w:rPr>
        <w:t xml:space="preserve">) з урахуванням рекомендацій до медико-біологічних досліджень. </w:t>
      </w:r>
    </w:p>
    <w:p w:rsidR="00EB6EBC" w:rsidRPr="00CE0A20" w:rsidRDefault="00EB6EBC" w:rsidP="00EB6EBC">
      <w:pPr>
        <w:spacing w:line="360" w:lineRule="auto"/>
        <w:ind w:firstLine="708"/>
        <w:jc w:val="both"/>
        <w:rPr>
          <w:rStyle w:val="14"/>
          <w:i w:val="0"/>
          <w:iCs w:val="0"/>
          <w:color w:val="000000" w:themeColor="text1"/>
          <w:lang w:eastAsia="ar-SA"/>
        </w:rPr>
      </w:pPr>
      <w:r w:rsidRPr="00CE0A20">
        <w:rPr>
          <w:rStyle w:val="14"/>
          <w:i w:val="0"/>
          <w:color w:val="000000" w:themeColor="text1"/>
          <w:lang w:val="uk-UA" w:eastAsia="ar-SA"/>
        </w:rPr>
        <w:t>Перед статистичною обробкою кількісні показники, що аналізувалися, були перевірені на нормальність розподілу за допомогою критерію Колм</w:t>
      </w:r>
      <w:r w:rsidR="007A6C6D" w:rsidRPr="00CE0A20">
        <w:rPr>
          <w:rStyle w:val="14"/>
          <w:i w:val="0"/>
          <w:color w:val="000000" w:themeColor="text1"/>
          <w:lang w:val="uk-UA" w:eastAsia="ar-SA"/>
        </w:rPr>
        <w:t>о</w:t>
      </w:r>
      <w:r w:rsidRPr="00CE0A20">
        <w:rPr>
          <w:rStyle w:val="14"/>
          <w:i w:val="0"/>
          <w:color w:val="000000" w:themeColor="text1"/>
          <w:lang w:val="uk-UA" w:eastAsia="ar-SA"/>
        </w:rPr>
        <w:t xml:space="preserve">горова-Смирнова та Лілієфорса. Дані, що розподілені за нормальним законом, представлено у вигляді </w:t>
      </w:r>
      <w:r w:rsidRPr="00CE0A20">
        <w:rPr>
          <w:rStyle w:val="14"/>
          <w:i w:val="0"/>
          <w:color w:val="000000" w:themeColor="text1"/>
          <w:lang w:eastAsia="ar-SA"/>
        </w:rPr>
        <w:t>M</w:t>
      </w:r>
      <w:r w:rsidRPr="00CE0A20">
        <w:rPr>
          <w:rStyle w:val="14"/>
          <w:i w:val="0"/>
          <w:color w:val="000000" w:themeColor="text1"/>
          <w:lang w:val="uk-UA" w:eastAsia="ar-SA"/>
        </w:rPr>
        <w:t>±</w:t>
      </w:r>
      <w:r w:rsidRPr="00CE0A20">
        <w:rPr>
          <w:rStyle w:val="14"/>
          <w:i w:val="0"/>
          <w:color w:val="000000" w:themeColor="text1"/>
          <w:lang w:eastAsia="ar-SA"/>
        </w:rPr>
        <w:t>SD</w:t>
      </w:r>
      <w:r w:rsidRPr="00CE0A20">
        <w:rPr>
          <w:rStyle w:val="14"/>
          <w:i w:val="0"/>
          <w:color w:val="000000" w:themeColor="text1"/>
          <w:lang w:val="uk-UA" w:eastAsia="ar-SA"/>
        </w:rPr>
        <w:t xml:space="preserve"> (середнє арифметичне</w:t>
      </w:r>
      <w:r w:rsidRPr="00CE0A20">
        <w:rPr>
          <w:rStyle w:val="14"/>
          <w:i w:val="0"/>
          <w:color w:val="000000" w:themeColor="text1"/>
          <w:lang w:eastAsia="ar-SA"/>
        </w:rPr>
        <w:t> </w:t>
      </w:r>
      <w:r w:rsidRPr="00CE0A20">
        <w:rPr>
          <w:rStyle w:val="14"/>
          <w:i w:val="0"/>
          <w:color w:val="000000" w:themeColor="text1"/>
          <w:lang w:val="uk-UA" w:eastAsia="ar-SA"/>
        </w:rPr>
        <w:t>±</w:t>
      </w:r>
      <w:r w:rsidRPr="00CE0A20">
        <w:rPr>
          <w:rStyle w:val="14"/>
          <w:i w:val="0"/>
          <w:color w:val="000000" w:themeColor="text1"/>
          <w:lang w:eastAsia="ar-SA"/>
        </w:rPr>
        <w:t> </w:t>
      </w:r>
      <w:r w:rsidRPr="00CE0A20">
        <w:rPr>
          <w:rStyle w:val="14"/>
          <w:i w:val="0"/>
          <w:color w:val="000000" w:themeColor="text1"/>
          <w:lang w:val="uk-UA" w:eastAsia="ar-SA"/>
        </w:rPr>
        <w:t>стандартне відхилення); для даних, розподіл яких відрізнявся від нормального, додатково застосовували 95% довірч</w:t>
      </w:r>
      <w:r w:rsidR="007A6C6D" w:rsidRPr="00CE0A20">
        <w:rPr>
          <w:rStyle w:val="14"/>
          <w:i w:val="0"/>
          <w:color w:val="000000" w:themeColor="text1"/>
          <w:lang w:val="uk-UA" w:eastAsia="ar-SA"/>
        </w:rPr>
        <w:t>и</w:t>
      </w:r>
      <w:r w:rsidRPr="00CE0A20">
        <w:rPr>
          <w:rStyle w:val="14"/>
          <w:i w:val="0"/>
          <w:color w:val="000000" w:themeColor="text1"/>
          <w:lang w:val="uk-UA" w:eastAsia="ar-SA"/>
        </w:rPr>
        <w:t xml:space="preserve">й інтервал (ДІ). </w:t>
      </w:r>
      <w:r w:rsidRPr="00CE0A20">
        <w:rPr>
          <w:rStyle w:val="14"/>
          <w:i w:val="0"/>
          <w:color w:val="000000" w:themeColor="text1"/>
          <w:lang w:eastAsia="ar-SA"/>
        </w:rPr>
        <w:t xml:space="preserve">Якісні показники представлено в абсолютній кількості (n) та у відсотках (%). </w:t>
      </w:r>
    </w:p>
    <w:p w:rsidR="00EB6EBC" w:rsidRPr="00CE0A20" w:rsidRDefault="00EB6EBC" w:rsidP="00EB6EBC">
      <w:pPr>
        <w:spacing w:line="360" w:lineRule="auto"/>
        <w:ind w:firstLine="708"/>
        <w:jc w:val="both"/>
        <w:rPr>
          <w:rFonts w:ascii="Times New Roman" w:hAnsi="Times New Roman" w:cs="Times New Roman"/>
          <w:i/>
          <w:color w:val="000000" w:themeColor="text1"/>
          <w:sz w:val="28"/>
          <w:szCs w:val="28"/>
          <w:lang w:val="uk-UA"/>
        </w:rPr>
      </w:pPr>
      <w:r w:rsidRPr="00CE0A20">
        <w:rPr>
          <w:rStyle w:val="14"/>
          <w:i w:val="0"/>
          <w:color w:val="000000" w:themeColor="text1"/>
          <w:lang w:eastAsia="ar-SA"/>
        </w:rPr>
        <w:t>Для аналізу показників з нормальним розподілом був використаний t-критерій (Стьюдента) для незалежних вибірок та парний критерій Стьюдента для залежних вибірок. Для порівняння кількісних показників, які не відпо</w:t>
      </w:r>
      <w:r w:rsidRPr="00CE0A20">
        <w:rPr>
          <w:rStyle w:val="14"/>
          <w:i w:val="0"/>
          <w:color w:val="000000" w:themeColor="text1"/>
          <w:lang w:eastAsia="ar-SA"/>
        </w:rPr>
        <w:softHyphen/>
        <w:t>відали критеріям нормального розподілу, були використані непараметричний критерій Ман</w:t>
      </w:r>
      <w:r w:rsidR="007A6C6D" w:rsidRPr="00CE0A20">
        <w:rPr>
          <w:rStyle w:val="14"/>
          <w:i w:val="0"/>
          <w:color w:val="000000" w:themeColor="text1"/>
          <w:lang w:val="uk-UA" w:eastAsia="ar-SA"/>
        </w:rPr>
        <w:t>н</w:t>
      </w:r>
      <w:r w:rsidRPr="00CE0A20">
        <w:rPr>
          <w:rStyle w:val="14"/>
          <w:i w:val="0"/>
          <w:color w:val="000000" w:themeColor="text1"/>
          <w:lang w:eastAsia="ar-SA"/>
        </w:rPr>
        <w:t>а-Уїтні та Кр</w:t>
      </w:r>
      <w:r w:rsidR="007A6C6D" w:rsidRPr="00CE0A20">
        <w:rPr>
          <w:rStyle w:val="14"/>
          <w:i w:val="0"/>
          <w:color w:val="000000" w:themeColor="text1"/>
          <w:lang w:val="uk-UA" w:eastAsia="ar-SA"/>
        </w:rPr>
        <w:t>а</w:t>
      </w:r>
      <w:r w:rsidRPr="00CE0A20">
        <w:rPr>
          <w:rStyle w:val="14"/>
          <w:i w:val="0"/>
          <w:color w:val="000000" w:themeColor="text1"/>
          <w:lang w:eastAsia="ar-SA"/>
        </w:rPr>
        <w:t>ск</w:t>
      </w:r>
      <w:r w:rsidR="007A6C6D" w:rsidRPr="00CE0A20">
        <w:rPr>
          <w:rStyle w:val="14"/>
          <w:i w:val="0"/>
          <w:color w:val="000000" w:themeColor="text1"/>
          <w:lang w:val="uk-UA" w:eastAsia="ar-SA"/>
        </w:rPr>
        <w:t>е</w:t>
      </w:r>
      <w:r w:rsidRPr="00CE0A20">
        <w:rPr>
          <w:rStyle w:val="14"/>
          <w:i w:val="0"/>
          <w:color w:val="000000" w:themeColor="text1"/>
          <w:lang w:eastAsia="ar-SA"/>
        </w:rPr>
        <w:t>ла-Уол</w:t>
      </w:r>
      <w:r w:rsidR="007A6C6D" w:rsidRPr="00CE0A20">
        <w:rPr>
          <w:rStyle w:val="14"/>
          <w:i w:val="0"/>
          <w:color w:val="000000" w:themeColor="text1"/>
          <w:lang w:val="uk-UA" w:eastAsia="ar-SA"/>
        </w:rPr>
        <w:t>л</w:t>
      </w:r>
      <w:r w:rsidRPr="00CE0A20">
        <w:rPr>
          <w:rStyle w:val="14"/>
          <w:i w:val="0"/>
          <w:color w:val="000000" w:themeColor="text1"/>
          <w:lang w:eastAsia="ar-SA"/>
        </w:rPr>
        <w:t>іса. Для порівняння якісних показників використано таблиці спряженості з визначенням критерію χ</w:t>
      </w:r>
      <w:r w:rsidRPr="00CE0A20">
        <w:rPr>
          <w:rStyle w:val="14"/>
          <w:i w:val="0"/>
          <w:color w:val="000000" w:themeColor="text1"/>
          <w:vertAlign w:val="superscript"/>
          <w:lang w:eastAsia="ar-SA"/>
        </w:rPr>
        <w:t>2</w:t>
      </w:r>
      <w:r w:rsidRPr="00CE0A20">
        <w:rPr>
          <w:rStyle w:val="14"/>
          <w:i w:val="0"/>
          <w:color w:val="000000" w:themeColor="text1"/>
          <w:lang w:eastAsia="ar-SA"/>
        </w:rPr>
        <w:t xml:space="preserve"> (при малих вибірках з поправкою Йєтса) або критерію Фішера. Відмінності вважали значущими при ймовірності нульової гіпотези менше 5% (р&lt;0,05).</w:t>
      </w:r>
    </w:p>
    <w:p w:rsidR="001C43D0" w:rsidRPr="00CE0A20" w:rsidRDefault="001C43D0">
      <w:pPr>
        <w:spacing w:after="200" w:line="276" w:lineRule="auto"/>
        <w:rPr>
          <w:rFonts w:ascii="Times New Roman" w:hAnsi="Times New Roman" w:cs="Times New Roman"/>
          <w:sz w:val="28"/>
          <w:szCs w:val="28"/>
        </w:rPr>
      </w:pPr>
      <w:r w:rsidRPr="00CE0A20">
        <w:rPr>
          <w:rFonts w:ascii="Times New Roman" w:hAnsi="Times New Roman" w:cs="Times New Roman"/>
          <w:sz w:val="28"/>
          <w:szCs w:val="28"/>
        </w:rPr>
        <w:br w:type="page"/>
      </w:r>
    </w:p>
    <w:p w:rsidR="001C43D0" w:rsidRPr="00CE0A20" w:rsidRDefault="007D08ED" w:rsidP="001C43D0">
      <w:pPr>
        <w:spacing w:after="160" w:line="256" w:lineRule="auto"/>
        <w:jc w:val="center"/>
        <w:rPr>
          <w:rFonts w:ascii="Times New Roman" w:hAnsi="Times New Roman" w:cs="Times New Roman"/>
          <w:b/>
          <w:sz w:val="28"/>
          <w:szCs w:val="28"/>
          <w:lang w:val="uk-UA"/>
        </w:rPr>
      </w:pPr>
      <w:r w:rsidRPr="00CE0A20">
        <w:rPr>
          <w:rFonts w:ascii="Times New Roman" w:hAnsi="Times New Roman" w:cs="Times New Roman"/>
          <w:b/>
          <w:sz w:val="28"/>
          <w:szCs w:val="28"/>
          <w:lang w:val="uk-UA"/>
        </w:rPr>
        <w:t>Розділ 3</w:t>
      </w:r>
    </w:p>
    <w:p w:rsidR="001C43D0" w:rsidRPr="00CE0A20" w:rsidRDefault="001C43D0" w:rsidP="001C43D0">
      <w:pPr>
        <w:spacing w:line="360" w:lineRule="auto"/>
        <w:jc w:val="center"/>
        <w:rPr>
          <w:rFonts w:ascii="Times New Roman" w:hAnsi="Times New Roman" w:cs="Times New Roman"/>
          <w:b/>
          <w:sz w:val="28"/>
          <w:szCs w:val="28"/>
          <w:lang w:val="uk-UA"/>
        </w:rPr>
      </w:pPr>
      <w:r w:rsidRPr="00CE0A20">
        <w:rPr>
          <w:rFonts w:ascii="Times New Roman" w:hAnsi="Times New Roman" w:cs="Times New Roman"/>
          <w:b/>
          <w:sz w:val="28"/>
          <w:szCs w:val="28"/>
          <w:lang w:val="uk-UA"/>
        </w:rPr>
        <w:t>РОЗРОБЛЕННЯ ЕКСПЕРИМЕНТАЛЬНОЇ МОДЕЛІ СТІЙКОГО ВТОРИННОГО АНДРОГЕННОГО ДЕФІЦИТУ</w:t>
      </w:r>
    </w:p>
    <w:p w:rsidR="001C43D0" w:rsidRPr="00CE0A20" w:rsidRDefault="001C43D0" w:rsidP="001C43D0">
      <w:pPr>
        <w:spacing w:line="360" w:lineRule="auto"/>
        <w:rPr>
          <w:rFonts w:ascii="Times New Roman" w:hAnsi="Times New Roman" w:cs="Times New Roman"/>
          <w:b/>
          <w:sz w:val="28"/>
          <w:szCs w:val="28"/>
          <w:lang w:val="uk-UA"/>
        </w:rPr>
      </w:pP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Головною метою першого етапу експериментального дослідження було створення моделі копулятивної дисфункції на тлі гіпогонадизму. Здебільшого для створення гіпогонадизму застосовуються хімічні сполуки з гонадотоксичною дією, зокрема хлорид кадмію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2</w:t>
      </w:r>
      <w:r w:rsidRPr="00CE0A20">
        <w:rPr>
          <w:rFonts w:ascii="Times New Roman" w:hAnsi="Times New Roman" w:cs="Times New Roman"/>
          <w:sz w:val="28"/>
          <w:szCs w:val="28"/>
          <w:lang w:val="uk-UA"/>
        </w:rPr>
        <w:t>). За даними попередніх досліджень, цей токсин має загальнотоксичний ефект, але головною мішенню його токсичної дії є статеві органи. [</w:t>
      </w:r>
      <w:r w:rsidRPr="00CE0A20">
        <w:rPr>
          <w:rStyle w:val="ab"/>
          <w:i w:val="0"/>
          <w:iCs w:val="0"/>
          <w:sz w:val="28"/>
          <w:szCs w:val="28"/>
          <w:lang w:val="uk-UA"/>
        </w:rPr>
        <w:t>104</w:t>
      </w:r>
      <w:r w:rsidRPr="00CE0A20">
        <w:rPr>
          <w:rFonts w:ascii="Times New Roman" w:hAnsi="Times New Roman" w:cs="Times New Roman"/>
          <w:sz w:val="28"/>
          <w:szCs w:val="28"/>
          <w:lang w:val="uk-UA"/>
        </w:rPr>
        <w:t>;</w:t>
      </w:r>
      <w:r w:rsidRPr="00CE0A20">
        <w:rPr>
          <w:rFonts w:ascii="Times New Roman" w:hAnsi="Times New Roman" w:cs="Times New Roman"/>
          <w:iCs/>
          <w:sz w:val="28"/>
          <w:szCs w:val="28"/>
          <w:lang w:val="uk-UA"/>
        </w:rPr>
        <w:t xml:space="preserve">138, </w:t>
      </w:r>
      <w:r w:rsidRPr="00CE0A20">
        <w:rPr>
          <w:rStyle w:val="ab"/>
          <w:i w:val="0"/>
          <w:iCs w:val="0"/>
          <w:sz w:val="28"/>
          <w:szCs w:val="28"/>
          <w:lang w:val="uk-UA"/>
        </w:rPr>
        <w:t>236</w:t>
      </w:r>
      <w:r w:rsidRPr="00CE0A20">
        <w:rPr>
          <w:rFonts w:ascii="Times New Roman" w:hAnsi="Times New Roman" w:cs="Times New Roman"/>
          <w:i/>
          <w:iCs/>
          <w:sz w:val="28"/>
          <w:szCs w:val="28"/>
          <w:lang w:val="uk-UA"/>
        </w:rPr>
        <w:t xml:space="preserve">; </w:t>
      </w:r>
      <w:r w:rsidRPr="00CE0A20">
        <w:rPr>
          <w:rStyle w:val="ab"/>
          <w:i w:val="0"/>
          <w:iCs w:val="0"/>
          <w:sz w:val="28"/>
          <w:szCs w:val="28"/>
          <w:lang w:val="uk-UA"/>
        </w:rPr>
        <w:t>262</w:t>
      </w:r>
      <w:r w:rsidRPr="00CE0A20">
        <w:rPr>
          <w:rFonts w:ascii="Times New Roman" w:hAnsi="Times New Roman" w:cs="Times New Roman"/>
          <w:sz w:val="28"/>
          <w:szCs w:val="28"/>
          <w:lang w:val="uk-UA"/>
        </w:rPr>
        <w:t xml:space="preserve">]. Тому насамперед необхідним було визначення оптимальної дози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Pr="00CE0A20">
        <w:rPr>
          <w:rFonts w:ascii="Times New Roman" w:hAnsi="Times New Roman" w:cs="Times New Roman"/>
          <w:sz w:val="28"/>
          <w:szCs w:val="28"/>
          <w:lang w:val="uk-UA"/>
        </w:rPr>
        <w:t>для створення стійкого гіпогонадизму (з неможливістю зворотного розвитку) без значного загально</w:t>
      </w:r>
      <w:r w:rsidRPr="00CE0A20">
        <w:rPr>
          <w:rFonts w:ascii="Times New Roman" w:hAnsi="Times New Roman" w:cs="Times New Roman"/>
          <w:sz w:val="28"/>
          <w:szCs w:val="28"/>
          <w:lang w:val="uk-UA"/>
        </w:rPr>
        <w:softHyphen/>
        <w:t>ток</w:t>
      </w:r>
      <w:r w:rsidRPr="00CE0A20">
        <w:rPr>
          <w:rFonts w:ascii="Times New Roman" w:hAnsi="Times New Roman" w:cs="Times New Roman"/>
          <w:sz w:val="28"/>
          <w:szCs w:val="28"/>
          <w:lang w:val="uk-UA"/>
        </w:rPr>
        <w:softHyphen/>
        <w:t xml:space="preserve">сичного ефекту. Для цього вивчено вплив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Pr="00CE0A20">
        <w:rPr>
          <w:rFonts w:ascii="Times New Roman" w:hAnsi="Times New Roman" w:cs="Times New Roman"/>
          <w:sz w:val="28"/>
          <w:szCs w:val="28"/>
          <w:lang w:val="uk-UA"/>
        </w:rPr>
        <w:t>при його внутрішньоочер</w:t>
      </w:r>
      <w:r w:rsidRPr="00CE0A20">
        <w:rPr>
          <w:rFonts w:ascii="Times New Roman" w:hAnsi="Times New Roman" w:cs="Times New Roman"/>
          <w:color w:val="auto"/>
          <w:sz w:val="28"/>
          <w:szCs w:val="28"/>
          <w:lang w:val="uk-UA"/>
        </w:rPr>
        <w:t>е</w:t>
      </w:r>
      <w:r w:rsidRPr="00CE0A20">
        <w:rPr>
          <w:rFonts w:ascii="Times New Roman" w:hAnsi="Times New Roman" w:cs="Times New Roman"/>
          <w:color w:val="auto"/>
          <w:sz w:val="28"/>
          <w:szCs w:val="28"/>
          <w:lang w:val="uk-UA"/>
        </w:rPr>
        <w:softHyphen/>
        <w:t>винному</w:t>
      </w:r>
      <w:r w:rsidRPr="00CE0A20">
        <w:rPr>
          <w:rFonts w:ascii="Times New Roman" w:hAnsi="Times New Roman" w:cs="Times New Roman"/>
          <w:sz w:val="28"/>
          <w:szCs w:val="28"/>
          <w:lang w:val="uk-UA"/>
        </w:rPr>
        <w:t xml:space="preserve"> введенні статевозрілим щурам у дозі 55 мкг, 100 мкг, 150 мкг та 200 мкг на 100 г ваги тварин. </w:t>
      </w:r>
    </w:p>
    <w:p w:rsidR="001C43D0" w:rsidRPr="00CE0A20" w:rsidRDefault="001C43D0" w:rsidP="001C43D0">
      <w:pPr>
        <w:spacing w:line="360" w:lineRule="auto"/>
        <w:ind w:firstLine="709"/>
        <w:rPr>
          <w:rFonts w:ascii="Times New Roman" w:hAnsi="Times New Roman" w:cs="Times New Roman"/>
          <w:sz w:val="28"/>
          <w:szCs w:val="28"/>
          <w:lang w:val="uk-UA"/>
        </w:rPr>
      </w:pPr>
    </w:p>
    <w:p w:rsidR="001C43D0" w:rsidRPr="00CE0A20" w:rsidRDefault="001C43D0" w:rsidP="001C43D0">
      <w:pPr>
        <w:keepNext/>
        <w:spacing w:line="360" w:lineRule="auto"/>
        <w:ind w:firstLine="709"/>
        <w:rPr>
          <w:rFonts w:ascii="Times New Roman" w:hAnsi="Times New Roman" w:cs="Times New Roman"/>
          <w:b/>
          <w:sz w:val="28"/>
          <w:szCs w:val="28"/>
          <w:lang w:val="uk-UA"/>
        </w:rPr>
      </w:pPr>
      <w:r w:rsidRPr="00CE0A20">
        <w:rPr>
          <w:rFonts w:ascii="Times New Roman" w:hAnsi="Times New Roman" w:cs="Times New Roman"/>
          <w:b/>
          <w:sz w:val="28"/>
          <w:szCs w:val="28"/>
          <w:lang w:val="uk-UA"/>
        </w:rPr>
        <w:t xml:space="preserve">3.1. Загальнотоксична дія хлориду кадмію </w:t>
      </w:r>
    </w:p>
    <w:p w:rsidR="00BB29C6" w:rsidRPr="00CE0A20" w:rsidRDefault="00BB29C6"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Введення тваринам CdCI</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усіх випадках супроводжувалося проявами токсикозу, ознаками якого було пригнічення рухової активності та харчових рефлексів експериментальних тварин, що призводило до поступового зменшення ваги тварин (рис. 3.1–3.3).</w:t>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У контрольній групі (інтактні тварини) середня вага становила (301,6±10,0) г. На 7-му добу у тварин 2-ої групи (після введення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2</w:t>
      </w:r>
      <w:r w:rsidR="00CE0A20" w:rsidRP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sz w:val="28"/>
          <w:szCs w:val="28"/>
          <w:lang w:val="uk-UA"/>
        </w:rPr>
        <w:t>у дозі 55 мкг/ 100 г ваги) – середня вага дорівнювала (289,2±16,6) г (р&lt;0,01 порівняно з 1</w:t>
      </w:r>
      <w:r w:rsidRPr="00CE0A20">
        <w:rPr>
          <w:rFonts w:ascii="Times New Roman" w:hAnsi="Times New Roman" w:cs="Times New Roman"/>
          <w:sz w:val="28"/>
          <w:szCs w:val="28"/>
          <w:lang w:val="uk-UA"/>
        </w:rPr>
        <w:noBreakHyphen/>
        <w:t xml:space="preserve">ою групою) (рис. 3.1). На 14-ту добу експерименту середня вага достовірно зросла щодо попереднього терміну експерименту (p&lt;0,05 за парним критерієм Стьюдента) і становила (301,9±11,3) г, на 28-у добу – (304,5±10,2) г, що не достовірно відрізнялося від попереднього терміну (p&gt;0,05). </w:t>
      </w:r>
    </w:p>
    <w:p w:rsidR="001C43D0" w:rsidRPr="00CE0A20" w:rsidRDefault="001C43D0" w:rsidP="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37537492" wp14:editId="17ABCB53">
            <wp:extent cx="5810250" cy="4648200"/>
            <wp:effectExtent l="0" t="0" r="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10250" cy="4648200"/>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3.1. Динаміка ваги експериментальних тварин (г) 2-ої групи (M±SD)</w:t>
      </w:r>
    </w:p>
    <w:p w:rsidR="001C43D0" w:rsidRPr="00CE0A20" w:rsidRDefault="001C43D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На 14-ту та на 28-му добу експерименту вага тварин 2-ої групи не відрізнялася від показників контрольної групи (р &gt; 0,05 за t-критерієм).</w:t>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У тварин 3-ої групи (після введення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Pr="00CE0A20">
        <w:rPr>
          <w:rFonts w:ascii="Times New Roman" w:hAnsi="Times New Roman" w:cs="Times New Roman"/>
          <w:sz w:val="28"/>
          <w:szCs w:val="28"/>
          <w:lang w:val="uk-UA"/>
        </w:rPr>
        <w:t>у дозі 100 мкг/ 100 г ваги) на 7</w:t>
      </w:r>
      <w:r w:rsidRPr="00CE0A20">
        <w:rPr>
          <w:rFonts w:ascii="Times New Roman" w:hAnsi="Times New Roman" w:cs="Times New Roman"/>
          <w:sz w:val="28"/>
          <w:szCs w:val="28"/>
          <w:lang w:val="uk-UA"/>
        </w:rPr>
        <w:noBreakHyphen/>
        <w:t>му добу середня вага становила (265,4±10,8) г. На 14-ту добу експерименту середня вага дещо збільшилася та сягала (272,1±10,9 г), на 28-у добу вона зросла до (273,8±10,3) г (рис. 3.2). Ці показники були достовірно меншими, ніж у контрольній групі (p&lt;0,001 за t-критерієм). Вага на 14-ту та 28-му добу експерименту була достовірно меншою, ніж на 7-му добу (p&lt;0,05 за парним критерієм Стьюдента), з 14-ої до 28-ої доби спостерігалося її незначне зростання (p&gt;0,05 за парним критерієм Стьюдента).</w:t>
      </w:r>
    </w:p>
    <w:p w:rsidR="001C43D0" w:rsidRPr="00CE0A20" w:rsidRDefault="001C43D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34A3F12A" wp14:editId="1067B313">
            <wp:extent cx="6051550" cy="4851400"/>
            <wp:effectExtent l="0" t="0" r="6350" b="635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51550" cy="4851400"/>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3.2. Динаміка ваги експериментальних тварин (г) 3-ої групи (M±SD)</w:t>
      </w:r>
    </w:p>
    <w:p w:rsidR="001C43D0" w:rsidRPr="00CE0A20" w:rsidRDefault="001C43D0" w:rsidP="001C43D0">
      <w:pPr>
        <w:spacing w:line="360" w:lineRule="auto"/>
        <w:jc w:val="both"/>
        <w:rPr>
          <w:rFonts w:ascii="Times New Roman" w:hAnsi="Times New Roman" w:cs="Times New Roman"/>
          <w:sz w:val="28"/>
          <w:szCs w:val="28"/>
          <w:lang w:val="uk-UA"/>
        </w:rPr>
      </w:pPr>
    </w:p>
    <w:p w:rsidR="00661B2E" w:rsidRPr="00CE0A20" w:rsidRDefault="001C43D0" w:rsidP="00661B2E">
      <w:pPr>
        <w:spacing w:line="360" w:lineRule="auto"/>
        <w:ind w:firstLine="709"/>
        <w:jc w:val="both"/>
        <w:rPr>
          <w:rFonts w:ascii="Times New Roman" w:hAnsi="Times New Roman" w:cs="Times New Roman"/>
          <w:sz w:val="28"/>
          <w:szCs w:val="28"/>
          <w:lang w:val="en-US"/>
        </w:rPr>
      </w:pPr>
      <w:r w:rsidRPr="00CE0A20">
        <w:rPr>
          <w:rFonts w:ascii="Times New Roman" w:hAnsi="Times New Roman" w:cs="Times New Roman"/>
          <w:sz w:val="28"/>
          <w:szCs w:val="28"/>
          <w:lang w:val="uk-UA"/>
        </w:rPr>
        <w:t xml:space="preserve">Майже аналогічна динаміка спостерігалася у тварин 4-ої групи (після введення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Pr="00CE0A20">
        <w:rPr>
          <w:rFonts w:ascii="Times New Roman" w:hAnsi="Times New Roman" w:cs="Times New Roman"/>
          <w:sz w:val="28"/>
          <w:szCs w:val="28"/>
          <w:lang w:val="uk-UA"/>
        </w:rPr>
        <w:t>у дозі 150 мкг/ 100 г ваги) (рис. 3.3). На 7</w:t>
      </w:r>
      <w:r w:rsidRPr="00CE0A20">
        <w:rPr>
          <w:rFonts w:ascii="Times New Roman" w:hAnsi="Times New Roman" w:cs="Times New Roman"/>
          <w:sz w:val="28"/>
          <w:szCs w:val="28"/>
          <w:lang w:val="uk-UA"/>
        </w:rPr>
        <w:noBreakHyphen/>
        <w:t xml:space="preserve">му добу середня вага становила (254,6±11,1) г (95% ДІ 249,4 – 259,7 г). </w:t>
      </w:r>
    </w:p>
    <w:p w:rsidR="00661B2E" w:rsidRPr="00CE0A20" w:rsidRDefault="00661B2E" w:rsidP="00661B2E">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На 14-ту та 28-му добу експерименту середня вага тварин залишалася стабільною: (255,2±10,2) г (95% ДІ 250,4 – 260,0 г) та (255,6±8,3) г (95% ДІ 251,7 – 259,4 г) відповідно, що не відрізнялося від ваги на 7-му добу (p&gt;0,05 за парним критерієм Стьюдента) (рис. 3.3). В усі терміни експерименту середня вага тварин 4-ої групи була достовірно меншою, ніж у контрольній групі (p&lt;0,001 за t-критерієм).</w:t>
      </w:r>
    </w:p>
    <w:p w:rsidR="001C43D0" w:rsidRPr="00CE0A20" w:rsidRDefault="001C43D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754D9912" wp14:editId="3CF63815">
            <wp:extent cx="5746750" cy="4603750"/>
            <wp:effectExtent l="0" t="0" r="6350" b="635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46750" cy="4603750"/>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3.3. Динаміка ваги експериментальних тварин (г) 4-ої групи (M±SD)</w:t>
      </w:r>
    </w:p>
    <w:p w:rsidR="001C43D0" w:rsidRPr="00CE0A20" w:rsidRDefault="001C43D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Після введення 200 мкг/100 г ваги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00CE0A20" w:rsidRP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sz w:val="28"/>
          <w:szCs w:val="28"/>
          <w:lang w:val="uk-UA"/>
        </w:rPr>
        <w:t>(5-а група) загинуло 12 (60%) тварин. Середня вага тварин 5-ої групи, що вижили, на 7-му добу становила (208,8±12,0) г (95% ДІ 198,7 – 218,9 г) та була достовірно меншою, ніж у контрольній групі (р&lt;0,001 порівняно з 1-ою групою). Через 14 діб після введення 200 мкг/100 г ваги CdCI</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загинули всі тварини.</w:t>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Відомими загальнотоксичними ефектами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00CE0A20" w:rsidRP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sz w:val="28"/>
          <w:szCs w:val="28"/>
          <w:lang w:val="uk-UA"/>
        </w:rPr>
        <w:t>є ураження гепато</w:t>
      </w:r>
      <w:r w:rsidRPr="00CE0A20">
        <w:rPr>
          <w:rFonts w:ascii="Times New Roman" w:hAnsi="Times New Roman" w:cs="Times New Roman"/>
          <w:sz w:val="28"/>
          <w:szCs w:val="28"/>
          <w:lang w:val="uk-UA"/>
        </w:rPr>
        <w:softHyphen/>
        <w:t>цитів та активація перекисного окиснення ліпідів (ПОЛ). Гепатотоксичність оцінено за концентрацією аланінамінотрасферази (АЛТ) та аспартатаміно</w:t>
      </w:r>
      <w:r w:rsidRPr="00CE0A20">
        <w:rPr>
          <w:rFonts w:ascii="Times New Roman" w:hAnsi="Times New Roman" w:cs="Times New Roman"/>
          <w:sz w:val="28"/>
          <w:szCs w:val="28"/>
          <w:lang w:val="uk-UA"/>
        </w:rPr>
        <w:softHyphen/>
        <w:t>трансферази (АСТ), стан ПОЛ – за вмістом ферментів актиоксидантного захисту – каталази й супероксиддисмутази (СОД) (табл. 3.1).</w:t>
      </w:r>
    </w:p>
    <w:p w:rsidR="001C43D0" w:rsidRPr="00CE0A20" w:rsidRDefault="001C43D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ind w:firstLine="709"/>
        <w:jc w:val="both"/>
        <w:rPr>
          <w:rFonts w:ascii="Times New Roman" w:hAnsi="Times New Roman" w:cs="Times New Roman"/>
          <w:sz w:val="28"/>
          <w:szCs w:val="28"/>
        </w:rPr>
      </w:pPr>
      <w:r w:rsidRPr="00CE0A20">
        <w:rPr>
          <w:rFonts w:ascii="Times New Roman" w:hAnsi="Times New Roman" w:cs="Times New Roman"/>
          <w:sz w:val="28"/>
          <w:szCs w:val="28"/>
          <w:lang w:val="uk-UA"/>
        </w:rPr>
        <w:t>Таблиця 3.1 – Вміст амінотрансфераз й антиоксидантних ферментів у сироватці крові експериментальних тварин</w:t>
      </w:r>
      <w:r w:rsidRPr="00CE0A20">
        <w:rPr>
          <w:rFonts w:ascii="Times New Roman" w:hAnsi="Times New Roman" w:cs="Times New Roman"/>
          <w:sz w:val="28"/>
          <w:szCs w:val="28"/>
        </w:rPr>
        <w:t xml:space="preserve"> (</w:t>
      </w:r>
      <w:r w:rsidRPr="00CE0A20">
        <w:rPr>
          <w:rFonts w:ascii="Times New Roman" w:hAnsi="Times New Roman" w:cs="Times New Roman"/>
          <w:sz w:val="28"/>
          <w:szCs w:val="28"/>
          <w:lang w:val="en-US"/>
        </w:rPr>
        <w:t>M</w:t>
      </w:r>
      <w:r w:rsidRPr="00CE0A20">
        <w:rPr>
          <w:rFonts w:ascii="Times New Roman" w:hAnsi="Times New Roman" w:cs="Times New Roman"/>
          <w:sz w:val="28"/>
          <w:szCs w:val="28"/>
        </w:rPr>
        <w:t>±</w:t>
      </w:r>
      <w:r w:rsidRPr="00CE0A20">
        <w:rPr>
          <w:rFonts w:ascii="Times New Roman" w:hAnsi="Times New Roman" w:cs="Times New Roman"/>
          <w:sz w:val="28"/>
          <w:szCs w:val="28"/>
          <w:lang w:val="en-US"/>
        </w:rPr>
        <w:t>SD</w:t>
      </w:r>
      <w:r w:rsidRPr="00CE0A20">
        <w:rPr>
          <w:rFonts w:ascii="Times New Roman" w:hAnsi="Times New Roman" w:cs="Times New Roman"/>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8"/>
        <w:gridCol w:w="1732"/>
        <w:gridCol w:w="1732"/>
        <w:gridCol w:w="1720"/>
        <w:gridCol w:w="1715"/>
      </w:tblGrid>
      <w:tr w:rsidR="001C43D0" w:rsidRPr="00CE0A20" w:rsidTr="001C43D0">
        <w:trPr>
          <w:trHeight w:val="405"/>
        </w:trPr>
        <w:tc>
          <w:tcPr>
            <w:tcW w:w="2784"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Група експериментальних тварин</w:t>
            </w:r>
          </w:p>
        </w:tc>
        <w:tc>
          <w:tcPr>
            <w:tcW w:w="6785"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Досліджуваний показник</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АЛТ (Од/л)</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АСТ (Од/л)</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Каталаза (у.о./мл)</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СОД (у.о./мл)</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1-а група (контрольна)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0,37±0,04</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0,64±0,04</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518,2±7,3</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264,5±6,5</w:t>
            </w:r>
          </w:p>
        </w:tc>
      </w:tr>
      <w:tr w:rsidR="001C43D0" w:rsidRPr="00CE0A20" w:rsidTr="001C43D0">
        <w:tc>
          <w:tcPr>
            <w:tcW w:w="9569"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на 7-му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0,66±0,06</w:t>
            </w:r>
            <w:r w:rsidRPr="00CE0A20">
              <w:rPr>
                <w:rFonts w:ascii="Times New Roman" w:hAnsi="Times New Roman" w:cs="Times New Roman"/>
                <w:sz w:val="28"/>
                <w:szCs w:val="28"/>
                <w:vertAlign w:val="superscript"/>
                <w:lang w:val="uk-UA"/>
              </w:rPr>
              <w:t>1</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0,99±0,09 </w:t>
            </w:r>
            <w:r w:rsidRPr="00CE0A20">
              <w:rPr>
                <w:rFonts w:ascii="Times New Roman" w:hAnsi="Times New Roman" w:cs="Times New Roman"/>
                <w:sz w:val="28"/>
                <w:szCs w:val="28"/>
                <w:vertAlign w:val="superscript"/>
                <w:lang w:val="uk-UA"/>
              </w:rPr>
              <w:t xml:space="preserve">1 </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937,7±8,6 </w:t>
            </w:r>
            <w:r w:rsidRPr="00CE0A20">
              <w:rPr>
                <w:rFonts w:ascii="Times New Roman" w:hAnsi="Times New Roman" w:cs="Times New Roman"/>
                <w:sz w:val="28"/>
                <w:szCs w:val="28"/>
                <w:vertAlign w:val="superscript"/>
                <w:lang w:val="uk-UA"/>
              </w:rPr>
              <w:t xml:space="preserve">1 </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496,7±14,2</w:t>
            </w:r>
            <w:r w:rsidRPr="00CE0A20">
              <w:rPr>
                <w:rFonts w:ascii="Times New Roman" w:hAnsi="Times New Roman" w:cs="Times New Roman"/>
                <w:sz w:val="28"/>
                <w:szCs w:val="28"/>
                <w:vertAlign w:val="superscript"/>
                <w:lang w:val="uk-UA"/>
              </w:rPr>
              <w:t>1</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0,82±0,07</w:t>
            </w:r>
            <w:r w:rsidRPr="00CE0A20">
              <w:rPr>
                <w:rFonts w:ascii="Times New Roman" w:hAnsi="Times New Roman" w:cs="Times New Roman"/>
                <w:sz w:val="28"/>
                <w:szCs w:val="28"/>
                <w:vertAlign w:val="superscript"/>
                <w:lang w:val="uk-UA"/>
              </w:rPr>
              <w:t>1</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1,23±0,10</w:t>
            </w:r>
            <w:r w:rsidRPr="00CE0A20">
              <w:rPr>
                <w:rFonts w:ascii="Times New Roman" w:hAnsi="Times New Roman" w:cs="Times New Roman"/>
                <w:sz w:val="28"/>
                <w:szCs w:val="28"/>
                <w:vertAlign w:val="superscript"/>
                <w:lang w:val="uk-UA"/>
              </w:rPr>
              <w:t>1</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1118,5±13,5</w:t>
            </w:r>
            <w:r w:rsidRPr="00CE0A20">
              <w:rPr>
                <w:rFonts w:ascii="Times New Roman" w:hAnsi="Times New Roman" w:cs="Times New Roman"/>
                <w:sz w:val="28"/>
                <w:szCs w:val="28"/>
                <w:vertAlign w:val="superscript"/>
                <w:lang w:val="uk-UA"/>
              </w:rPr>
              <w:t>1</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578,2±12,9</w:t>
            </w:r>
            <w:r w:rsidRPr="00CE0A20">
              <w:rPr>
                <w:rFonts w:ascii="Times New Roman" w:hAnsi="Times New Roman" w:cs="Times New Roman"/>
                <w:sz w:val="28"/>
                <w:szCs w:val="28"/>
                <w:vertAlign w:val="superscript"/>
                <w:lang w:val="uk-UA"/>
              </w:rPr>
              <w:t>1</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0,91±0,09</w:t>
            </w:r>
            <w:r w:rsidRPr="00CE0A20">
              <w:rPr>
                <w:rFonts w:ascii="Times New Roman" w:hAnsi="Times New Roman" w:cs="Times New Roman"/>
                <w:sz w:val="28"/>
                <w:szCs w:val="28"/>
                <w:vertAlign w:val="superscript"/>
                <w:lang w:val="uk-UA"/>
              </w:rPr>
              <w:t>1</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1,19±0,09</w:t>
            </w:r>
            <w:r w:rsidRPr="00CE0A20">
              <w:rPr>
                <w:rFonts w:ascii="Times New Roman" w:hAnsi="Times New Roman" w:cs="Times New Roman"/>
                <w:sz w:val="28"/>
                <w:szCs w:val="28"/>
                <w:vertAlign w:val="superscript"/>
                <w:lang w:val="uk-UA"/>
              </w:rPr>
              <w:t>1</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1289,1±9,6</w:t>
            </w:r>
            <w:r w:rsidRPr="00CE0A20">
              <w:rPr>
                <w:rFonts w:ascii="Times New Roman" w:hAnsi="Times New Roman" w:cs="Times New Roman"/>
                <w:sz w:val="28"/>
                <w:szCs w:val="28"/>
                <w:vertAlign w:val="superscript"/>
                <w:lang w:val="uk-UA"/>
              </w:rPr>
              <w:t>1</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646,2±10,8</w:t>
            </w:r>
            <w:r w:rsidRPr="00CE0A20">
              <w:rPr>
                <w:rFonts w:ascii="Times New Roman" w:hAnsi="Times New Roman" w:cs="Times New Roman"/>
                <w:sz w:val="28"/>
                <w:szCs w:val="28"/>
                <w:vertAlign w:val="superscript"/>
                <w:lang w:val="uk-UA"/>
              </w:rPr>
              <w:t>1</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5-а група (n=8)</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1,13±0,07</w:t>
            </w:r>
            <w:r w:rsidRPr="00CE0A20">
              <w:rPr>
                <w:rFonts w:ascii="Times New Roman" w:hAnsi="Times New Roman" w:cs="Times New Roman"/>
                <w:sz w:val="28"/>
                <w:szCs w:val="28"/>
                <w:vertAlign w:val="superscript"/>
                <w:lang w:val="uk-UA"/>
              </w:rPr>
              <w:t>1</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1,28±0,08</w:t>
            </w:r>
            <w:r w:rsidRPr="00CE0A20">
              <w:rPr>
                <w:rFonts w:ascii="Times New Roman" w:hAnsi="Times New Roman" w:cs="Times New Roman"/>
                <w:sz w:val="28"/>
                <w:szCs w:val="28"/>
                <w:vertAlign w:val="superscript"/>
                <w:lang w:val="uk-UA"/>
              </w:rPr>
              <w:t>1</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1304,6±9,4</w:t>
            </w:r>
            <w:r w:rsidRPr="00CE0A20">
              <w:rPr>
                <w:rFonts w:ascii="Times New Roman" w:hAnsi="Times New Roman" w:cs="Times New Roman"/>
                <w:sz w:val="28"/>
                <w:szCs w:val="28"/>
                <w:vertAlign w:val="superscript"/>
                <w:lang w:val="uk-UA"/>
              </w:rPr>
              <w:t>1</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664,8±9,8</w:t>
            </w:r>
            <w:r w:rsidRPr="00CE0A20">
              <w:rPr>
                <w:rFonts w:ascii="Times New Roman" w:hAnsi="Times New Roman" w:cs="Times New Roman"/>
                <w:sz w:val="28"/>
                <w:szCs w:val="28"/>
                <w:vertAlign w:val="superscript"/>
                <w:lang w:val="uk-UA"/>
              </w:rPr>
              <w:t>1</w:t>
            </w:r>
          </w:p>
        </w:tc>
      </w:tr>
      <w:tr w:rsidR="001C43D0" w:rsidRPr="00CE0A20" w:rsidTr="001C43D0">
        <w:tc>
          <w:tcPr>
            <w:tcW w:w="9569"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на 14-ту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0,48±0,05</w:t>
            </w:r>
            <w:r w:rsidRPr="00CE0A20">
              <w:rPr>
                <w:rFonts w:ascii="Times New Roman" w:hAnsi="Times New Roman" w:cs="Times New Roman"/>
                <w:sz w:val="28"/>
                <w:szCs w:val="28"/>
                <w:vertAlign w:val="superscript"/>
                <w:lang w:val="uk-UA"/>
              </w:rPr>
              <w:t>1,2</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0,76±0,04</w:t>
            </w:r>
            <w:r w:rsidRPr="00CE0A20">
              <w:rPr>
                <w:rFonts w:ascii="Times New Roman" w:hAnsi="Times New Roman" w:cs="Times New Roman"/>
                <w:sz w:val="28"/>
                <w:szCs w:val="28"/>
                <w:vertAlign w:val="superscript"/>
                <w:lang w:val="uk-UA"/>
              </w:rPr>
              <w:t>1,2</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747,1±10,2</w:t>
            </w:r>
            <w:r w:rsidRPr="00CE0A20">
              <w:rPr>
                <w:rFonts w:ascii="Times New Roman" w:hAnsi="Times New Roman" w:cs="Times New Roman"/>
                <w:sz w:val="28"/>
                <w:szCs w:val="28"/>
                <w:vertAlign w:val="superscript"/>
                <w:lang w:val="uk-UA"/>
              </w:rPr>
              <w:t>1,2</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410,6±10,2</w:t>
            </w:r>
            <w:r w:rsidRPr="00CE0A20">
              <w:rPr>
                <w:rFonts w:ascii="Times New Roman" w:hAnsi="Times New Roman" w:cs="Times New Roman"/>
                <w:sz w:val="28"/>
                <w:szCs w:val="28"/>
                <w:vertAlign w:val="superscript"/>
                <w:lang w:val="uk-UA"/>
              </w:rPr>
              <w:t>1,2</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0,64±0,06</w:t>
            </w:r>
            <w:r w:rsidRPr="00CE0A20">
              <w:rPr>
                <w:rFonts w:ascii="Times New Roman" w:hAnsi="Times New Roman" w:cs="Times New Roman"/>
                <w:sz w:val="28"/>
                <w:szCs w:val="28"/>
                <w:vertAlign w:val="superscript"/>
                <w:lang w:val="uk-UA"/>
              </w:rPr>
              <w:t>1,2</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0,93±0,07</w:t>
            </w:r>
            <w:r w:rsidRPr="00CE0A20">
              <w:rPr>
                <w:rFonts w:ascii="Times New Roman" w:hAnsi="Times New Roman" w:cs="Times New Roman"/>
                <w:sz w:val="28"/>
                <w:szCs w:val="28"/>
                <w:vertAlign w:val="superscript"/>
                <w:lang w:val="uk-UA"/>
              </w:rPr>
              <w:t>1,2</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889,1±9,9</w:t>
            </w:r>
            <w:r w:rsidRPr="00CE0A20">
              <w:rPr>
                <w:rFonts w:ascii="Times New Roman" w:hAnsi="Times New Roman" w:cs="Times New Roman"/>
                <w:sz w:val="28"/>
                <w:szCs w:val="28"/>
                <w:vertAlign w:val="superscript"/>
                <w:lang w:val="uk-UA"/>
              </w:rPr>
              <w:t>1,2</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489,3±9,1</w:t>
            </w:r>
            <w:r w:rsidRPr="00CE0A20">
              <w:rPr>
                <w:rFonts w:ascii="Times New Roman" w:hAnsi="Times New Roman" w:cs="Times New Roman"/>
                <w:sz w:val="28"/>
                <w:szCs w:val="28"/>
                <w:vertAlign w:val="superscript"/>
                <w:lang w:val="uk-UA"/>
              </w:rPr>
              <w:t>1,2</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0,93±0,09</w:t>
            </w:r>
            <w:r w:rsidRPr="00CE0A20">
              <w:rPr>
                <w:rFonts w:ascii="Times New Roman" w:hAnsi="Times New Roman" w:cs="Times New Roman"/>
                <w:sz w:val="28"/>
                <w:szCs w:val="28"/>
                <w:vertAlign w:val="superscript"/>
                <w:lang w:val="uk-UA"/>
              </w:rPr>
              <w:t>1</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1,22±0,10</w:t>
            </w:r>
            <w:r w:rsidRPr="00CE0A20">
              <w:rPr>
                <w:rFonts w:ascii="Times New Roman" w:hAnsi="Times New Roman" w:cs="Times New Roman"/>
                <w:sz w:val="28"/>
                <w:szCs w:val="28"/>
                <w:vertAlign w:val="superscript"/>
                <w:lang w:val="uk-UA"/>
              </w:rPr>
              <w:t>1</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1294,1±6,9</w:t>
            </w:r>
            <w:r w:rsidRPr="00CE0A20">
              <w:rPr>
                <w:rFonts w:ascii="Times New Roman" w:hAnsi="Times New Roman" w:cs="Times New Roman"/>
                <w:sz w:val="28"/>
                <w:szCs w:val="28"/>
                <w:vertAlign w:val="superscript"/>
                <w:lang w:val="uk-UA"/>
              </w:rPr>
              <w:t>1</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672,3±9,4</w:t>
            </w:r>
            <w:r w:rsidRPr="00CE0A20">
              <w:rPr>
                <w:rFonts w:ascii="Times New Roman" w:hAnsi="Times New Roman" w:cs="Times New Roman"/>
                <w:sz w:val="28"/>
                <w:szCs w:val="28"/>
                <w:vertAlign w:val="superscript"/>
                <w:lang w:val="uk-UA"/>
              </w:rPr>
              <w:t>1,2</w:t>
            </w:r>
          </w:p>
        </w:tc>
      </w:tr>
      <w:tr w:rsidR="001C43D0" w:rsidRPr="00CE0A20" w:rsidTr="001C43D0">
        <w:tc>
          <w:tcPr>
            <w:tcW w:w="9569"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на 28-му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0,36±0,04</w:t>
            </w:r>
            <w:r w:rsidRPr="00CE0A20">
              <w:rPr>
                <w:rFonts w:ascii="Times New Roman" w:hAnsi="Times New Roman" w:cs="Times New Roman"/>
                <w:sz w:val="28"/>
                <w:szCs w:val="28"/>
                <w:vertAlign w:val="superscript"/>
                <w:lang w:val="uk-UA"/>
              </w:rPr>
              <w:t>2</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0,67±0,08 </w:t>
            </w:r>
            <w:r w:rsidRPr="00CE0A20">
              <w:rPr>
                <w:rFonts w:ascii="Times New Roman" w:hAnsi="Times New Roman" w:cs="Times New Roman"/>
                <w:sz w:val="28"/>
                <w:szCs w:val="28"/>
                <w:vertAlign w:val="superscript"/>
                <w:lang w:val="uk-UA"/>
              </w:rPr>
              <w:t>1,2</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518,9±11,0</w:t>
            </w:r>
            <w:r w:rsidRPr="00CE0A20">
              <w:rPr>
                <w:rFonts w:ascii="Times New Roman" w:hAnsi="Times New Roman" w:cs="Times New Roman"/>
                <w:sz w:val="28"/>
                <w:szCs w:val="28"/>
                <w:vertAlign w:val="superscript"/>
                <w:lang w:val="uk-UA"/>
              </w:rPr>
              <w:t>1,2</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270,0±13,6</w:t>
            </w:r>
            <w:r w:rsidRPr="00CE0A20">
              <w:rPr>
                <w:rFonts w:ascii="Times New Roman" w:hAnsi="Times New Roman" w:cs="Times New Roman"/>
                <w:sz w:val="28"/>
                <w:szCs w:val="28"/>
                <w:vertAlign w:val="superscript"/>
                <w:lang w:val="uk-UA"/>
              </w:rPr>
              <w:t>1,2</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0,45±0,05</w:t>
            </w:r>
            <w:r w:rsidRPr="00CE0A20">
              <w:rPr>
                <w:rFonts w:ascii="Times New Roman" w:hAnsi="Times New Roman" w:cs="Times New Roman"/>
                <w:sz w:val="28"/>
                <w:szCs w:val="28"/>
                <w:vertAlign w:val="superscript"/>
                <w:lang w:val="uk-UA"/>
              </w:rPr>
              <w:t>1,2</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0,83±0,06 </w:t>
            </w:r>
            <w:r w:rsidRPr="00CE0A20">
              <w:rPr>
                <w:rFonts w:ascii="Times New Roman" w:hAnsi="Times New Roman" w:cs="Times New Roman"/>
                <w:sz w:val="28"/>
                <w:szCs w:val="28"/>
                <w:vertAlign w:val="superscript"/>
                <w:lang w:val="uk-UA"/>
              </w:rPr>
              <w:t>1,2</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695,5±9,7</w:t>
            </w:r>
            <w:r w:rsidRPr="00CE0A20">
              <w:rPr>
                <w:rFonts w:ascii="Times New Roman" w:hAnsi="Times New Roman" w:cs="Times New Roman"/>
                <w:sz w:val="28"/>
                <w:szCs w:val="28"/>
                <w:vertAlign w:val="superscript"/>
                <w:lang w:val="uk-UA"/>
              </w:rPr>
              <w:t>1,2</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423,4±11,6</w:t>
            </w:r>
            <w:r w:rsidRPr="00CE0A20">
              <w:rPr>
                <w:rFonts w:ascii="Times New Roman" w:hAnsi="Times New Roman" w:cs="Times New Roman"/>
                <w:sz w:val="28"/>
                <w:szCs w:val="28"/>
                <w:vertAlign w:val="superscript"/>
                <w:lang w:val="uk-UA"/>
              </w:rPr>
              <w:t>1,2</w:t>
            </w:r>
          </w:p>
        </w:tc>
      </w:tr>
      <w:tr w:rsidR="001C43D0" w:rsidRPr="00CE0A20" w:rsidTr="001C43D0">
        <w:tc>
          <w:tcPr>
            <w:tcW w:w="278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0,89±0,07</w:t>
            </w:r>
            <w:r w:rsidRPr="00CE0A20">
              <w:rPr>
                <w:rFonts w:ascii="Times New Roman" w:hAnsi="Times New Roman" w:cs="Times New Roman"/>
                <w:sz w:val="28"/>
                <w:szCs w:val="28"/>
                <w:vertAlign w:val="superscript"/>
                <w:lang w:val="uk-UA"/>
              </w:rPr>
              <w:t>1</w:t>
            </w:r>
          </w:p>
        </w:tc>
        <w:tc>
          <w:tcPr>
            <w:tcW w:w="173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1,13±0,06 </w:t>
            </w:r>
            <w:r w:rsidRPr="00CE0A20">
              <w:rPr>
                <w:rFonts w:ascii="Times New Roman" w:hAnsi="Times New Roman" w:cs="Times New Roman"/>
                <w:sz w:val="28"/>
                <w:szCs w:val="28"/>
                <w:vertAlign w:val="superscript"/>
                <w:lang w:val="uk-UA"/>
              </w:rPr>
              <w:t>1,2</w:t>
            </w:r>
          </w:p>
        </w:tc>
        <w:tc>
          <w:tcPr>
            <w:tcW w:w="172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1275,7±8,6</w:t>
            </w:r>
            <w:r w:rsidRPr="00CE0A20">
              <w:rPr>
                <w:rFonts w:ascii="Times New Roman" w:hAnsi="Times New Roman" w:cs="Times New Roman"/>
                <w:sz w:val="28"/>
                <w:szCs w:val="28"/>
                <w:vertAlign w:val="superscript"/>
                <w:lang w:val="uk-UA"/>
              </w:rPr>
              <w:t>1,2</w:t>
            </w:r>
          </w:p>
        </w:tc>
        <w:tc>
          <w:tcPr>
            <w:tcW w:w="159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Lines="40" w:before="96" w:afterLines="40" w:after="96"/>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638,5±7,2</w:t>
            </w:r>
            <w:r w:rsidRPr="00CE0A20">
              <w:rPr>
                <w:rFonts w:ascii="Times New Roman" w:hAnsi="Times New Roman" w:cs="Times New Roman"/>
                <w:sz w:val="28"/>
                <w:szCs w:val="28"/>
                <w:vertAlign w:val="superscript"/>
                <w:lang w:val="uk-UA"/>
              </w:rPr>
              <w:t>1,2</w:t>
            </w:r>
          </w:p>
        </w:tc>
      </w:tr>
    </w:tbl>
    <w:p w:rsidR="001C43D0" w:rsidRPr="00CE0A20" w:rsidRDefault="001C43D0" w:rsidP="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Примітки. 1 – р &lt; 0,05 порівняно з контрольною групою за t-критерієм</w:t>
      </w:r>
      <w:bookmarkStart w:id="1" w:name="bookmark7"/>
      <w:r w:rsidRPr="00CE0A20">
        <w:rPr>
          <w:rFonts w:ascii="Times New Roman" w:hAnsi="Times New Roman" w:cs="Times New Roman"/>
          <w:sz w:val="28"/>
          <w:szCs w:val="28"/>
          <w:lang w:val="uk-UA"/>
        </w:rPr>
        <w:t>.</w:t>
      </w:r>
    </w:p>
    <w:p w:rsidR="001C43D0" w:rsidRPr="00CE0A20" w:rsidRDefault="001C43D0" w:rsidP="001C43D0">
      <w:pPr>
        <w:ind w:left="1843" w:hanging="425"/>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 2 – р &lt; 0,05 порівняно з попереднім терміном експерименту за парним критерієм Стьюдента.</w:t>
      </w:r>
    </w:p>
    <w:p w:rsidR="001C43D0" w:rsidRPr="00CE0A20" w:rsidRDefault="001C43D0" w:rsidP="001C43D0">
      <w:pPr>
        <w:widowControl w:val="0"/>
        <w:spacing w:line="360" w:lineRule="auto"/>
        <w:ind w:firstLine="709"/>
        <w:jc w:val="both"/>
        <w:rPr>
          <w:rFonts w:ascii="Times New Roman" w:hAnsi="Times New Roman" w:cs="Times New Roman"/>
          <w:sz w:val="28"/>
          <w:szCs w:val="28"/>
          <w:lang w:val="uk-UA"/>
        </w:rPr>
      </w:pPr>
    </w:p>
    <w:p w:rsidR="001C43D0" w:rsidRPr="00CE0A20" w:rsidRDefault="001C43D0" w:rsidP="001C43D0">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Через 7 діб після введення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Pr="00CE0A20">
        <w:rPr>
          <w:rFonts w:ascii="Times New Roman" w:hAnsi="Times New Roman" w:cs="Times New Roman"/>
          <w:sz w:val="28"/>
          <w:szCs w:val="28"/>
          <w:lang w:val="uk-UA"/>
        </w:rPr>
        <w:t xml:space="preserve">у всіх експериментальних тварин відзначено достовірне (р &lt; 0,001 за t-критерієм) зростання концентрації всіх досліджуваних показників. У 2-ій групі концентрація АЛТ була вищою, ніж у тварин контрольної групи на 78%; концентрація АСТ зросла на 54,7%; активність каталази зросла на 81,0%: активність СОД – на 88,8%. </w:t>
      </w:r>
    </w:p>
    <w:p w:rsidR="001C43D0" w:rsidRPr="00CE0A20" w:rsidRDefault="001C43D0" w:rsidP="001C43D0">
      <w:pPr>
        <w:pStyle w:val="420"/>
        <w:widowControl w:val="0"/>
        <w:shd w:val="clear" w:color="auto" w:fill="auto"/>
        <w:spacing w:before="0" w:line="360" w:lineRule="auto"/>
        <w:ind w:left="20" w:firstLine="689"/>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Більш значущі відхилення від показників контрольної групи виявлено у тварин 3-ої групи (після введення 100 мкг / 100 г ваги тварини): вміст АЛТ зріс на 121,6%; уміст АСТ на 92,2%; активність каталази збільшилася на 115,8%; активність СОД зросла на 118,6%. Збільшення дози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00CE0A20" w:rsidRPr="00CE0A20">
        <w:rPr>
          <w:rFonts w:ascii="Times New Roman" w:hAnsi="Times New Roman" w:cs="Times New Roman"/>
          <w:color w:val="222222"/>
          <w:spacing w:val="0"/>
          <w:sz w:val="28"/>
          <w:szCs w:val="28"/>
          <w:vertAlign w:val="subscript"/>
          <w:lang w:val="uk-UA"/>
        </w:rPr>
        <w:t xml:space="preserve"> </w:t>
      </w:r>
      <w:r w:rsidRPr="00CE0A20">
        <w:rPr>
          <w:rFonts w:ascii="Times New Roman" w:hAnsi="Times New Roman" w:cs="Times New Roman"/>
          <w:color w:val="000000"/>
          <w:spacing w:val="0"/>
          <w:sz w:val="28"/>
          <w:szCs w:val="28"/>
          <w:lang w:val="uk-UA"/>
        </w:rPr>
        <w:t xml:space="preserve">до 150 мкг/ 100 г ваги тварини (4-а група) призвело до подальшого зростання досліджуваних показників: уміст АЛТ зріс на 145,9%; АСТ – на 85,9%; активність каталази–на 148,8%; активність СОД – на 144,3%. Найбільші відхилення від показників контрольної групи спостерігалися у тварин 5-ої групи, що вижили після введення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Pr="00CE0A20">
        <w:rPr>
          <w:rFonts w:ascii="Times New Roman" w:hAnsi="Times New Roman" w:cs="Times New Roman"/>
          <w:color w:val="000000"/>
          <w:spacing w:val="0"/>
          <w:sz w:val="28"/>
          <w:szCs w:val="28"/>
          <w:lang w:val="uk-UA"/>
        </w:rPr>
        <w:t xml:space="preserve">у дозі 200 мкг/100 г ваги тварини: концентрація АЛТ зросла на 205,4%; концентрація АСТ – на 100%; активність каталази – на 151,7%; активність СОД – на 151,3%. </w:t>
      </w:r>
    </w:p>
    <w:p w:rsidR="001C43D0" w:rsidRPr="00CE0A20" w:rsidRDefault="001C43D0" w:rsidP="001C43D0">
      <w:pPr>
        <w:pStyle w:val="420"/>
        <w:widowControl w:val="0"/>
        <w:shd w:val="clear" w:color="auto" w:fill="auto"/>
        <w:spacing w:before="0" w:line="360" w:lineRule="auto"/>
        <w:ind w:left="20" w:firstLine="689"/>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На 14-ту добу експерименту у тварин 2-ої групи концентрація АЛТ достовірно знизилася порівняно з попереднім терміном експерименту (р&lt;0,05 за парним критерієм Стьюдента), але була більшою на 29,7% щодо значень 1-ої групи (р&lt;0,05 за t-критерієм); концентрація АСТ зменшилася порівняно з 7-ою добою (р&lt;0,05 за парним критерієм Стьюдента), але також достовірно перевищувала аналогічний показник 1-ої групи – на 18,8% (р&lt;0,05 за t-критерієм). Активність каталази зменшилася, але залишалася більшою, ніж у контрольній групі на 44,2% (р&lt;0,05 за t-критерієм); активність СОД також зменшилася (р&lt;0,05 за парним критерієм Стьюдента порівняно з попереднім терміном), але була більшою, ніж у 1-й групі на 55,2% (р&lt;0,05 за t-критерієм). На 28-му добу експерименту у тварин цієї групи зазначені показники подовжували достовірно знижуватися порівняно з попереднім терміном експерименту (р&lt;0,05 за парним критерієм Стьюдента), та майже не відрізнялися від показників контрольної групи (р&gt;0,05 за 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У тварин 3-ої групи на 14-ту добу експерименту концентрація АЛТ достовірно зменшилася щодо попереднього терміну експерименту, але була більшою на 73,0% порівняно з 1-ою групою (р&lt;0,05 за t-критерієм); концентрація АСТ також зменшилася щодо показників, отриманих на 7-му добу (р&lt;0,05 за парним критерієм Стьюдента), але також достовірно перевищувала аналогічний показник 1-ої групи – на 45,3% (р&lt;0,05 за t-критерієм). Активність каталази достовірно зменшилася (р&lt;0,05 за парним критерієм Стьюдента), залишаючись більшою, ніж у контрольній групі, на 71,6%; активність СОД достовірно зменшилася (р&lt;0,05 за парним критерієм Стьюдента), але була вищою, ніж у 1-й групі на 85,0% (р&lt;0,05 за t-критерієм). На 28-му добу експерименту ці показники продовжували достовірно знижувалися порівняно з 14-ою добою експерименту (р&lt;0,05 за парним критерієм Стьюдента), але зберігалося перевищення аналогічних показників контрольної групи на 21,6%, 29,7%, 60,1% та 33,6% відповідно (р&lt;0,05 за 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У тварин 4-ої групи на 14-ту добу експерименту вміст АЛТ був на 151,5% більшим, ніж у тварин 1-ої групи (р&lt;0,05 за t-критерієм); концентрація АСТ не відрізнялася від рівня 7-ої доби (р&gt;0,05 за парним критерієм Стьюдента), але перевищувала аналогічний показник 1-ої групи на 90,6% (р&lt;0,05 за t-критерієм). Активність каталази незначно зросла (р&gt;0,05 за парним критерієм Стьюдента) та залишалася більшою, ніж у контрольній групі, на 149,7% (р&lt;0,05 за t-критерієм); активність СОД збільшилася (р&lt;0,05 за парним критерієм Стьюдента порівняно із 7-ою добою), що було вище, ніж у 1-й групі, на 154,2% (р&lt;0,05 за t-критерієм). На 28-му добу експерименту ці показники знизилися: АЛТ не достовірно (р&gt;0,05 за парним критерієм Стьюдента щодо з 14-ої доби), АСТ достовірно (р&lt;0,05 за парним критерієм Стьюдента порівняно з 14-ю добою); каталаза та СОД достовірно (р&lt;0,05 за парним критерієм Стьюдента проти показників з 14-ї доби). Ці показники на 28-у добу експерименту були більшими, ніж у контрольній групі, на 140,5%, 76,6%, 141,4% та 146,2% відповідно (р&lt;0,05 для кожної точки вимірювання). </w:t>
      </w:r>
    </w:p>
    <w:p w:rsidR="001C43D0" w:rsidRPr="00CE0A20" w:rsidRDefault="001C43D0" w:rsidP="001C43D0">
      <w:pPr>
        <w:pStyle w:val="420"/>
        <w:widowControl w:val="0"/>
        <w:shd w:val="clear" w:color="auto" w:fill="auto"/>
        <w:spacing w:before="0" w:line="360" w:lineRule="auto"/>
        <w:ind w:left="23" w:firstLine="692"/>
        <w:rPr>
          <w:rStyle w:val="3TimesNewRoman"/>
          <w:spacing w:val="0"/>
          <w:sz w:val="28"/>
          <w:szCs w:val="28"/>
        </w:rPr>
      </w:pPr>
      <w:r w:rsidRPr="00CE0A20">
        <w:rPr>
          <w:rFonts w:ascii="Times New Roman" w:hAnsi="Times New Roman" w:cs="Times New Roman"/>
          <w:color w:val="000000"/>
          <w:spacing w:val="0"/>
          <w:sz w:val="28"/>
          <w:szCs w:val="28"/>
          <w:lang w:val="uk-UA"/>
        </w:rPr>
        <w:t xml:space="preserve">Таким чином, виходячи з результатів аналізу показників загальнотоксичної дії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Pr="00CE0A20">
        <w:rPr>
          <w:rStyle w:val="3TimesNewRoman"/>
          <w:color w:val="000000"/>
          <w:spacing w:val="0"/>
          <w:sz w:val="28"/>
          <w:szCs w:val="28"/>
          <w:lang w:val="uk-UA"/>
        </w:rPr>
        <w:t>, можна зробити висновок, що введення цього токсину в дозі 55 </w:t>
      </w:r>
      <w:r w:rsidRPr="00CE0A20">
        <w:rPr>
          <w:rFonts w:ascii="Times New Roman" w:hAnsi="Times New Roman" w:cs="Times New Roman"/>
          <w:color w:val="000000"/>
          <w:spacing w:val="0"/>
          <w:sz w:val="28"/>
          <w:szCs w:val="28"/>
          <w:lang w:val="uk-UA"/>
        </w:rPr>
        <w:t>мкг</w:t>
      </w:r>
      <w:r w:rsidRPr="00CE0A20">
        <w:rPr>
          <w:rStyle w:val="3TimesNewRoman"/>
          <w:color w:val="000000"/>
          <w:spacing w:val="0"/>
          <w:sz w:val="28"/>
          <w:szCs w:val="28"/>
          <w:lang w:val="uk-UA"/>
        </w:rPr>
        <w:t xml:space="preserve">/100 г ваги тварини призводить до екзогенної інтоксикації на 7-му добу експерименту, але на 14-ту добу стан тварин покращується та на 28-му добу всі показники не відрізняються від аналогічних даних контрольної групи. При введенні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Pr="00CE0A20">
        <w:rPr>
          <w:rStyle w:val="3TimesNewRoman"/>
          <w:color w:val="000000"/>
          <w:spacing w:val="0"/>
          <w:sz w:val="28"/>
          <w:szCs w:val="28"/>
          <w:lang w:val="uk-UA"/>
        </w:rPr>
        <w:t xml:space="preserve">у дозі 100 </w:t>
      </w:r>
      <w:r w:rsidRPr="00CE0A20">
        <w:rPr>
          <w:rFonts w:ascii="Times New Roman" w:hAnsi="Times New Roman" w:cs="Times New Roman"/>
          <w:color w:val="000000"/>
          <w:spacing w:val="0"/>
          <w:sz w:val="28"/>
          <w:szCs w:val="28"/>
          <w:lang w:val="uk-UA"/>
        </w:rPr>
        <w:t>мкг</w:t>
      </w:r>
      <w:r w:rsidRPr="00CE0A20">
        <w:rPr>
          <w:rStyle w:val="3TimesNewRoman"/>
          <w:color w:val="000000"/>
          <w:spacing w:val="0"/>
          <w:sz w:val="28"/>
          <w:szCs w:val="28"/>
          <w:lang w:val="uk-UA"/>
        </w:rPr>
        <w:t xml:space="preserve">/100 г ваги тварини явища інтоксикації зберігалися протягом усього періоду спостереження з відносною стабілізацію на 28-му добу експерименту. При введенні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Pr="00CE0A20">
        <w:rPr>
          <w:rStyle w:val="3TimesNewRoman"/>
          <w:color w:val="000000"/>
          <w:spacing w:val="0"/>
          <w:sz w:val="28"/>
          <w:szCs w:val="28"/>
          <w:lang w:val="uk-UA"/>
        </w:rPr>
        <w:t>у дозі 150</w:t>
      </w:r>
      <w:r w:rsidRPr="00CE0A20">
        <w:rPr>
          <w:rFonts w:ascii="Times New Roman" w:hAnsi="Times New Roman" w:cs="Times New Roman"/>
          <w:spacing w:val="0"/>
          <w:sz w:val="28"/>
          <w:szCs w:val="28"/>
          <w:lang w:val="uk-UA"/>
        </w:rPr>
        <w:t> </w:t>
      </w:r>
      <w:r w:rsidRPr="00CE0A20">
        <w:rPr>
          <w:rFonts w:ascii="Times New Roman" w:hAnsi="Times New Roman" w:cs="Times New Roman"/>
          <w:color w:val="000000"/>
          <w:spacing w:val="0"/>
          <w:sz w:val="28"/>
          <w:szCs w:val="28"/>
          <w:lang w:val="uk-UA"/>
        </w:rPr>
        <w:t>мкг</w:t>
      </w:r>
      <w:r w:rsidRPr="00CE0A20">
        <w:rPr>
          <w:rStyle w:val="3TimesNewRoman"/>
          <w:color w:val="000000"/>
          <w:spacing w:val="0"/>
          <w:sz w:val="28"/>
          <w:szCs w:val="28"/>
          <w:lang w:val="uk-UA"/>
        </w:rPr>
        <w:t xml:space="preserve">/100 г ваги тварини загальнотоксичний ефект зберігався на відносно стабільному рівні впродовж усього експерименту. При введенні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Pr="00CE0A20">
        <w:rPr>
          <w:rStyle w:val="3TimesNewRoman"/>
          <w:color w:val="000000"/>
          <w:spacing w:val="0"/>
          <w:sz w:val="28"/>
          <w:szCs w:val="28"/>
          <w:lang w:val="uk-UA"/>
        </w:rPr>
        <w:t xml:space="preserve">у дозі 200 </w:t>
      </w:r>
      <w:r w:rsidRPr="00CE0A20">
        <w:rPr>
          <w:rFonts w:ascii="Times New Roman" w:hAnsi="Times New Roman" w:cs="Times New Roman"/>
          <w:color w:val="000000"/>
          <w:spacing w:val="0"/>
          <w:sz w:val="28"/>
          <w:szCs w:val="28"/>
          <w:lang w:val="uk-UA"/>
        </w:rPr>
        <w:t>мкг</w:t>
      </w:r>
      <w:r w:rsidRPr="00CE0A20">
        <w:rPr>
          <w:rStyle w:val="3TimesNewRoman"/>
          <w:color w:val="000000"/>
          <w:spacing w:val="0"/>
          <w:sz w:val="28"/>
          <w:szCs w:val="28"/>
          <w:lang w:val="uk-UA"/>
        </w:rPr>
        <w:t xml:space="preserve">/100 г ваги тварини на 7-му добу вижили лише 40% експериментальних тварин, а до 14-ої доби загинули всі тварини, що дає змогу зробити попередній висновок про непридатність цієї дози токсину для створення ЕАД. Заключний висновок про оптимальну дозу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Pr="00CE0A20">
        <w:rPr>
          <w:rStyle w:val="3TimesNewRoman"/>
          <w:color w:val="000000"/>
          <w:spacing w:val="0"/>
          <w:sz w:val="28"/>
          <w:szCs w:val="28"/>
          <w:lang w:val="uk-UA"/>
        </w:rPr>
        <w:t xml:space="preserve">можливий лише після аналізу його гонадотоксичної дії за показниками гормонального статусу й результатами патоморфологічного </w:t>
      </w:r>
      <w:r w:rsidRPr="000B5176">
        <w:rPr>
          <w:rStyle w:val="3TimesNewRoman"/>
          <w:color w:val="000000"/>
          <w:spacing w:val="0"/>
          <w:sz w:val="28"/>
          <w:szCs w:val="28"/>
          <w:lang w:val="uk-UA"/>
        </w:rPr>
        <w:t>дослідження.</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spacing w:val="0"/>
          <w:sz w:val="28"/>
          <w:szCs w:val="28"/>
        </w:rPr>
      </w:pPr>
    </w:p>
    <w:p w:rsidR="001C43D0" w:rsidRPr="00CE0A20" w:rsidRDefault="001C43D0" w:rsidP="001C43D0">
      <w:pPr>
        <w:pStyle w:val="420"/>
        <w:widowControl w:val="0"/>
        <w:shd w:val="clear" w:color="auto" w:fill="auto"/>
        <w:spacing w:before="0" w:line="360" w:lineRule="auto"/>
        <w:ind w:left="23" w:firstLine="692"/>
        <w:rPr>
          <w:rStyle w:val="3TimesNewRoman"/>
          <w:b/>
          <w:spacing w:val="0"/>
          <w:sz w:val="28"/>
          <w:szCs w:val="28"/>
          <w:vertAlign w:val="subscript"/>
        </w:rPr>
      </w:pPr>
      <w:r w:rsidRPr="00CE0A20">
        <w:rPr>
          <w:rStyle w:val="3TimesNewRoman"/>
          <w:b/>
          <w:color w:val="000000"/>
          <w:spacing w:val="0"/>
          <w:sz w:val="28"/>
          <w:szCs w:val="28"/>
          <w:lang w:val="uk-UA"/>
        </w:rPr>
        <w:t xml:space="preserve">3.2. Динаміка показників гормонального статусу експериментальних тварин після введення </w:t>
      </w:r>
      <w:r w:rsidR="00CE0A20" w:rsidRPr="000B5176">
        <w:rPr>
          <w:rFonts w:ascii="Times New Roman" w:hAnsi="Times New Roman" w:cs="Times New Roman"/>
          <w:b/>
          <w:color w:val="222222"/>
          <w:spacing w:val="0"/>
          <w:sz w:val="28"/>
          <w:szCs w:val="28"/>
          <w:lang w:val="uk-UA"/>
        </w:rPr>
        <w:t>CdCl</w:t>
      </w:r>
      <w:r w:rsidR="00CE0A20" w:rsidRPr="000B5176">
        <w:rPr>
          <w:rFonts w:ascii="Times New Roman" w:hAnsi="Times New Roman" w:cs="Times New Roman"/>
          <w:b/>
          <w:color w:val="222222"/>
          <w:spacing w:val="0"/>
          <w:sz w:val="28"/>
          <w:szCs w:val="28"/>
          <w:vertAlign w:val="subscript"/>
          <w:lang w:val="uk-UA"/>
        </w:rPr>
        <w:t xml:space="preserve">2  </w:t>
      </w:r>
    </w:p>
    <w:p w:rsidR="00CF7496" w:rsidRPr="00CE0A20" w:rsidRDefault="00CF7496" w:rsidP="001C43D0">
      <w:pPr>
        <w:widowControl w:val="0"/>
        <w:spacing w:line="360" w:lineRule="auto"/>
        <w:ind w:left="23" w:firstLine="692"/>
        <w:jc w:val="both"/>
        <w:rPr>
          <w:rFonts w:ascii="Times New Roman" w:hAnsi="Times New Roman" w:cs="Times New Roman"/>
          <w:sz w:val="28"/>
          <w:szCs w:val="28"/>
          <w:lang w:val="uk-UA"/>
        </w:rPr>
      </w:pPr>
    </w:p>
    <w:p w:rsidR="001C43D0" w:rsidRPr="00CE0A20" w:rsidRDefault="001C43D0" w:rsidP="001C43D0">
      <w:pPr>
        <w:widowControl w:val="0"/>
        <w:spacing w:line="360" w:lineRule="auto"/>
        <w:ind w:left="23" w:firstLine="692"/>
        <w:jc w:val="both"/>
        <w:rPr>
          <w:rStyle w:val="29pt3"/>
          <w:rFonts w:ascii="Times New Roman" w:hAnsi="Times New Roman" w:cs="Times New Roman"/>
          <w:bCs w:val="0"/>
          <w:i w:val="0"/>
          <w:iCs w:val="0"/>
          <w:sz w:val="28"/>
          <w:szCs w:val="28"/>
          <w:lang w:val="uk-UA"/>
        </w:rPr>
      </w:pPr>
      <w:r w:rsidRPr="00CE0A20">
        <w:rPr>
          <w:rFonts w:ascii="Times New Roman" w:hAnsi="Times New Roman" w:cs="Times New Roman"/>
          <w:sz w:val="28"/>
          <w:szCs w:val="28"/>
          <w:lang w:val="uk-UA"/>
        </w:rPr>
        <w:t xml:space="preserve">Відомо, що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Pr="00CE0A20">
        <w:rPr>
          <w:rStyle w:val="3TimesNewRoman"/>
          <w:sz w:val="28"/>
          <w:szCs w:val="28"/>
          <w:lang w:val="uk-UA"/>
        </w:rPr>
        <w:t xml:space="preserve">впливає на гормональний статус організму експериментальних тварин. З метою вивчення цього впливу був визначений рівень </w:t>
      </w:r>
      <w:r w:rsidRPr="00CE0A20">
        <w:rPr>
          <w:rStyle w:val="29pt3"/>
          <w:rFonts w:ascii="Times New Roman" w:hAnsi="Times New Roman" w:cs="Times New Roman"/>
          <w:b w:val="0"/>
          <w:bCs w:val="0"/>
          <w:i w:val="0"/>
          <w:iCs w:val="0"/>
          <w:sz w:val="28"/>
          <w:szCs w:val="28"/>
          <w:lang w:val="uk-UA"/>
        </w:rPr>
        <w:t>тестостерону (</w:t>
      </w:r>
      <w:r w:rsidRPr="00CE0A20">
        <w:rPr>
          <w:rFonts w:ascii="Times New Roman" w:hAnsi="Times New Roman" w:cs="Times New Roman"/>
          <w:sz w:val="28"/>
          <w:szCs w:val="28"/>
          <w:lang w:val="uk-UA"/>
        </w:rPr>
        <w:t>нмоль/мл)</w:t>
      </w:r>
      <w:r w:rsidRPr="00CE0A20">
        <w:rPr>
          <w:rStyle w:val="29pt3"/>
          <w:rFonts w:ascii="Times New Roman" w:hAnsi="Times New Roman" w:cs="Times New Roman"/>
          <w:b w:val="0"/>
          <w:bCs w:val="0"/>
          <w:i w:val="0"/>
          <w:iCs w:val="0"/>
          <w:sz w:val="28"/>
          <w:szCs w:val="28"/>
          <w:lang w:val="uk-UA"/>
        </w:rPr>
        <w:t xml:space="preserve">, естрогену (естрадіолу) (пг/мл), </w:t>
      </w:r>
      <w:r w:rsidRPr="00CE0A20">
        <w:rPr>
          <w:rStyle w:val="26"/>
          <w:rFonts w:ascii="Times New Roman" w:hAnsi="Times New Roman" w:cs="Times New Roman"/>
          <w:i w:val="0"/>
          <w:iCs w:val="0"/>
          <w:sz w:val="28"/>
          <w:szCs w:val="28"/>
          <w:lang w:val="uk-UA"/>
        </w:rPr>
        <w:t>ФСГ (</w:t>
      </w:r>
      <w:r w:rsidRPr="00CE0A20">
        <w:rPr>
          <w:rFonts w:ascii="Times New Roman" w:hAnsi="Times New Roman" w:cs="Times New Roman"/>
          <w:sz w:val="28"/>
          <w:szCs w:val="28"/>
          <w:lang w:val="uk-UA"/>
        </w:rPr>
        <w:t>мЕд/мл</w:t>
      </w:r>
      <w:r w:rsidRPr="00CE0A20">
        <w:rPr>
          <w:rStyle w:val="26"/>
          <w:rFonts w:ascii="Times New Roman" w:hAnsi="Times New Roman" w:cs="Times New Roman"/>
          <w:i w:val="0"/>
          <w:iCs w:val="0"/>
          <w:sz w:val="28"/>
          <w:szCs w:val="28"/>
          <w:lang w:val="uk-UA"/>
        </w:rPr>
        <w:t>),</w:t>
      </w:r>
      <w:r w:rsidRPr="00CE0A20">
        <w:rPr>
          <w:rStyle w:val="29pt3"/>
          <w:rFonts w:ascii="Times New Roman" w:hAnsi="Times New Roman" w:cs="Times New Roman"/>
          <w:b w:val="0"/>
          <w:bCs w:val="0"/>
          <w:i w:val="0"/>
          <w:iCs w:val="0"/>
          <w:sz w:val="28"/>
          <w:szCs w:val="28"/>
          <w:lang w:val="uk-UA"/>
        </w:rPr>
        <w:t xml:space="preserve"> ЛГ (</w:t>
      </w:r>
      <w:r w:rsidRPr="00CE0A20">
        <w:rPr>
          <w:rFonts w:ascii="Times New Roman" w:hAnsi="Times New Roman" w:cs="Times New Roman"/>
          <w:sz w:val="28"/>
          <w:szCs w:val="28"/>
          <w:lang w:val="uk-UA"/>
        </w:rPr>
        <w:t>мЕд/мл)</w:t>
      </w:r>
      <w:r w:rsidRPr="00CE0A20">
        <w:rPr>
          <w:rStyle w:val="29pt3"/>
          <w:rFonts w:ascii="Times New Roman" w:hAnsi="Times New Roman" w:cs="Times New Roman"/>
          <w:b w:val="0"/>
          <w:bCs w:val="0"/>
          <w:i w:val="0"/>
          <w:iCs w:val="0"/>
          <w:sz w:val="28"/>
          <w:szCs w:val="28"/>
          <w:lang w:val="uk-UA"/>
        </w:rPr>
        <w:t>, ПРЛ(</w:t>
      </w:r>
      <w:r w:rsidRPr="00CE0A20">
        <w:rPr>
          <w:rFonts w:ascii="Times New Roman" w:hAnsi="Times New Roman" w:cs="Times New Roman"/>
          <w:sz w:val="28"/>
          <w:szCs w:val="28"/>
          <w:shd w:val="clear" w:color="auto" w:fill="FFFFFF"/>
          <w:lang w:val="uk-UA"/>
        </w:rPr>
        <w:t>МкМЕ/мл</w:t>
      </w:r>
      <w:r w:rsidRPr="00CE0A20">
        <w:rPr>
          <w:rFonts w:ascii="Times New Roman" w:hAnsi="Times New Roman" w:cs="Times New Roman"/>
          <w:sz w:val="28"/>
          <w:szCs w:val="28"/>
          <w:shd w:val="clear" w:color="auto" w:fill="EFEFEF"/>
          <w:lang w:val="uk-UA"/>
        </w:rPr>
        <w:t xml:space="preserve">) </w:t>
      </w:r>
      <w:r w:rsidRPr="00CE0A20">
        <w:rPr>
          <w:rStyle w:val="29pt3"/>
          <w:rFonts w:ascii="Times New Roman" w:hAnsi="Times New Roman" w:cs="Times New Roman"/>
          <w:b w:val="0"/>
          <w:bCs w:val="0"/>
          <w:i w:val="0"/>
          <w:iCs w:val="0"/>
          <w:sz w:val="28"/>
          <w:szCs w:val="28"/>
          <w:lang w:val="uk-UA"/>
        </w:rPr>
        <w:t>таГЗСГ (нмоль/мл).</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rPr>
      </w:pPr>
      <w:r w:rsidRPr="00CE0A20">
        <w:rPr>
          <w:rStyle w:val="29pt3"/>
          <w:rFonts w:ascii="Times New Roman" w:hAnsi="Times New Roman" w:cs="Times New Roman"/>
          <w:b w:val="0"/>
          <w:bCs w:val="0"/>
          <w:i w:val="0"/>
          <w:iCs w:val="0"/>
          <w:color w:val="000000"/>
          <w:sz w:val="28"/>
          <w:szCs w:val="28"/>
          <w:lang w:val="uk-UA"/>
        </w:rPr>
        <w:t>Дані, отримані при вивченні вмісту тестостерону й естрадіолу, наведено в табл. 3.2. У контрольній групі середній вміст тестостерону становив (21,84±2,25) нмоль/л (</w:t>
      </w:r>
      <w:r w:rsidRPr="00CE0A20">
        <w:rPr>
          <w:rFonts w:ascii="Times New Roman" w:hAnsi="Times New Roman" w:cs="Times New Roman"/>
          <w:color w:val="000000"/>
          <w:spacing w:val="0"/>
          <w:sz w:val="28"/>
          <w:szCs w:val="28"/>
          <w:lang w:val="uk-UA"/>
        </w:rPr>
        <w:t xml:space="preserve">95% ДІ 20,79 – 22,89 </w:t>
      </w:r>
      <w:r w:rsidRPr="00CE0A20">
        <w:rPr>
          <w:rStyle w:val="29pt3"/>
          <w:rFonts w:ascii="Times New Roman" w:hAnsi="Times New Roman" w:cs="Times New Roman"/>
          <w:b w:val="0"/>
          <w:bCs w:val="0"/>
          <w:i w:val="0"/>
          <w:iCs w:val="0"/>
          <w:color w:val="000000"/>
          <w:sz w:val="28"/>
          <w:szCs w:val="28"/>
          <w:lang w:val="uk-UA"/>
        </w:rPr>
        <w:t>нмоль/л</w:t>
      </w:r>
      <w:r w:rsidRPr="00CE0A20">
        <w:rPr>
          <w:rFonts w:ascii="Times New Roman" w:hAnsi="Times New Roman" w:cs="Times New Roman"/>
          <w:color w:val="000000"/>
          <w:spacing w:val="0"/>
          <w:sz w:val="28"/>
          <w:szCs w:val="28"/>
          <w:lang w:val="uk-UA"/>
        </w:rPr>
        <w:t>)</w:t>
      </w:r>
      <w:r w:rsidRPr="00CE0A20">
        <w:rPr>
          <w:rStyle w:val="29pt3"/>
          <w:rFonts w:ascii="Times New Roman" w:hAnsi="Times New Roman" w:cs="Times New Roman"/>
          <w:b w:val="0"/>
          <w:bCs w:val="0"/>
          <w:i w:val="0"/>
          <w:iCs w:val="0"/>
          <w:color w:val="000000"/>
          <w:sz w:val="28"/>
          <w:szCs w:val="28"/>
          <w:lang w:val="uk-UA"/>
        </w:rPr>
        <w:t>, рівень естрадіолу – 0,18±0,07 пг/мл (</w:t>
      </w:r>
      <w:r w:rsidRPr="00CE0A20">
        <w:rPr>
          <w:rFonts w:ascii="Times New Roman" w:hAnsi="Times New Roman" w:cs="Times New Roman"/>
          <w:color w:val="000000"/>
          <w:spacing w:val="0"/>
          <w:sz w:val="28"/>
          <w:szCs w:val="28"/>
          <w:lang w:val="uk-UA"/>
        </w:rPr>
        <w:t xml:space="preserve">95% ДІ 0,15 – 0,21 </w:t>
      </w:r>
      <w:r w:rsidRPr="00CE0A20">
        <w:rPr>
          <w:rStyle w:val="29pt3"/>
          <w:rFonts w:ascii="Times New Roman" w:hAnsi="Times New Roman" w:cs="Times New Roman"/>
          <w:b w:val="0"/>
          <w:bCs w:val="0"/>
          <w:i w:val="0"/>
          <w:iCs w:val="0"/>
          <w:color w:val="000000"/>
          <w:sz w:val="28"/>
          <w:szCs w:val="28"/>
          <w:lang w:val="uk-UA"/>
        </w:rPr>
        <w:t>пг/мл</w:t>
      </w:r>
      <w:r w:rsidRPr="00CE0A20">
        <w:rPr>
          <w:rFonts w:ascii="Times New Roman" w:hAnsi="Times New Roman" w:cs="Times New Roman"/>
          <w:color w:val="000000"/>
          <w:spacing w:val="0"/>
          <w:sz w:val="28"/>
          <w:szCs w:val="28"/>
          <w:lang w:val="uk-UA"/>
        </w:rPr>
        <w:t xml:space="preserve">). Співвідношення андроген / естроген (індекс Т/Е) – (141,87±62,06) </w:t>
      </w:r>
      <w:r w:rsidRPr="00CE0A20">
        <w:rPr>
          <w:rStyle w:val="29pt3"/>
          <w:rFonts w:ascii="Times New Roman" w:hAnsi="Times New Roman" w:cs="Times New Roman"/>
          <w:b w:val="0"/>
          <w:i w:val="0"/>
          <w:color w:val="000000"/>
          <w:sz w:val="28"/>
          <w:szCs w:val="28"/>
          <w:lang w:val="uk-UA"/>
        </w:rPr>
        <w:t>(</w:t>
      </w:r>
      <w:r w:rsidRPr="00CE0A20">
        <w:rPr>
          <w:rFonts w:ascii="Times New Roman" w:hAnsi="Times New Roman" w:cs="Times New Roman"/>
          <w:color w:val="000000"/>
          <w:spacing w:val="0"/>
          <w:sz w:val="28"/>
          <w:szCs w:val="28"/>
          <w:lang w:val="uk-UA"/>
        </w:rPr>
        <w:t>95% ДІ 112,83 – 170,92).</w:t>
      </w:r>
    </w:p>
    <w:p w:rsidR="001C43D0" w:rsidRPr="00CE0A20" w:rsidRDefault="00661B2E"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Під впливом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Pr="00CE0A20">
        <w:rPr>
          <w:rStyle w:val="3TimesNewRoman"/>
          <w:sz w:val="28"/>
          <w:szCs w:val="28"/>
          <w:lang w:val="uk-UA"/>
        </w:rPr>
        <w:t>вміст тестостерону в усіх групах достовірно знижувався, а естрадіолу – достовірно зростав, причому ступніть змін залежав від дози CdCI</w:t>
      </w:r>
      <w:r w:rsidRPr="00CE0A20">
        <w:rPr>
          <w:rStyle w:val="3TimesNewRoman"/>
          <w:sz w:val="28"/>
          <w:szCs w:val="28"/>
          <w:vertAlign w:val="subscript"/>
          <w:lang w:val="uk-UA"/>
        </w:rPr>
        <w:t>2</w:t>
      </w:r>
      <w:r w:rsidRPr="00CE0A20">
        <w:rPr>
          <w:rStyle w:val="3TimesNewRoman"/>
          <w:sz w:val="28"/>
          <w:szCs w:val="28"/>
          <w:lang w:val="uk-UA"/>
        </w:rPr>
        <w:t xml:space="preserve">. У другій групі тварин </w:t>
      </w:r>
      <w:r w:rsidRPr="00CE0A20">
        <w:rPr>
          <w:rFonts w:ascii="Times New Roman" w:hAnsi="Times New Roman" w:cs="Times New Roman"/>
          <w:sz w:val="28"/>
          <w:szCs w:val="28"/>
          <w:lang w:val="uk-UA"/>
        </w:rPr>
        <w:t xml:space="preserve">(після введення </w:t>
      </w:r>
      <w:r w:rsidR="00CE0A20" w:rsidRPr="00CE0A20">
        <w:rPr>
          <w:rFonts w:ascii="Times New Roman" w:hAnsi="Times New Roman" w:cs="Times New Roman"/>
          <w:color w:val="222222"/>
          <w:sz w:val="28"/>
          <w:szCs w:val="28"/>
          <w:lang w:val="uk-UA"/>
        </w:rPr>
        <w:t>CdCl</w:t>
      </w:r>
      <w:r w:rsidR="00CE0A20" w:rsidRPr="00CE0A20">
        <w:rPr>
          <w:rFonts w:ascii="Times New Roman" w:hAnsi="Times New Roman" w:cs="Times New Roman"/>
          <w:color w:val="222222"/>
          <w:sz w:val="28"/>
          <w:szCs w:val="28"/>
          <w:vertAlign w:val="subscript"/>
          <w:lang w:val="uk-UA"/>
        </w:rPr>
        <w:t xml:space="preserve">2  </w:t>
      </w:r>
      <w:r w:rsidRPr="00CE0A20">
        <w:rPr>
          <w:rFonts w:ascii="Times New Roman" w:hAnsi="Times New Roman" w:cs="Times New Roman"/>
          <w:sz w:val="28"/>
          <w:szCs w:val="28"/>
          <w:lang w:val="uk-UA"/>
        </w:rPr>
        <w:t>у дозі 55 мкг/ 100 г ваги) рівень тестостерону зменшився майже на 36%, а рівень естрадіолу зріс на 66,7%, при цьому індекс Т/Е зменшився в 2,2 раза (</w:t>
      </w:r>
      <w:r w:rsidRPr="00CE0A20">
        <w:rPr>
          <w:rStyle w:val="3TimesNewRoman"/>
          <w:sz w:val="28"/>
          <w:szCs w:val="28"/>
          <w:lang w:val="uk-UA"/>
        </w:rPr>
        <w:t xml:space="preserve">p &lt; 0,05 за </w:t>
      </w:r>
      <w:r w:rsidRPr="00CE0A20">
        <w:rPr>
          <w:rStyle w:val="3TimesNewRoman"/>
          <w:sz w:val="28"/>
          <w:szCs w:val="28"/>
        </w:rPr>
        <w:t>t-</w:t>
      </w:r>
      <w:r w:rsidRPr="00CE0A20">
        <w:rPr>
          <w:rStyle w:val="3TimesNewRoman"/>
          <w:sz w:val="28"/>
          <w:szCs w:val="28"/>
          <w:lang w:val="uk-UA"/>
        </w:rPr>
        <w:t>критерієм за всіма показниками порівняно з контрольними значеннями).</w:t>
      </w:r>
      <w:r w:rsidRPr="00CE0A20">
        <w:rPr>
          <w:rFonts w:ascii="Times New Roman" w:hAnsi="Times New Roman" w:cs="Times New Roman"/>
          <w:sz w:val="28"/>
          <w:szCs w:val="28"/>
          <w:lang w:val="uk-UA"/>
        </w:rPr>
        <w:t xml:space="preserve"> </w:t>
      </w:r>
    </w:p>
    <w:p w:rsidR="001C43D0" w:rsidRPr="00CE0A20" w:rsidRDefault="001C43D0" w:rsidP="00CE0A20">
      <w:pPr>
        <w:spacing w:after="200" w:line="276" w:lineRule="auto"/>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Таблиця 3.2. – Вміст тестостерону й естрадіолу в сироватці крові експериментальних тварин</w:t>
      </w:r>
      <w:r w:rsidRPr="00CE0A20">
        <w:rPr>
          <w:rFonts w:ascii="Times New Roman" w:hAnsi="Times New Roman" w:cs="Times New Roman"/>
          <w:sz w:val="28"/>
          <w:szCs w:val="28"/>
        </w:rPr>
        <w:t xml:space="preserve"> (</w:t>
      </w:r>
      <w:r w:rsidRPr="00CE0A20">
        <w:rPr>
          <w:rFonts w:ascii="Times New Roman" w:hAnsi="Times New Roman" w:cs="Times New Roman"/>
          <w:sz w:val="28"/>
          <w:szCs w:val="28"/>
          <w:lang w:val="en-US"/>
        </w:rPr>
        <w:t>M</w:t>
      </w:r>
      <w:r w:rsidRPr="00CE0A20">
        <w:rPr>
          <w:rFonts w:ascii="Times New Roman" w:hAnsi="Times New Roman" w:cs="Times New Roman"/>
          <w:sz w:val="28"/>
          <w:szCs w:val="28"/>
        </w:rPr>
        <w:t>±</w:t>
      </w:r>
      <w:r w:rsidRPr="00CE0A20">
        <w:rPr>
          <w:rFonts w:ascii="Times New Roman" w:hAnsi="Times New Roman" w:cs="Times New Roman"/>
          <w:sz w:val="28"/>
          <w:szCs w:val="28"/>
          <w:lang w:val="en-US"/>
        </w:rPr>
        <w:t>SD</w:t>
      </w:r>
      <w:r w:rsidRPr="00CE0A20">
        <w:rPr>
          <w:rFonts w:ascii="Times New Roman" w:hAnsi="Times New Roman" w:cs="Times New Roman"/>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21"/>
        <w:gridCol w:w="2282"/>
        <w:gridCol w:w="2283"/>
        <w:gridCol w:w="2283"/>
      </w:tblGrid>
      <w:tr w:rsidR="001C43D0" w:rsidRPr="00CE0A20" w:rsidTr="001C43D0">
        <w:trPr>
          <w:trHeight w:val="405"/>
        </w:trPr>
        <w:tc>
          <w:tcPr>
            <w:tcW w:w="2721"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Група експериментальних тварин</w:t>
            </w:r>
          </w:p>
        </w:tc>
        <w:tc>
          <w:tcPr>
            <w:tcW w:w="6848" w:type="dxa"/>
            <w:gridSpan w:val="3"/>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Досліджуваний показник</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Тестостерон (нмоль/мл)</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Естрадіол (пг/мл)</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Індекс Т/Е</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1-а група (контрольна)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21,84±2,25</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0,18±0,07</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141,87±62,06</w:t>
            </w:r>
          </w:p>
        </w:tc>
      </w:tr>
      <w:tr w:rsidR="001C43D0" w:rsidRPr="00CE0A20" w:rsidTr="001C43D0">
        <w:tc>
          <w:tcPr>
            <w:tcW w:w="9569"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на 7-му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16,08±1,45</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0,27±0,07</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63,34±18,95</w:t>
            </w:r>
            <w:r w:rsidRPr="00CE0A20">
              <w:rPr>
                <w:rFonts w:ascii="Times New Roman" w:hAnsi="Times New Roman" w:cs="Times New Roman"/>
                <w:sz w:val="28"/>
                <w:szCs w:val="28"/>
                <w:vertAlign w:val="superscript"/>
                <w:lang w:val="uk-UA"/>
              </w:rPr>
              <w:t>1</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10,46±1,25</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0,33±0,07</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32,56±6,41</w:t>
            </w:r>
            <w:r w:rsidRPr="00CE0A20">
              <w:rPr>
                <w:rFonts w:ascii="Times New Roman" w:hAnsi="Times New Roman" w:cs="Times New Roman"/>
                <w:sz w:val="28"/>
                <w:szCs w:val="28"/>
                <w:vertAlign w:val="superscript"/>
                <w:lang w:val="uk-UA"/>
              </w:rPr>
              <w:t>1</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9,70±0,98</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0,35±0,07</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28,66±5,80</w:t>
            </w:r>
            <w:r w:rsidRPr="00CE0A20">
              <w:rPr>
                <w:rFonts w:ascii="Times New Roman" w:hAnsi="Times New Roman" w:cs="Times New Roman"/>
                <w:sz w:val="28"/>
                <w:szCs w:val="28"/>
                <w:vertAlign w:val="superscript"/>
                <w:lang w:val="uk-UA"/>
              </w:rPr>
              <w:t>1</w:t>
            </w:r>
          </w:p>
        </w:tc>
      </w:tr>
      <w:tr w:rsidR="001C43D0" w:rsidRPr="00CE0A20" w:rsidTr="001C43D0">
        <w:tc>
          <w:tcPr>
            <w:tcW w:w="9569"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на 14-ту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19,69±1,11</w:t>
            </w:r>
            <w:r w:rsidRPr="00CE0A20">
              <w:rPr>
                <w:rFonts w:ascii="Times New Roman" w:hAnsi="Times New Roman" w:cs="Times New Roman"/>
                <w:sz w:val="28"/>
                <w:szCs w:val="28"/>
                <w:vertAlign w:val="superscript"/>
                <w:lang w:val="uk-UA"/>
              </w:rPr>
              <w:t>2</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0,21±0,06</w:t>
            </w:r>
            <w:r w:rsidRPr="00CE0A20">
              <w:rPr>
                <w:rFonts w:ascii="Times New Roman" w:hAnsi="Times New Roman" w:cs="Times New Roman"/>
                <w:sz w:val="28"/>
                <w:szCs w:val="28"/>
                <w:vertAlign w:val="superscript"/>
                <w:lang w:val="uk-UA"/>
              </w:rPr>
              <w:t>2</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106,93±38,53</w:t>
            </w:r>
            <w:r w:rsidRPr="00CE0A20">
              <w:rPr>
                <w:rFonts w:ascii="Times New Roman" w:hAnsi="Times New Roman" w:cs="Times New Roman"/>
                <w:sz w:val="28"/>
                <w:szCs w:val="28"/>
                <w:vertAlign w:val="superscript"/>
                <w:lang w:val="uk-UA"/>
              </w:rPr>
              <w:t>1,2</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14,26±1,21</w:t>
            </w:r>
            <w:r w:rsidRPr="00CE0A20">
              <w:rPr>
                <w:rFonts w:ascii="Times New Roman" w:hAnsi="Times New Roman" w:cs="Times New Roman"/>
                <w:sz w:val="28"/>
                <w:szCs w:val="28"/>
                <w:vertAlign w:val="superscript"/>
                <w:lang w:val="uk-UA"/>
              </w:rPr>
              <w:t>1,2</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0,25±0,07</w:t>
            </w:r>
            <w:r w:rsidRPr="00CE0A20">
              <w:rPr>
                <w:rFonts w:ascii="Times New Roman" w:hAnsi="Times New Roman" w:cs="Times New Roman"/>
                <w:sz w:val="28"/>
                <w:szCs w:val="28"/>
                <w:vertAlign w:val="superscript"/>
                <w:lang w:val="uk-UA"/>
              </w:rPr>
              <w:t>1,2</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61,26±15,09</w:t>
            </w:r>
            <w:r w:rsidRPr="00CE0A20">
              <w:rPr>
                <w:rFonts w:ascii="Times New Roman" w:hAnsi="Times New Roman" w:cs="Times New Roman"/>
                <w:sz w:val="28"/>
                <w:szCs w:val="28"/>
                <w:vertAlign w:val="superscript"/>
                <w:lang w:val="uk-UA"/>
              </w:rPr>
              <w:t>1,2</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9,41±0,98</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0,34±0,07</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28,59±6,20</w:t>
            </w:r>
            <w:r w:rsidRPr="00CE0A20">
              <w:rPr>
                <w:rFonts w:ascii="Times New Roman" w:hAnsi="Times New Roman" w:cs="Times New Roman"/>
                <w:sz w:val="28"/>
                <w:szCs w:val="28"/>
                <w:vertAlign w:val="superscript"/>
                <w:lang w:val="uk-UA"/>
              </w:rPr>
              <w:t>1</w:t>
            </w:r>
          </w:p>
        </w:tc>
      </w:tr>
      <w:tr w:rsidR="001C43D0" w:rsidRPr="00CE0A20" w:rsidTr="001C43D0">
        <w:tc>
          <w:tcPr>
            <w:tcW w:w="9569"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на 28-му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21,66±1,58</w:t>
            </w:r>
            <w:r w:rsidRPr="00CE0A20">
              <w:rPr>
                <w:rFonts w:ascii="Times New Roman" w:hAnsi="Times New Roman" w:cs="Times New Roman"/>
                <w:sz w:val="28"/>
                <w:szCs w:val="28"/>
                <w:vertAlign w:val="superscript"/>
                <w:lang w:val="uk-UA"/>
              </w:rPr>
              <w:t>2</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0,20±0,07</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129,47±61,78</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19,26±1,17</w:t>
            </w:r>
            <w:r w:rsidRPr="00CE0A20">
              <w:rPr>
                <w:rFonts w:ascii="Times New Roman" w:hAnsi="Times New Roman" w:cs="Times New Roman"/>
                <w:sz w:val="28"/>
                <w:szCs w:val="28"/>
                <w:vertAlign w:val="superscript"/>
                <w:lang w:val="uk-UA"/>
              </w:rPr>
              <w:t>2</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0,20±0,05</w:t>
            </w:r>
            <w:r w:rsidRPr="00CE0A20">
              <w:rPr>
                <w:rFonts w:ascii="Times New Roman" w:hAnsi="Times New Roman" w:cs="Times New Roman"/>
                <w:sz w:val="28"/>
                <w:szCs w:val="28"/>
                <w:vertAlign w:val="superscript"/>
                <w:lang w:val="uk-UA"/>
              </w:rPr>
              <w:t>2</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103,55±30,65</w:t>
            </w:r>
            <w:r w:rsidRPr="00CE0A20">
              <w:rPr>
                <w:rFonts w:ascii="Times New Roman" w:hAnsi="Times New Roman" w:cs="Times New Roman"/>
                <w:sz w:val="28"/>
                <w:szCs w:val="28"/>
                <w:vertAlign w:val="superscript"/>
                <w:lang w:val="uk-UA"/>
              </w:rPr>
              <w:t>1, 2</w:t>
            </w:r>
          </w:p>
        </w:tc>
      </w:tr>
      <w:tr w:rsidR="001C43D0" w:rsidRPr="00CE0A20" w:rsidTr="001C43D0">
        <w:tc>
          <w:tcPr>
            <w:tcW w:w="27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228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9,32±0,89</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0,35±0,08</w:t>
            </w:r>
            <w:r w:rsidRPr="00CE0A20">
              <w:rPr>
                <w:rFonts w:ascii="Times New Roman" w:hAnsi="Times New Roman" w:cs="Times New Roman"/>
                <w:sz w:val="28"/>
                <w:szCs w:val="28"/>
                <w:vertAlign w:val="superscript"/>
                <w:lang w:val="uk-UA"/>
              </w:rPr>
              <w:t>1</w:t>
            </w:r>
          </w:p>
        </w:tc>
        <w:tc>
          <w:tcPr>
            <w:tcW w:w="228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27,64±6,39</w:t>
            </w:r>
            <w:r w:rsidRPr="00CE0A20">
              <w:rPr>
                <w:rFonts w:ascii="Times New Roman" w:hAnsi="Times New Roman" w:cs="Times New Roman"/>
                <w:sz w:val="28"/>
                <w:szCs w:val="28"/>
                <w:vertAlign w:val="superscript"/>
                <w:lang w:val="uk-UA"/>
              </w:rPr>
              <w:t>1</w:t>
            </w:r>
          </w:p>
        </w:tc>
      </w:tr>
    </w:tbl>
    <w:p w:rsidR="001C43D0" w:rsidRPr="00CE0A20" w:rsidRDefault="001C43D0" w:rsidP="00CE0A20">
      <w:pPr>
        <w:spacing w:line="360" w:lineRule="auto"/>
        <w:rPr>
          <w:rFonts w:ascii="Times New Roman" w:hAnsi="Times New Roman" w:cs="Times New Roman"/>
          <w:sz w:val="28"/>
          <w:szCs w:val="28"/>
          <w:lang w:val="uk-UA"/>
        </w:rPr>
      </w:pPr>
      <w:r w:rsidRPr="00CE0A20">
        <w:rPr>
          <w:rFonts w:ascii="Times New Roman" w:hAnsi="Times New Roman" w:cs="Times New Roman"/>
          <w:sz w:val="28"/>
          <w:szCs w:val="28"/>
          <w:lang w:val="uk-UA"/>
        </w:rPr>
        <w:t>Примітки. 1 – р &lt; 0,05 порівняно з контрольною групою за t-критерієм.</w:t>
      </w:r>
    </w:p>
    <w:p w:rsidR="001C43D0" w:rsidRPr="00CE0A20" w:rsidRDefault="001C43D0" w:rsidP="00CE0A20">
      <w:pPr>
        <w:spacing w:line="360" w:lineRule="auto"/>
        <w:ind w:left="1843" w:hanging="425"/>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 2 – р &lt; 0,05 порівняно з попереднім терміном експерименту за парним критерієм Стьюдента.</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p>
    <w:p w:rsidR="001C43D0" w:rsidRPr="00CE0A20" w:rsidRDefault="001C43D0" w:rsidP="001C43D0">
      <w:pPr>
        <w:pStyle w:val="420"/>
        <w:widowControl w:val="0"/>
        <w:shd w:val="clear" w:color="auto" w:fill="auto"/>
        <w:spacing w:before="0" w:line="360" w:lineRule="auto"/>
        <w:ind w:left="23" w:firstLine="692"/>
        <w:rPr>
          <w:rStyle w:val="3TimesNewRoman"/>
          <w:spacing w:val="0"/>
          <w:sz w:val="28"/>
          <w:szCs w:val="28"/>
        </w:rPr>
      </w:pPr>
      <w:r w:rsidRPr="00CE0A20">
        <w:rPr>
          <w:rFonts w:ascii="Times New Roman" w:hAnsi="Times New Roman" w:cs="Times New Roman"/>
          <w:color w:val="000000"/>
          <w:spacing w:val="0"/>
          <w:sz w:val="28"/>
          <w:szCs w:val="28"/>
          <w:lang w:val="uk-UA"/>
        </w:rPr>
        <w:t xml:space="preserve">У третій групі (після введення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Pr="00CE0A20">
        <w:rPr>
          <w:rStyle w:val="3TimesNewRoman"/>
          <w:color w:val="000000"/>
          <w:spacing w:val="0"/>
          <w:sz w:val="28"/>
          <w:szCs w:val="28"/>
          <w:lang w:val="uk-UA"/>
        </w:rPr>
        <w:t xml:space="preserve">у дозі 100 </w:t>
      </w:r>
      <w:r w:rsidRPr="00CE0A20">
        <w:rPr>
          <w:rFonts w:ascii="Times New Roman" w:hAnsi="Times New Roman" w:cs="Times New Roman"/>
          <w:color w:val="000000"/>
          <w:spacing w:val="0"/>
          <w:sz w:val="28"/>
          <w:szCs w:val="28"/>
          <w:lang w:val="uk-UA"/>
        </w:rPr>
        <w:t>мкг</w:t>
      </w:r>
      <w:r w:rsidRPr="00CE0A20">
        <w:rPr>
          <w:rStyle w:val="3TimesNewRoman"/>
          <w:color w:val="000000"/>
          <w:spacing w:val="0"/>
          <w:sz w:val="28"/>
          <w:szCs w:val="28"/>
          <w:lang w:val="uk-UA"/>
        </w:rPr>
        <w:t xml:space="preserve">/100 г ваги тварини) рівень тестостерону був у 2,1 раза вищим, ніж у контрольній групі, рівень естрадіолу був більшим в 1,8 раза, а індекс Т/Е був меншим, ніж у котрольній групі, у 4,4 раза </w:t>
      </w:r>
      <w:r w:rsidRPr="00CE0A20">
        <w:rPr>
          <w:rFonts w:ascii="Times New Roman" w:hAnsi="Times New Roman" w:cs="Times New Roman"/>
          <w:color w:val="000000"/>
          <w:spacing w:val="0"/>
          <w:sz w:val="28"/>
          <w:szCs w:val="28"/>
          <w:lang w:val="uk-UA"/>
        </w:rPr>
        <w:t>(</w:t>
      </w:r>
      <w:r w:rsidRPr="00CE0A20">
        <w:rPr>
          <w:rStyle w:val="3TimesNewRoman"/>
          <w:color w:val="000000"/>
          <w:spacing w:val="0"/>
          <w:sz w:val="28"/>
          <w:szCs w:val="28"/>
          <w:lang w:val="uk-UA"/>
        </w:rPr>
        <w:t xml:space="preserve">p &lt; 0,05 за </w:t>
      </w:r>
      <w:r w:rsidRPr="00CE0A20">
        <w:rPr>
          <w:rStyle w:val="3TimesNewRoman"/>
          <w:color w:val="000000"/>
          <w:spacing w:val="0"/>
          <w:sz w:val="28"/>
          <w:szCs w:val="28"/>
        </w:rPr>
        <w:t>t-</w:t>
      </w:r>
      <w:r w:rsidRPr="00CE0A20">
        <w:rPr>
          <w:rStyle w:val="3TimesNewRoman"/>
          <w:color w:val="000000"/>
          <w:spacing w:val="0"/>
          <w:sz w:val="28"/>
          <w:szCs w:val="28"/>
          <w:lang w:val="uk-UA"/>
        </w:rPr>
        <w:t xml:space="preserve">критерієм за всіма показниками порівняно з контрольними значеннями). У четвертій групі (після введення </w:t>
      </w:r>
      <w:r w:rsidR="00CE0A20" w:rsidRPr="00CE0A20">
        <w:rPr>
          <w:rFonts w:ascii="Times New Roman" w:hAnsi="Times New Roman" w:cs="Times New Roman"/>
          <w:color w:val="222222"/>
          <w:spacing w:val="0"/>
          <w:sz w:val="28"/>
          <w:szCs w:val="28"/>
          <w:lang w:val="uk-UA"/>
        </w:rPr>
        <w:t>CdCl</w:t>
      </w:r>
      <w:r w:rsidR="00CE0A20" w:rsidRPr="00CE0A20">
        <w:rPr>
          <w:rFonts w:ascii="Times New Roman" w:hAnsi="Times New Roman" w:cs="Times New Roman"/>
          <w:color w:val="222222"/>
          <w:spacing w:val="0"/>
          <w:sz w:val="28"/>
          <w:szCs w:val="28"/>
          <w:vertAlign w:val="subscript"/>
          <w:lang w:val="uk-UA"/>
        </w:rPr>
        <w:t xml:space="preserve">2  </w:t>
      </w:r>
      <w:r w:rsidRPr="00CE0A20">
        <w:rPr>
          <w:rStyle w:val="3TimesNewRoman"/>
          <w:color w:val="000000"/>
          <w:spacing w:val="0"/>
          <w:sz w:val="28"/>
          <w:szCs w:val="28"/>
          <w:lang w:val="uk-UA"/>
        </w:rPr>
        <w:t xml:space="preserve">у дозі 150 </w:t>
      </w:r>
      <w:r w:rsidRPr="00CE0A20">
        <w:rPr>
          <w:rFonts w:ascii="Times New Roman" w:hAnsi="Times New Roman" w:cs="Times New Roman"/>
          <w:color w:val="000000"/>
          <w:spacing w:val="0"/>
          <w:sz w:val="28"/>
          <w:szCs w:val="28"/>
          <w:lang w:val="uk-UA"/>
        </w:rPr>
        <w:t>мкг</w:t>
      </w:r>
      <w:r w:rsidRPr="00CE0A20">
        <w:rPr>
          <w:rStyle w:val="3TimesNewRoman"/>
          <w:color w:val="000000"/>
          <w:spacing w:val="0"/>
          <w:sz w:val="28"/>
          <w:szCs w:val="28"/>
          <w:lang w:val="uk-UA"/>
        </w:rPr>
        <w:t xml:space="preserve">/100 г ваги тварини) рівень тестостерону на 7-му добу був меншим, ніж у контролі, у 2,2 раза; рівень естрадіолу був більшим, ніж у контролі, в 1,9 раза, а індекс Т/Е – меншим у 4,9 раза </w:t>
      </w:r>
      <w:r w:rsidRPr="00CE0A20">
        <w:rPr>
          <w:rFonts w:ascii="Times New Roman" w:hAnsi="Times New Roman" w:cs="Times New Roman"/>
          <w:color w:val="000000"/>
          <w:spacing w:val="0"/>
          <w:sz w:val="28"/>
          <w:szCs w:val="28"/>
          <w:lang w:val="uk-UA"/>
        </w:rPr>
        <w:t>(</w:t>
      </w:r>
      <w:r w:rsidRPr="00CE0A20">
        <w:rPr>
          <w:rStyle w:val="3TimesNewRoman"/>
          <w:color w:val="000000"/>
          <w:spacing w:val="0"/>
          <w:sz w:val="28"/>
          <w:szCs w:val="28"/>
          <w:lang w:val="uk-UA"/>
        </w:rPr>
        <w:t xml:space="preserve">p &lt; 0,05 за </w:t>
      </w:r>
      <w:r w:rsidRPr="00CE0A20">
        <w:rPr>
          <w:rStyle w:val="3TimesNewRoman"/>
          <w:color w:val="000000"/>
          <w:spacing w:val="0"/>
          <w:sz w:val="28"/>
          <w:szCs w:val="28"/>
        </w:rPr>
        <w:t>t-</w:t>
      </w:r>
      <w:r w:rsidRPr="00CE0A20">
        <w:rPr>
          <w:rStyle w:val="3TimesNewRoman"/>
          <w:color w:val="000000"/>
          <w:spacing w:val="0"/>
          <w:sz w:val="28"/>
          <w:szCs w:val="28"/>
          <w:lang w:val="uk-UA"/>
        </w:rPr>
        <w:t>критерієм за всіма показниками порівняно з контрольними значеннями). У п’ятій групі ці показники не визначалися у зв’язку з виразною загальнотоксичною дією CdCI</w:t>
      </w:r>
      <w:r w:rsidRPr="00CE0A20">
        <w:rPr>
          <w:rStyle w:val="3TimesNewRoman"/>
          <w:color w:val="000000"/>
          <w:spacing w:val="0"/>
          <w:sz w:val="28"/>
          <w:szCs w:val="28"/>
          <w:vertAlign w:val="subscript"/>
          <w:lang w:val="uk-UA"/>
        </w:rPr>
        <w:t>2</w:t>
      </w:r>
      <w:r w:rsidRPr="00CE0A20">
        <w:rPr>
          <w:rStyle w:val="3TimesNewRoman"/>
          <w:color w:val="000000"/>
          <w:spacing w:val="0"/>
          <w:sz w:val="28"/>
          <w:szCs w:val="28"/>
          <w:lang w:val="uk-UA"/>
        </w:rPr>
        <w:t xml:space="preserve"> у дозі 200 </w:t>
      </w:r>
      <w:r w:rsidRPr="00CE0A20">
        <w:rPr>
          <w:rFonts w:ascii="Times New Roman" w:hAnsi="Times New Roman" w:cs="Times New Roman"/>
          <w:color w:val="000000"/>
          <w:spacing w:val="0"/>
          <w:sz w:val="28"/>
          <w:szCs w:val="28"/>
          <w:lang w:val="uk-UA"/>
        </w:rPr>
        <w:t>мкг</w:t>
      </w:r>
      <w:r w:rsidRPr="00CE0A20">
        <w:rPr>
          <w:rStyle w:val="3TimesNewRoman"/>
          <w:color w:val="000000"/>
          <w:spacing w:val="0"/>
          <w:sz w:val="28"/>
          <w:szCs w:val="28"/>
          <w:lang w:val="uk-UA"/>
        </w:rPr>
        <w:t>/100 г ваги тварини.</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spacing w:val="0"/>
          <w:sz w:val="28"/>
          <w:szCs w:val="28"/>
        </w:rPr>
      </w:pPr>
      <w:r w:rsidRPr="00CE0A20">
        <w:rPr>
          <w:rFonts w:ascii="Times New Roman" w:hAnsi="Times New Roman" w:cs="Times New Roman"/>
          <w:color w:val="000000"/>
          <w:spacing w:val="0"/>
          <w:sz w:val="28"/>
          <w:szCs w:val="28"/>
          <w:lang w:val="uk-UA"/>
        </w:rPr>
        <w:t xml:space="preserve">На 14-ту добу експерименту в другій групі експериментальних тварин спостерігається статистично значуще порівняно з попереднім терміном (p&lt;0,05 за парним критерієм Стьюдента) підвищення рівня тестостерону, що не відрізнялося від показника контрольної групи (p&gt;0,05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 xml:space="preserve">критерієм). Рівень естрадіолу, навпаки, достовірно знизився щодо попереднього терміну (p&lt;0,05 за парним критерієм Стьюдента) і також не відрізнявся від контрольного показника; Т/Е достовірно підвищився порівняно з 7-ою добою експерименту </w:t>
      </w:r>
      <w:bookmarkEnd w:id="1"/>
      <w:r w:rsidRPr="00CE0A20">
        <w:rPr>
          <w:rFonts w:ascii="Times New Roman" w:hAnsi="Times New Roman" w:cs="Times New Roman"/>
          <w:color w:val="000000"/>
          <w:spacing w:val="0"/>
          <w:sz w:val="28"/>
          <w:szCs w:val="28"/>
          <w:lang w:val="uk-UA"/>
        </w:rPr>
        <w:t xml:space="preserve">(p&lt;0,05), але був меншим, ніж у контрольній групі (р=0,039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 xml:space="preserve">-критерієм). На 28-му добу експерименту у тварин цієї групи концентрація тестостерону достовірно зросла порівняно з 14-ою добою (p&lt;0,05 за парним критерієм Стьюдента), не достовірно зменшився рівень естрадіолу й зросло співвідношення Т/Е. Усі ці показники на 28-му добу експерименту не відрізнялися від аналогічних у контрольній групі експериментальних тварин (p&gt;0,05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критерієм за всіма показниками).</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У третій групі експериментальних тварин на 14-ту добу експерименту також спостерігалося достовірне підвищення рівня тестостерону порівняно з 7-ою добою експерименту (p&lt;0,05 за парним критерієм Стьюдента), але зберігалося його достовірне зниження щодо контрольної групи (p&lt;0,05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noBreakHyphen/>
        <w:t xml:space="preserve">критерієм). Рівень естрадіолу також достовірно знизився, Т/Е зріс порівняно з попереднім терміном вивчення (p&lt;0,05 за парним критерієм Стьюдента). У подальшому, на 28-му добу експерименту рівень тестостерону достовірно зріс, рівень естрадіолу достовірно зменшився, Т/Е достовірно зріс проти попереднього терміну (p&lt;0,05 за парним критерієм Стьюдента), достовірна різниця порівняно з контрольними значеннями зберігалася тільки за Т/Е (p&lt;0,05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 xml:space="preserve">-критерієм), рівень тестостерону й естрадіаолу в цей термін не відрізнялися від контрольних значень (p&gt;0,05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У 4-й групі експериментальних тварин спостерігалася більш стабільна динаміка досліджуваних показників. Рівень тестостерону на 14-ту та на 28</w:t>
      </w:r>
      <w:r w:rsidRPr="00CE0A20">
        <w:rPr>
          <w:rFonts w:ascii="Times New Roman" w:hAnsi="Times New Roman" w:cs="Times New Roman"/>
          <w:color w:val="000000"/>
          <w:spacing w:val="0"/>
          <w:sz w:val="28"/>
          <w:szCs w:val="28"/>
          <w:lang w:val="uk-UA"/>
        </w:rPr>
        <w:noBreakHyphen/>
        <w:t xml:space="preserve">му добу експерименту подовжував незначно знижуватися (p&gt;0,05 за парним критерієм Стьюдента порівняно з попередніми термінами спостереження, що було достовірно меншим від показника контрольної групи (p &lt; 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критерієм). Рівень естрадіолу та співвідношення Т/Е на 14-ту та 28-му добу експерименту практично не змінилися від аналогічних показників на 7-му добу експери</w:t>
      </w:r>
      <w:r w:rsidRPr="00CE0A20">
        <w:rPr>
          <w:rFonts w:ascii="Times New Roman" w:hAnsi="Times New Roman" w:cs="Times New Roman"/>
          <w:color w:val="000000"/>
          <w:spacing w:val="0"/>
          <w:sz w:val="28"/>
          <w:szCs w:val="28"/>
          <w:lang w:val="uk-UA"/>
        </w:rPr>
        <w:softHyphen/>
        <w:t>менту. Тобто в цій групі експериментальних тварин на 7-му, 14-ту та 28-му добу експерименту спостерігався стабільно низький рівень тестостерону з деяким збільшенням рівня естрадіолу й зменшенням Т/Е.</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Результати вивчення вмісту статевих гормонів гіпофізарного походжен</w:t>
      </w:r>
      <w:r w:rsidRPr="00CE0A20">
        <w:rPr>
          <w:rFonts w:ascii="Times New Roman" w:hAnsi="Times New Roman" w:cs="Times New Roman"/>
          <w:color w:val="000000"/>
          <w:spacing w:val="0"/>
          <w:sz w:val="28"/>
          <w:szCs w:val="28"/>
          <w:lang w:val="uk-UA"/>
        </w:rPr>
        <w:softHyphen/>
        <w:t>ня (ФСГ, ЛГ, ПРЛ) і ГЗСГ в сироватці крові контрольної групи експери</w:t>
      </w:r>
      <w:r w:rsidRPr="00CE0A20">
        <w:rPr>
          <w:rFonts w:ascii="Times New Roman" w:hAnsi="Times New Roman" w:cs="Times New Roman"/>
          <w:color w:val="000000"/>
          <w:spacing w:val="0"/>
          <w:sz w:val="28"/>
          <w:szCs w:val="28"/>
          <w:lang w:val="uk-UA"/>
        </w:rPr>
        <w:softHyphen/>
        <w:t xml:space="preserve">ментальних тварин та під впливом різних доз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наведено в табл. 3.3.</w:t>
      </w:r>
    </w:p>
    <w:p w:rsidR="00661B2E" w:rsidRPr="00CE0A20" w:rsidRDefault="001C43D0" w:rsidP="00661B2E">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Як видно з наведених даних, після введення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 xml:space="preserve">концентрація ФСГ змінювалася. У 2-й групі (після введення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 xml:space="preserve">55мкг на 100 г ваги тварини) вона була достовірно більшою за показник контрольної групи (р&lt;0,05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noBreakHyphen/>
        <w:t xml:space="preserve">Стьюдента); на 14-ту добу концентрація цього гормону достовірно знизилася (p&lt;0,05 за парним критерієм Стьюдента) та майже не змінилася на 28-му добу (p&gt;0,05 за парним критерієм Стьюдента). У ці терміни концентрація ФСГ не відрізнялася від показника контрольної групи (p&gt;0,05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Стьюдента</w:t>
      </w:r>
      <w:r w:rsidR="00661B2E" w:rsidRPr="00CE0A20">
        <w:rPr>
          <w:rFonts w:ascii="Times New Roman" w:hAnsi="Times New Roman" w:cs="Times New Roman"/>
          <w:color w:val="000000"/>
          <w:spacing w:val="0"/>
          <w:sz w:val="28"/>
          <w:szCs w:val="28"/>
        </w:rPr>
        <w:t>)</w:t>
      </w:r>
      <w:r w:rsidR="00661B2E" w:rsidRPr="00CE0A20">
        <w:rPr>
          <w:rFonts w:ascii="Times New Roman" w:hAnsi="Times New Roman" w:cs="Times New Roman"/>
          <w:color w:val="000000"/>
          <w:spacing w:val="0"/>
          <w:sz w:val="28"/>
          <w:szCs w:val="28"/>
          <w:lang w:val="uk-UA"/>
        </w:rPr>
        <w:t>.</w:t>
      </w:r>
    </w:p>
    <w:p w:rsidR="00661B2E" w:rsidRPr="00CE0A20" w:rsidRDefault="00661B2E" w:rsidP="00661B2E">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У 3-й групі концентрація ФСГ в сироватці крові на 7-му добу підвищилася меншою мірою, але достовірно порівняно з контрольною групою (p&lt;0,05 за t-критерієм); на 14-ту добу вона значно знизилася (p&lt;0,05 за парним критерієм Стьюдента), наблизившись до показника контрольної групи (p&gt;0,05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критерієм), і незначно підвищилася на 28-му добу експерименту, не відрізняючись від показника попереднього етапу та від показника контрольної групи (p&gt;0,05 за відповідними критеріями).</w:t>
      </w:r>
    </w:p>
    <w:p w:rsidR="00CE0A20" w:rsidRDefault="00CE0A2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Таблиця 3.3</w:t>
      </w:r>
      <w:r w:rsidRPr="00CE0A20">
        <w:rPr>
          <w:rFonts w:ascii="Times New Roman" w:hAnsi="Times New Roman" w:cs="Times New Roman"/>
          <w:sz w:val="28"/>
          <w:szCs w:val="28"/>
        </w:rPr>
        <w:t xml:space="preserve"> –</w:t>
      </w:r>
      <w:r w:rsidRPr="00CE0A20">
        <w:rPr>
          <w:rFonts w:ascii="Times New Roman" w:hAnsi="Times New Roman" w:cs="Times New Roman"/>
          <w:sz w:val="28"/>
          <w:szCs w:val="28"/>
          <w:lang w:val="uk-UA"/>
        </w:rPr>
        <w:t xml:space="preserve"> Вміст статевих гормонів у сироватці крові експериментальних тварин </w:t>
      </w:r>
      <w:r w:rsidRPr="00CE0A20">
        <w:rPr>
          <w:rFonts w:ascii="Times New Roman" w:hAnsi="Times New Roman" w:cs="Times New Roman"/>
          <w:sz w:val="28"/>
          <w:szCs w:val="28"/>
        </w:rPr>
        <w:t>(</w:t>
      </w:r>
      <w:r w:rsidRPr="00CE0A20">
        <w:rPr>
          <w:rFonts w:ascii="Times New Roman" w:hAnsi="Times New Roman" w:cs="Times New Roman"/>
          <w:sz w:val="28"/>
          <w:szCs w:val="28"/>
          <w:lang w:val="en-US"/>
        </w:rPr>
        <w:t>M</w:t>
      </w:r>
      <w:r w:rsidRPr="00CE0A20">
        <w:rPr>
          <w:rFonts w:ascii="Times New Roman" w:hAnsi="Times New Roman" w:cs="Times New Roman"/>
          <w:sz w:val="28"/>
          <w:szCs w:val="28"/>
        </w:rPr>
        <w:t>±</w:t>
      </w:r>
      <w:r w:rsidRPr="00CE0A20">
        <w:rPr>
          <w:rFonts w:ascii="Times New Roman" w:hAnsi="Times New Roman" w:cs="Times New Roman"/>
          <w:sz w:val="28"/>
          <w:szCs w:val="28"/>
          <w:lang w:val="en-US"/>
        </w:rPr>
        <w:t>SD</w:t>
      </w:r>
      <w:r w:rsidRPr="00CE0A20">
        <w:rPr>
          <w:rFonts w:ascii="Times New Roman" w:hAnsi="Times New Roman" w:cs="Times New Roman"/>
          <w:sz w:val="28"/>
          <w:szCs w:val="28"/>
        </w:rPr>
        <w:t>)</w:t>
      </w:r>
      <w:r w:rsidRPr="00CE0A20">
        <w:rPr>
          <w:rFonts w:ascii="Times New Roman" w:hAnsi="Times New Roman" w:cs="Times New Roman"/>
          <w:sz w:val="28"/>
          <w:szCs w:val="28"/>
          <w:lang w:val="uk-UA"/>
        </w:rPr>
        <w:t>.</w:t>
      </w:r>
    </w:p>
    <w:tbl>
      <w:tblPr>
        <w:tblW w:w="975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35"/>
        <w:gridCol w:w="1833"/>
        <w:gridCol w:w="1711"/>
        <w:gridCol w:w="1958"/>
        <w:gridCol w:w="2013"/>
      </w:tblGrid>
      <w:tr w:rsidR="001C43D0" w:rsidRPr="00CE0A20" w:rsidTr="001C43D0">
        <w:trPr>
          <w:trHeight w:val="405"/>
        </w:trPr>
        <w:tc>
          <w:tcPr>
            <w:tcW w:w="223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Група експеримен</w:t>
            </w:r>
            <w:r w:rsidRPr="00CE0A20">
              <w:rPr>
                <w:rFonts w:ascii="Times New Roman" w:hAnsi="Times New Roman" w:cs="Times New Roman"/>
                <w:sz w:val="28"/>
                <w:szCs w:val="28"/>
                <w:lang w:val="uk-UA"/>
              </w:rPr>
              <w:softHyphen/>
              <w:t>тальних тварин</w:t>
            </w:r>
          </w:p>
        </w:tc>
        <w:tc>
          <w:tcPr>
            <w:tcW w:w="7512"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Досліджуваний показник</w:t>
            </w:r>
          </w:p>
        </w:tc>
      </w:tr>
      <w:tr w:rsidR="001C43D0" w:rsidRPr="00CE0A20" w:rsidTr="001C43D0">
        <w:tc>
          <w:tcPr>
            <w:tcW w:w="9747" w:type="dxa"/>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ФСГ (мЕд/мл)</w:t>
            </w:r>
          </w:p>
        </w:tc>
        <w:tc>
          <w:tcPr>
            <w:tcW w:w="171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ЛГ (мЕд/мл)</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ПРЛ (МкМЕ/мл)</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ГЗСГ (нмоль/мл)</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1-а група (конт</w:t>
            </w:r>
            <w:r w:rsidRPr="00CE0A20">
              <w:rPr>
                <w:rFonts w:ascii="Times New Roman" w:hAnsi="Times New Roman" w:cs="Times New Roman"/>
                <w:sz w:val="28"/>
                <w:szCs w:val="28"/>
                <w:lang w:val="uk-UA"/>
              </w:rPr>
              <w:softHyphen/>
              <w:t>рольна)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4,21±0,11</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6,15±0,22</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28,17±10,59</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94,01±36,73</w:t>
            </w:r>
          </w:p>
        </w:tc>
      </w:tr>
      <w:tr w:rsidR="001C43D0" w:rsidRPr="00CE0A20" w:rsidTr="001C43D0">
        <w:tc>
          <w:tcPr>
            <w:tcW w:w="9747"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на 7-му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5,12±0,07</w:t>
            </w:r>
            <w:r w:rsidRPr="00CE0A20">
              <w:rPr>
                <w:rFonts w:ascii="Times New Roman" w:hAnsi="Times New Roman" w:cs="Times New Roman"/>
                <w:sz w:val="28"/>
                <w:szCs w:val="28"/>
                <w:vertAlign w:val="superscript"/>
                <w:lang w:val="uk-UA"/>
              </w:rPr>
              <w:t>1</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7,13±0,12</w:t>
            </w:r>
            <w:r w:rsidRPr="00CE0A20">
              <w:rPr>
                <w:rFonts w:ascii="Times New Roman" w:hAnsi="Times New Roman" w:cs="Times New Roman"/>
                <w:sz w:val="28"/>
                <w:szCs w:val="28"/>
                <w:vertAlign w:val="superscript"/>
                <w:lang w:val="uk-UA"/>
              </w:rPr>
              <w:t>1</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114,01±34,16</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194,78±39,96</w:t>
            </w:r>
            <w:r w:rsidRPr="00CE0A20">
              <w:rPr>
                <w:rFonts w:ascii="Times New Roman" w:hAnsi="Times New Roman" w:cs="Times New Roman"/>
                <w:sz w:val="28"/>
                <w:szCs w:val="28"/>
                <w:vertAlign w:val="superscript"/>
                <w:lang w:val="uk-UA"/>
              </w:rPr>
              <w:t>1</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4,90±0,13</w:t>
            </w:r>
            <w:r w:rsidRPr="00CE0A20">
              <w:rPr>
                <w:rFonts w:ascii="Times New Roman" w:hAnsi="Times New Roman" w:cs="Times New Roman"/>
                <w:sz w:val="28"/>
                <w:szCs w:val="28"/>
                <w:vertAlign w:val="superscript"/>
                <w:lang w:val="uk-UA"/>
              </w:rPr>
              <w:t>1</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7,06±0,09</w:t>
            </w:r>
            <w:r w:rsidRPr="00CE0A20">
              <w:rPr>
                <w:rFonts w:ascii="Times New Roman" w:hAnsi="Times New Roman" w:cs="Times New Roman"/>
                <w:sz w:val="28"/>
                <w:szCs w:val="28"/>
                <w:vertAlign w:val="superscript"/>
                <w:lang w:val="uk-UA"/>
              </w:rPr>
              <w:t>1</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109,56±26,91</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211,51±41,42</w:t>
            </w:r>
            <w:r w:rsidRPr="00CE0A20">
              <w:rPr>
                <w:rFonts w:ascii="Times New Roman" w:hAnsi="Times New Roman" w:cs="Times New Roman"/>
                <w:sz w:val="28"/>
                <w:szCs w:val="28"/>
                <w:vertAlign w:val="superscript"/>
                <w:lang w:val="uk-UA"/>
              </w:rPr>
              <w:t>1</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5,10±0,10</w:t>
            </w:r>
            <w:r w:rsidRPr="00CE0A20">
              <w:rPr>
                <w:rFonts w:ascii="Times New Roman" w:hAnsi="Times New Roman" w:cs="Times New Roman"/>
                <w:sz w:val="28"/>
                <w:szCs w:val="28"/>
                <w:vertAlign w:val="superscript"/>
                <w:lang w:val="uk-UA"/>
              </w:rPr>
              <w:t>1</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7,21±0,10</w:t>
            </w:r>
            <w:r w:rsidRPr="00CE0A20">
              <w:rPr>
                <w:rFonts w:ascii="Times New Roman" w:hAnsi="Times New Roman" w:cs="Times New Roman"/>
                <w:sz w:val="28"/>
                <w:szCs w:val="28"/>
                <w:vertAlign w:val="superscript"/>
                <w:lang w:val="uk-UA"/>
              </w:rPr>
              <w:t>1</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163,32±41,58</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191,56±32,83</w:t>
            </w:r>
            <w:r w:rsidRPr="00CE0A20">
              <w:rPr>
                <w:rFonts w:ascii="Times New Roman" w:hAnsi="Times New Roman" w:cs="Times New Roman"/>
                <w:sz w:val="28"/>
                <w:szCs w:val="28"/>
                <w:vertAlign w:val="superscript"/>
                <w:lang w:val="uk-UA"/>
              </w:rPr>
              <w:t>1</w:t>
            </w:r>
          </w:p>
        </w:tc>
      </w:tr>
      <w:tr w:rsidR="001C43D0" w:rsidRPr="00CE0A20" w:rsidTr="001C43D0">
        <w:tc>
          <w:tcPr>
            <w:tcW w:w="9747"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на 14-ту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4,16±0,06</w:t>
            </w:r>
            <w:r w:rsidRPr="00CE0A20">
              <w:rPr>
                <w:rFonts w:ascii="Times New Roman" w:hAnsi="Times New Roman" w:cs="Times New Roman"/>
                <w:sz w:val="28"/>
                <w:szCs w:val="28"/>
                <w:vertAlign w:val="superscript"/>
                <w:lang w:val="uk-UA"/>
              </w:rPr>
              <w:t>2</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6,15±0,06</w:t>
            </w:r>
            <w:r w:rsidRPr="00CE0A20">
              <w:rPr>
                <w:rFonts w:ascii="Times New Roman" w:hAnsi="Times New Roman" w:cs="Times New Roman"/>
                <w:sz w:val="28"/>
                <w:szCs w:val="28"/>
                <w:vertAlign w:val="superscript"/>
                <w:lang w:val="uk-UA"/>
              </w:rPr>
              <w:t>2</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86,11±34,65</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100,77±31,99</w:t>
            </w:r>
            <w:r w:rsidRPr="00CE0A20">
              <w:rPr>
                <w:rFonts w:ascii="Times New Roman" w:hAnsi="Times New Roman" w:cs="Times New Roman"/>
                <w:sz w:val="28"/>
                <w:szCs w:val="28"/>
                <w:vertAlign w:val="superscript"/>
                <w:lang w:val="uk-UA"/>
              </w:rPr>
              <w:t>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4,00±0,13</w:t>
            </w:r>
            <w:r w:rsidRPr="00CE0A20">
              <w:rPr>
                <w:rFonts w:ascii="Times New Roman" w:hAnsi="Times New Roman" w:cs="Times New Roman"/>
                <w:sz w:val="28"/>
                <w:szCs w:val="28"/>
                <w:vertAlign w:val="superscript"/>
                <w:lang w:val="uk-UA"/>
              </w:rPr>
              <w:t>1</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5,98±0,15</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73,54±26,88</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149,74±26,29</w:t>
            </w:r>
            <w:r w:rsidRPr="00CE0A20">
              <w:rPr>
                <w:rFonts w:ascii="Times New Roman" w:hAnsi="Times New Roman" w:cs="Times New Roman"/>
                <w:sz w:val="28"/>
                <w:szCs w:val="28"/>
                <w:vertAlign w:val="superscript"/>
                <w:lang w:val="uk-UA"/>
              </w:rPr>
              <w:t>1,2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5,39±0,07</w:t>
            </w:r>
            <w:r w:rsidRPr="00CE0A20">
              <w:rPr>
                <w:rFonts w:ascii="Times New Roman" w:hAnsi="Times New Roman" w:cs="Times New Roman"/>
                <w:sz w:val="28"/>
                <w:szCs w:val="28"/>
                <w:vertAlign w:val="superscript"/>
                <w:lang w:val="uk-UA"/>
              </w:rPr>
              <w:t>1</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7,81±0,31</w:t>
            </w:r>
            <w:r w:rsidRPr="00CE0A20">
              <w:rPr>
                <w:rFonts w:ascii="Times New Roman" w:hAnsi="Times New Roman" w:cs="Times New Roman"/>
                <w:sz w:val="28"/>
                <w:szCs w:val="28"/>
                <w:vertAlign w:val="superscript"/>
                <w:lang w:val="uk-UA"/>
              </w:rPr>
              <w:t>1</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169,04±37,41</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183,80±35,68</w:t>
            </w:r>
            <w:r w:rsidRPr="00CE0A20">
              <w:rPr>
                <w:rFonts w:ascii="Times New Roman" w:hAnsi="Times New Roman" w:cs="Times New Roman"/>
                <w:sz w:val="28"/>
                <w:szCs w:val="28"/>
                <w:vertAlign w:val="superscript"/>
                <w:lang w:val="uk-UA"/>
              </w:rPr>
              <w:t>1</w:t>
            </w:r>
          </w:p>
        </w:tc>
      </w:tr>
      <w:tr w:rsidR="001C43D0" w:rsidRPr="00CE0A20" w:rsidTr="001C43D0">
        <w:tc>
          <w:tcPr>
            <w:tcW w:w="9747"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на 28-му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4,15±0,07</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6,16±0,09</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53,71±25,80</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87,12±28,14</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4,04±0,09</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6,01±0,14</w:t>
            </w:r>
            <w:r w:rsidRPr="00CE0A20">
              <w:rPr>
                <w:rFonts w:ascii="Times New Roman" w:hAnsi="Times New Roman" w:cs="Times New Roman"/>
                <w:sz w:val="28"/>
                <w:szCs w:val="28"/>
                <w:vertAlign w:val="superscript"/>
                <w:lang w:val="uk-UA"/>
              </w:rPr>
              <w:t>2</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70,98±24,71</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71,31±33,68</w:t>
            </w:r>
            <w:r w:rsidRPr="00CE0A20">
              <w:rPr>
                <w:rFonts w:ascii="Times New Roman" w:hAnsi="Times New Roman" w:cs="Times New Roman"/>
                <w:sz w:val="28"/>
                <w:szCs w:val="28"/>
                <w:vertAlign w:val="superscript"/>
                <w:lang w:val="uk-UA"/>
              </w:rPr>
              <w:t>1</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183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5,42±0,13</w:t>
            </w:r>
            <w:r w:rsidRPr="00CE0A20">
              <w:rPr>
                <w:rFonts w:ascii="Times New Roman" w:hAnsi="Times New Roman" w:cs="Times New Roman"/>
                <w:sz w:val="28"/>
                <w:szCs w:val="28"/>
                <w:vertAlign w:val="superscript"/>
                <w:lang w:val="uk-UA"/>
              </w:rPr>
              <w:t>1</w:t>
            </w:r>
          </w:p>
        </w:tc>
        <w:tc>
          <w:tcPr>
            <w:tcW w:w="17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7,77±0,32</w:t>
            </w:r>
            <w:r w:rsidRPr="00CE0A20">
              <w:rPr>
                <w:rFonts w:ascii="Times New Roman" w:hAnsi="Times New Roman" w:cs="Times New Roman"/>
                <w:sz w:val="28"/>
                <w:szCs w:val="28"/>
                <w:vertAlign w:val="superscript"/>
                <w:lang w:val="uk-UA"/>
              </w:rPr>
              <w:t>1</w:t>
            </w:r>
          </w:p>
        </w:tc>
        <w:tc>
          <w:tcPr>
            <w:tcW w:w="195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187,72±37,15</w:t>
            </w:r>
            <w:r w:rsidRPr="00CE0A20">
              <w:rPr>
                <w:rFonts w:ascii="Times New Roman" w:hAnsi="Times New Roman" w:cs="Times New Roman"/>
                <w:sz w:val="28"/>
                <w:szCs w:val="28"/>
                <w:vertAlign w:val="superscript"/>
                <w:lang w:val="uk-UA"/>
              </w:rPr>
              <w:t>1</w:t>
            </w:r>
          </w:p>
        </w:tc>
        <w:tc>
          <w:tcPr>
            <w:tcW w:w="201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spacing w:before="120" w:after="12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183,63±35,02</w:t>
            </w:r>
            <w:r w:rsidRPr="00CE0A20">
              <w:rPr>
                <w:rFonts w:ascii="Times New Roman" w:hAnsi="Times New Roman" w:cs="Times New Roman"/>
                <w:sz w:val="28"/>
                <w:szCs w:val="28"/>
                <w:vertAlign w:val="superscript"/>
                <w:lang w:val="uk-UA"/>
              </w:rPr>
              <w:t>1</w:t>
            </w:r>
          </w:p>
        </w:tc>
      </w:tr>
    </w:tbl>
    <w:p w:rsidR="001C43D0" w:rsidRPr="00CE0A20" w:rsidRDefault="001C43D0" w:rsidP="00661B2E">
      <w:pPr>
        <w:spacing w:line="276" w:lineRule="auto"/>
        <w:rPr>
          <w:rFonts w:ascii="Times New Roman" w:hAnsi="Times New Roman" w:cs="Times New Roman"/>
          <w:sz w:val="28"/>
          <w:szCs w:val="28"/>
          <w:lang w:val="uk-UA"/>
        </w:rPr>
      </w:pPr>
      <w:r w:rsidRPr="00CE0A20">
        <w:rPr>
          <w:rFonts w:ascii="Times New Roman" w:hAnsi="Times New Roman" w:cs="Times New Roman"/>
          <w:sz w:val="28"/>
          <w:szCs w:val="28"/>
          <w:lang w:val="uk-UA"/>
        </w:rPr>
        <w:t>Примітки. 1 – р &lt; 0,05 порівняно з контрольною групою за t-критерієм.</w:t>
      </w:r>
    </w:p>
    <w:p w:rsidR="001C43D0" w:rsidRPr="00CE0A20" w:rsidRDefault="001C43D0" w:rsidP="00661B2E">
      <w:pPr>
        <w:spacing w:line="276" w:lineRule="auto"/>
        <w:ind w:left="1843" w:hanging="425"/>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 2 – р &lt; 0,05 порівняно з попереднім терміном експерименту за парним критерієм Стьюдента.</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Після введення 150 мкг</w:t>
      </w:r>
      <w:r w:rsidR="00CE0A20">
        <w:rPr>
          <w:rFonts w:ascii="Times New Roman" w:hAnsi="Times New Roman" w:cs="Times New Roman"/>
          <w:color w:val="000000"/>
          <w:spacing w:val="0"/>
          <w:sz w:val="28"/>
          <w:szCs w:val="28"/>
          <w:lang w:val="uk-UA"/>
        </w:rPr>
        <w:t xml:space="preserve">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 xml:space="preserve">на 100 г ваги тварини (4-а група тварин) на 7-му добу експерименту концентрація ФСГ в сироватці крові була статистично недостовірно вищою від показника контрольної групи (p&gt;0,05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 xml:space="preserve">критерієм); на 14-ту добу вона зросла й достовірно перевищила показник контрольної групи (p&lt;0,05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критерієм), зберігаючи ці відмінності й на 28</w:t>
      </w:r>
      <w:r w:rsidRPr="00CE0A20">
        <w:rPr>
          <w:rFonts w:ascii="Times New Roman" w:hAnsi="Times New Roman" w:cs="Times New Roman"/>
          <w:color w:val="000000"/>
          <w:spacing w:val="0"/>
          <w:sz w:val="28"/>
          <w:szCs w:val="28"/>
          <w:lang w:val="uk-UA"/>
        </w:rPr>
        <w:noBreakHyphen/>
        <w:t>му добу.</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Динаміка концентрації ЛГ в сироватці крові експериментальних тварин була схожою. У 2-й групі експериментальних тварин на 7-у добу вона достовірно збільшилася порівняно з контрольною (p&lt;0,05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 xml:space="preserve">критерієм), але на 14-ту добу достовірно знизилася щодо попереднього терміну (p&lt;0,05 за парним критерієм Стьюдента), не відрізняючись від показника контрольної групи (р&gt;0,05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критерієм). На 28-му добу концентрація ЛГ майже не змінилася, що не відрізнялося від показника контрольної групи та порівняно з попереднім етапом (р&gt;0,05 за від</w:t>
      </w:r>
      <w:r w:rsidR="00661B2E" w:rsidRPr="00CE0A20">
        <w:rPr>
          <w:rFonts w:ascii="Times New Roman" w:hAnsi="Times New Roman" w:cs="Times New Roman"/>
          <w:color w:val="000000"/>
          <w:spacing w:val="0"/>
          <w:sz w:val="28"/>
          <w:szCs w:val="28"/>
          <w:lang w:val="uk-UA"/>
        </w:rPr>
        <w:t>повідними критеріями).</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У 3-й групі експериментальних тварин на 7-му добу експерименту концентрація ЛГ в сироватці крові тварин також була достовірно більшою, ніж у контрольній групі (p&lt;0,05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 xml:space="preserve">критерієм). На 14-ту добу вона достовірно знизилася порівняно з попереднім етапом (p&lt;0,05 за парним критерієм Стьюдента) та наблизилася до показника контрольної групи (p&gt;0,05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 xml:space="preserve">критерієм). На 28-му добу вміст ЛГ незначно підвищився та майже не відрізнявся від показника попереднього етапу і в контрольній групі (p&gt;0,05 за відповідними </w:t>
      </w:r>
      <w:r w:rsidR="00661B2E" w:rsidRPr="00CE0A20">
        <w:rPr>
          <w:rFonts w:ascii="Times New Roman" w:hAnsi="Times New Roman" w:cs="Times New Roman"/>
          <w:color w:val="000000"/>
          <w:spacing w:val="0"/>
          <w:sz w:val="28"/>
          <w:szCs w:val="28"/>
          <w:lang w:val="uk-UA"/>
        </w:rPr>
        <w:t>критеріями).</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Найбільше підвищення концентрації ЛГ в сироватці крові експериментальних тварин відбулося після введення 150 мкг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 xml:space="preserve">на 100 г ваги тварини (4-а група). На 7-му добу та на 14-ту добу вона достовірно зростала порівняно з попередніми етапами (p&lt;0,05 за парним критерієм Стьюдента) та стабілізувалася на 28-му добу (р&gt;0,05 за парним критерієм Стьюдента). На всіх етапах експерименту концентрація цього гормону в 4-ій групі тварин була достовірно більшою, ніж у контрольній групі (p&lt;0,05 за </w:t>
      </w:r>
      <w:r w:rsidRPr="00CE0A20">
        <w:rPr>
          <w:rFonts w:ascii="Times New Roman" w:hAnsi="Times New Roman" w:cs="Times New Roman"/>
          <w:color w:val="000000"/>
          <w:spacing w:val="0"/>
          <w:sz w:val="28"/>
          <w:szCs w:val="28"/>
        </w:rPr>
        <w:t>t</w:t>
      </w:r>
      <w:r w:rsidR="00661B2E" w:rsidRPr="00CE0A20">
        <w:rPr>
          <w:rFonts w:ascii="Times New Roman" w:hAnsi="Times New Roman" w:cs="Times New Roman"/>
          <w:color w:val="000000"/>
          <w:spacing w:val="0"/>
          <w:sz w:val="28"/>
          <w:szCs w:val="28"/>
          <w:lang w:val="uk-UA"/>
        </w:rPr>
        <w:noBreakHyphen/>
        <w: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Концентрація ПРЛ після введення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 xml:space="preserve">значно змінилася порівняно з іншими гормонами. Після введення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 xml:space="preserve">незалежно від дози на 7-му добу експерименту вона достовірно зросла щодо показників контрольної групи тварин (p&lt;0,05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 xml:space="preserve">критерієм). На 14-ту та на 28-му добу експерименту в 2-ій групі тварин вона достовірно знизилася (p&lt;0,05 за парним критерієм Стьюдента) і не відрізнялась від аналогічного показника контрольної групи (p&gt;0,05 за </w:t>
      </w:r>
      <w:r w:rsidRPr="00CE0A20">
        <w:rPr>
          <w:rFonts w:ascii="Times New Roman" w:hAnsi="Times New Roman" w:cs="Times New Roman"/>
          <w:color w:val="000000"/>
          <w:spacing w:val="0"/>
          <w:sz w:val="28"/>
          <w:szCs w:val="28"/>
        </w:rPr>
        <w:t>t-</w:t>
      </w:r>
      <w:r w:rsidR="00661B2E" w:rsidRPr="00CE0A20">
        <w:rPr>
          <w:rFonts w:ascii="Times New Roman" w:hAnsi="Times New Roman" w:cs="Times New Roman"/>
          <w:color w:val="000000"/>
          <w:spacing w:val="0"/>
          <w:sz w:val="28"/>
          <w:szCs w:val="28"/>
          <w:lang w:val="uk-UA"/>
        </w:rPr>
        <w: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У 3-й групі експериментальних тварин на 7-му добу концентрація ПРЛ була достовірно більшою, ніж у контролі (p&lt;0,05 за </w:t>
      </w:r>
      <w:r w:rsidRPr="00CE0A20">
        <w:rPr>
          <w:rFonts w:ascii="Times New Roman" w:hAnsi="Times New Roman" w:cs="Times New Roman"/>
          <w:color w:val="000000"/>
          <w:spacing w:val="0"/>
          <w:sz w:val="28"/>
          <w:szCs w:val="28"/>
        </w:rPr>
        <w:t>t-</w:t>
      </w:r>
      <w:r w:rsidRPr="00CE0A20">
        <w:rPr>
          <w:rFonts w:ascii="Times New Roman" w:hAnsi="Times New Roman" w:cs="Times New Roman"/>
          <w:color w:val="000000"/>
          <w:spacing w:val="0"/>
          <w:sz w:val="28"/>
          <w:szCs w:val="28"/>
          <w:lang w:val="uk-UA"/>
        </w:rPr>
        <w:t>критерієм), на 14-ту вона достовірно знизилася (p&lt;0,05 за парним критерієм Стьюдента), наблизившись до показника контрольної групи (p&gt;0,05 за t-критерієм), але на відміну від 2-ої групи майже не змінилася на 28-му добу (p&gt;0,05 за t</w:t>
      </w:r>
      <w:r w:rsidRPr="00CE0A20">
        <w:rPr>
          <w:rFonts w:ascii="Times New Roman" w:hAnsi="Times New Roman" w:cs="Times New Roman"/>
          <w:color w:val="000000"/>
          <w:spacing w:val="0"/>
          <w:sz w:val="28"/>
          <w:szCs w:val="28"/>
          <w:lang w:val="uk-UA"/>
        </w:rPr>
        <w:noBreakHyphen/>
        <w: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Більш стабільним було підвищення концентрації ПРЛ в 4-ій групі. Вона була достовірно більшою, ніж у контрольній групі на 7-му добу, а на 14-ту та на 28-му добу незначно збільшилася порівняно з попередніми термінами (p&gt;0,05 за парним критерієм Стьюдента). У всі терміни експерименту зберігалося достовірне збільшення щодо показників контрольної групи (p&lt;0,05 за </w:t>
      </w:r>
      <w:r w:rsidRPr="00CE0A20">
        <w:rPr>
          <w:rFonts w:ascii="Times New Roman" w:hAnsi="Times New Roman" w:cs="Times New Roman"/>
          <w:color w:val="000000"/>
          <w:spacing w:val="0"/>
          <w:sz w:val="28"/>
          <w:szCs w:val="28"/>
        </w:rPr>
        <w:t>t-</w:t>
      </w:r>
      <w:r w:rsidR="00661B2E" w:rsidRPr="00CE0A20">
        <w:rPr>
          <w:rFonts w:ascii="Times New Roman" w:hAnsi="Times New Roman" w:cs="Times New Roman"/>
          <w:color w:val="000000"/>
          <w:spacing w:val="0"/>
          <w:sz w:val="28"/>
          <w:szCs w:val="28"/>
          <w:lang w:val="uk-UA"/>
        </w:rPr>
        <w: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Концентрація ГЗСГ після введення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на 7-му добу експерименту достовірно збільшувалася в усіх групах експериментальних тварин порівняно з контрольною (p&lt;0,05 за t-критерієм). Подальша динаміка між групами відрізнялася. У 2-й групі концентрація ГЗСГ достовірно знизилася на 14-ту добу (p&lt;0,05 за парним критерієм Стьюдента) та на 28-му добу експерименту (p&gt;0,05 за парним критерієм Стьюдента). У ці терміни концентрація ГЗСГ не відрізнялася від аналогічного показника контрольної групи (p&gt;0,05 за t</w:t>
      </w:r>
      <w:r w:rsidRPr="00CE0A20">
        <w:rPr>
          <w:rFonts w:ascii="Times New Roman" w:hAnsi="Times New Roman" w:cs="Times New Roman"/>
          <w:color w:val="000000"/>
          <w:spacing w:val="0"/>
          <w:sz w:val="28"/>
          <w:szCs w:val="28"/>
          <w:lang w:val="uk-UA"/>
        </w:rPr>
        <w:noBreakHyphen/>
        <w: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У 3-й групі на 14-ту добу експерименту концентрація ГЗСГ достовірно знизилася порівняно з попереднім терміном експерименту (p&lt;0,05 за парним критерієм Стьюдента), не достовірно перевищуючи показник контрольної групи (p&gt;0,05 за t-критерієм). На 28-му добу експерименту цей показник знизився більш ніж удвічі порівняно з показником на 14-ту добу (p&lt;0,05 за парним критерієм Стьюдента), що було не достовірно менше від показника контрольної групи (p&gt;0,05 за t-критерієм).</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На відміну від попередніх груп, у 4-й групі (після введення 150 мкг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на 100 г ваги тварини) збільшення концентрація ГЗСГ було стійким у всі терміни експерименту (p&gt;0,05 за парним критерієм Стьюдента), достовірно перевищуючи показник контрольної групи (p&lt;0,05 за t-критерієм) (табл. 3.3).</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Аналогічну динаміку виявив інтегральний показник андрогенний індекс (АІ) (рис. 3.4-3.6). У контрольній групі величина АІ становила в середньому (27,92±14,22). </w:t>
      </w:r>
    </w:p>
    <w:p w:rsidR="001C43D0" w:rsidRPr="00CE0A20" w:rsidRDefault="001C43D0" w:rsidP="001C43D0">
      <w:pPr>
        <w:pStyle w:val="420"/>
        <w:widowControl w:val="0"/>
        <w:shd w:val="clear" w:color="auto" w:fill="auto"/>
        <w:spacing w:before="0" w:line="360" w:lineRule="auto"/>
        <w:ind w:left="23" w:firstLine="692"/>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На 7-му добу після введення експериментальним тваринам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 xml:space="preserve">величина АІ зменшилася в 2-й групі до (8,59±1,90); у 3-й групі – до (5,12±1,11) та в 4-й групі – до (5,19±0,93) (рис. 3.4). </w:t>
      </w:r>
    </w:p>
    <w:p w:rsidR="001C43D0" w:rsidRPr="00CE0A20" w:rsidRDefault="001C43D0" w:rsidP="001C43D0">
      <w:pPr>
        <w:pStyle w:val="420"/>
        <w:widowControl w:val="0"/>
        <w:shd w:val="clear" w:color="auto" w:fill="auto"/>
        <w:spacing w:before="0" w:line="360" w:lineRule="auto"/>
        <w:ind w:left="23" w:firstLine="686"/>
        <w:rPr>
          <w:rFonts w:ascii="Times New Roman" w:hAnsi="Times New Roman" w:cs="Times New Roman"/>
          <w:color w:val="000000"/>
          <w:spacing w:val="0"/>
          <w:sz w:val="28"/>
          <w:szCs w:val="28"/>
          <w:lang w:val="uk-UA"/>
        </w:rPr>
      </w:pPr>
    </w:p>
    <w:p w:rsidR="001C43D0" w:rsidRPr="00CE0A20" w:rsidRDefault="001C43D0" w:rsidP="001C43D0">
      <w:pPr>
        <w:pStyle w:val="420"/>
        <w:widowControl w:val="0"/>
        <w:shd w:val="clear" w:color="auto" w:fill="auto"/>
        <w:spacing w:before="0" w:line="360" w:lineRule="auto"/>
        <w:ind w:left="23" w:hanging="23"/>
        <w:jc w:val="center"/>
        <w:rPr>
          <w:rFonts w:ascii="Times New Roman" w:hAnsi="Times New Roman" w:cs="Times New Roman"/>
          <w:color w:val="000000"/>
          <w:spacing w:val="0"/>
          <w:sz w:val="28"/>
          <w:szCs w:val="28"/>
          <w:lang w:val="uk-UA"/>
        </w:rPr>
      </w:pPr>
      <w:r w:rsidRPr="00CE0A20">
        <w:rPr>
          <w:rFonts w:ascii="Times New Roman" w:hAnsi="Times New Roman" w:cs="Times New Roman"/>
          <w:noProof/>
          <w:color w:val="000000"/>
          <w:spacing w:val="0"/>
          <w:sz w:val="28"/>
          <w:szCs w:val="28"/>
          <w:lang w:eastAsia="ru-RU"/>
        </w:rPr>
        <w:drawing>
          <wp:inline distT="0" distB="0" distL="0" distR="0" wp14:anchorId="4CD250B9" wp14:editId="3B6FB3E8">
            <wp:extent cx="5543550" cy="4451350"/>
            <wp:effectExtent l="0" t="0" r="0" b="635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43550" cy="4451350"/>
                    </a:xfrm>
                    <a:prstGeom prst="rect">
                      <a:avLst/>
                    </a:prstGeom>
                    <a:noFill/>
                    <a:ln>
                      <a:noFill/>
                    </a:ln>
                  </pic:spPr>
                </pic:pic>
              </a:graphicData>
            </a:graphic>
          </wp:inline>
        </w:drawing>
      </w:r>
    </w:p>
    <w:p w:rsidR="001C43D0" w:rsidRPr="00CE0A20" w:rsidRDefault="001C43D0" w:rsidP="001C43D0">
      <w:pPr>
        <w:pStyle w:val="420"/>
        <w:widowControl w:val="0"/>
        <w:shd w:val="clear" w:color="auto" w:fill="auto"/>
        <w:spacing w:before="0" w:line="360" w:lineRule="auto"/>
        <w:ind w:left="23" w:firstLine="686"/>
        <w:jc w:val="left"/>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Рис. 3.4. Величина АІ в групах експериментальних тварин на 7-му добу після введення CdCI</w:t>
      </w:r>
      <w:r w:rsidRPr="00CE0A20">
        <w:rPr>
          <w:rFonts w:ascii="Times New Roman" w:hAnsi="Times New Roman" w:cs="Times New Roman"/>
          <w:color w:val="000000"/>
          <w:spacing w:val="0"/>
          <w:sz w:val="28"/>
          <w:szCs w:val="28"/>
          <w:vertAlign w:val="subscript"/>
          <w:lang w:val="uk-UA"/>
        </w:rPr>
        <w:t>2</w:t>
      </w:r>
      <w:r w:rsidRPr="00CE0A20">
        <w:rPr>
          <w:rFonts w:ascii="Times New Roman" w:hAnsi="Times New Roman" w:cs="Times New Roman"/>
          <w:color w:val="000000"/>
          <w:spacing w:val="0"/>
          <w:sz w:val="28"/>
          <w:szCs w:val="28"/>
          <w:lang w:val="uk-UA"/>
        </w:rPr>
        <w:t xml:space="preserve"> порівняно з контрольною групою</w:t>
      </w:r>
      <w:r w:rsidR="00661B2E" w:rsidRPr="00CE0A20">
        <w:rPr>
          <w:rFonts w:ascii="Times New Roman" w:hAnsi="Times New Roman" w:cs="Times New Roman"/>
          <w:color w:val="000000"/>
          <w:spacing w:val="0"/>
          <w:sz w:val="28"/>
          <w:szCs w:val="28"/>
          <w:lang w:val="uk-UA"/>
        </w:rPr>
        <w:t>.</w:t>
      </w:r>
    </w:p>
    <w:p w:rsidR="00661B2E" w:rsidRPr="00CE0A20" w:rsidRDefault="00661B2E" w:rsidP="00CE0A2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br w:type="page"/>
        <w:t>У зв’язку з досить великою варіабельністю цього показника в контрольній групі (про що свідчить велике стандартне відхилення) достовірної різниці значень у цих групах тварин порівняно з контрольною не виявлено (p&gt;0,05 за t-критерієм).</w:t>
      </w:r>
    </w:p>
    <w:p w:rsidR="00661B2E" w:rsidRPr="00CE0A20" w:rsidRDefault="00661B2E" w:rsidP="00661B2E">
      <w:pPr>
        <w:pStyle w:val="420"/>
        <w:widowControl w:val="0"/>
        <w:shd w:val="clear" w:color="auto" w:fill="auto"/>
        <w:spacing w:before="0" w:line="360" w:lineRule="auto"/>
        <w:ind w:left="23" w:firstLine="686"/>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На 14-ту добу експерименту в 2-й групі експериментальних тварин величина АІ зросла до (21,64±7,24) (p&lt;0,05 за парним критерієм Стьюдента), майже наблизившись до показника контрольної групи. У 3-й групі експериментальних тварин виявлено менш виразне, але також достовірне збільшення АІ – до (9,81±1,93) (p&lt;0,05 за t-критерієм); у 4-й групі величина АІ практично не змінилася, дорівнюючи (5,31±1,20) (p&gt;0,05 за парним критерієм Стьюдента) (рис. 3.5).</w:t>
      </w:r>
    </w:p>
    <w:p w:rsidR="00661B2E" w:rsidRPr="00CE0A20" w:rsidRDefault="00661B2E" w:rsidP="001C43D0">
      <w:pPr>
        <w:pStyle w:val="420"/>
        <w:widowControl w:val="0"/>
        <w:shd w:val="clear" w:color="auto" w:fill="auto"/>
        <w:spacing w:before="0" w:line="360" w:lineRule="auto"/>
        <w:ind w:left="23" w:firstLine="686"/>
        <w:jc w:val="left"/>
        <w:rPr>
          <w:rFonts w:ascii="Times New Roman" w:hAnsi="Times New Roman" w:cs="Times New Roman"/>
          <w:color w:val="000000"/>
          <w:spacing w:val="0"/>
          <w:sz w:val="28"/>
          <w:szCs w:val="28"/>
          <w:lang w:val="uk-UA"/>
        </w:rPr>
      </w:pPr>
    </w:p>
    <w:p w:rsidR="001C43D0" w:rsidRPr="00CE0A20" w:rsidRDefault="001C43D0" w:rsidP="001C43D0">
      <w:pPr>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475597EF" wp14:editId="39B27EB2">
            <wp:extent cx="5162550" cy="4133850"/>
            <wp:effectExtent l="0" t="0" r="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62550" cy="4133850"/>
                    </a:xfrm>
                    <a:prstGeom prst="rect">
                      <a:avLst/>
                    </a:prstGeom>
                    <a:noFill/>
                    <a:ln>
                      <a:noFill/>
                    </a:ln>
                  </pic:spPr>
                </pic:pic>
              </a:graphicData>
            </a:graphic>
          </wp:inline>
        </w:drawing>
      </w:r>
    </w:p>
    <w:p w:rsidR="001C43D0" w:rsidRPr="00CE0A20" w:rsidRDefault="001C43D0" w:rsidP="001C43D0">
      <w:pPr>
        <w:pStyle w:val="420"/>
        <w:widowControl w:val="0"/>
        <w:shd w:val="clear" w:color="auto" w:fill="auto"/>
        <w:spacing w:before="0" w:line="360" w:lineRule="auto"/>
        <w:ind w:left="23" w:firstLine="686"/>
        <w:jc w:val="left"/>
        <w:rPr>
          <w:rFonts w:ascii="Times New Roman" w:hAnsi="Times New Roman" w:cs="Times New Roman"/>
          <w:color w:val="000000"/>
          <w:spacing w:val="0"/>
          <w:sz w:val="28"/>
          <w:szCs w:val="28"/>
          <w:lang w:val="uk-UA"/>
        </w:rPr>
      </w:pPr>
      <w:bookmarkStart w:id="2" w:name="bookmark12"/>
      <w:r w:rsidRPr="00CE0A20">
        <w:rPr>
          <w:rFonts w:ascii="Times New Roman" w:hAnsi="Times New Roman" w:cs="Times New Roman"/>
          <w:color w:val="000000"/>
          <w:spacing w:val="0"/>
          <w:sz w:val="28"/>
          <w:szCs w:val="28"/>
          <w:lang w:val="uk-UA"/>
        </w:rPr>
        <w:t xml:space="preserve">Рис. 3.5. Величина АІ в групах експериментальних тварин на 14-у добу </w:t>
      </w:r>
    </w:p>
    <w:p w:rsidR="001C43D0" w:rsidRPr="00CE0A20" w:rsidRDefault="001C43D0" w:rsidP="001C43D0">
      <w:pPr>
        <w:pStyle w:val="261"/>
        <w:shd w:val="clear" w:color="auto" w:fill="auto"/>
        <w:spacing w:before="0" w:line="360" w:lineRule="auto"/>
        <w:ind w:left="20" w:firstLine="688"/>
        <w:rPr>
          <w:rFonts w:ascii="Times New Roman" w:hAnsi="Times New Roman" w:cs="Times New Roman"/>
          <w:color w:val="000000"/>
          <w:sz w:val="28"/>
          <w:szCs w:val="28"/>
          <w:lang w:val="uk-UA"/>
        </w:rPr>
      </w:pPr>
    </w:p>
    <w:p w:rsidR="00661B2E" w:rsidRPr="00CE0A20" w:rsidRDefault="00661B2E">
      <w:pPr>
        <w:spacing w:after="200" w:line="276" w:lineRule="auto"/>
        <w:rPr>
          <w:rFonts w:ascii="Times New Roman" w:eastAsiaTheme="minorHAnsi" w:hAnsi="Times New Roman" w:cs="Times New Roman"/>
          <w:sz w:val="28"/>
          <w:szCs w:val="28"/>
          <w:lang w:val="uk-UA" w:eastAsia="en-US"/>
        </w:rPr>
      </w:pPr>
      <w:r w:rsidRPr="00CE0A20">
        <w:rPr>
          <w:rFonts w:ascii="Times New Roman" w:hAnsi="Times New Roman" w:cs="Times New Roman"/>
          <w:sz w:val="28"/>
          <w:szCs w:val="28"/>
          <w:lang w:val="uk-UA"/>
        </w:rPr>
        <w:br w:type="page"/>
      </w:r>
    </w:p>
    <w:p w:rsidR="001C43D0" w:rsidRPr="00CE0A20" w:rsidRDefault="001C43D0" w:rsidP="001C43D0">
      <w:pPr>
        <w:pStyle w:val="261"/>
        <w:shd w:val="clear" w:color="auto" w:fill="auto"/>
        <w:spacing w:before="0" w:line="360" w:lineRule="auto"/>
        <w:ind w:left="20" w:firstLine="688"/>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На 28-му добу експерименту в 2-й групі експериментальних тварин показник АІ практично досяг величини АІ в контрольній групі, дорівнюючи (27,39±8,81). У 3-й групі експериментальних тварин відзначено дуже великий розбіг індивідуальних значень АІ – від 15,73 до 102,12, тому його середня величина становила (37,71±27,53), що було достовірно вище за попередній термін (p&lt;0,05 за парним критерієм Стьюдента), але не відрізнялося від показника контрольної групи (p&gt;0,05 за t-критерієм).</w:t>
      </w:r>
    </w:p>
    <w:p w:rsidR="001C43D0" w:rsidRPr="00CE0A20" w:rsidRDefault="001C43D0" w:rsidP="001C43D0">
      <w:pPr>
        <w:pStyle w:val="261"/>
        <w:shd w:val="clear" w:color="auto" w:fill="auto"/>
        <w:spacing w:before="0" w:line="360" w:lineRule="auto"/>
        <w:ind w:left="20" w:firstLine="688"/>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У 4-й групі величина АІ дорівнювала (5,23±1,06), незначно зменшившись порівняно з попереднім терміном (p&gt;0,05 за парним критерієм Стьюдента), але не досягши достовірної значущості щодо контрольної групи (p&gt;0,05 за t-критерієм)</w:t>
      </w:r>
      <w:r w:rsidR="006E3C5E" w:rsidRPr="00CE0A20">
        <w:rPr>
          <w:rFonts w:ascii="Times New Roman" w:hAnsi="Times New Roman" w:cs="Times New Roman"/>
          <w:color w:val="000000"/>
          <w:sz w:val="28"/>
          <w:szCs w:val="28"/>
          <w:lang w:val="uk-UA"/>
        </w:rPr>
        <w:t xml:space="preserve"> (рис. 3.6).</w:t>
      </w:r>
    </w:p>
    <w:p w:rsidR="001C43D0" w:rsidRPr="00CE0A20" w:rsidRDefault="001C43D0" w:rsidP="001C43D0">
      <w:pPr>
        <w:pStyle w:val="261"/>
        <w:shd w:val="clear" w:color="auto" w:fill="auto"/>
        <w:spacing w:before="0" w:line="360" w:lineRule="auto"/>
        <w:ind w:left="20" w:hanging="20"/>
        <w:rPr>
          <w:rFonts w:ascii="Times New Roman" w:hAnsi="Times New Roman" w:cs="Times New Roman"/>
          <w:color w:val="000000"/>
          <w:sz w:val="28"/>
          <w:szCs w:val="28"/>
          <w:lang w:val="uk-UA"/>
        </w:rPr>
      </w:pPr>
      <w:r w:rsidRPr="00CE0A20">
        <w:rPr>
          <w:rFonts w:ascii="Times New Roman" w:hAnsi="Times New Roman" w:cs="Times New Roman"/>
          <w:noProof/>
          <w:color w:val="000000"/>
          <w:sz w:val="28"/>
          <w:szCs w:val="28"/>
          <w:lang w:eastAsia="ru-RU"/>
        </w:rPr>
        <w:drawing>
          <wp:inline distT="0" distB="0" distL="0" distR="0" wp14:anchorId="0FB34876" wp14:editId="6BEF8984">
            <wp:extent cx="5695950" cy="4565650"/>
            <wp:effectExtent l="0" t="0" r="0" b="635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95950" cy="4565650"/>
                    </a:xfrm>
                    <a:prstGeom prst="rect">
                      <a:avLst/>
                    </a:prstGeom>
                    <a:noFill/>
                    <a:ln>
                      <a:noFill/>
                    </a:ln>
                  </pic:spPr>
                </pic:pic>
              </a:graphicData>
            </a:graphic>
          </wp:inline>
        </w:drawing>
      </w:r>
    </w:p>
    <w:p w:rsidR="001C43D0" w:rsidRPr="00CE0A20" w:rsidRDefault="001C43D0" w:rsidP="001C43D0">
      <w:pPr>
        <w:pStyle w:val="420"/>
        <w:widowControl w:val="0"/>
        <w:shd w:val="clear" w:color="auto" w:fill="auto"/>
        <w:spacing w:before="0" w:line="360" w:lineRule="auto"/>
        <w:ind w:left="23" w:firstLine="686"/>
        <w:jc w:val="left"/>
        <w:rPr>
          <w:rFonts w:ascii="Times New Roman" w:hAnsi="Times New Roman" w:cs="Times New Roman"/>
          <w:color w:val="000000"/>
          <w:spacing w:val="0"/>
          <w:sz w:val="28"/>
          <w:szCs w:val="28"/>
          <w:lang w:val="uk-UA"/>
        </w:rPr>
      </w:pPr>
      <w:r w:rsidRPr="00CE0A20">
        <w:rPr>
          <w:rFonts w:ascii="Times New Roman" w:hAnsi="Times New Roman" w:cs="Times New Roman"/>
          <w:color w:val="000000"/>
          <w:spacing w:val="0"/>
          <w:sz w:val="28"/>
          <w:szCs w:val="28"/>
          <w:lang w:val="uk-UA"/>
        </w:rPr>
        <w:t xml:space="preserve">Рис. 3.6. Величина АІ в групах експериментальних тварин на 28-му добу після введення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pacing w:val="0"/>
          <w:sz w:val="28"/>
          <w:szCs w:val="28"/>
          <w:lang w:val="uk-UA"/>
        </w:rPr>
        <w:t>порівняно з контрольною групою</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 xml:space="preserve">Таким чином, можна стверджувати, що за даними біохімічних досліджень під впливом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z w:val="28"/>
          <w:szCs w:val="28"/>
          <w:lang w:val="uk-UA"/>
        </w:rPr>
        <w:t xml:space="preserve">рівень статевих гормонів тестикулярного походження в сім’яниках знижується, а рівень статевих гормонів гіпофізарного походження, навпаки, збільшується у відповідь на зниження тестостерону. Найбільш стійкі закономірності спостерігаються при введенні 150 мкг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z w:val="28"/>
          <w:szCs w:val="28"/>
          <w:lang w:val="uk-UA"/>
        </w:rPr>
        <w:t>на 100 г ваги тварини – андрогенний дефіцит зберігається в усі терміни експерименту. При меншому дозуванні окремі показники на 14-у добу та майже всі на 28-у добу наближаються до показників контрольної групи, тобто протягом експерименту сім’яники відновлюють свою функцію.</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 xml:space="preserve">Отже, результати вивчення динаміки статевих гормонів свідчать про те, що оптимальною дозою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z w:val="28"/>
          <w:szCs w:val="28"/>
          <w:lang w:val="uk-UA"/>
        </w:rPr>
        <w:t>для досягнення стійкого андрогенного дефіциту є 150 мкг на 100 г ваги тварини.</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1C43D0" w:rsidRPr="00CE0A20" w:rsidRDefault="001C43D0" w:rsidP="001C43D0">
      <w:pPr>
        <w:pStyle w:val="261"/>
        <w:shd w:val="clear" w:color="auto" w:fill="auto"/>
        <w:spacing w:before="0" w:line="360" w:lineRule="auto"/>
        <w:ind w:left="20" w:firstLine="689"/>
        <w:rPr>
          <w:rFonts w:ascii="Times New Roman" w:hAnsi="Times New Roman" w:cs="Times New Roman"/>
          <w:b/>
          <w:color w:val="000000"/>
          <w:sz w:val="28"/>
          <w:szCs w:val="28"/>
          <w:vertAlign w:val="subscript"/>
          <w:lang w:val="uk-UA"/>
        </w:rPr>
      </w:pPr>
      <w:r w:rsidRPr="00CE0A20">
        <w:rPr>
          <w:rFonts w:ascii="Times New Roman" w:hAnsi="Times New Roman" w:cs="Times New Roman"/>
          <w:b/>
          <w:color w:val="000000"/>
          <w:sz w:val="28"/>
          <w:szCs w:val="28"/>
          <w:lang w:val="uk-UA"/>
        </w:rPr>
        <w:t xml:space="preserve">3.3. Динаміка ваги статевих органів та гіпофізу експериментальних тварин під впливом </w:t>
      </w:r>
      <w:r w:rsidR="000B5176" w:rsidRPr="000B5176">
        <w:rPr>
          <w:rFonts w:ascii="Times New Roman" w:hAnsi="Times New Roman" w:cs="Times New Roman"/>
          <w:b/>
          <w:color w:val="222222"/>
          <w:sz w:val="28"/>
          <w:szCs w:val="28"/>
          <w:lang w:val="uk-UA"/>
        </w:rPr>
        <w:t>CdCl</w:t>
      </w:r>
      <w:r w:rsidR="000B5176" w:rsidRPr="000B5176">
        <w:rPr>
          <w:rFonts w:ascii="Times New Roman" w:hAnsi="Times New Roman" w:cs="Times New Roman"/>
          <w:b/>
          <w:color w:val="222222"/>
          <w:sz w:val="28"/>
          <w:szCs w:val="28"/>
          <w:vertAlign w:val="subscript"/>
          <w:lang w:val="uk-UA"/>
        </w:rPr>
        <w:t xml:space="preserve">2  </w:t>
      </w:r>
    </w:p>
    <w:p w:rsidR="00CF7496" w:rsidRPr="00CE0A20" w:rsidRDefault="00CF7496"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Важливою об’єктивною ознакою стану андрогенної функції є об’єктивний стан статевих органів і гормональних залоз. Для їхнього оцінювання було застосовано зважування статевих сім’яників, передміхурової залози, сім’яних пухирців придатків яєчка та гіпофізу після виведення тварин з експерименту (через 28 діб після введення токсину) (рис. 3.7–3.11).</w:t>
      </w:r>
    </w:p>
    <w:p w:rsidR="00CF7496"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 xml:space="preserve">Вага сім’яників у контрольній групі досягала (3489,15±96,24) мг. Під впливом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z w:val="28"/>
          <w:szCs w:val="28"/>
          <w:lang w:val="uk-UA"/>
        </w:rPr>
        <w:t xml:space="preserve">в дозі 55 мкг на 100 г ваги тварини (2-а група) на 28-му добу вона практично не відрізнялася від контрольного показника, дорівнюючи (3497,85±74,06) мг (p&gt;0,05 за t-критерієм). У 3-й групі експериментальних тварин після введення 100 мкг токсину на 100 г ваги тварини вага сім’яників на 28-у добу також не відрізнялася від контрольної групи – (3489,10±81,44) мг (p&gt;0,05 за t-критерієм). </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Після введення 150 мкг токсину на 100 г ваги тварини на 28-му добу експерименту вага сім’яників була достовірно меншою, ніж у контрольній групі (3127,70±73,06) мг (p&lt;0,05 за t-критерієм) (рис. 3.7).</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1C43D0" w:rsidRPr="00CE0A20" w:rsidRDefault="001C43D0" w:rsidP="001C43D0">
      <w:pPr>
        <w:pStyle w:val="261"/>
        <w:shd w:val="clear" w:color="auto" w:fill="auto"/>
        <w:spacing w:before="0" w:line="360" w:lineRule="auto"/>
        <w:ind w:left="20" w:hanging="20"/>
        <w:jc w:val="center"/>
        <w:rPr>
          <w:rFonts w:ascii="Times New Roman" w:hAnsi="Times New Roman" w:cs="Times New Roman"/>
          <w:color w:val="000000"/>
          <w:sz w:val="28"/>
          <w:szCs w:val="28"/>
          <w:lang w:val="uk-UA"/>
        </w:rPr>
      </w:pPr>
      <w:r w:rsidRPr="00CE0A20">
        <w:rPr>
          <w:rFonts w:ascii="Times New Roman" w:eastAsia="Calibri" w:hAnsi="Times New Roman" w:cs="Times New Roman"/>
          <w:noProof/>
          <w:color w:val="000000"/>
          <w:sz w:val="28"/>
          <w:szCs w:val="28"/>
          <w:lang w:eastAsia="ru-RU"/>
        </w:rPr>
        <w:drawing>
          <wp:inline distT="0" distB="0" distL="0" distR="0" wp14:anchorId="5F7B8510" wp14:editId="20AC973F">
            <wp:extent cx="5276850" cy="3784600"/>
            <wp:effectExtent l="0" t="0" r="19050" b="25400"/>
            <wp:docPr id="194" name="Диаграмма 19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C43D0" w:rsidRPr="00CE0A20" w:rsidRDefault="001C43D0" w:rsidP="001C43D0">
      <w:pPr>
        <w:pStyle w:val="261"/>
        <w:shd w:val="clear" w:color="auto" w:fill="auto"/>
        <w:spacing w:before="0" w:line="24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Рис. 3.7. Вага сім’яників експериментальних тварин (мг) через 28 діб після введення токсину</w:t>
      </w:r>
    </w:p>
    <w:p w:rsidR="006E3C5E" w:rsidRPr="00CE0A20" w:rsidRDefault="006E3C5E" w:rsidP="006E3C5E">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6E3C5E" w:rsidRPr="00CE0A20" w:rsidRDefault="006E3C5E" w:rsidP="006E3C5E">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6E3C5E" w:rsidRPr="00CE0A20" w:rsidRDefault="006E3C5E" w:rsidP="006E3C5E">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Вага передміхурової залози (ПМЗ) у контрольній групі становила (981,70±76,23) мг. У 2-й і 3-й групах експериментальних тварин на 28-му добу експерименту вага ПМЗ майже не відрізнялася від аналогічного показника в експериментальних тварин контрольної групи, сягаючи (932,25±61,10) мг та (978,80±74,83) мг (p&gt;0,05 за t-критерієм) (рис. 3.8).</w:t>
      </w:r>
    </w:p>
    <w:p w:rsidR="00CF7496" w:rsidRPr="00CE0A20" w:rsidRDefault="00CF7496" w:rsidP="00CF7496">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У 4-й групі експериментальних тварин вага ПМЗ на 28-му добу експерименту становила (634,90±80,52) мг, що було достовірно меншим, ніж у контрольній групі (p&lt;0,05 за t-критерієм).</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1C43D0" w:rsidRPr="00CE0A20" w:rsidRDefault="001C43D0" w:rsidP="001C43D0">
      <w:pPr>
        <w:pStyle w:val="261"/>
        <w:shd w:val="clear" w:color="auto" w:fill="auto"/>
        <w:spacing w:before="0" w:line="360" w:lineRule="auto"/>
        <w:ind w:left="20" w:hanging="20"/>
        <w:jc w:val="center"/>
        <w:rPr>
          <w:rFonts w:ascii="Times New Roman" w:hAnsi="Times New Roman" w:cs="Times New Roman"/>
          <w:color w:val="000000"/>
          <w:sz w:val="28"/>
          <w:szCs w:val="28"/>
          <w:lang w:val="uk-UA"/>
        </w:rPr>
      </w:pPr>
      <w:r w:rsidRPr="00CE0A20">
        <w:rPr>
          <w:rFonts w:ascii="Times New Roman" w:eastAsia="Calibri" w:hAnsi="Times New Roman" w:cs="Times New Roman"/>
          <w:noProof/>
          <w:color w:val="000000"/>
          <w:sz w:val="28"/>
          <w:szCs w:val="28"/>
          <w:lang w:eastAsia="ru-RU"/>
        </w:rPr>
        <w:drawing>
          <wp:inline distT="0" distB="0" distL="0" distR="0" wp14:anchorId="18331CF6" wp14:editId="7BEAD15F">
            <wp:extent cx="5257800" cy="3886200"/>
            <wp:effectExtent l="0" t="0" r="19050" b="19050"/>
            <wp:docPr id="193" name="Диаграмма 19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C43D0" w:rsidRPr="00CE0A20" w:rsidRDefault="001C43D0" w:rsidP="001C43D0">
      <w:pPr>
        <w:pStyle w:val="261"/>
        <w:shd w:val="clear" w:color="auto" w:fill="auto"/>
        <w:spacing w:before="0" w:line="24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Рис. 3.8. Вага передміхурової залози експериментальних тварин (мг) на 28-у добу експерименту</w:t>
      </w:r>
    </w:p>
    <w:p w:rsidR="006E3C5E" w:rsidRPr="00CE0A20" w:rsidRDefault="006E3C5E"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6E3C5E" w:rsidRPr="00CE0A20" w:rsidRDefault="006E3C5E"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Вага сім’яних пухирців у контрольній групі дорівнювала (950,40±69,30) мг. У 2-й групі тварин цей показник практично не відрізнявся від контрольного, становлячи (941,75±67,96) мг відповідно (p&lt;0,05 за t</w:t>
      </w:r>
      <w:r w:rsidRPr="00CE0A20">
        <w:rPr>
          <w:rFonts w:ascii="Times New Roman" w:hAnsi="Times New Roman" w:cs="Times New Roman"/>
          <w:color w:val="000000"/>
          <w:sz w:val="28"/>
          <w:szCs w:val="28"/>
          <w:lang w:val="uk-UA"/>
        </w:rPr>
        <w:noBreakHyphen/>
        <w:t xml:space="preserve">критерієм) (рис. 3.9). </w:t>
      </w:r>
    </w:p>
    <w:p w:rsidR="00CF7496" w:rsidRPr="00CE0A20" w:rsidRDefault="00CF7496" w:rsidP="00CF7496">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У 3-й групі також не виявлено достовірних змін ваги сім’яних пухирців – (963,00±76,41) мг (p&gt;0,05 за t-критерієм). У 4-й групі вага сім’яних пухирців через 28 діб після введення 150 мкг токсину на 100 г ваги тварини була меншою, ніж у контрольній групі, дорівнюючи (877,50±74,03) мг, але це зниження також було не достовірним (p&gt;0,05 за t-критерієм).</w:t>
      </w:r>
    </w:p>
    <w:p w:rsidR="00CF7496" w:rsidRPr="00CE0A20" w:rsidRDefault="00CF7496" w:rsidP="00CF7496">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Подібну динаміку виявлено під час аналізу ваги придатків яєчка. У контрольній групі цей показник дорівнював (1059,50±67,83) мг. У 2-й групі на 28-му добу не відрізнявся від контрольної групи – (1031,35±58,53) мг. (p&gt;0,05 за t-критерієм) (рис. 3.10).</w:t>
      </w:r>
    </w:p>
    <w:p w:rsidR="001C43D0" w:rsidRPr="00CE0A20" w:rsidRDefault="001C43D0" w:rsidP="001C43D0">
      <w:pPr>
        <w:pStyle w:val="261"/>
        <w:shd w:val="clear" w:color="auto" w:fill="auto"/>
        <w:spacing w:before="0" w:line="360" w:lineRule="auto"/>
        <w:ind w:left="20" w:hanging="20"/>
        <w:jc w:val="center"/>
        <w:rPr>
          <w:rFonts w:ascii="Times New Roman" w:hAnsi="Times New Roman" w:cs="Times New Roman"/>
          <w:color w:val="000000"/>
          <w:sz w:val="28"/>
          <w:szCs w:val="28"/>
          <w:lang w:val="uk-UA"/>
        </w:rPr>
      </w:pPr>
      <w:r w:rsidRPr="00CE0A20">
        <w:rPr>
          <w:rFonts w:ascii="Times New Roman" w:eastAsia="Calibri" w:hAnsi="Times New Roman" w:cs="Times New Roman"/>
          <w:noProof/>
          <w:color w:val="000000"/>
          <w:sz w:val="28"/>
          <w:szCs w:val="28"/>
          <w:lang w:eastAsia="ru-RU"/>
        </w:rPr>
        <w:drawing>
          <wp:inline distT="0" distB="0" distL="0" distR="0" wp14:anchorId="7A6F18B4" wp14:editId="1313A083">
            <wp:extent cx="5322277" cy="3892062"/>
            <wp:effectExtent l="0" t="0" r="12065" b="13335"/>
            <wp:docPr id="192" name="Диаграмма 19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C43D0" w:rsidRPr="00CE0A20" w:rsidRDefault="001C43D0" w:rsidP="00CF7496">
      <w:pPr>
        <w:pStyle w:val="261"/>
        <w:shd w:val="clear" w:color="auto" w:fill="auto"/>
        <w:spacing w:before="0" w:line="24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Рис. 3.9. Вага сім’яних пухирців експериментальних тварин (мг) на 28</w:t>
      </w:r>
      <w:r w:rsidRPr="00CE0A20">
        <w:rPr>
          <w:rFonts w:ascii="Times New Roman" w:hAnsi="Times New Roman" w:cs="Times New Roman"/>
          <w:color w:val="000000"/>
          <w:sz w:val="28"/>
          <w:szCs w:val="28"/>
          <w:lang w:val="uk-UA"/>
        </w:rPr>
        <w:noBreakHyphen/>
        <w:t>у добу експерименту.</w:t>
      </w:r>
    </w:p>
    <w:p w:rsidR="00CF7496" w:rsidRPr="00CE0A20" w:rsidRDefault="00CF7496" w:rsidP="00CF7496">
      <w:pPr>
        <w:pStyle w:val="261"/>
        <w:shd w:val="clear" w:color="auto" w:fill="auto"/>
        <w:spacing w:before="0" w:line="240" w:lineRule="auto"/>
        <w:ind w:left="20" w:firstLine="689"/>
        <w:rPr>
          <w:rFonts w:ascii="Times New Roman" w:hAnsi="Times New Roman" w:cs="Times New Roman"/>
          <w:color w:val="000000"/>
          <w:sz w:val="28"/>
          <w:szCs w:val="28"/>
          <w:lang w:val="uk-UA"/>
        </w:rPr>
      </w:pPr>
    </w:p>
    <w:p w:rsidR="001C43D0" w:rsidRPr="00CE0A20" w:rsidRDefault="001C43D0" w:rsidP="001C43D0">
      <w:pPr>
        <w:pStyle w:val="261"/>
        <w:shd w:val="clear" w:color="auto" w:fill="auto"/>
        <w:spacing w:before="0" w:line="360" w:lineRule="auto"/>
        <w:ind w:left="20" w:hanging="20"/>
        <w:jc w:val="center"/>
        <w:rPr>
          <w:rFonts w:ascii="Times New Roman" w:hAnsi="Times New Roman" w:cs="Times New Roman"/>
          <w:color w:val="000000"/>
          <w:sz w:val="28"/>
          <w:szCs w:val="28"/>
          <w:lang w:val="uk-UA"/>
        </w:rPr>
      </w:pPr>
      <w:r w:rsidRPr="00CE0A20">
        <w:rPr>
          <w:rFonts w:ascii="Times New Roman" w:eastAsia="Calibri" w:hAnsi="Times New Roman" w:cs="Times New Roman"/>
          <w:noProof/>
          <w:color w:val="000000"/>
          <w:sz w:val="28"/>
          <w:szCs w:val="28"/>
          <w:lang w:eastAsia="ru-RU"/>
        </w:rPr>
        <w:drawing>
          <wp:inline distT="0" distB="0" distL="0" distR="0" wp14:anchorId="73018373" wp14:editId="1C1CC605">
            <wp:extent cx="5111261" cy="4009292"/>
            <wp:effectExtent l="0" t="0" r="13335" b="10795"/>
            <wp:docPr id="190" name="Диаграмма 19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C43D0" w:rsidRPr="00CE0A20" w:rsidRDefault="001C43D0" w:rsidP="00CF7496">
      <w:pPr>
        <w:pStyle w:val="261"/>
        <w:shd w:val="clear" w:color="auto" w:fill="auto"/>
        <w:spacing w:before="0" w:line="24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Рис. 3.10. Вага придатків яєчка експериментальних тварин (мг) на 28</w:t>
      </w:r>
      <w:r w:rsidRPr="00CE0A20">
        <w:rPr>
          <w:rFonts w:ascii="Times New Roman" w:hAnsi="Times New Roman" w:cs="Times New Roman"/>
          <w:color w:val="000000"/>
          <w:sz w:val="28"/>
          <w:szCs w:val="28"/>
          <w:lang w:val="uk-UA"/>
        </w:rPr>
        <w:noBreakHyphen/>
        <w:t>му добу експерименту</w:t>
      </w:r>
    </w:p>
    <w:p w:rsidR="00CF7496" w:rsidRPr="00CE0A20" w:rsidRDefault="00CF7496" w:rsidP="00CF7496">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 xml:space="preserve">Збільшення дози токсину до 100 мкг на 100 г ваги тварини (3-я група тварин) не спричинило відчутних змін: на 28-у добу вага придатків яєчка становила (1039,90±71,49) мг, що повністю нівелювало різницю з контрольним показником. </w:t>
      </w:r>
    </w:p>
    <w:p w:rsidR="006E3C5E" w:rsidRPr="00CE0A20" w:rsidRDefault="006E3C5E"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У 4-й групі виявлено зниження ваги придатків яєчка порівняно з контрольною групою до (886,30±70,08) мг, що наближалося до рівня статистичної достовірності (р=0,084 за t-критерієм).</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Аналіз ваги гіпофізу протягом експерименту показав, що в контрольній групі тварин вона становила (6,83±0,26) мг (рис. 3.11). Після введення токсину на 28-у добу експерименту статистично значущих змін незалежно від дози токсину виявлено не було (p&gt;0,05 за t-критерієм порівняно з контрольною групою), тому можна говорити лише про тенденцію до певного  збільшення ваги гіпофізу на 28-у добу в 2-й групі до (6,85±0,20) мг, у 3-й групі – до (6,98±0,23) мг та в 4-й групі – до (6,99±0,22) мг.</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1C43D0" w:rsidRPr="00CE0A20" w:rsidRDefault="001C43D0" w:rsidP="001C43D0">
      <w:pPr>
        <w:pStyle w:val="261"/>
        <w:shd w:val="clear" w:color="auto" w:fill="auto"/>
        <w:spacing w:before="0" w:line="360" w:lineRule="auto"/>
        <w:ind w:left="20" w:hanging="20"/>
        <w:jc w:val="center"/>
        <w:rPr>
          <w:rFonts w:ascii="Times New Roman" w:hAnsi="Times New Roman" w:cs="Times New Roman"/>
          <w:color w:val="000000"/>
          <w:sz w:val="28"/>
          <w:szCs w:val="28"/>
          <w:lang w:val="uk-UA"/>
        </w:rPr>
      </w:pPr>
      <w:r w:rsidRPr="00CE0A20">
        <w:rPr>
          <w:rFonts w:ascii="Times New Roman" w:eastAsia="Calibri" w:hAnsi="Times New Roman" w:cs="Times New Roman"/>
          <w:noProof/>
          <w:color w:val="000000"/>
          <w:sz w:val="28"/>
          <w:szCs w:val="28"/>
          <w:lang w:eastAsia="ru-RU"/>
        </w:rPr>
        <w:drawing>
          <wp:inline distT="0" distB="0" distL="0" distR="0" wp14:anchorId="16E56F3B" wp14:editId="7AE8F3DC">
            <wp:extent cx="4970584" cy="3821723"/>
            <wp:effectExtent l="0" t="0" r="20955" b="26670"/>
            <wp:docPr id="189" name="Диаграмма 18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Рис. 3.11. Вага гіпофіза експериментальних тварин (мг) на 28-у добу експерименту</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 xml:space="preserve">На нашу думку, така динаміка ваги гіпофізу пов’язана з відсутністю прямої токсичної дії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z w:val="28"/>
          <w:szCs w:val="28"/>
          <w:lang w:val="uk-UA"/>
        </w:rPr>
        <w:t>на гіпофіз, а деяке її збільшення на етапах експерименту можна пояснити компенсаторною гіпертрофію у зв’язку з функціональним напруженням у відповідь на зменшення концентрації тестостерону. Із цим узгоджуються результати гормонального статусу експериментальних тварин у відповідний термін експерименту.</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 xml:space="preserve">Таким чином, вищевикладене є ще одним доказом того, що оптимальною дозою для створення експериментальної моделі андрогенного дефіциту, є 150 мкг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sz w:val="28"/>
          <w:szCs w:val="28"/>
          <w:lang w:val="uk-UA"/>
        </w:rPr>
        <w:t>на 100 г ваги тварини, що й було обґрунтуванням для наступних етапів експериментального дослідження.</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r w:rsidRPr="00CE0A20">
        <w:rPr>
          <w:rFonts w:ascii="Times New Roman" w:hAnsi="Times New Roman" w:cs="Times New Roman"/>
          <w:color w:val="000000"/>
          <w:sz w:val="28"/>
          <w:szCs w:val="28"/>
          <w:lang w:val="uk-UA"/>
        </w:rPr>
        <w:t>Крім цього, виконано морфометричні дослідження та гістологічний аналіз препаратів статевих органів в експериментальних тварин</w:t>
      </w:r>
      <w:bookmarkEnd w:id="2"/>
      <w:r w:rsidRPr="00CE0A20">
        <w:rPr>
          <w:rFonts w:ascii="Times New Roman" w:hAnsi="Times New Roman" w:cs="Times New Roman"/>
          <w:color w:val="000000"/>
          <w:sz w:val="28"/>
          <w:szCs w:val="28"/>
          <w:lang w:val="uk-UA"/>
        </w:rPr>
        <w:t>.</w:t>
      </w:r>
    </w:p>
    <w:p w:rsidR="001C43D0" w:rsidRPr="00CE0A20" w:rsidRDefault="001C43D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ind w:firstLine="709"/>
        <w:jc w:val="both"/>
        <w:rPr>
          <w:rFonts w:ascii="Times New Roman" w:hAnsi="Times New Roman" w:cs="Times New Roman"/>
          <w:b/>
          <w:sz w:val="28"/>
          <w:szCs w:val="28"/>
          <w:lang w:val="uk-UA"/>
        </w:rPr>
      </w:pPr>
      <w:r w:rsidRPr="00CE0A20">
        <w:rPr>
          <w:rFonts w:ascii="Times New Roman" w:hAnsi="Times New Roman" w:cs="Times New Roman"/>
          <w:b/>
          <w:sz w:val="28"/>
          <w:szCs w:val="28"/>
          <w:lang w:val="uk-UA"/>
        </w:rPr>
        <w:t>3.4. Морфоструктура яєчок та передміхурової залози щурів при моделюванні гіпогонадизму</w:t>
      </w:r>
    </w:p>
    <w:p w:rsidR="00CF7496" w:rsidRPr="00CE0A20" w:rsidRDefault="00CF7496" w:rsidP="001C43D0">
      <w:pPr>
        <w:spacing w:line="360" w:lineRule="auto"/>
        <w:ind w:firstLine="720"/>
        <w:jc w:val="both"/>
        <w:rPr>
          <w:rFonts w:ascii="Times New Roman" w:hAnsi="Times New Roman" w:cs="Times New Roman"/>
          <w:sz w:val="28"/>
          <w:szCs w:val="28"/>
          <w:lang w:val="uk-UA"/>
        </w:rPr>
      </w:pPr>
    </w:p>
    <w:p w:rsidR="001C43D0" w:rsidRPr="00CE0A20" w:rsidRDefault="001C43D0" w:rsidP="001C43D0">
      <w:pPr>
        <w:spacing w:line="360" w:lineRule="auto"/>
        <w:ind w:firstLine="72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Гістологічне дослідження зрізів яєчок щурів контрольної групи виявило, що звивисті сім'яні канальці були зрізані в поперечному або косому напрямку та мали овальну чи округлу форму. Діаметр канальців, власна оболонка канальців, а також білкова й судинна оболонки відповідали нормі. Стінка сім'яних канальців була побудована статевими клітинами. У базальному відділі містилися наймолодші клітини сперматогенного епітелію – сперматогонії. Серед них вирізнялися клітини з хроматином у ядрі конденсованого (тип В) і неконденсованого (тип А) виду. Сперматогонії типу А були представлені світлими (що оновлюються) та темними (резервними) клітинами. Іноді спостерігався мітоз у сперматогоніях. У проміжному відділі стінки канальців були розташовані сперматоцити. Більша частина сперматоцитів I-го порядку перебувала в третій стадії профази, у пахітені (рис. 3.12). </w:t>
      </w:r>
    </w:p>
    <w:p w:rsidR="006E3C5E" w:rsidRPr="00CE0A20" w:rsidRDefault="006E3C5E" w:rsidP="006E3C5E">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 частині канальців добре простежувались метафази першого і (значно рідше) другого поділу й анафази цих поділів. В адлюмінальному відділі сім'яних канальців було виявлено численні сперматиди та сформовані спермато</w:t>
      </w:r>
      <w:r w:rsidRPr="00CE0A20">
        <w:rPr>
          <w:rFonts w:ascii="Times New Roman" w:hAnsi="Times New Roman" w:cs="Times New Roman"/>
          <w:sz w:val="28"/>
          <w:szCs w:val="28"/>
          <w:lang w:val="uk-UA"/>
        </w:rPr>
        <w:softHyphen/>
        <w:t>зоїди, які були розташовані голівкою до просвіту канальця (рис. 3.13).</w:t>
      </w:r>
    </w:p>
    <w:p w:rsidR="006E3C5E" w:rsidRPr="00CE0A20" w:rsidRDefault="006E3C5E" w:rsidP="006E3C5E">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Статеві клітини різних етапів розвитку були розміщені в суворій послідовності, концентричними шарами згідно зі стадіями сперматогенного циклу. Поєд</w:t>
      </w:r>
      <w:r w:rsidRPr="00CE0A20">
        <w:rPr>
          <w:rFonts w:ascii="Times New Roman" w:hAnsi="Times New Roman" w:cs="Times New Roman"/>
          <w:sz w:val="28"/>
          <w:szCs w:val="28"/>
          <w:lang w:val="uk-UA"/>
        </w:rPr>
        <w:softHyphen/>
        <w:t>нання різних типів статевих клітин у канальцях було типовим. У різних канальцях чітко простежувався не тільки сперматогенез (процес послідовних перебудов зародкових клітин: сперматогонія → сперматозоїд), а й сперміогенез – етапи клітинних перетворень від сперматиди до сперматозоїда. Стрічка спермато</w:t>
      </w:r>
      <w:r w:rsidRPr="00CE0A20">
        <w:rPr>
          <w:rFonts w:ascii="Times New Roman" w:hAnsi="Times New Roman" w:cs="Times New Roman"/>
          <w:sz w:val="28"/>
          <w:szCs w:val="28"/>
          <w:lang w:val="uk-UA"/>
        </w:rPr>
        <w:softHyphen/>
        <w:t xml:space="preserve">генного епітелію містила не менш 4-6 рядів клітин. </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55E03F6C" wp14:editId="16EDFFDB">
            <wp:extent cx="3282870" cy="4028687"/>
            <wp:effectExtent l="0" t="0" r="0" b="0"/>
            <wp:docPr id="188" name="Рисунок 188" descr="Описание: норма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descr="Описание: норма3"/>
                    <pic:cNvPicPr>
                      <a:picLocks noChangeAspect="1" noChangeArrowheads="1"/>
                    </pic:cNvPicPr>
                  </pic:nvPicPr>
                  <pic:blipFill>
                    <a:blip r:embed="rId21">
                      <a:lum bright="6000" contrast="6000"/>
                      <a:extLst>
                        <a:ext uri="{28A0092B-C50C-407E-A947-70E740481C1C}">
                          <a14:useLocalDpi xmlns:a14="http://schemas.microsoft.com/office/drawing/2010/main" val="0"/>
                        </a:ext>
                      </a:extLst>
                    </a:blip>
                    <a:srcRect/>
                    <a:stretch>
                      <a:fillRect/>
                    </a:stretch>
                  </pic:blipFill>
                  <pic:spPr bwMode="auto">
                    <a:xfrm>
                      <a:off x="0" y="0"/>
                      <a:ext cx="3284379" cy="4030539"/>
                    </a:xfrm>
                    <a:prstGeom prst="rect">
                      <a:avLst/>
                    </a:prstGeom>
                    <a:noFill/>
                    <a:ln>
                      <a:noFill/>
                    </a:ln>
                  </pic:spPr>
                </pic:pic>
              </a:graphicData>
            </a:graphic>
          </wp:inline>
        </w:drawing>
      </w:r>
    </w:p>
    <w:p w:rsidR="001C43D0" w:rsidRPr="00CE0A20" w:rsidRDefault="001C43D0" w:rsidP="00DD101F">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3.12. Яєчко інтактних щурів: у сім'яних канальцях повний пул ста</w:t>
      </w:r>
      <w:r w:rsidRPr="00CE0A20">
        <w:rPr>
          <w:rFonts w:ascii="Times New Roman" w:hAnsi="Times New Roman" w:cs="Times New Roman"/>
          <w:sz w:val="28"/>
          <w:szCs w:val="28"/>
          <w:lang w:val="uk-UA"/>
        </w:rPr>
        <w:softHyphen/>
        <w:t>те</w:t>
      </w:r>
      <w:r w:rsidRPr="00CE0A20">
        <w:rPr>
          <w:rFonts w:ascii="Times New Roman" w:hAnsi="Times New Roman" w:cs="Times New Roman"/>
          <w:sz w:val="28"/>
          <w:szCs w:val="28"/>
          <w:lang w:val="uk-UA"/>
        </w:rPr>
        <w:softHyphen/>
        <w:t>вих клітин від сперматогоній до сперматозоїдів (зб.х100). Гематоксилін-еозин</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75648" behindDoc="0" locked="0" layoutInCell="1" allowOverlap="1" wp14:anchorId="437D446F" wp14:editId="37B721ED">
                <wp:simplePos x="0" y="0"/>
                <wp:positionH relativeFrom="column">
                  <wp:posOffset>2577465</wp:posOffset>
                </wp:positionH>
                <wp:positionV relativeFrom="paragraph">
                  <wp:posOffset>2985135</wp:posOffset>
                </wp:positionV>
                <wp:extent cx="704850" cy="323850"/>
                <wp:effectExtent l="38100" t="0" r="19050" b="57150"/>
                <wp:wrapNone/>
                <wp:docPr id="149" name="Прямая соединительная линия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04850" cy="3238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9" o:spid="_x0000_s1026" style="position:absolute;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2.95pt,235.05pt" to="258.45pt,26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">
                <v:stroke endarrow="block"/>
              </v:line>
            </w:pict>
          </mc:Fallback>
        </mc:AlternateContent>
      </w:r>
      <w:r w:rsidRPr="00CE0A20">
        <w:rPr>
          <w:rFonts w:ascii="Times New Roman" w:hAnsi="Times New Roman" w:cs="Times New Roman"/>
          <w:noProof/>
          <w:sz w:val="28"/>
          <w:szCs w:val="28"/>
        </w:rPr>
        <mc:AlternateContent>
          <mc:Choice Requires="wps">
            <w:drawing>
              <wp:anchor distT="0" distB="0" distL="114300" distR="114300" simplePos="0" relativeHeight="251674624" behindDoc="0" locked="0" layoutInCell="1" allowOverlap="1" wp14:anchorId="079D6581" wp14:editId="3C4BC8A0">
                <wp:simplePos x="0" y="0"/>
                <wp:positionH relativeFrom="column">
                  <wp:posOffset>2872740</wp:posOffset>
                </wp:positionH>
                <wp:positionV relativeFrom="paragraph">
                  <wp:posOffset>2394585</wp:posOffset>
                </wp:positionV>
                <wp:extent cx="409575" cy="476250"/>
                <wp:effectExtent l="38100" t="38100" r="28575" b="19050"/>
                <wp:wrapNone/>
                <wp:docPr id="148" name="Прямая соединительная линия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09575" cy="4762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8" o:spid="_x0000_s1026" style="position:absolute;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2pt,188.55pt" to="258.45pt,2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">
                <v:stroke endarrow="block"/>
              </v:line>
            </w:pict>
          </mc:Fallback>
        </mc:AlternateContent>
      </w:r>
      <w:r w:rsidRPr="00CE0A20">
        <w:rPr>
          <w:rFonts w:ascii="Times New Roman" w:hAnsi="Times New Roman" w:cs="Times New Roman"/>
          <w:noProof/>
          <w:sz w:val="28"/>
          <w:szCs w:val="28"/>
        </w:rPr>
        <w:drawing>
          <wp:inline distT="0" distB="0" distL="0" distR="0" wp14:anchorId="425C75E5" wp14:editId="7023AEE0">
            <wp:extent cx="3238500" cy="4095750"/>
            <wp:effectExtent l="0" t="0" r="0" b="0"/>
            <wp:docPr id="187" name="Рисунок 187" descr="Описание: норма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descr="Описание: норма8"/>
                    <pic:cNvPicPr>
                      <a:picLocks noChangeAspect="1" noChangeArrowheads="1"/>
                    </pic:cNvPicPr>
                  </pic:nvPicPr>
                  <pic:blipFill>
                    <a:blip r:embed="rId22">
                      <a:lum contrast="12000"/>
                      <a:extLst>
                        <a:ext uri="{28A0092B-C50C-407E-A947-70E740481C1C}">
                          <a14:useLocalDpi xmlns:a14="http://schemas.microsoft.com/office/drawing/2010/main" val="0"/>
                        </a:ext>
                      </a:extLst>
                    </a:blip>
                    <a:srcRect/>
                    <a:stretch>
                      <a:fillRect/>
                    </a:stretch>
                  </pic:blipFill>
                  <pic:spPr bwMode="auto">
                    <a:xfrm>
                      <a:off x="0" y="0"/>
                      <a:ext cx="3238500" cy="4095750"/>
                    </a:xfrm>
                    <a:prstGeom prst="rect">
                      <a:avLst/>
                    </a:prstGeom>
                    <a:noFill/>
                    <a:ln>
                      <a:noFill/>
                    </a:ln>
                  </pic:spPr>
                </pic:pic>
              </a:graphicData>
            </a:graphic>
          </wp:inline>
        </w:drawing>
      </w:r>
    </w:p>
    <w:p w:rsidR="001C43D0" w:rsidRPr="00CE0A20" w:rsidRDefault="001C43D0" w:rsidP="001C43D0">
      <w:pPr>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3.13. Яєчко інтактних щурів: сперматоцити в метафазі I та II поділу в стінці канальців (зб.х250). Гематоксилін-еозин</w:t>
      </w:r>
      <w:r w:rsidR="004C1F95">
        <w:rPr>
          <w:rFonts w:ascii="Times New Roman" w:hAnsi="Times New Roman" w:cs="Times New Roman"/>
          <w:sz w:val="28"/>
          <w:szCs w:val="28"/>
          <w:lang w:val="uk-UA"/>
        </w:rPr>
        <w:t>.</w:t>
      </w:r>
    </w:p>
    <w:p w:rsidR="00CF7496" w:rsidRPr="00CE0A20" w:rsidRDefault="00CF7496" w:rsidP="001C43D0">
      <w:pPr>
        <w:widowControl w:val="0"/>
        <w:spacing w:line="360" w:lineRule="auto"/>
        <w:ind w:firstLine="709"/>
        <w:jc w:val="both"/>
        <w:rPr>
          <w:rFonts w:ascii="Times New Roman" w:hAnsi="Times New Roman" w:cs="Times New Roman"/>
          <w:sz w:val="28"/>
          <w:szCs w:val="28"/>
          <w:lang w:val="uk-UA"/>
        </w:rPr>
      </w:pPr>
    </w:p>
    <w:p w:rsidR="001C43D0" w:rsidRPr="00CE0A20" w:rsidRDefault="001C43D0" w:rsidP="001C43D0">
      <w:pPr>
        <w:widowControl w:val="0"/>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Між сперматогоніями на базальній мембрані було розміщено численні клітини Сертолі (підтримуючи клітини). Було чітко видно їхнє світле грушоподібне ядро з ядерцем. Цитоплазматичні відростки клітин маскувалися статевими клітинами подальших етапів розвитку. Міжканальцеву сполучну тканину було представлено дуже обмежено. У цих міжканальцевих локусах виявлено кровоносні судини, навколо яких гуртувалися нечисленні фібробласти й клітини Лейдіга (інтерстиціальні ендокриноцити або гландулоцити). Клітинні мембрани останніх часто погано розрізнялися, ядра клітин були овальної форми, здебільшого нормохромні, у них було видно чіткий розсип хроматинової зернистості (рис. 3.14). </w:t>
      </w:r>
      <w:r w:rsidR="006D4007" w:rsidRPr="00CE0A20">
        <w:rPr>
          <w:rFonts w:ascii="Times New Roman" w:hAnsi="Times New Roman" w:cs="Times New Roman"/>
          <w:sz w:val="28"/>
          <w:szCs w:val="28"/>
          <w:lang w:val="uk-UA"/>
        </w:rPr>
        <w:t>Паренхіма залозистої тканини передміхурової залози була представлена чисельними поперечними профілями кінцевих відділів (ацинуси) простатичних залозок.</w:t>
      </w:r>
    </w:p>
    <w:p w:rsidR="001C43D0" w:rsidRPr="00CE0A20" w:rsidRDefault="001C43D0" w:rsidP="001C43D0">
      <w:pPr>
        <w:tabs>
          <w:tab w:val="left" w:pos="6683"/>
        </w:tabs>
        <w:spacing w:line="360" w:lineRule="auto"/>
        <w:jc w:val="center"/>
        <w:rPr>
          <w:rFonts w:ascii="Times New Roman" w:hAnsi="Times New Roman" w:cs="Times New Roman"/>
          <w:noProof/>
          <w:sz w:val="28"/>
          <w:szCs w:val="28"/>
          <w:lang w:val="uk-UA"/>
        </w:rPr>
      </w:pPr>
      <w:r w:rsidRPr="00CE0A20">
        <w:rPr>
          <w:rFonts w:ascii="Times New Roman" w:hAnsi="Times New Roman" w:cs="Times New Roman"/>
          <w:noProof/>
          <w:sz w:val="28"/>
          <w:szCs w:val="28"/>
        </w:rPr>
        <w:drawing>
          <wp:inline distT="0" distB="0" distL="0" distR="0" wp14:anchorId="23F8BBAA" wp14:editId="18443F01">
            <wp:extent cx="3162300" cy="3886200"/>
            <wp:effectExtent l="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pic:cNvPicPr>
                      <a:picLocks noChangeAspect="1" noChangeArrowheads="1"/>
                    </pic:cNvPicPr>
                  </pic:nvPicPr>
                  <pic:blipFill>
                    <a:blip r:embed="rId23">
                      <a:lum contrast="24000"/>
                      <a:extLst>
                        <a:ext uri="{28A0092B-C50C-407E-A947-70E740481C1C}">
                          <a14:useLocalDpi xmlns:a14="http://schemas.microsoft.com/office/drawing/2010/main" val="0"/>
                        </a:ext>
                      </a:extLst>
                    </a:blip>
                    <a:srcRect/>
                    <a:stretch>
                      <a:fillRect/>
                    </a:stretch>
                  </pic:blipFill>
                  <pic:spPr bwMode="auto">
                    <a:xfrm>
                      <a:off x="0" y="0"/>
                      <a:ext cx="3162300" cy="3886200"/>
                    </a:xfrm>
                    <a:prstGeom prst="rect">
                      <a:avLst/>
                    </a:prstGeom>
                    <a:noFill/>
                    <a:ln>
                      <a:noFill/>
                    </a:ln>
                  </pic:spPr>
                </pic:pic>
              </a:graphicData>
            </a:graphic>
          </wp:inline>
        </w:drawing>
      </w:r>
    </w:p>
    <w:p w:rsidR="001C43D0" w:rsidRPr="00CE0A20" w:rsidRDefault="001C43D0" w:rsidP="001C43D0">
      <w:pPr>
        <w:ind w:firstLine="709"/>
        <w:jc w:val="both"/>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0D31BF77" wp14:editId="488AF140">
                <wp:simplePos x="0" y="0"/>
                <wp:positionH relativeFrom="column">
                  <wp:posOffset>2743200</wp:posOffset>
                </wp:positionH>
                <wp:positionV relativeFrom="paragraph">
                  <wp:posOffset>7188835</wp:posOffset>
                </wp:positionV>
                <wp:extent cx="228600" cy="52705"/>
                <wp:effectExtent l="38100" t="57150" r="19050" b="42545"/>
                <wp:wrapNone/>
                <wp:docPr id="147" name="Прямая соединительная линия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28600" cy="52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7"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566.05pt" to="234pt,5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">
                <v:stroke endarrow="block"/>
              </v:line>
            </w:pict>
          </mc:Fallback>
        </mc:AlternateContent>
      </w:r>
      <w:r w:rsidRPr="00CE0A20">
        <w:rPr>
          <w:rFonts w:ascii="Times New Roman" w:hAnsi="Times New Roman" w:cs="Times New Roman"/>
          <w:sz w:val="28"/>
          <w:szCs w:val="28"/>
          <w:lang w:val="uk-UA"/>
        </w:rPr>
        <w:t>Рис. 3.14. Яєчко інтактних щурів: нормохромні клітини Лейдіга в міжканальцевому локусі (зб.х400). Гематоксилін-еозин</w:t>
      </w:r>
      <w:r w:rsidR="004C1F95">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p>
    <w:p w:rsidR="001C43D0" w:rsidRPr="00CE0A20" w:rsidRDefault="001C43D0" w:rsidP="001C43D0">
      <w:pPr>
        <w:spacing w:line="360" w:lineRule="auto"/>
        <w:ind w:firstLine="900"/>
        <w:jc w:val="both"/>
        <w:rPr>
          <w:rFonts w:ascii="Times New Roman" w:hAnsi="Times New Roman" w:cs="Times New Roman"/>
          <w:sz w:val="28"/>
          <w:szCs w:val="28"/>
          <w:lang w:val="uk-UA"/>
        </w:rPr>
      </w:pPr>
    </w:p>
    <w:p w:rsidR="00CF7496" w:rsidRPr="00CE0A20" w:rsidRDefault="00CF7496" w:rsidP="00CF7496">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 Щільність розташування відносно один до одного була високою (рис. 3.15). </w:t>
      </w:r>
    </w:p>
    <w:p w:rsidR="00CF7496" w:rsidRPr="00CE0A20" w:rsidRDefault="00CF7496" w:rsidP="00CF7496">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Епітеліальні клітини, що вистилали стінку ацинусів, мали кубічну або високу кубічну форму. Клітини були розташовані одним шаром, ядро містилося в базальній частині, цитоплазма була рівномірно забарвлена(рис. 3.16). </w:t>
      </w:r>
    </w:p>
    <w:p w:rsidR="00CF7496" w:rsidRPr="00CE0A20" w:rsidRDefault="00CF7496" w:rsidP="00CF7496">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Секрет у просвіті ацинусів був виявлений не в усіх випадках. Колір секрету варіював від блідо-рожевого до яскраво-рожевого. Міжацинарна строма була представлена незначною мірою.</w:t>
      </w:r>
    </w:p>
    <w:p w:rsidR="00CF7496" w:rsidRPr="00CE0A20" w:rsidRDefault="00CF7496" w:rsidP="00CF7496">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Таким чином, результати мікроскопічного дослідження яєчок і передміхурової залози експериментальних тварин контрольної групи (інтактних) відповідала нормальній морфологічній структурі статевих органів цих тварин [76].</w:t>
      </w:r>
    </w:p>
    <w:p w:rsidR="00CF7496" w:rsidRPr="00CE0A20" w:rsidRDefault="00CF7496" w:rsidP="00CF7496">
      <w:pPr>
        <w:widowControl w:val="0"/>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155606DC" wp14:editId="2051DAE6">
            <wp:extent cx="4016099" cy="3407822"/>
            <wp:effectExtent l="0" t="0" r="3810" b="254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14107" cy="3406132"/>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3.15. Вентральна частка передміхурової залози щурів: ацинуси простатичних залозок (зб.х200). Гематоксилін-еозин</w:t>
      </w:r>
      <w:r w:rsidR="004C1F95">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p>
    <w:p w:rsidR="001C43D0" w:rsidRPr="00CE0A20" w:rsidRDefault="001C43D0" w:rsidP="001C43D0">
      <w:pPr>
        <w:spacing w:line="360" w:lineRule="auto"/>
        <w:ind w:firstLine="720"/>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7F476D23" wp14:editId="7232D1C5">
            <wp:extent cx="4305300" cy="3562350"/>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05300" cy="356235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3.16. Вентральна частка передміхурової залози щурів: кубічний епітелій, що вистилає ацинуси (зб.х400). Гематоксилін-еозин</w:t>
      </w:r>
      <w:r w:rsidR="004C1F95">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Під впливом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спостерігалися доз</w:t>
      </w:r>
      <w:r w:rsidR="00885BC3">
        <w:rPr>
          <w:rFonts w:ascii="Times New Roman" w:hAnsi="Times New Roman" w:cs="Times New Roman"/>
          <w:sz w:val="28"/>
          <w:szCs w:val="28"/>
          <w:lang w:val="uk-UA"/>
        </w:rPr>
        <w:t>озалежні зміни. На 7-му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після одноразового внутрішньоочеревинного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55 мкг/100 г маси тіла (2-а група) у більшості самців на тлі зорово незмінених сім'яних канальців були виявлені групи спустошених канальців. Вони були зменшені в розмірі, власна оболонка таких канальців була потовщена та набрякла (рис. 3.17). </w:t>
      </w:r>
    </w:p>
    <w:p w:rsidR="00CF7496" w:rsidRPr="00CE0A20" w:rsidRDefault="00CF7496" w:rsidP="00CF7496">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 деяких канальців спостерігаємо дезорганізацію статевих клітин, лізис части</w:t>
      </w:r>
      <w:r w:rsidRPr="00CE0A20">
        <w:rPr>
          <w:rFonts w:ascii="Times New Roman" w:hAnsi="Times New Roman" w:cs="Times New Roman"/>
          <w:sz w:val="28"/>
          <w:szCs w:val="28"/>
          <w:lang w:val="uk-UA"/>
        </w:rPr>
        <w:softHyphen/>
        <w:t>ни статевих клітин з утворенням пустот у шарі сперматогенного епітелію, крупні овальні структури з дегенеруючими пікнотичними ядрами – так звані сім'яні кулі (рис. 3.18).</w:t>
      </w:r>
    </w:p>
    <w:p w:rsidR="00CF7496" w:rsidRPr="00CE0A20" w:rsidRDefault="00CF7496"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78720" behindDoc="0" locked="0" layoutInCell="1" allowOverlap="1" wp14:anchorId="22A66EBA" wp14:editId="65F2884B">
                <wp:simplePos x="0" y="0"/>
                <wp:positionH relativeFrom="column">
                  <wp:posOffset>3462655</wp:posOffset>
                </wp:positionH>
                <wp:positionV relativeFrom="paragraph">
                  <wp:posOffset>883920</wp:posOffset>
                </wp:positionV>
                <wp:extent cx="85725" cy="304800"/>
                <wp:effectExtent l="57150" t="38100" r="66675" b="57150"/>
                <wp:wrapNone/>
                <wp:docPr id="146" name="Прямая соединительная линия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725" cy="3048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6"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2.65pt,69.6pt" to="279.4pt,9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">
                <v:stroke startarrow="block" endarrow="block"/>
              </v:line>
            </w:pict>
          </mc:Fallback>
        </mc:AlternateContent>
      </w:r>
      <w:r w:rsidRPr="00CE0A20">
        <w:rPr>
          <w:rFonts w:ascii="Times New Roman" w:hAnsi="Times New Roman" w:cs="Times New Roman"/>
          <w:noProof/>
          <w:sz w:val="28"/>
          <w:szCs w:val="28"/>
        </w:rPr>
        <mc:AlternateContent>
          <mc:Choice Requires="wps">
            <w:drawing>
              <wp:anchor distT="0" distB="0" distL="114300" distR="114300" simplePos="0" relativeHeight="251676672" behindDoc="0" locked="0" layoutInCell="1" allowOverlap="1" wp14:anchorId="2463A454" wp14:editId="1DA3E064">
                <wp:simplePos x="0" y="0"/>
                <wp:positionH relativeFrom="column">
                  <wp:posOffset>2520315</wp:posOffset>
                </wp:positionH>
                <wp:positionV relativeFrom="paragraph">
                  <wp:posOffset>1550670</wp:posOffset>
                </wp:positionV>
                <wp:extent cx="114300" cy="228600"/>
                <wp:effectExtent l="38100" t="38100" r="19050" b="19050"/>
                <wp:wrapNone/>
                <wp:docPr id="145" name="Прямая соединительная линия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4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5" o:spid="_x0000_s1026" style="position:absolute;flip:x 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45pt,122.1pt" to="207.45pt,14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">
                <v:stroke endarrow="block"/>
              </v:line>
            </w:pict>
          </mc:Fallback>
        </mc:AlternateContent>
      </w:r>
      <w:r w:rsidRPr="00CE0A20">
        <w:rPr>
          <w:rFonts w:ascii="Times New Roman" w:hAnsi="Times New Roman" w:cs="Times New Roman"/>
          <w:noProof/>
          <w:sz w:val="28"/>
          <w:szCs w:val="28"/>
        </w:rPr>
        <mc:AlternateContent>
          <mc:Choice Requires="wps">
            <w:drawing>
              <wp:anchor distT="0" distB="0" distL="114300" distR="114300" simplePos="0" relativeHeight="251677696" behindDoc="0" locked="0" layoutInCell="1" allowOverlap="1" wp14:anchorId="32E426CF" wp14:editId="75B19BCD">
                <wp:simplePos x="0" y="0"/>
                <wp:positionH relativeFrom="column">
                  <wp:posOffset>1539240</wp:posOffset>
                </wp:positionH>
                <wp:positionV relativeFrom="paragraph">
                  <wp:posOffset>2322195</wp:posOffset>
                </wp:positionV>
                <wp:extent cx="228600" cy="114300"/>
                <wp:effectExtent l="0" t="38100" r="57150" b="19050"/>
                <wp:wrapNone/>
                <wp:docPr id="144" name="Прямая соединительная линия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4"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2pt,182.85pt" to="139.2pt,19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">
                <v:stroke endarrow="block"/>
              </v:line>
            </w:pict>
          </mc:Fallback>
        </mc:AlternateContent>
      </w:r>
      <w:r w:rsidRPr="00CE0A20">
        <w:rPr>
          <w:rFonts w:ascii="Times New Roman" w:hAnsi="Times New Roman" w:cs="Times New Roman"/>
          <w:noProof/>
          <w:sz w:val="28"/>
          <w:szCs w:val="28"/>
        </w:rPr>
        <w:drawing>
          <wp:inline distT="0" distB="0" distL="0" distR="0" wp14:anchorId="39B3080D" wp14:editId="2448A8E0">
            <wp:extent cx="3179220" cy="4320000"/>
            <wp:effectExtent l="0" t="0" r="2540" b="4445"/>
            <wp:docPr id="183" name="Рисунок 183" descr="Описание: сем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descr="Описание: сем1-4-3"/>
                    <pic:cNvPicPr>
                      <a:picLocks noChangeAspect="1" noChangeArrowheads="1"/>
                    </pic:cNvPicPr>
                  </pic:nvPicPr>
                  <pic:blipFill>
                    <a:blip r:embed="rId26">
                      <a:lum bright="6000" contrast="6000"/>
                      <a:extLst>
                        <a:ext uri="{28A0092B-C50C-407E-A947-70E740481C1C}">
                          <a14:useLocalDpi xmlns:a14="http://schemas.microsoft.com/office/drawing/2010/main" val="0"/>
                        </a:ext>
                      </a:extLst>
                    </a:blip>
                    <a:srcRect/>
                    <a:stretch>
                      <a:fillRect/>
                    </a:stretch>
                  </pic:blipFill>
                  <pic:spPr bwMode="auto">
                    <a:xfrm>
                      <a:off x="0" y="0"/>
                      <a:ext cx="3179220" cy="4320000"/>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3.17. Яєчко щурів на 7-</w:t>
      </w:r>
      <w:r w:rsidR="00885BC3">
        <w:rPr>
          <w:rFonts w:ascii="Times New Roman" w:hAnsi="Times New Roman" w:cs="Times New Roman"/>
          <w:sz w:val="28"/>
          <w:szCs w:val="28"/>
          <w:lang w:val="uk-UA"/>
        </w:rPr>
        <w:t>му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дозі 55 мкг/100 г: на тлі канальців зі збереженою стрічкою сперматогенного епітелію видна група спустошених канальців (</w:t>
      </w:r>
      <w:r w:rsidR="00CF7496" w:rsidRPr="00CE0A20">
        <w:rPr>
          <w:rFonts w:ascii="Times New Roman" w:hAnsi="Times New Roman" w:cs="Times New Roman"/>
          <w:sz w:val="28"/>
          <w:szCs w:val="28"/>
          <w:lang w:val="uk-UA"/>
        </w:rPr>
        <w:t>зб.</w:t>
      </w:r>
      <w:r w:rsidRPr="00CE0A20">
        <w:rPr>
          <w:rFonts w:ascii="Times New Roman" w:hAnsi="Times New Roman" w:cs="Times New Roman"/>
          <w:sz w:val="28"/>
          <w:szCs w:val="28"/>
          <w:lang w:val="uk-UA"/>
        </w:rPr>
        <w:t>х100) Гематоксилін-еозин</w:t>
      </w:r>
      <w:r w:rsidR="00CF7496" w:rsidRPr="00CE0A20">
        <w:rPr>
          <w:rFonts w:ascii="Times New Roman" w:hAnsi="Times New Roman" w:cs="Times New Roman"/>
          <w:sz w:val="28"/>
          <w:szCs w:val="28"/>
          <w:lang w:val="uk-UA"/>
        </w:rPr>
        <w:t>.</w:t>
      </w:r>
    </w:p>
    <w:p w:rsidR="001C43D0" w:rsidRPr="00CE0A20" w:rsidRDefault="001C43D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 канальцях з відносно збереженим сперматогенним епітелієм зменшено кількість сперматогоній (у тому числі й темних типу А), не видно фігури мітозу в сперматоцитах. Було порушено послідовне розта</w:t>
      </w:r>
      <w:r w:rsidRPr="00CE0A20">
        <w:rPr>
          <w:rFonts w:ascii="Times New Roman" w:hAnsi="Times New Roman" w:cs="Times New Roman"/>
          <w:sz w:val="28"/>
          <w:szCs w:val="28"/>
          <w:lang w:val="uk-UA"/>
        </w:rPr>
        <w:softHyphen/>
        <w:t>шу</w:t>
      </w:r>
      <w:r w:rsidRPr="00CE0A20">
        <w:rPr>
          <w:rFonts w:ascii="Times New Roman" w:hAnsi="Times New Roman" w:cs="Times New Roman"/>
          <w:sz w:val="28"/>
          <w:szCs w:val="28"/>
          <w:lang w:val="uk-UA"/>
        </w:rPr>
        <w:softHyphen/>
        <w:t xml:space="preserve">вання клітин Сертолі вздовж базальної мембрани в стінці канальця, </w:t>
      </w:r>
      <w:r w:rsidR="00D564C4" w:rsidRPr="00CE0A20">
        <w:rPr>
          <w:rFonts w:ascii="Times New Roman" w:hAnsi="Times New Roman" w:cs="Times New Roman"/>
          <w:sz w:val="28"/>
          <w:szCs w:val="28"/>
          <w:lang w:val="uk-UA"/>
        </w:rPr>
        <w:t>подекуди</w:t>
      </w:r>
      <w:r w:rsidRPr="00CE0A20">
        <w:rPr>
          <w:rFonts w:ascii="Times New Roman" w:hAnsi="Times New Roman" w:cs="Times New Roman"/>
          <w:sz w:val="28"/>
          <w:szCs w:val="28"/>
          <w:lang w:val="uk-UA"/>
        </w:rPr>
        <w:t xml:space="preserve"> вони були відсутні.</w:t>
      </w:r>
    </w:p>
    <w:p w:rsidR="00CF7496" w:rsidRPr="00CE0A20" w:rsidRDefault="00CF7496" w:rsidP="00CF7496">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Кількість канальців зі зрілими сперматозоїдами була значно зниженою (рис. 3.19). Клітини Лейдіга характеризувалися достатньо виразною мономорфністю розмірів ядер (в основному дрібні), частина ядер пікнотична, гіперхромна, що свідчить про певну їх функціональну напругу.</w:t>
      </w:r>
    </w:p>
    <w:p w:rsidR="00CF7496" w:rsidRPr="00CE0A20" w:rsidRDefault="00CF7496" w:rsidP="00CF7496">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Наведена мікроскопічна картина є морфологічним відображенням помірного гіпогонадизму. </w:t>
      </w:r>
    </w:p>
    <w:p w:rsidR="001C43D0" w:rsidRPr="00CE0A20" w:rsidRDefault="001C43D0" w:rsidP="001C43D0">
      <w:pPr>
        <w:spacing w:line="360" w:lineRule="auto"/>
        <w:ind w:firstLine="709"/>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12835E2A" wp14:editId="54C01AFE">
            <wp:extent cx="3353424" cy="4320000"/>
            <wp:effectExtent l="0" t="0" r="0" b="4445"/>
            <wp:docPr id="182" name="Рисунок 182" descr="Описание: DSCN3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descr="Описание: DSCN3924"/>
                    <pic:cNvPicPr>
                      <a:picLocks noChangeAspect="1" noChangeArrowheads="1"/>
                    </pic:cNvPicPr>
                  </pic:nvPicPr>
                  <pic:blipFill>
                    <a:blip r:embed="rId27">
                      <a:lum bright="6000" contrast="12000"/>
                      <a:extLst>
                        <a:ext uri="{28A0092B-C50C-407E-A947-70E740481C1C}">
                          <a14:useLocalDpi xmlns:a14="http://schemas.microsoft.com/office/drawing/2010/main" val="0"/>
                        </a:ext>
                      </a:extLst>
                    </a:blip>
                    <a:srcRect/>
                    <a:stretch>
                      <a:fillRect/>
                    </a:stretch>
                  </pic:blipFill>
                  <pic:spPr bwMode="auto">
                    <a:xfrm>
                      <a:off x="0" y="0"/>
                      <a:ext cx="3353424" cy="432000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3.18. Яєчко щурів на 7-</w:t>
      </w:r>
      <w:r w:rsidR="00885BC3">
        <w:rPr>
          <w:rFonts w:ascii="Times New Roman" w:hAnsi="Times New Roman" w:cs="Times New Roman"/>
          <w:sz w:val="28"/>
          <w:szCs w:val="28"/>
          <w:lang w:val="uk-UA"/>
        </w:rPr>
        <w:t>му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 xml:space="preserve">добу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дозі 55 мкг/100 г: дезорганізація статевих клітин, лізис частини статевих клітин, сім'яні кулі (зб.х200). Гематоксилін-еозин</w:t>
      </w:r>
      <w:r w:rsidR="004C1F95">
        <w:rPr>
          <w:rFonts w:ascii="Times New Roman" w:hAnsi="Times New Roman" w:cs="Times New Roman"/>
          <w:sz w:val="28"/>
          <w:szCs w:val="28"/>
          <w:lang w:val="uk-UA"/>
        </w:rPr>
        <w:t>.</w:t>
      </w:r>
    </w:p>
    <w:p w:rsidR="00CF7496" w:rsidRPr="00CE0A20" w:rsidRDefault="00CF7496" w:rsidP="00CF7496">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Через 14 діб після одноразового внутрішньоочеревинного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у тій же дозі в більшості сім'яних канальців простежено відновлення завершеного сперматогенезу. Між сперматогоніями розрізнялося багато темних клітини типу А, що свідчило про відбування активних репаративних процесів (в аварійних ситуаціях резервні форми сперматогоній – темні типу А – виконують функцію оновлення сперматогенного епітелію з подальшою індукцією сперматогенезу). Була достатня кількість клітин Сертолі, що при регенерації сприяє забезпеченню метаболізму нових клітин сперматогенного епітелію з подальшою підтримкою внутрішнього гомеостазу в канальцях (рис. 3.20). </w:t>
      </w:r>
    </w:p>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68D862C7" wp14:editId="50526AB2">
            <wp:extent cx="3028950" cy="3956050"/>
            <wp:effectExtent l="0" t="0" r="0" b="635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28">
                      <a:lum bright="6000" contrast="24000"/>
                      <a:extLst>
                        <a:ext uri="{28A0092B-C50C-407E-A947-70E740481C1C}">
                          <a14:useLocalDpi xmlns:a14="http://schemas.microsoft.com/office/drawing/2010/main" val="0"/>
                        </a:ext>
                      </a:extLst>
                    </a:blip>
                    <a:srcRect/>
                    <a:stretch>
                      <a:fillRect/>
                    </a:stretch>
                  </pic:blipFill>
                  <pic:spPr bwMode="auto">
                    <a:xfrm>
                      <a:off x="0" y="0"/>
                      <a:ext cx="3028950" cy="3956050"/>
                    </a:xfrm>
                    <a:prstGeom prst="rect">
                      <a:avLst/>
                    </a:prstGeom>
                    <a:noFill/>
                    <a:ln>
                      <a:noFill/>
                    </a:ln>
                  </pic:spPr>
                </pic:pic>
              </a:graphicData>
            </a:graphic>
          </wp:inline>
        </w:drawing>
      </w:r>
    </w:p>
    <w:p w:rsidR="001C43D0" w:rsidRPr="00CE0A20" w:rsidRDefault="001C43D0" w:rsidP="006D4007">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3.19. Яєчко щурів на 7-</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дозі 55 мкг/100 г: зниження в канальці сперматогоній, гніздова відсутність клітин Сертолі (зб.х200). 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04D418EB" wp14:editId="57CC9236">
            <wp:extent cx="3124200" cy="4076700"/>
            <wp:effectExtent l="0" t="0" r="0" b="0"/>
            <wp:docPr id="180" name="Рисунок 180" descr="Описание: DSCN3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descr="Описание: DSCN399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24200" cy="4076700"/>
                    </a:xfrm>
                    <a:prstGeom prst="rect">
                      <a:avLst/>
                    </a:prstGeom>
                    <a:noFill/>
                    <a:ln>
                      <a:noFill/>
                    </a:ln>
                  </pic:spPr>
                </pic:pic>
              </a:graphicData>
            </a:graphic>
          </wp:inline>
        </w:drawing>
      </w: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3.20. Яєчко щурів на 14-</w:t>
      </w:r>
      <w:r w:rsidR="00885BC3">
        <w:rPr>
          <w:rFonts w:ascii="Times New Roman" w:hAnsi="Times New Roman" w:cs="Times New Roman"/>
          <w:sz w:val="28"/>
          <w:szCs w:val="28"/>
          <w:lang w:val="uk-UA"/>
        </w:rPr>
        <w:t xml:space="preserve">ту добу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55 мкг/100 г: у сім'яних канальцях виявлено всі генерації статевих клітин</w:t>
      </w:r>
      <w:r w:rsidR="004C1F95" w:rsidRPr="00CE0A20">
        <w:rPr>
          <w:rFonts w:ascii="Times New Roman" w:hAnsi="Times New Roman" w:cs="Times New Roman"/>
          <w:sz w:val="28"/>
          <w:szCs w:val="28"/>
          <w:lang w:val="uk-UA"/>
        </w:rPr>
        <w:t xml:space="preserve">.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900"/>
        <w:jc w:val="both"/>
        <w:rPr>
          <w:rFonts w:ascii="Times New Roman" w:hAnsi="Times New Roman" w:cs="Times New Roman"/>
          <w:sz w:val="28"/>
          <w:szCs w:val="28"/>
          <w:lang w:val="uk-UA"/>
        </w:rPr>
      </w:pPr>
    </w:p>
    <w:p w:rsidR="001C43D0" w:rsidRPr="00CE0A20" w:rsidRDefault="001C43D0" w:rsidP="00CE0A2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Утім, у низці канальців ще мала місце певна редукція рядів статевих клітин, гніздове спустошення клітин (рис. 3.21), безладне переміщення статевих клітин (злущення) у просвіт канальців (що, можливо, пов'язано з послабленням зв'язку цитоплазмових оболонок сперматоцитів і сперматид з клітинами Сертолі) (рис. 3.22), окремі сім'яні кулі. Морфологія клітин Лейдіга практично відповідала інтактному контролю. </w:t>
      </w:r>
    </w:p>
    <w:p w:rsidR="001C43D0" w:rsidRPr="00CE0A20" w:rsidRDefault="001C43D0" w:rsidP="00CE0A2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Через 28 днів морфологічна картина сім'яних залоз експериментальних тварин 2-ої групи відповідала інтактному контролю.</w:t>
      </w:r>
    </w:p>
    <w:p w:rsidR="001C43D0" w:rsidRPr="00CE0A20" w:rsidRDefault="001C43D0" w:rsidP="00CE0A2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Стан ацинусів вентральної частки передміхурової залози в щурів 2-</w:t>
      </w:r>
      <w:r w:rsidR="00885BC3">
        <w:rPr>
          <w:rFonts w:ascii="Times New Roman" w:hAnsi="Times New Roman" w:cs="Times New Roman"/>
          <w:sz w:val="28"/>
          <w:szCs w:val="28"/>
          <w:lang w:val="uk-UA"/>
        </w:rPr>
        <w:t>ї групи не змінився. Лише на 7-му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у цитоплазмі окремих епітеліальних клітин, що вистилали їхні стінки, спостерігалася помірна вакуолізація (рис. 3.23), ознаки якої зникали на 14-</w:t>
      </w:r>
      <w:r w:rsidR="00885BC3">
        <w:rPr>
          <w:rFonts w:ascii="Times New Roman" w:hAnsi="Times New Roman" w:cs="Times New Roman"/>
          <w:sz w:val="28"/>
          <w:szCs w:val="28"/>
          <w:lang w:val="uk-UA"/>
        </w:rPr>
        <w:t>ту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експерименту (рис. 3.24).</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4294967294" distB="4294967294" distL="114300" distR="114300" simplePos="0" relativeHeight="251680768" behindDoc="0" locked="0" layoutInCell="1" allowOverlap="1" wp14:anchorId="5E120D36" wp14:editId="7591CA86">
                <wp:simplePos x="0" y="0"/>
                <wp:positionH relativeFrom="column">
                  <wp:posOffset>2480310</wp:posOffset>
                </wp:positionH>
                <wp:positionV relativeFrom="paragraph">
                  <wp:posOffset>2670174</wp:posOffset>
                </wp:positionV>
                <wp:extent cx="228600" cy="0"/>
                <wp:effectExtent l="38100" t="76200" r="0" b="95250"/>
                <wp:wrapNone/>
                <wp:docPr id="143" name="Прямая соединительная линия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3" o:spid="_x0000_s1026" style="position:absolute;flip:x;z-index:2516807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95.3pt,210.25pt" to="213.3pt,2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">
                <v:stroke endarrow="block"/>
              </v:line>
            </w:pict>
          </mc:Fallback>
        </mc:AlternateContent>
      </w:r>
      <w:r w:rsidRPr="00CE0A20">
        <w:rPr>
          <w:rFonts w:ascii="Times New Roman" w:hAnsi="Times New Roman" w:cs="Times New Roman"/>
          <w:noProof/>
          <w:sz w:val="28"/>
          <w:szCs w:val="28"/>
        </w:rPr>
        <mc:AlternateContent>
          <mc:Choice Requires="wps">
            <w:drawing>
              <wp:anchor distT="0" distB="0" distL="114300" distR="114300" simplePos="0" relativeHeight="251679744" behindDoc="0" locked="0" layoutInCell="1" allowOverlap="1" wp14:anchorId="751364D2" wp14:editId="040FCCF2">
                <wp:simplePos x="0" y="0"/>
                <wp:positionH relativeFrom="column">
                  <wp:posOffset>1673860</wp:posOffset>
                </wp:positionH>
                <wp:positionV relativeFrom="paragraph">
                  <wp:posOffset>2139950</wp:posOffset>
                </wp:positionV>
                <wp:extent cx="20955" cy="430530"/>
                <wp:effectExtent l="57150" t="0" r="55245" b="64770"/>
                <wp:wrapNone/>
                <wp:docPr id="142" name="Прямая соединительная линия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 cy="4305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2"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1.8pt,168.5pt" to="133.45pt,2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">
                <v:stroke endarrow="block"/>
              </v:line>
            </w:pict>
          </mc:Fallback>
        </mc:AlternateContent>
      </w:r>
      <w:r w:rsidRPr="00CE0A20">
        <w:rPr>
          <w:rFonts w:ascii="Times New Roman" w:hAnsi="Times New Roman" w:cs="Times New Roman"/>
          <w:noProof/>
          <w:sz w:val="28"/>
          <w:szCs w:val="28"/>
        </w:rPr>
        <w:drawing>
          <wp:inline distT="0" distB="0" distL="0" distR="0" wp14:anchorId="6D360EBE" wp14:editId="4DE07D05">
            <wp:extent cx="2851150" cy="3600450"/>
            <wp:effectExtent l="0" t="0" r="6350" b="0"/>
            <wp:docPr id="179" name="Рисунок 179" descr="Описание: DSCN3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descr="Описание: DSCN397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51150" cy="3600450"/>
                    </a:xfrm>
                    <a:prstGeom prst="rect">
                      <a:avLst/>
                    </a:prstGeom>
                    <a:noFill/>
                    <a:ln>
                      <a:noFill/>
                    </a:ln>
                  </pic:spPr>
                </pic:pic>
              </a:graphicData>
            </a:graphic>
          </wp:inline>
        </w:drawing>
      </w:r>
    </w:p>
    <w:p w:rsidR="001C43D0" w:rsidRDefault="001C43D0" w:rsidP="001C43D0">
      <w:pPr>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3.21. Яєчко щурів на 14-</w:t>
      </w:r>
      <w:r w:rsidR="00885BC3">
        <w:rPr>
          <w:rFonts w:ascii="Times New Roman" w:hAnsi="Times New Roman" w:cs="Times New Roman"/>
          <w:sz w:val="28"/>
          <w:szCs w:val="28"/>
          <w:lang w:val="uk-UA"/>
        </w:rPr>
        <w:t>ту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55 мкг/100 г: деякі канальці з редукцією рядів статевих клітин, гніздовим спустошенням.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4C1F95" w:rsidRPr="00CE0A20" w:rsidRDefault="004C1F95" w:rsidP="001C43D0">
      <w:pPr>
        <w:ind w:firstLine="708"/>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3828F52B" wp14:editId="16524FFC">
            <wp:extent cx="2889250" cy="3536950"/>
            <wp:effectExtent l="0" t="0" r="6350" b="635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89250" cy="3536950"/>
                    </a:xfrm>
                    <a:prstGeom prst="rect">
                      <a:avLst/>
                    </a:prstGeom>
                    <a:noFill/>
                    <a:ln>
                      <a:noFill/>
                    </a:ln>
                  </pic:spPr>
                </pic:pic>
              </a:graphicData>
            </a:graphic>
          </wp:inline>
        </w:drawing>
      </w:r>
    </w:p>
    <w:p w:rsidR="001C43D0" w:rsidRPr="00CE0A20" w:rsidRDefault="001C43D0" w:rsidP="004C1F95">
      <w:pPr>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3.22. </w:t>
      </w:r>
      <w:r w:rsidRPr="00CE0A20">
        <w:rPr>
          <w:rFonts w:ascii="Times New Roman" w:hAnsi="Times New Roman" w:cs="Times New Roman"/>
          <w:sz w:val="28"/>
          <w:szCs w:val="28"/>
        </w:rPr>
        <w:t>Я</w:t>
      </w:r>
      <w:r w:rsidRPr="00CE0A20">
        <w:rPr>
          <w:rFonts w:ascii="Times New Roman" w:hAnsi="Times New Roman" w:cs="Times New Roman"/>
          <w:sz w:val="28"/>
          <w:szCs w:val="28"/>
          <w:lang w:val="uk-UA"/>
        </w:rPr>
        <w:t xml:space="preserve">єчко щурів </w:t>
      </w:r>
      <w:r w:rsidRPr="00CE0A20">
        <w:rPr>
          <w:rFonts w:ascii="Times New Roman" w:hAnsi="Times New Roman" w:cs="Times New Roman"/>
          <w:sz w:val="28"/>
          <w:szCs w:val="28"/>
        </w:rPr>
        <w:t>на 14</w:t>
      </w:r>
      <w:r w:rsidR="00885BC3">
        <w:rPr>
          <w:rFonts w:ascii="Times New Roman" w:hAnsi="Times New Roman" w:cs="Times New Roman"/>
          <w:sz w:val="28"/>
          <w:szCs w:val="28"/>
          <w:lang w:val="uk-UA"/>
        </w:rPr>
        <w:t>-ту</w:t>
      </w:r>
      <w:r w:rsidRPr="00CE0A20">
        <w:rPr>
          <w:rFonts w:ascii="Times New Roman" w:hAnsi="Times New Roman" w:cs="Times New Roman"/>
          <w:sz w:val="28"/>
          <w:szCs w:val="28"/>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rPr>
        <w:t xml:space="preserve"> п</w:t>
      </w:r>
      <w:r w:rsidRPr="00CE0A20">
        <w:rPr>
          <w:rFonts w:ascii="Times New Roman" w:hAnsi="Times New Roman" w:cs="Times New Roman"/>
          <w:sz w:val="28"/>
          <w:szCs w:val="28"/>
          <w:lang w:val="uk-UA"/>
        </w:rPr>
        <w:t xml:space="preserve">ісля </w:t>
      </w:r>
      <w:r w:rsidRPr="00CE0A20">
        <w:rPr>
          <w:rFonts w:ascii="Times New Roman" w:hAnsi="Times New Roman" w:cs="Times New Roman"/>
          <w:sz w:val="28"/>
          <w:szCs w:val="28"/>
        </w:rPr>
        <w:t>введен</w:t>
      </w:r>
      <w:r w:rsidRPr="00CE0A20">
        <w:rPr>
          <w:rFonts w:ascii="Times New Roman" w:hAnsi="Times New Roman" w:cs="Times New Roman"/>
          <w:sz w:val="28"/>
          <w:szCs w:val="28"/>
          <w:lang w:val="uk-UA"/>
        </w:rPr>
        <w:t>н</w:t>
      </w:r>
      <w:r w:rsidRPr="00CE0A20">
        <w:rPr>
          <w:rFonts w:ascii="Times New Roman" w:hAnsi="Times New Roman" w:cs="Times New Roman"/>
          <w:sz w:val="28"/>
          <w:szCs w:val="28"/>
        </w:rPr>
        <w:t xml:space="preserve">я </w:t>
      </w:r>
      <w:r w:rsidRPr="00CE0A20">
        <w:rPr>
          <w:rFonts w:ascii="Times New Roman" w:hAnsi="Times New Roman" w:cs="Times New Roman"/>
          <w:sz w:val="28"/>
          <w:szCs w:val="28"/>
          <w:lang w:val="en-US"/>
        </w:rPr>
        <w:t>CdCl</w:t>
      </w:r>
      <w:r w:rsidRPr="00CE0A20">
        <w:rPr>
          <w:rFonts w:ascii="Times New Roman" w:hAnsi="Times New Roman" w:cs="Times New Roman"/>
          <w:sz w:val="28"/>
          <w:szCs w:val="28"/>
          <w:vertAlign w:val="subscript"/>
        </w:rPr>
        <w:t>2</w:t>
      </w:r>
      <w:r w:rsidRPr="00CE0A20">
        <w:rPr>
          <w:rFonts w:ascii="Times New Roman" w:hAnsi="Times New Roman" w:cs="Times New Roman"/>
          <w:sz w:val="28"/>
          <w:szCs w:val="28"/>
        </w:rPr>
        <w:t xml:space="preserve"> доз</w:t>
      </w:r>
      <w:r w:rsidRPr="00CE0A20">
        <w:rPr>
          <w:rFonts w:ascii="Times New Roman" w:hAnsi="Times New Roman" w:cs="Times New Roman"/>
          <w:sz w:val="28"/>
          <w:szCs w:val="28"/>
          <w:lang w:val="uk-UA"/>
        </w:rPr>
        <w:t>ою</w:t>
      </w:r>
      <w:r w:rsidRPr="00CE0A20">
        <w:rPr>
          <w:rFonts w:ascii="Times New Roman" w:hAnsi="Times New Roman" w:cs="Times New Roman"/>
          <w:sz w:val="28"/>
          <w:szCs w:val="28"/>
        </w:rPr>
        <w:t xml:space="preserve"> 55</w:t>
      </w:r>
      <w:r w:rsidRPr="00CE0A20">
        <w:rPr>
          <w:rFonts w:ascii="Times New Roman" w:hAnsi="Times New Roman" w:cs="Times New Roman"/>
          <w:sz w:val="28"/>
          <w:szCs w:val="28"/>
          <w:lang w:val="uk-UA"/>
        </w:rPr>
        <w:t> </w:t>
      </w:r>
      <w:r w:rsidRPr="00CE0A20">
        <w:rPr>
          <w:rFonts w:ascii="Times New Roman" w:hAnsi="Times New Roman" w:cs="Times New Roman"/>
          <w:sz w:val="28"/>
          <w:szCs w:val="28"/>
        </w:rPr>
        <w:t>мкг/100 г:</w:t>
      </w:r>
      <w:r w:rsidRPr="00CE0A20">
        <w:rPr>
          <w:rFonts w:ascii="Times New Roman" w:hAnsi="Times New Roman" w:cs="Times New Roman"/>
          <w:sz w:val="28"/>
          <w:szCs w:val="28"/>
          <w:lang w:val="uk-UA"/>
        </w:rPr>
        <w:t xml:space="preserve"> злущення статевих клітин у просвіт канальців.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6ED33675" wp14:editId="37DD2462">
            <wp:extent cx="3771900" cy="3289300"/>
            <wp:effectExtent l="0" t="0" r="0" b="635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71900" cy="3289300"/>
                    </a:xfrm>
                    <a:prstGeom prst="rect">
                      <a:avLst/>
                    </a:prstGeom>
                    <a:noFill/>
                    <a:ln>
                      <a:noFill/>
                    </a:ln>
                  </pic:spPr>
                </pic:pic>
              </a:graphicData>
            </a:graphic>
          </wp:inline>
        </w:drawing>
      </w:r>
    </w:p>
    <w:p w:rsidR="001C43D0" w:rsidRDefault="001C43D0" w:rsidP="00DD101F">
      <w:pPr>
        <w:spacing w:line="276"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3.23. Вентральна </w:t>
      </w:r>
      <w:r w:rsidRPr="00CE0A20">
        <w:rPr>
          <w:rFonts w:ascii="Times New Roman" w:hAnsi="Times New Roman" w:cs="Times New Roman"/>
          <w:color w:val="auto"/>
          <w:sz w:val="28"/>
          <w:szCs w:val="28"/>
          <w:lang w:val="uk-UA"/>
        </w:rPr>
        <w:t>частка передміхурової</w:t>
      </w:r>
      <w:r w:rsidRPr="00CE0A20">
        <w:rPr>
          <w:rFonts w:ascii="Times New Roman" w:hAnsi="Times New Roman" w:cs="Times New Roman"/>
          <w:sz w:val="28"/>
          <w:szCs w:val="28"/>
          <w:lang w:val="uk-UA"/>
        </w:rPr>
        <w:t xml:space="preserve"> залози щурів на 7</w:t>
      </w:r>
      <w:r w:rsidR="00885BC3">
        <w:rPr>
          <w:rFonts w:ascii="Times New Roman" w:hAnsi="Times New Roman" w:cs="Times New Roman"/>
          <w:sz w:val="28"/>
          <w:szCs w:val="28"/>
          <w:lang w:val="uk-UA"/>
        </w:rPr>
        <w:t>-му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55 мкг/100 г: помірна вакуолізація цитоплазми епі</w:t>
      </w:r>
      <w:r w:rsidRPr="00CE0A20">
        <w:rPr>
          <w:rFonts w:ascii="Times New Roman" w:hAnsi="Times New Roman" w:cs="Times New Roman"/>
          <w:sz w:val="28"/>
          <w:szCs w:val="28"/>
          <w:lang w:val="uk-UA"/>
        </w:rPr>
        <w:softHyphen/>
        <w:t>те</w:t>
      </w:r>
      <w:r w:rsidRPr="00CE0A20">
        <w:rPr>
          <w:rFonts w:ascii="Times New Roman" w:hAnsi="Times New Roman" w:cs="Times New Roman"/>
          <w:sz w:val="28"/>
          <w:szCs w:val="28"/>
          <w:lang w:val="uk-UA"/>
        </w:rPr>
        <w:softHyphen/>
        <w:t xml:space="preserve">ліальних клітин, що вистилають стінки ацинусів.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w:t>
      </w:r>
      <w:r w:rsidR="004C1F95">
        <w:rPr>
          <w:rFonts w:ascii="Times New Roman" w:hAnsi="Times New Roman" w:cs="Times New Roman"/>
          <w:sz w:val="28"/>
          <w:szCs w:val="28"/>
          <w:lang w:val="uk-UA"/>
        </w:rPr>
        <w:t>4</w:t>
      </w:r>
      <w:r w:rsidR="004C1F95" w:rsidRPr="00CE0A20">
        <w:rPr>
          <w:rFonts w:ascii="Times New Roman" w:hAnsi="Times New Roman" w:cs="Times New Roman"/>
          <w:sz w:val="28"/>
          <w:szCs w:val="28"/>
          <w:lang w:val="uk-UA"/>
        </w:rPr>
        <w:t>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4C1F95" w:rsidRPr="00CE0A20" w:rsidRDefault="004C1F95" w:rsidP="00DD101F">
      <w:pPr>
        <w:spacing w:line="276" w:lineRule="auto"/>
        <w:ind w:firstLine="709"/>
        <w:jc w:val="both"/>
        <w:rPr>
          <w:rFonts w:ascii="Times New Roman" w:hAnsi="Times New Roman" w:cs="Times New Roman"/>
          <w:sz w:val="28"/>
          <w:szCs w:val="28"/>
          <w:lang w:val="uk-UA"/>
        </w:rPr>
      </w:pPr>
    </w:p>
    <w:p w:rsidR="001C43D0" w:rsidRPr="00CE0A20" w:rsidRDefault="001C43D0" w:rsidP="00DD101F">
      <w:pPr>
        <w:spacing w:line="276"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39C9A370" wp14:editId="078FBF61">
            <wp:extent cx="3657600" cy="3238500"/>
            <wp:effectExtent l="0" t="0" r="0" b="0"/>
            <wp:docPr id="176" name="Рисунок 176" descr="Описание: Е8пж-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descr="Описание: Е8пж-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57600" cy="3238500"/>
                    </a:xfrm>
                    <a:prstGeom prst="rect">
                      <a:avLst/>
                    </a:prstGeom>
                    <a:noFill/>
                    <a:ln>
                      <a:noFill/>
                    </a:ln>
                  </pic:spPr>
                </pic:pic>
              </a:graphicData>
            </a:graphic>
          </wp:inline>
        </w:drawing>
      </w:r>
    </w:p>
    <w:p w:rsidR="001C43D0" w:rsidRPr="00CE0A20" w:rsidRDefault="001C43D0" w:rsidP="00DD101F">
      <w:pPr>
        <w:spacing w:line="276" w:lineRule="auto"/>
        <w:ind w:firstLine="720"/>
        <w:jc w:val="both"/>
        <w:rPr>
          <w:rFonts w:ascii="Times New Roman" w:hAnsi="Times New Roman" w:cs="Times New Roman"/>
          <w:sz w:val="28"/>
          <w:szCs w:val="28"/>
          <w:lang w:val="uk-UA"/>
        </w:rPr>
      </w:pPr>
    </w:p>
    <w:p w:rsidR="001C43D0" w:rsidRPr="00CE0A20" w:rsidRDefault="001C43D0" w:rsidP="00DD101F">
      <w:pPr>
        <w:spacing w:line="276" w:lineRule="auto"/>
        <w:ind w:firstLine="72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3.24. Вентральна частка передміхурової залози щурів на 14-</w:t>
      </w:r>
      <w:r w:rsidR="00885BC3">
        <w:rPr>
          <w:rFonts w:ascii="Times New Roman" w:hAnsi="Times New Roman" w:cs="Times New Roman"/>
          <w:sz w:val="28"/>
          <w:szCs w:val="28"/>
          <w:lang w:val="uk-UA"/>
        </w:rPr>
        <w:t>му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55 мкг/100 г: епітеліальні клітини нормального виду. </w:t>
      </w:r>
      <w:r w:rsidR="004C1F95">
        <w:rPr>
          <w:rFonts w:ascii="Times New Roman" w:hAnsi="Times New Roman" w:cs="Times New Roman"/>
          <w:sz w:val="28"/>
          <w:szCs w:val="28"/>
          <w:lang w:val="uk-UA"/>
        </w:rPr>
        <w:t>(з</w:t>
      </w:r>
      <w:r w:rsidR="004C1F95">
        <w:rPr>
          <w:rFonts w:ascii="Times New Roman" w:hAnsi="Times New Roman" w:cs="Times New Roman"/>
          <w:sz w:val="28"/>
          <w:szCs w:val="28"/>
          <w:lang w:val="uk-UA"/>
        </w:rPr>
        <w:t>б.х4</w:t>
      </w:r>
      <w:r w:rsidR="004C1F95" w:rsidRPr="00CE0A20">
        <w:rPr>
          <w:rFonts w:ascii="Times New Roman" w:hAnsi="Times New Roman" w:cs="Times New Roman"/>
          <w:sz w:val="28"/>
          <w:szCs w:val="28"/>
          <w:lang w:val="uk-UA"/>
        </w:rPr>
        <w:t>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72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маси тіла (3-я група) більш виразно пошкоджувало тестикулярну тканину самців щурів через 7 днів спостереження. Значна частина сім'яних канальців була структурно деформована, виявлено запустіння канальців і заповнення їх еозинофільним гомогенним вмістом (рис. 3.25). </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30ADAEDA" wp14:editId="1219A708">
            <wp:extent cx="3251200" cy="4356100"/>
            <wp:effectExtent l="0" t="0" r="6350" b="6350"/>
            <wp:docPr id="175" name="Рисунок 175" descr="Описание: 1-15-2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descr="Описание: 1-15-2а"/>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51200" cy="4356100"/>
                    </a:xfrm>
                    <a:prstGeom prst="rect">
                      <a:avLst/>
                    </a:prstGeom>
                    <a:noFill/>
                    <a:ln>
                      <a:noFill/>
                    </a:ln>
                  </pic:spPr>
                </pic:pic>
              </a:graphicData>
            </a:graphic>
          </wp:inline>
        </w:drawing>
      </w:r>
    </w:p>
    <w:p w:rsidR="001C43D0" w:rsidRPr="00CE0A20" w:rsidRDefault="001C43D0" w:rsidP="001C43D0">
      <w:pPr>
        <w:spacing w:line="360" w:lineRule="auto"/>
        <w:ind w:firstLine="72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3.25. Яєчко щурів на 7-</w:t>
      </w:r>
      <w:r w:rsidR="00885BC3">
        <w:rPr>
          <w:rFonts w:ascii="Times New Roman" w:hAnsi="Times New Roman" w:cs="Times New Roman"/>
          <w:sz w:val="28"/>
          <w:szCs w:val="28"/>
          <w:lang w:val="uk-UA"/>
        </w:rPr>
        <w:t>му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спустошення сім'яних канальців, заповнення їх еозинофільним гомогенним вмістом.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720"/>
        <w:jc w:val="both"/>
        <w:rPr>
          <w:rFonts w:ascii="Times New Roman" w:hAnsi="Times New Roman" w:cs="Times New Roman"/>
          <w:sz w:val="28"/>
          <w:szCs w:val="28"/>
          <w:lang w:val="uk-UA"/>
        </w:rPr>
      </w:pPr>
    </w:p>
    <w:p w:rsidR="001C43D0" w:rsidRPr="00CE0A20" w:rsidRDefault="001C43D0" w:rsidP="001C43D0">
      <w:pPr>
        <w:spacing w:line="360" w:lineRule="auto"/>
        <w:ind w:firstLine="72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В інших канальцях були присутні статеві клітини, але зафіксовано дезорганізацію їх розміщення, виразне зменшення чисельності статевих клітин як ранніх, так і більш пізніших етапів розвитку, гніздове спустошення стінки, наявність сім'яних куль (рис. 3.26). </w:t>
      </w:r>
    </w:p>
    <w:p w:rsidR="001C43D0" w:rsidRPr="00CE0A20" w:rsidRDefault="001C43D0" w:rsidP="001C43D0">
      <w:pPr>
        <w:spacing w:line="360" w:lineRule="auto"/>
        <w:ind w:firstLine="720"/>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7D299C78" wp14:editId="40649B22">
            <wp:extent cx="3213100" cy="4394200"/>
            <wp:effectExtent l="0" t="0" r="6350" b="6350"/>
            <wp:docPr id="174" name="Рисунок 174" descr="Описание: DSCN3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descr="Описание: DSCN393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13100" cy="4394200"/>
                    </a:xfrm>
                    <a:prstGeom prst="rect">
                      <a:avLst/>
                    </a:prstGeom>
                    <a:noFill/>
                    <a:ln>
                      <a:noFill/>
                    </a:ln>
                  </pic:spPr>
                </pic:pic>
              </a:graphicData>
            </a:graphic>
          </wp:inline>
        </w:drawing>
      </w:r>
    </w:p>
    <w:p w:rsidR="001C43D0" w:rsidRPr="00CE0A20" w:rsidRDefault="001C43D0" w:rsidP="001C43D0">
      <w:pPr>
        <w:spacing w:line="360" w:lineRule="auto"/>
        <w:jc w:val="center"/>
        <w:rPr>
          <w:rFonts w:ascii="Times New Roman" w:hAnsi="Times New Roman" w:cs="Times New Roman"/>
          <w:sz w:val="28"/>
          <w:szCs w:val="28"/>
          <w:lang w:val="uk-UA"/>
        </w:rPr>
      </w:pP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26. Яєчко щурів на 7-</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дезорганізація розташування статевих клітин, зменшення пулу статевих клітин.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jc w:val="both"/>
        <w:rPr>
          <w:rFonts w:ascii="Times New Roman" w:hAnsi="Times New Roman" w:cs="Times New Roman"/>
          <w:sz w:val="28"/>
          <w:szCs w:val="28"/>
          <w:lang w:val="uk-UA"/>
        </w:rPr>
      </w:pP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Клітини Сертолі були нерівномірно розташовані вздовж базальної мембрани, подекуди були відсутні, або зібрані в групки. Ядра деяких з них набряклі, тьмяні, нечітки. Клітини Лейдіга в міжканальцевих локусах проліферували, серед них збільшувався вміст клітин як з крупними нормохромними, так і з гіперхромними ядрами (рис. 3.27). Можливо, таке кількісне збільшення популяції клітин Лейдіга є намаганням забезпечити потрібний організму рівень тестостерону, гормону, який синтезують ці клітини. </w:t>
      </w:r>
    </w:p>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6EA044A2" wp14:editId="15760087">
            <wp:extent cx="3238500" cy="4108450"/>
            <wp:effectExtent l="0" t="0" r="0" b="635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pic:cNvPicPr>
                      <a:picLocks noChangeAspect="1" noChangeArrowheads="1"/>
                    </pic:cNvPicPr>
                  </pic:nvPicPr>
                  <pic:blipFill>
                    <a:blip r:embed="rId36">
                      <a:lum bright="-12000" contrast="18000"/>
                      <a:extLst>
                        <a:ext uri="{28A0092B-C50C-407E-A947-70E740481C1C}">
                          <a14:useLocalDpi xmlns:a14="http://schemas.microsoft.com/office/drawing/2010/main" val="0"/>
                        </a:ext>
                      </a:extLst>
                    </a:blip>
                    <a:srcRect/>
                    <a:stretch>
                      <a:fillRect/>
                    </a:stretch>
                  </pic:blipFill>
                  <pic:spPr bwMode="auto">
                    <a:xfrm>
                      <a:off x="0" y="0"/>
                      <a:ext cx="3238500" cy="4108450"/>
                    </a:xfrm>
                    <a:prstGeom prst="rect">
                      <a:avLst/>
                    </a:prstGeom>
                    <a:noFill/>
                    <a:ln>
                      <a:noFill/>
                    </a:ln>
                  </pic:spPr>
                </pic:pic>
              </a:graphicData>
            </a:graphic>
          </wp:inline>
        </w:drawing>
      </w:r>
    </w:p>
    <w:p w:rsidR="001C43D0" w:rsidRDefault="001C43D0" w:rsidP="004C1F95">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3.27. Яєчко щурів на 7-</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проліферат клітин Лейдіга в міжканальцевому локусі, рясність клі</w:t>
      </w:r>
      <w:r w:rsidRPr="00CE0A20">
        <w:rPr>
          <w:rFonts w:ascii="Times New Roman" w:hAnsi="Times New Roman" w:cs="Times New Roman"/>
          <w:sz w:val="28"/>
          <w:szCs w:val="28"/>
          <w:lang w:val="uk-UA"/>
        </w:rPr>
        <w:softHyphen/>
        <w:t xml:space="preserve">тин з крупними нормо- і гіперхромними ядрами. </w:t>
      </w:r>
      <w:r w:rsidR="004C1F95">
        <w:rPr>
          <w:rFonts w:ascii="Times New Roman" w:hAnsi="Times New Roman" w:cs="Times New Roman"/>
          <w:sz w:val="28"/>
          <w:szCs w:val="28"/>
          <w:lang w:val="uk-UA"/>
        </w:rPr>
        <w:t>(з</w:t>
      </w:r>
      <w:r w:rsidR="004C1F95">
        <w:rPr>
          <w:rFonts w:ascii="Times New Roman" w:hAnsi="Times New Roman" w:cs="Times New Roman"/>
          <w:sz w:val="28"/>
          <w:szCs w:val="28"/>
          <w:lang w:val="uk-UA"/>
        </w:rPr>
        <w:t>б.х4</w:t>
      </w:r>
      <w:r w:rsidR="004C1F95" w:rsidRPr="00CE0A20">
        <w:rPr>
          <w:rFonts w:ascii="Times New Roman" w:hAnsi="Times New Roman" w:cs="Times New Roman"/>
          <w:sz w:val="28"/>
          <w:szCs w:val="28"/>
          <w:lang w:val="uk-UA"/>
        </w:rPr>
        <w:t>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4C1F95" w:rsidRPr="00CE0A20" w:rsidRDefault="004C1F95" w:rsidP="004C1F95">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ind w:firstLine="72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На 14-</w:t>
      </w:r>
      <w:r w:rsidR="00885BC3">
        <w:rPr>
          <w:rFonts w:ascii="Times New Roman" w:hAnsi="Times New Roman" w:cs="Times New Roman"/>
          <w:sz w:val="28"/>
          <w:szCs w:val="28"/>
          <w:lang w:val="uk-UA"/>
        </w:rPr>
        <w:t>ту добу</w:t>
      </w:r>
      <w:r w:rsidRPr="00CE0A20">
        <w:rPr>
          <w:rFonts w:ascii="Times New Roman" w:hAnsi="Times New Roman" w:cs="Times New Roman"/>
          <w:sz w:val="28"/>
          <w:szCs w:val="28"/>
          <w:lang w:val="uk-UA"/>
        </w:rPr>
        <w:t xml:space="preserve"> спостереження в препаратах яєчок цієї групи тварин виявлено зниження виразності патологічних порушень тестикулярної тканини. Менше канальців були </w:t>
      </w:r>
      <w:r w:rsidR="00D564C4" w:rsidRPr="00CE0A20">
        <w:rPr>
          <w:rFonts w:ascii="Times New Roman" w:hAnsi="Times New Roman" w:cs="Times New Roman"/>
          <w:sz w:val="28"/>
          <w:szCs w:val="28"/>
          <w:lang w:val="uk-UA"/>
        </w:rPr>
        <w:t xml:space="preserve"> спорожнілими</w:t>
      </w:r>
      <w:r w:rsidRPr="00CE0A20">
        <w:rPr>
          <w:rFonts w:ascii="Times New Roman" w:hAnsi="Times New Roman" w:cs="Times New Roman"/>
          <w:sz w:val="28"/>
          <w:szCs w:val="28"/>
          <w:lang w:val="uk-UA"/>
        </w:rPr>
        <w:t xml:space="preserve">. У частині канальців відзначено редукцію рядів зі зниженням кількості статевих клітин (рис. 3.28). Утім у багатьох канальцях достатньо повно відновився сперматогенез, серед стовбурових клітин представлені різні клітини типу А. Це свідчить про активізацію процесів репарації в канальцях у ці строки (рис. 3.29). Уміст, розташування та вигляд клітин Сертолі нормальний. Однак водночас у деяких канальцях мало місце злущення статевих клітин у просвіт, наявність сім'яних куль. Клітини Лейдіга практично були в тому ж стані, що в попередній термін (рис. 3.30). </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72576" behindDoc="0" locked="0" layoutInCell="1" allowOverlap="1" wp14:anchorId="6AFEF051" wp14:editId="515632E2">
                <wp:simplePos x="0" y="0"/>
                <wp:positionH relativeFrom="column">
                  <wp:posOffset>2348865</wp:posOffset>
                </wp:positionH>
                <wp:positionV relativeFrom="paragraph">
                  <wp:posOffset>547370</wp:posOffset>
                </wp:positionV>
                <wp:extent cx="457200" cy="228600"/>
                <wp:effectExtent l="0" t="0" r="76200" b="57150"/>
                <wp:wrapNone/>
                <wp:docPr id="141" name="Прямая соединительная линия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1"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95pt,43.1pt" to="220.95pt,6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">
                <v:stroke endarrow="block"/>
              </v:line>
            </w:pict>
          </mc:Fallback>
        </mc:AlternateContent>
      </w:r>
      <w:r w:rsidRPr="00CE0A20">
        <w:rPr>
          <w:rFonts w:ascii="Times New Roman" w:hAnsi="Times New Roman" w:cs="Times New Roman"/>
          <w:noProof/>
          <w:sz w:val="28"/>
          <w:szCs w:val="28"/>
        </w:rPr>
        <mc:AlternateContent>
          <mc:Choice Requires="wps">
            <w:drawing>
              <wp:anchor distT="0" distB="0" distL="114300" distR="114300" simplePos="0" relativeHeight="251673600" behindDoc="0" locked="0" layoutInCell="1" allowOverlap="1" wp14:anchorId="72EAF1AC" wp14:editId="3A465111">
                <wp:simplePos x="0" y="0"/>
                <wp:positionH relativeFrom="column">
                  <wp:posOffset>2454910</wp:posOffset>
                </wp:positionH>
                <wp:positionV relativeFrom="paragraph">
                  <wp:posOffset>3343275</wp:posOffset>
                </wp:positionV>
                <wp:extent cx="457200" cy="114300"/>
                <wp:effectExtent l="0" t="57150" r="0" b="19050"/>
                <wp:wrapNone/>
                <wp:docPr id="140" name="Прямая соединительная линия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0"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3.3pt,263.25pt" to="229.3pt,27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">
                <v:stroke endarrow="block"/>
              </v:line>
            </w:pict>
          </mc:Fallback>
        </mc:AlternateContent>
      </w:r>
      <w:r w:rsidRPr="00CE0A20">
        <w:rPr>
          <w:rFonts w:ascii="Times New Roman" w:hAnsi="Times New Roman" w:cs="Times New Roman"/>
          <w:noProof/>
          <w:sz w:val="28"/>
          <w:szCs w:val="28"/>
        </w:rPr>
        <w:drawing>
          <wp:inline distT="0" distB="0" distL="0" distR="0" wp14:anchorId="36A0BD23" wp14:editId="4F84B7E3">
            <wp:extent cx="2695699" cy="3505517"/>
            <wp:effectExtent l="0" t="0" r="0" b="0"/>
            <wp:docPr id="172" name="Рисунок 172" descr="Описание: 1-15-12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descr="Описание: 1-15-12а"/>
                    <pic:cNvPicPr>
                      <a:picLocks noChangeAspect="1" noChangeArrowheads="1"/>
                    </pic:cNvPicPr>
                  </pic:nvPicPr>
                  <pic:blipFill>
                    <a:blip r:embed="rId37">
                      <a:lum contrast="18000"/>
                      <a:extLst>
                        <a:ext uri="{28A0092B-C50C-407E-A947-70E740481C1C}">
                          <a14:useLocalDpi xmlns:a14="http://schemas.microsoft.com/office/drawing/2010/main" val="0"/>
                        </a:ext>
                      </a:extLst>
                    </a:blip>
                    <a:srcRect/>
                    <a:stretch>
                      <a:fillRect/>
                    </a:stretch>
                  </pic:blipFill>
                  <pic:spPr bwMode="auto">
                    <a:xfrm>
                      <a:off x="0" y="0"/>
                      <a:ext cx="2707639" cy="3521044"/>
                    </a:xfrm>
                    <a:prstGeom prst="rect">
                      <a:avLst/>
                    </a:prstGeom>
                    <a:noFill/>
                    <a:ln>
                      <a:noFill/>
                    </a:ln>
                  </pic:spPr>
                </pic:pic>
              </a:graphicData>
            </a:graphic>
          </wp:inline>
        </w:drawing>
      </w:r>
    </w:p>
    <w:p w:rsidR="001C43D0" w:rsidRDefault="001C43D0" w:rsidP="001C43D0">
      <w:pPr>
        <w:spacing w:line="276"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3.28. Яєчко щурів на 14-</w:t>
      </w:r>
      <w:r w:rsidR="00885BC3">
        <w:rPr>
          <w:rFonts w:ascii="Times New Roman" w:hAnsi="Times New Roman" w:cs="Times New Roman"/>
          <w:sz w:val="28"/>
          <w:szCs w:val="28"/>
          <w:lang w:val="uk-UA"/>
        </w:rPr>
        <w:t>ту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частина канальців </w:t>
      </w:r>
      <w:r w:rsidR="00D564C4" w:rsidRPr="00CE0A20">
        <w:rPr>
          <w:rFonts w:ascii="Times New Roman" w:hAnsi="Times New Roman" w:cs="Times New Roman"/>
          <w:sz w:val="28"/>
          <w:szCs w:val="28"/>
          <w:lang w:val="uk-UA"/>
        </w:rPr>
        <w:t>спорожніла</w:t>
      </w:r>
      <w:r w:rsidRPr="00CE0A20">
        <w:rPr>
          <w:rFonts w:ascii="Times New Roman" w:hAnsi="Times New Roman" w:cs="Times New Roman"/>
          <w:sz w:val="28"/>
          <w:szCs w:val="28"/>
          <w:lang w:val="uk-UA"/>
        </w:rPr>
        <w:t xml:space="preserve">.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4C1F95" w:rsidRPr="00CE0A20" w:rsidRDefault="004C1F95" w:rsidP="001C43D0">
      <w:pPr>
        <w:spacing w:line="276"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318F66F1" wp14:editId="656CFF78">
            <wp:extent cx="2729366" cy="3372592"/>
            <wp:effectExtent l="0" t="0" r="0" b="0"/>
            <wp:docPr id="171" name="Рисунок 171" descr="Описание: 1-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descr="Описание: 1-15-1"/>
                    <pic:cNvPicPr>
                      <a:picLocks noChangeAspect="1" noChangeArrowheads="1"/>
                    </pic:cNvPicPr>
                  </pic:nvPicPr>
                  <pic:blipFill>
                    <a:blip r:embed="rId38">
                      <a:lum contrast="24000"/>
                      <a:extLst>
                        <a:ext uri="{28A0092B-C50C-407E-A947-70E740481C1C}">
                          <a14:useLocalDpi xmlns:a14="http://schemas.microsoft.com/office/drawing/2010/main" val="0"/>
                        </a:ext>
                      </a:extLst>
                    </a:blip>
                    <a:srcRect/>
                    <a:stretch>
                      <a:fillRect/>
                    </a:stretch>
                  </pic:blipFill>
                  <pic:spPr bwMode="auto">
                    <a:xfrm>
                      <a:off x="0" y="0"/>
                      <a:ext cx="2731194" cy="3374851"/>
                    </a:xfrm>
                    <a:prstGeom prst="rect">
                      <a:avLst/>
                    </a:prstGeom>
                    <a:noFill/>
                    <a:ln>
                      <a:noFill/>
                    </a:ln>
                  </pic:spPr>
                </pic:pic>
              </a:graphicData>
            </a:graphic>
          </wp:inline>
        </w:drawing>
      </w:r>
    </w:p>
    <w:p w:rsidR="001C43D0" w:rsidRPr="00CE0A20" w:rsidRDefault="001C43D0" w:rsidP="001C43D0">
      <w:pPr>
        <w:spacing w:line="276"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3.29. Яєчко щурів на 14-</w:t>
      </w:r>
      <w:r w:rsidR="00885BC3">
        <w:rPr>
          <w:rFonts w:ascii="Times New Roman" w:hAnsi="Times New Roman" w:cs="Times New Roman"/>
          <w:sz w:val="28"/>
          <w:szCs w:val="28"/>
          <w:lang w:val="uk-UA"/>
        </w:rPr>
        <w:t>ту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відновлення сперматогенезу в канальцях, можна побачити окремі сім'яні кулі.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21918938" wp14:editId="6749EF06">
            <wp:extent cx="3060700" cy="3917950"/>
            <wp:effectExtent l="0" t="0" r="6350" b="635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39">
                      <a:lum bright="6000"/>
                      <a:extLst>
                        <a:ext uri="{28A0092B-C50C-407E-A947-70E740481C1C}">
                          <a14:useLocalDpi xmlns:a14="http://schemas.microsoft.com/office/drawing/2010/main" val="0"/>
                        </a:ext>
                      </a:extLst>
                    </a:blip>
                    <a:srcRect/>
                    <a:stretch>
                      <a:fillRect/>
                    </a:stretch>
                  </pic:blipFill>
                  <pic:spPr bwMode="auto">
                    <a:xfrm>
                      <a:off x="0" y="0"/>
                      <a:ext cx="3060700" cy="3917950"/>
                    </a:xfrm>
                    <a:prstGeom prst="rect">
                      <a:avLst/>
                    </a:prstGeom>
                    <a:noFill/>
                    <a:ln>
                      <a:noFill/>
                    </a:ln>
                  </pic:spPr>
                </pic:pic>
              </a:graphicData>
            </a:graphic>
          </wp:inline>
        </w:drawing>
      </w:r>
    </w:p>
    <w:p w:rsidR="001C43D0" w:rsidRPr="00CE0A20" w:rsidRDefault="001C43D0" w:rsidP="006D4007">
      <w:pPr>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3.30. Яєчко щурів на 14-</w:t>
      </w:r>
      <w:r w:rsidR="00885BC3">
        <w:rPr>
          <w:rFonts w:ascii="Times New Roman" w:hAnsi="Times New Roman" w:cs="Times New Roman"/>
          <w:sz w:val="28"/>
          <w:szCs w:val="28"/>
          <w:lang w:val="uk-UA"/>
        </w:rPr>
        <w:t>ту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збільшення чисельності клітин Лейдіга в міжканальцевому локусі.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w:t>
      </w:r>
      <w:r w:rsidR="004C1F95">
        <w:rPr>
          <w:rFonts w:ascii="Times New Roman" w:hAnsi="Times New Roman" w:cs="Times New Roman"/>
          <w:sz w:val="28"/>
          <w:szCs w:val="28"/>
          <w:lang w:val="uk-UA"/>
        </w:rPr>
        <w:t>250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6D4007">
      <w:pPr>
        <w:jc w:val="both"/>
        <w:rPr>
          <w:rFonts w:ascii="Times New Roman" w:hAnsi="Times New Roman" w:cs="Times New Roman"/>
          <w:sz w:val="28"/>
          <w:szCs w:val="28"/>
          <w:lang w:val="uk-UA"/>
        </w:rPr>
      </w:pPr>
    </w:p>
    <w:p w:rsidR="001C43D0" w:rsidRPr="00CE0A20" w:rsidRDefault="00885BC3" w:rsidP="001C43D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28-му добу</w:t>
      </w:r>
      <w:r w:rsidR="001C43D0" w:rsidRPr="00CE0A20">
        <w:rPr>
          <w:rFonts w:ascii="Times New Roman" w:hAnsi="Times New Roman" w:cs="Times New Roman"/>
          <w:sz w:val="28"/>
          <w:szCs w:val="28"/>
          <w:lang w:val="uk-UA"/>
        </w:rPr>
        <w:t xml:space="preserve"> спостереження спустошені сім'яні канальці були нечисленні (рис. 3.31). У більшості канальців сперматогенез повністювідновився. У частини канальців видні сім'яні кулі та злущені статеві клітини (рис. 3.32). Клітини Лейдіга ще були збільшені у чисельності, ядра в основному нормохромні, хроматинова зернистість у них невиразна (рис. 3.33). </w:t>
      </w:r>
    </w:p>
    <w:p w:rsidR="001C43D0" w:rsidRPr="00CE0A20" w:rsidRDefault="001C43D0" w:rsidP="001C43D0">
      <w:pPr>
        <w:spacing w:line="360" w:lineRule="auto"/>
        <w:ind w:firstLine="72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При дослідженні вентральної частки передміхурової</w:t>
      </w:r>
      <w:r w:rsidR="00885BC3">
        <w:rPr>
          <w:rFonts w:ascii="Times New Roman" w:hAnsi="Times New Roman" w:cs="Times New Roman"/>
          <w:sz w:val="28"/>
          <w:szCs w:val="28"/>
          <w:lang w:val="uk-UA"/>
        </w:rPr>
        <w:t xml:space="preserve"> залози щурів цієї групи на 7-му добу</w:t>
      </w:r>
      <w:r w:rsidRPr="00CE0A20">
        <w:rPr>
          <w:rFonts w:ascii="Times New Roman" w:hAnsi="Times New Roman" w:cs="Times New Roman"/>
          <w:sz w:val="28"/>
          <w:szCs w:val="28"/>
          <w:lang w:val="uk-UA"/>
        </w:rPr>
        <w:t xml:space="preserve"> після введення токсину помітними ставали збільшення розмі</w:t>
      </w:r>
      <w:r w:rsidRPr="00CE0A20">
        <w:rPr>
          <w:rFonts w:ascii="Times New Roman" w:hAnsi="Times New Roman" w:cs="Times New Roman"/>
          <w:sz w:val="28"/>
          <w:szCs w:val="28"/>
          <w:lang w:val="uk-UA"/>
        </w:rPr>
        <w:softHyphen/>
        <w:t>рів більшості ацинусів простатичних залозок, виразною була вакуолізація епітелію, ядра з базального відділу клітин переміщувалися в напрямку апі</w:t>
      </w:r>
      <w:r w:rsidRPr="00CE0A20">
        <w:rPr>
          <w:rFonts w:ascii="Times New Roman" w:hAnsi="Times New Roman" w:cs="Times New Roman"/>
          <w:sz w:val="28"/>
          <w:szCs w:val="28"/>
          <w:lang w:val="uk-UA"/>
        </w:rPr>
        <w:softHyphen/>
        <w:t>кального відділу. Самі клітини нерідко гіпертрофовані – ознаки пригнічення функціонального стану клітин (рис. 3.34). У подальшому ці ознак</w:t>
      </w:r>
      <w:r w:rsidR="00885BC3">
        <w:rPr>
          <w:rFonts w:ascii="Times New Roman" w:hAnsi="Times New Roman" w:cs="Times New Roman"/>
          <w:sz w:val="28"/>
          <w:szCs w:val="28"/>
          <w:lang w:val="uk-UA"/>
        </w:rPr>
        <w:t>и поступово зменшувалися на 14-ту добу</w:t>
      </w:r>
      <w:r w:rsidRPr="00CE0A20">
        <w:rPr>
          <w:rFonts w:ascii="Times New Roman" w:hAnsi="Times New Roman" w:cs="Times New Roman"/>
          <w:sz w:val="28"/>
          <w:szCs w:val="28"/>
          <w:lang w:val="uk-UA"/>
        </w:rPr>
        <w:t xml:space="preserve"> (рис. 3.35) і зникали на 28-</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(рис. 3.35).</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65408" behindDoc="0" locked="0" layoutInCell="1" allowOverlap="1" wp14:anchorId="1A63B68A" wp14:editId="7E5E7B2F">
                <wp:simplePos x="0" y="0"/>
                <wp:positionH relativeFrom="column">
                  <wp:posOffset>3268345</wp:posOffset>
                </wp:positionH>
                <wp:positionV relativeFrom="paragraph">
                  <wp:posOffset>183515</wp:posOffset>
                </wp:positionV>
                <wp:extent cx="611505" cy="103505"/>
                <wp:effectExtent l="0" t="0" r="74295" b="86995"/>
                <wp:wrapNone/>
                <wp:docPr id="139" name="Прямая соединительная линия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505" cy="1035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9"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7.35pt,14.45pt" to="305.5pt,2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">
                <v:stroke endarrow="block"/>
              </v:line>
            </w:pict>
          </mc:Fallback>
        </mc:AlternateContent>
      </w:r>
      <w:r w:rsidRPr="00CE0A20">
        <w:rPr>
          <w:rFonts w:ascii="Times New Roman" w:hAnsi="Times New Roman" w:cs="Times New Roman"/>
          <w:noProof/>
          <w:sz w:val="28"/>
          <w:szCs w:val="28"/>
        </w:rPr>
        <mc:AlternateContent>
          <mc:Choice Requires="wps">
            <w:drawing>
              <wp:anchor distT="4294967294" distB="4294967294" distL="114300" distR="114300" simplePos="0" relativeHeight="251666432" behindDoc="0" locked="0" layoutInCell="1" allowOverlap="1" wp14:anchorId="09A8BCFA" wp14:editId="296682E3">
                <wp:simplePos x="0" y="0"/>
                <wp:positionH relativeFrom="column">
                  <wp:posOffset>3235960</wp:posOffset>
                </wp:positionH>
                <wp:positionV relativeFrom="paragraph">
                  <wp:posOffset>1724659</wp:posOffset>
                </wp:positionV>
                <wp:extent cx="537210" cy="0"/>
                <wp:effectExtent l="0" t="76200" r="15240" b="95250"/>
                <wp:wrapNone/>
                <wp:docPr id="138" name="Прямая соединительная линия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8" o:spid="_x0000_s1026" style="position:absolute;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54.8pt,135.8pt" to="297.1pt,1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">
                <v:stroke endarrow="block"/>
              </v:line>
            </w:pict>
          </mc:Fallback>
        </mc:AlternateContent>
      </w:r>
      <w:r w:rsidRPr="00CE0A20">
        <w:rPr>
          <w:rFonts w:ascii="Times New Roman" w:hAnsi="Times New Roman" w:cs="Times New Roman"/>
          <w:noProof/>
          <w:sz w:val="28"/>
          <w:szCs w:val="28"/>
        </w:rPr>
        <mc:AlternateContent>
          <mc:Choice Requires="wps">
            <w:drawing>
              <wp:anchor distT="0" distB="0" distL="114300" distR="114300" simplePos="0" relativeHeight="251664384" behindDoc="0" locked="0" layoutInCell="1" allowOverlap="1" wp14:anchorId="5CB7FD8E" wp14:editId="1987082E">
                <wp:simplePos x="0" y="0"/>
                <wp:positionH relativeFrom="column">
                  <wp:posOffset>2981325</wp:posOffset>
                </wp:positionH>
                <wp:positionV relativeFrom="paragraph">
                  <wp:posOffset>3206115</wp:posOffset>
                </wp:positionV>
                <wp:extent cx="436245" cy="177800"/>
                <wp:effectExtent l="38100" t="0" r="20955" b="69850"/>
                <wp:wrapNone/>
                <wp:docPr id="137" name="Прямая соединительная линия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6245" cy="177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7"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75pt,252.45pt" to="269.1pt,26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">
                <v:stroke endarrow="block"/>
              </v:line>
            </w:pict>
          </mc:Fallback>
        </mc:AlternateContent>
      </w:r>
      <w:r w:rsidRPr="00CE0A20">
        <w:rPr>
          <w:rFonts w:ascii="Times New Roman" w:hAnsi="Times New Roman" w:cs="Times New Roman"/>
          <w:noProof/>
          <w:sz w:val="28"/>
          <w:szCs w:val="28"/>
        </w:rPr>
        <w:drawing>
          <wp:inline distT="0" distB="0" distL="0" distR="0" wp14:anchorId="6C518D26" wp14:editId="0FA0CCBD">
            <wp:extent cx="2876550" cy="3714750"/>
            <wp:effectExtent l="0" t="0" r="0" b="0"/>
            <wp:docPr id="169" name="Рисунок 169" descr="Описание: DSCN0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descr="Описание: DSCN02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76550" cy="3714750"/>
                    </a:xfrm>
                    <a:prstGeom prst="rect">
                      <a:avLst/>
                    </a:prstGeom>
                    <a:noFill/>
                    <a:ln>
                      <a:noFill/>
                    </a:ln>
                  </pic:spPr>
                </pic:pic>
              </a:graphicData>
            </a:graphic>
          </wp:inline>
        </w:drawing>
      </w:r>
    </w:p>
    <w:p w:rsidR="001C43D0" w:rsidRDefault="001C43D0" w:rsidP="001C43D0">
      <w:pPr>
        <w:spacing w:line="276"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3.31. Яєчко щурів на 28-</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на тлі нормальних канальців видно нечисленні </w:t>
      </w:r>
      <w:r w:rsidR="00D564C4" w:rsidRPr="00CE0A20">
        <w:rPr>
          <w:rFonts w:ascii="Times New Roman" w:hAnsi="Times New Roman" w:cs="Times New Roman"/>
          <w:sz w:val="28"/>
          <w:szCs w:val="28"/>
          <w:lang w:val="uk-UA"/>
        </w:rPr>
        <w:t>спорожнілі</w:t>
      </w:r>
      <w:r w:rsidRPr="00CE0A20">
        <w:rPr>
          <w:rFonts w:ascii="Times New Roman" w:hAnsi="Times New Roman" w:cs="Times New Roman"/>
          <w:sz w:val="28"/>
          <w:szCs w:val="28"/>
          <w:lang w:val="uk-UA"/>
        </w:rPr>
        <w:t xml:space="preserve"> сім'яні канальці.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4C1F95" w:rsidRPr="00CE0A20" w:rsidRDefault="004C1F95" w:rsidP="001C43D0">
      <w:pPr>
        <w:spacing w:line="276"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26DB31B9" wp14:editId="420F4F7D">
            <wp:extent cx="2743200" cy="3403600"/>
            <wp:effectExtent l="0" t="0" r="0" b="635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43200" cy="3403600"/>
                    </a:xfrm>
                    <a:prstGeom prst="rect">
                      <a:avLst/>
                    </a:prstGeom>
                    <a:noFill/>
                    <a:ln>
                      <a:noFill/>
                    </a:ln>
                  </pic:spPr>
                </pic:pic>
              </a:graphicData>
            </a:graphic>
          </wp:inline>
        </w:drawing>
      </w:r>
    </w:p>
    <w:p w:rsidR="001C43D0" w:rsidRPr="00CE0A20" w:rsidRDefault="001C43D0" w:rsidP="001C43D0">
      <w:pPr>
        <w:spacing w:line="276"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3.32. Яєчко щурів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злущення статевих клітин у деяких канальцях.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276"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60693A9C" wp14:editId="3FFA6876">
            <wp:extent cx="3213100" cy="3937000"/>
            <wp:effectExtent l="0" t="0" r="6350" b="635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13100" cy="393700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3.33. Яєчко щурів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численні нормохромні клітини Лейдіга в міжканальцевому локусі.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708"/>
        <w:jc w:val="both"/>
        <w:rPr>
          <w:rFonts w:ascii="Times New Roman" w:hAnsi="Times New Roman" w:cs="Times New Roman"/>
          <w:sz w:val="28"/>
          <w:szCs w:val="28"/>
          <w:lang w:val="uk-UA"/>
        </w:rPr>
      </w:pPr>
    </w:p>
    <w:tbl>
      <w:tblPr>
        <w:tblW w:w="0" w:type="auto"/>
        <w:tblInd w:w="-106" w:type="dxa"/>
        <w:tblLook w:val="01E0" w:firstRow="1" w:lastRow="1" w:firstColumn="1" w:lastColumn="1" w:noHBand="0" w:noVBand="0"/>
      </w:tblPr>
      <w:tblGrid>
        <w:gridCol w:w="4693"/>
        <w:gridCol w:w="4984"/>
      </w:tblGrid>
      <w:tr w:rsidR="001C43D0" w:rsidRPr="00CE0A20" w:rsidTr="001C43D0">
        <w:tc>
          <w:tcPr>
            <w:tcW w:w="4692" w:type="dxa"/>
            <w:hideMark/>
          </w:tcPr>
          <w:p w:rsidR="001C43D0" w:rsidRPr="00CE0A20" w:rsidRDefault="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68480" behindDoc="0" locked="0" layoutInCell="1" allowOverlap="1" wp14:anchorId="04863F07" wp14:editId="2D2C9FF3">
                      <wp:simplePos x="0" y="0"/>
                      <wp:positionH relativeFrom="column">
                        <wp:posOffset>0</wp:posOffset>
                      </wp:positionH>
                      <wp:positionV relativeFrom="paragraph">
                        <wp:posOffset>2193925</wp:posOffset>
                      </wp:positionV>
                      <wp:extent cx="342900" cy="342900"/>
                      <wp:effectExtent l="0" t="0" r="19050" b="19050"/>
                      <wp:wrapNone/>
                      <wp:docPr id="136" name="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Default="000F6151" w:rsidP="001C43D0">
                                  <w:pPr>
                                    <w:rPr>
                                      <w:lang w:val="uk-UA"/>
                                    </w:rPr>
                                  </w:pPr>
                                  <w:r>
                                    <w:rPr>
                                      <w:rFonts w:hint="eastAsia"/>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6" o:spid="_x0000_s1043" style="position:absolute;left:0;text-align:left;margin-left:0;margin-top:172.75pt;width:27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">
                      <v:textbox>
                        <w:txbxContent>
                          <w:p w:rsidR="000F6151" w:rsidRDefault="000F6151" w:rsidP="001C43D0">
                            <w:pPr>
                              <w:rPr>
                                <w:lang w:val="uk-UA"/>
                              </w:rPr>
                            </w:pPr>
                            <w:r>
                              <w:rPr>
                                <w:rFonts w:hint="eastAsia"/>
                                <w:lang w:val="uk-UA"/>
                              </w:rPr>
                              <w:t>а</w:t>
                            </w:r>
                          </w:p>
                        </w:txbxContent>
                      </v:textbox>
                    </v:rect>
                  </w:pict>
                </mc:Fallback>
              </mc:AlternateContent>
            </w:r>
            <w:r w:rsidRPr="00CE0A20">
              <w:rPr>
                <w:rFonts w:ascii="Times New Roman" w:hAnsi="Times New Roman" w:cs="Times New Roman"/>
                <w:noProof/>
                <w:sz w:val="28"/>
                <w:szCs w:val="28"/>
              </w:rPr>
              <w:drawing>
                <wp:inline distT="0" distB="0" distL="0" distR="0" wp14:anchorId="2400EDCB" wp14:editId="52AF4748">
                  <wp:extent cx="2927350" cy="2489200"/>
                  <wp:effectExtent l="0" t="0" r="6350" b="635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27350" cy="2489200"/>
                          </a:xfrm>
                          <a:prstGeom prst="rect">
                            <a:avLst/>
                          </a:prstGeom>
                          <a:noFill/>
                          <a:ln>
                            <a:noFill/>
                          </a:ln>
                        </pic:spPr>
                      </pic:pic>
                    </a:graphicData>
                  </a:graphic>
                </wp:inline>
              </w:drawing>
            </w:r>
          </w:p>
        </w:tc>
        <w:tc>
          <w:tcPr>
            <w:tcW w:w="4985" w:type="dxa"/>
            <w:hideMark/>
          </w:tcPr>
          <w:p w:rsidR="001C43D0" w:rsidRPr="00CE0A20" w:rsidRDefault="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69504" behindDoc="0" locked="0" layoutInCell="1" allowOverlap="1" wp14:anchorId="294E7A63" wp14:editId="42B9EAA7">
                      <wp:simplePos x="0" y="0"/>
                      <wp:positionH relativeFrom="column">
                        <wp:posOffset>-29845</wp:posOffset>
                      </wp:positionH>
                      <wp:positionV relativeFrom="paragraph">
                        <wp:posOffset>2193925</wp:posOffset>
                      </wp:positionV>
                      <wp:extent cx="342900" cy="342900"/>
                      <wp:effectExtent l="0" t="0" r="19050" b="19050"/>
                      <wp:wrapNone/>
                      <wp:docPr id="135" name="Прямоугольник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Default="000F6151" w:rsidP="001C43D0">
                                  <w:pPr>
                                    <w:rPr>
                                      <w:lang w:val="uk-UA"/>
                                    </w:rPr>
                                  </w:pPr>
                                  <w:r>
                                    <w:rPr>
                                      <w:rFonts w:hint="eastAsia"/>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5" o:spid="_x0000_s1044" style="position:absolute;left:0;text-align:left;margin-left:-2.35pt;margin-top:172.75pt;width:27pt;height:2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">
                      <v:textbox>
                        <w:txbxContent>
                          <w:p w:rsidR="000F6151" w:rsidRDefault="000F6151" w:rsidP="001C43D0">
                            <w:pPr>
                              <w:rPr>
                                <w:lang w:val="uk-UA"/>
                              </w:rPr>
                            </w:pPr>
                            <w:r>
                              <w:rPr>
                                <w:rFonts w:hint="eastAsia"/>
                                <w:lang w:val="uk-UA"/>
                              </w:rPr>
                              <w:t>б</w:t>
                            </w:r>
                          </w:p>
                        </w:txbxContent>
                      </v:textbox>
                    </v:rect>
                  </w:pict>
                </mc:Fallback>
              </mc:AlternateContent>
            </w:r>
            <w:r w:rsidRPr="00CE0A20">
              <w:rPr>
                <w:rFonts w:ascii="Times New Roman" w:hAnsi="Times New Roman" w:cs="Times New Roman"/>
                <w:noProof/>
                <w:sz w:val="28"/>
                <w:szCs w:val="28"/>
              </w:rPr>
              <w:drawing>
                <wp:inline distT="0" distB="0" distL="0" distR="0" wp14:anchorId="716BD577" wp14:editId="50E93D67">
                  <wp:extent cx="3124200" cy="2546350"/>
                  <wp:effectExtent l="0" t="0" r="0" b="6350"/>
                  <wp:docPr id="165" name="Рисунок 165" descr="Описание: Е13пж-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descr="Описание: Е13пж-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124200" cy="2546350"/>
                          </a:xfrm>
                          <a:prstGeom prst="rect">
                            <a:avLst/>
                          </a:prstGeom>
                          <a:noFill/>
                          <a:ln>
                            <a:noFill/>
                          </a:ln>
                        </pic:spPr>
                      </pic:pic>
                    </a:graphicData>
                  </a:graphic>
                </wp:inline>
              </w:drawing>
            </w:r>
          </w:p>
        </w:tc>
      </w:tr>
    </w:tbl>
    <w:p w:rsidR="001C43D0" w:rsidRPr="00CE0A20" w:rsidRDefault="001C43D0" w:rsidP="004C1F95">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3.34. Вентральна частка передміхурової залози щурів на 7-</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а – збільшення розмірів ацинусів (х250); б – вакуолізація цитоплазми епітеліальних клітин</w:t>
      </w:r>
      <w:r w:rsidR="004C1F95">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tbl>
      <w:tblPr>
        <w:tblW w:w="990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86"/>
        <w:gridCol w:w="5114"/>
      </w:tblGrid>
      <w:tr w:rsidR="001C43D0" w:rsidRPr="00CE0A20" w:rsidTr="001C43D0">
        <w:tc>
          <w:tcPr>
            <w:tcW w:w="4788" w:type="dxa"/>
            <w:tcBorders>
              <w:top w:val="nil"/>
              <w:left w:val="nil"/>
              <w:bottom w:val="nil"/>
              <w:right w:val="nil"/>
            </w:tcBorders>
            <w:hideMark/>
          </w:tcPr>
          <w:p w:rsidR="001C43D0" w:rsidRPr="00CE0A20" w:rsidRDefault="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70528" behindDoc="0" locked="0" layoutInCell="1" allowOverlap="1" wp14:anchorId="1EE565F9" wp14:editId="6185B4DB">
                      <wp:simplePos x="0" y="0"/>
                      <wp:positionH relativeFrom="column">
                        <wp:posOffset>1270</wp:posOffset>
                      </wp:positionH>
                      <wp:positionV relativeFrom="paragraph">
                        <wp:posOffset>2138680</wp:posOffset>
                      </wp:positionV>
                      <wp:extent cx="342900" cy="342900"/>
                      <wp:effectExtent l="0" t="0" r="19050" b="19050"/>
                      <wp:wrapNone/>
                      <wp:docPr id="134" name="Прямоугольник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Default="000F6151" w:rsidP="001C43D0">
                                  <w:pPr>
                                    <w:rPr>
                                      <w:lang w:val="uk-UA"/>
                                    </w:rPr>
                                  </w:pPr>
                                  <w:r>
                                    <w:rPr>
                                      <w:rFonts w:hint="eastAsia"/>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4" o:spid="_x0000_s1045" style="position:absolute;left:0;text-align:left;margin-left:.1pt;margin-top:168.4pt;width:27pt;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">
                      <v:textbox>
                        <w:txbxContent>
                          <w:p w:rsidR="000F6151" w:rsidRDefault="000F6151" w:rsidP="001C43D0">
                            <w:pPr>
                              <w:rPr>
                                <w:lang w:val="uk-UA"/>
                              </w:rPr>
                            </w:pPr>
                            <w:r>
                              <w:rPr>
                                <w:rFonts w:hint="eastAsia"/>
                                <w:lang w:val="uk-UA"/>
                              </w:rPr>
                              <w:t>а</w:t>
                            </w:r>
                          </w:p>
                        </w:txbxContent>
                      </v:textbox>
                    </v:rect>
                  </w:pict>
                </mc:Fallback>
              </mc:AlternateContent>
            </w:r>
            <w:r w:rsidRPr="00CE0A20">
              <w:rPr>
                <w:rFonts w:ascii="Times New Roman" w:hAnsi="Times New Roman" w:cs="Times New Roman"/>
                <w:noProof/>
                <w:sz w:val="28"/>
                <w:szCs w:val="28"/>
              </w:rPr>
              <w:drawing>
                <wp:inline distT="0" distB="0" distL="0" distR="0" wp14:anchorId="617826A0" wp14:editId="596EA5A2">
                  <wp:extent cx="3124200" cy="2489200"/>
                  <wp:effectExtent l="0" t="0" r="0" b="6350"/>
                  <wp:docPr id="164" name="Рисунок 164" descr="Описание: пж1-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descr="Описание: пж1-10-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24200" cy="2489200"/>
                          </a:xfrm>
                          <a:prstGeom prst="rect">
                            <a:avLst/>
                          </a:prstGeom>
                          <a:noFill/>
                          <a:ln>
                            <a:noFill/>
                          </a:ln>
                        </pic:spPr>
                      </pic:pic>
                    </a:graphicData>
                  </a:graphic>
                </wp:inline>
              </w:drawing>
            </w:r>
          </w:p>
        </w:tc>
        <w:tc>
          <w:tcPr>
            <w:tcW w:w="5117" w:type="dxa"/>
            <w:tcBorders>
              <w:top w:val="single" w:sz="4" w:space="0" w:color="auto"/>
              <w:left w:val="nil"/>
              <w:bottom w:val="single" w:sz="4" w:space="0" w:color="auto"/>
              <w:right w:val="single" w:sz="4" w:space="0" w:color="auto"/>
            </w:tcBorders>
            <w:hideMark/>
          </w:tcPr>
          <w:p w:rsidR="001C43D0" w:rsidRPr="00CE0A20" w:rsidRDefault="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71552" behindDoc="0" locked="0" layoutInCell="1" allowOverlap="1" wp14:anchorId="04D52C12" wp14:editId="01085774">
                      <wp:simplePos x="0" y="0"/>
                      <wp:positionH relativeFrom="column">
                        <wp:posOffset>-68580</wp:posOffset>
                      </wp:positionH>
                      <wp:positionV relativeFrom="paragraph">
                        <wp:posOffset>2130425</wp:posOffset>
                      </wp:positionV>
                      <wp:extent cx="342900" cy="342900"/>
                      <wp:effectExtent l="0" t="0" r="19050" b="19050"/>
                      <wp:wrapNone/>
                      <wp:docPr id="133" name="Прямоугольник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Default="000F6151" w:rsidP="001C43D0">
                                  <w:pPr>
                                    <w:rPr>
                                      <w:lang w:val="uk-UA"/>
                                    </w:rPr>
                                  </w:pPr>
                                  <w:r>
                                    <w:rPr>
                                      <w:rFonts w:hint="eastAsia"/>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3" o:spid="_x0000_s1046" style="position:absolute;left:0;text-align:left;margin-left:-5.4pt;margin-top:167.75pt;width:27pt;height:2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">
                      <v:textbox>
                        <w:txbxContent>
                          <w:p w:rsidR="000F6151" w:rsidRDefault="000F6151" w:rsidP="001C43D0">
                            <w:pPr>
                              <w:rPr>
                                <w:lang w:val="uk-UA"/>
                              </w:rPr>
                            </w:pPr>
                            <w:r>
                              <w:rPr>
                                <w:rFonts w:hint="eastAsia"/>
                                <w:lang w:val="uk-UA"/>
                              </w:rPr>
                              <w:t>б</w:t>
                            </w:r>
                          </w:p>
                        </w:txbxContent>
                      </v:textbox>
                    </v:rect>
                  </w:pict>
                </mc:Fallback>
              </mc:AlternateContent>
            </w:r>
            <w:r w:rsidRPr="00CE0A20">
              <w:rPr>
                <w:rFonts w:ascii="Times New Roman" w:hAnsi="Times New Roman" w:cs="Times New Roman"/>
                <w:noProof/>
                <w:sz w:val="28"/>
                <w:szCs w:val="28"/>
              </w:rPr>
              <w:drawing>
                <wp:inline distT="0" distB="0" distL="0" distR="0" wp14:anchorId="380FB75C" wp14:editId="4DFA236E">
                  <wp:extent cx="3124200" cy="2489200"/>
                  <wp:effectExtent l="0" t="0" r="0" b="6350"/>
                  <wp:docPr id="163" name="Рисунок 163" descr="Описание: Е13пж-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descr="Описание: Е13пж-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124200" cy="2489200"/>
                          </a:xfrm>
                          <a:prstGeom prst="rect">
                            <a:avLst/>
                          </a:prstGeom>
                          <a:noFill/>
                          <a:ln>
                            <a:noFill/>
                          </a:ln>
                        </pic:spPr>
                      </pic:pic>
                    </a:graphicData>
                  </a:graphic>
                </wp:inline>
              </w:drawing>
            </w:r>
          </w:p>
        </w:tc>
      </w:tr>
    </w:tbl>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3.35. Вентральна </w:t>
      </w:r>
      <w:r w:rsidRPr="00CE0A20">
        <w:rPr>
          <w:rFonts w:ascii="Times New Roman" w:hAnsi="Times New Roman" w:cs="Times New Roman"/>
          <w:color w:val="auto"/>
          <w:sz w:val="28"/>
          <w:szCs w:val="28"/>
          <w:lang w:val="uk-UA"/>
        </w:rPr>
        <w:t>частка пере</w:t>
      </w:r>
      <w:r w:rsidR="00885BC3">
        <w:rPr>
          <w:rFonts w:ascii="Times New Roman" w:hAnsi="Times New Roman" w:cs="Times New Roman"/>
          <w:color w:val="auto"/>
          <w:sz w:val="28"/>
          <w:szCs w:val="28"/>
          <w:lang w:val="uk-UA"/>
        </w:rPr>
        <w:t>дміхурової залози щурів на 14-ту добу</w:t>
      </w:r>
      <w:r w:rsidRPr="00CE0A20">
        <w:rPr>
          <w:rFonts w:ascii="Times New Roman" w:hAnsi="Times New Roman" w:cs="Times New Roman"/>
          <w:color w:val="auto"/>
          <w:sz w:val="28"/>
          <w:szCs w:val="28"/>
          <w:lang w:val="uk-UA"/>
        </w:rPr>
        <w:t xml:space="preserve"> після введення CdCl</w:t>
      </w:r>
      <w:r w:rsidRPr="00CE0A20">
        <w:rPr>
          <w:rFonts w:ascii="Times New Roman" w:hAnsi="Times New Roman" w:cs="Times New Roman"/>
          <w:color w:val="auto"/>
          <w:sz w:val="28"/>
          <w:szCs w:val="28"/>
          <w:vertAlign w:val="subscript"/>
          <w:lang w:val="uk-UA"/>
        </w:rPr>
        <w:t>2</w:t>
      </w:r>
      <w:r w:rsidRPr="00CE0A20">
        <w:rPr>
          <w:rFonts w:ascii="Times New Roman" w:hAnsi="Times New Roman" w:cs="Times New Roman"/>
          <w:color w:val="auto"/>
          <w:sz w:val="28"/>
          <w:szCs w:val="28"/>
          <w:lang w:val="uk-UA"/>
        </w:rPr>
        <w:t xml:space="preserve"> дозою 100 мкг/100 г. Поступова нормалізація стану ацинусів простатичних залозок</w:t>
      </w:r>
      <w:r w:rsidRPr="00CE0A20">
        <w:rPr>
          <w:rFonts w:ascii="Times New Roman" w:hAnsi="Times New Roman" w:cs="Times New Roman"/>
          <w:sz w:val="28"/>
          <w:szCs w:val="28"/>
          <w:lang w:val="uk-UA"/>
        </w:rPr>
        <w:t xml:space="preserve"> (а – </w:t>
      </w:r>
      <w:r w:rsidR="00DD101F" w:rsidRPr="00CE0A20">
        <w:rPr>
          <w:rFonts w:ascii="Times New Roman" w:hAnsi="Times New Roman" w:cs="Times New Roman"/>
          <w:sz w:val="28"/>
          <w:szCs w:val="28"/>
          <w:lang w:val="uk-UA"/>
        </w:rPr>
        <w:t>зб.</w:t>
      </w:r>
      <w:r w:rsidRPr="00CE0A20">
        <w:rPr>
          <w:rFonts w:ascii="Times New Roman" w:hAnsi="Times New Roman" w:cs="Times New Roman"/>
          <w:sz w:val="28"/>
          <w:szCs w:val="28"/>
          <w:lang w:val="uk-UA"/>
        </w:rPr>
        <w:t>х200) й епітеліальних клітин, що вистилають стінки ацинусів (б – зб.х400). 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708"/>
        <w:jc w:val="both"/>
        <w:rPr>
          <w:rFonts w:ascii="Times New Roman" w:hAnsi="Times New Roman" w:cs="Times New Roman"/>
          <w:sz w:val="28"/>
          <w:szCs w:val="28"/>
          <w:lang w:val="uk-UA"/>
        </w:rPr>
      </w:pPr>
    </w:p>
    <w:tbl>
      <w:tblPr>
        <w:tblW w:w="0" w:type="auto"/>
        <w:tblInd w:w="-106" w:type="dxa"/>
        <w:tblLayout w:type="fixed"/>
        <w:tblLook w:val="01E0" w:firstRow="1" w:lastRow="1" w:firstColumn="1" w:lastColumn="1" w:noHBand="0" w:noVBand="0"/>
      </w:tblPr>
      <w:tblGrid>
        <w:gridCol w:w="4788"/>
        <w:gridCol w:w="5117"/>
      </w:tblGrid>
      <w:tr w:rsidR="001C43D0" w:rsidRPr="00CE0A20" w:rsidTr="001C43D0">
        <w:tc>
          <w:tcPr>
            <w:tcW w:w="4788" w:type="dxa"/>
            <w:hideMark/>
          </w:tcPr>
          <w:p w:rsidR="001C43D0" w:rsidRPr="00CE0A20" w:rsidRDefault="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82816" behindDoc="0" locked="0" layoutInCell="1" allowOverlap="1" wp14:anchorId="102E248E" wp14:editId="553D1D26">
                      <wp:simplePos x="0" y="0"/>
                      <wp:positionH relativeFrom="column">
                        <wp:posOffset>-114300</wp:posOffset>
                      </wp:positionH>
                      <wp:positionV relativeFrom="paragraph">
                        <wp:posOffset>2052955</wp:posOffset>
                      </wp:positionV>
                      <wp:extent cx="342900" cy="342900"/>
                      <wp:effectExtent l="0" t="0" r="19050" b="19050"/>
                      <wp:wrapNone/>
                      <wp:docPr id="132" name="Прямоуголь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Default="000F6151" w:rsidP="001C43D0">
                                  <w:pPr>
                                    <w:rPr>
                                      <w:lang w:val="uk-UA"/>
                                    </w:rPr>
                                  </w:pPr>
                                  <w:r>
                                    <w:rPr>
                                      <w:rFonts w:hint="eastAsia"/>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2" o:spid="_x0000_s1047" style="position:absolute;left:0;text-align:left;margin-left:-9pt;margin-top:161.65pt;width:27pt;height:2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">
                      <v:textbox>
                        <w:txbxContent>
                          <w:p w:rsidR="000F6151" w:rsidRDefault="000F6151" w:rsidP="001C43D0">
                            <w:pPr>
                              <w:rPr>
                                <w:lang w:val="uk-UA"/>
                              </w:rPr>
                            </w:pPr>
                            <w:r>
                              <w:rPr>
                                <w:rFonts w:hint="eastAsia"/>
                                <w:lang w:val="uk-UA"/>
                              </w:rPr>
                              <w:t>а</w:t>
                            </w:r>
                          </w:p>
                        </w:txbxContent>
                      </v:textbox>
                    </v:rect>
                  </w:pict>
                </mc:Fallback>
              </mc:AlternateContent>
            </w:r>
            <w:r w:rsidRPr="00CE0A20">
              <w:rPr>
                <w:rFonts w:ascii="Times New Roman" w:hAnsi="Times New Roman" w:cs="Times New Roman"/>
                <w:noProof/>
                <w:sz w:val="28"/>
                <w:szCs w:val="28"/>
              </w:rPr>
              <w:drawing>
                <wp:inline distT="0" distB="0" distL="0" distR="0" wp14:anchorId="2494122C" wp14:editId="5F89F3E1">
                  <wp:extent cx="2971800" cy="2393950"/>
                  <wp:effectExtent l="0" t="0" r="0" b="6350"/>
                  <wp:docPr id="162" name="Рисунок 162" descr="Описание: пж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descr="Описание: пж1-9-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71800" cy="2393950"/>
                          </a:xfrm>
                          <a:prstGeom prst="rect">
                            <a:avLst/>
                          </a:prstGeom>
                          <a:noFill/>
                          <a:ln>
                            <a:noFill/>
                          </a:ln>
                        </pic:spPr>
                      </pic:pic>
                    </a:graphicData>
                  </a:graphic>
                </wp:inline>
              </w:drawing>
            </w:r>
          </w:p>
        </w:tc>
        <w:tc>
          <w:tcPr>
            <w:tcW w:w="5117" w:type="dxa"/>
            <w:hideMark/>
          </w:tcPr>
          <w:p w:rsidR="001C43D0" w:rsidRPr="00CE0A20" w:rsidRDefault="001C43D0">
            <w:pPr>
              <w:spacing w:line="360" w:lineRule="auto"/>
              <w:jc w:val="both"/>
              <w:rPr>
                <w:rFonts w:ascii="Times New Roman" w:hAnsi="Times New Roman" w:cs="Times New Roman"/>
                <w:noProof/>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81792" behindDoc="0" locked="0" layoutInCell="1" allowOverlap="1" wp14:anchorId="4A5DED08" wp14:editId="105B3422">
                      <wp:simplePos x="0" y="0"/>
                      <wp:positionH relativeFrom="column">
                        <wp:posOffset>45720</wp:posOffset>
                      </wp:positionH>
                      <wp:positionV relativeFrom="paragraph">
                        <wp:posOffset>2052955</wp:posOffset>
                      </wp:positionV>
                      <wp:extent cx="342900" cy="342900"/>
                      <wp:effectExtent l="0" t="0" r="19050" b="19050"/>
                      <wp:wrapNone/>
                      <wp:docPr id="131" name="Прямоугольник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Default="000F6151" w:rsidP="001C43D0">
                                  <w:pPr>
                                    <w:rPr>
                                      <w:lang w:val="uk-UA"/>
                                    </w:rPr>
                                  </w:pPr>
                                  <w:r>
                                    <w:rPr>
                                      <w:rFonts w:hint="eastAsia"/>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1" o:spid="_x0000_s1048" style="position:absolute;left:0;text-align:left;margin-left:3.6pt;margin-top:161.65pt;width:27pt;height:2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">
                      <v:textbox>
                        <w:txbxContent>
                          <w:p w:rsidR="000F6151" w:rsidRDefault="000F6151" w:rsidP="001C43D0">
                            <w:pPr>
                              <w:rPr>
                                <w:lang w:val="uk-UA"/>
                              </w:rPr>
                            </w:pPr>
                            <w:r>
                              <w:rPr>
                                <w:rFonts w:hint="eastAsia"/>
                                <w:lang w:val="uk-UA"/>
                              </w:rPr>
                              <w:t>б</w:t>
                            </w:r>
                          </w:p>
                        </w:txbxContent>
                      </v:textbox>
                    </v:rect>
                  </w:pict>
                </mc:Fallback>
              </mc:AlternateContent>
            </w:r>
            <w:r w:rsidRPr="00CE0A20">
              <w:rPr>
                <w:rFonts w:ascii="Times New Roman" w:hAnsi="Times New Roman" w:cs="Times New Roman"/>
                <w:noProof/>
                <w:sz w:val="28"/>
                <w:szCs w:val="28"/>
              </w:rPr>
              <w:drawing>
                <wp:inline distT="0" distB="0" distL="0" distR="0" wp14:anchorId="15EBC93B" wp14:editId="11939DD9">
                  <wp:extent cx="3086100" cy="2393950"/>
                  <wp:effectExtent l="0" t="0" r="0" b="635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086100" cy="2393950"/>
                          </a:xfrm>
                          <a:prstGeom prst="rect">
                            <a:avLst/>
                          </a:prstGeom>
                          <a:noFill/>
                          <a:ln>
                            <a:noFill/>
                          </a:ln>
                        </pic:spPr>
                      </pic:pic>
                    </a:graphicData>
                  </a:graphic>
                </wp:inline>
              </w:drawing>
            </w:r>
          </w:p>
        </w:tc>
      </w:tr>
    </w:tbl>
    <w:p w:rsidR="001C43D0" w:rsidRPr="00CE0A20" w:rsidRDefault="001C43D0" w:rsidP="001C43D0">
      <w:pPr>
        <w:spacing w:line="360" w:lineRule="auto"/>
        <w:jc w:val="both"/>
        <w:rPr>
          <w:rFonts w:ascii="Times New Roman" w:hAnsi="Times New Roman" w:cs="Times New Roman"/>
          <w:sz w:val="28"/>
          <w:szCs w:val="28"/>
          <w:lang w:val="uk-UA"/>
        </w:rPr>
      </w:pP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3.36. Вентральна частка передміхурової залози щурів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100 мкг/100 г. Поступова нормалізація стану ацинусів простатичних залозок (а – зб.х200) й епітеліальних клітин, що вистилають стінки ацинусів (б –зб.х400). 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900"/>
        <w:jc w:val="both"/>
        <w:rPr>
          <w:rFonts w:ascii="Times New Roman" w:hAnsi="Times New Roman" w:cs="Times New Roman"/>
          <w:sz w:val="28"/>
          <w:szCs w:val="28"/>
          <w:lang w:val="uk-UA"/>
        </w:rPr>
      </w:pP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Збільшення дози токсину до 150 мкг/100 г маси тіла призводить до більш тяжкого пошкодження тестикул щурів (4-та група). На </w:t>
      </w:r>
      <w:r w:rsidR="00885BC3">
        <w:rPr>
          <w:rFonts w:ascii="Times New Roman" w:hAnsi="Times New Roman" w:cs="Times New Roman"/>
          <w:sz w:val="28"/>
          <w:szCs w:val="28"/>
          <w:lang w:val="uk-UA"/>
        </w:rPr>
        <w:t>7</w:t>
      </w:r>
      <w:r w:rsidR="00885BC3" w:rsidRPr="00CE0A20">
        <w:rPr>
          <w:rFonts w:ascii="Times New Roman" w:hAnsi="Times New Roman" w:cs="Times New Roman"/>
          <w:sz w:val="28"/>
          <w:szCs w:val="28"/>
          <w:lang w:val="uk-UA"/>
        </w:rPr>
        <w:t>-</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спостереження відзначено виразну деструкцію більшості сім'яних канальців з атрофією сім’яродного епітелію (рис. 3.37). Канальці зменшені в розмірі, контури їх часто звивисті, деякі канальці у стадії спадання. На частині мікропрепаратів можна побачити, що навколо деструктивно змінених канальців утворюється молода сполучна тканина, яка витісняє інтерсти</w:t>
      </w:r>
      <w:r w:rsidRPr="00CE0A20">
        <w:rPr>
          <w:rFonts w:ascii="Times New Roman" w:hAnsi="Times New Roman" w:cs="Times New Roman"/>
          <w:color w:val="auto"/>
          <w:sz w:val="28"/>
          <w:szCs w:val="28"/>
          <w:lang w:val="uk-UA"/>
        </w:rPr>
        <w:t>ціальн</w:t>
      </w:r>
      <w:r w:rsidRPr="00CE0A20">
        <w:rPr>
          <w:rFonts w:ascii="Times New Roman" w:hAnsi="Times New Roman" w:cs="Times New Roman"/>
          <w:sz w:val="28"/>
          <w:szCs w:val="28"/>
          <w:lang w:val="uk-UA"/>
        </w:rPr>
        <w:t xml:space="preserve">у тканину (рис. 3.38). Як правило, статеві клітини як ранніх, так і пізніших етапів розвитку атрофовані або виявляються дуже нечисленні сперматогонії невизначеного типу й індиферентні статеві клітини; клітини Сертолі часто деструктивні на погляд, нечисленні, з прогалинами в розташуванні. У міжканальцевих локусах клітини Лейдіга проліферують, ядра клітин дрібні, гіперхромні (рис. 3.39). </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4294967294" distB="4294967294" distL="114300" distR="114300" simplePos="0" relativeHeight="251667456" behindDoc="0" locked="0" layoutInCell="1" allowOverlap="1" wp14:anchorId="671B5742" wp14:editId="1EEF7F7B">
                <wp:simplePos x="0" y="0"/>
                <wp:positionH relativeFrom="column">
                  <wp:posOffset>2796540</wp:posOffset>
                </wp:positionH>
                <wp:positionV relativeFrom="paragraph">
                  <wp:posOffset>1962784</wp:posOffset>
                </wp:positionV>
                <wp:extent cx="342900" cy="0"/>
                <wp:effectExtent l="0" t="76200" r="19050" b="95250"/>
                <wp:wrapNone/>
                <wp:docPr id="130" name="Прямая соединительная линия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0" o:spid="_x0000_s1026" style="position:absolute;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20.2pt,154.55pt" to="247.2pt,15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">
                <v:stroke endarrow="block"/>
              </v:line>
            </w:pict>
          </mc:Fallback>
        </mc:AlternateContent>
      </w:r>
      <w:r w:rsidRPr="00CE0A20">
        <w:rPr>
          <w:rFonts w:ascii="Times New Roman" w:hAnsi="Times New Roman" w:cs="Times New Roman"/>
          <w:noProof/>
          <w:sz w:val="28"/>
          <w:szCs w:val="28"/>
        </w:rPr>
        <w:drawing>
          <wp:inline distT="0" distB="0" distL="0" distR="0" wp14:anchorId="64FA58DD" wp14:editId="7330058D">
            <wp:extent cx="2965450" cy="3848100"/>
            <wp:effectExtent l="0" t="0" r="6350" b="0"/>
            <wp:docPr id="31" name="Рисунок 31" descr="Описание: DSCN2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descr="Описание: DSCN237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965450" cy="3848100"/>
                    </a:xfrm>
                    <a:prstGeom prst="rect">
                      <a:avLst/>
                    </a:prstGeom>
                    <a:noFill/>
                    <a:ln>
                      <a:noFill/>
                    </a:ln>
                  </pic:spPr>
                </pic:pic>
              </a:graphicData>
            </a:graphic>
          </wp:inline>
        </w:drawing>
      </w:r>
    </w:p>
    <w:p w:rsidR="001C43D0" w:rsidRPr="00CE0A20" w:rsidRDefault="001C43D0" w:rsidP="001C43D0">
      <w:pPr>
        <w:spacing w:line="276"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3.37. Яєчко щурів на 7-</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150 мкг/100 г: атрофія сім'яних канальців з повним порушенням сперматогенезу, проліферація клітин Лейдіга в міжканальцевому локусі. </w:t>
      </w:r>
      <w:r w:rsidR="004C1F95">
        <w:rPr>
          <w:rFonts w:ascii="Times New Roman" w:hAnsi="Times New Roman" w:cs="Times New Roman"/>
          <w:sz w:val="28"/>
          <w:szCs w:val="28"/>
          <w:lang w:val="uk-UA"/>
        </w:rPr>
        <w:t>(з</w:t>
      </w:r>
      <w:r w:rsidR="004C1F95">
        <w:rPr>
          <w:rFonts w:ascii="Times New Roman" w:hAnsi="Times New Roman" w:cs="Times New Roman"/>
          <w:sz w:val="28"/>
          <w:szCs w:val="28"/>
          <w:lang w:val="uk-UA"/>
        </w:rPr>
        <w:t>б.х2</w:t>
      </w:r>
      <w:r w:rsidR="004C1F95" w:rsidRPr="00CE0A20">
        <w:rPr>
          <w:rFonts w:ascii="Times New Roman" w:hAnsi="Times New Roman" w:cs="Times New Roman"/>
          <w:sz w:val="28"/>
          <w:szCs w:val="28"/>
          <w:lang w:val="uk-UA"/>
        </w:rPr>
        <w:t>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jc w:val="center"/>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1451E850" wp14:editId="254A02BB">
            <wp:extent cx="2647950" cy="3479800"/>
            <wp:effectExtent l="0" t="0" r="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47950" cy="3479800"/>
                    </a:xfrm>
                    <a:prstGeom prst="rect">
                      <a:avLst/>
                    </a:prstGeom>
                    <a:noFill/>
                    <a:ln>
                      <a:noFill/>
                    </a:ln>
                  </pic:spPr>
                </pic:pic>
              </a:graphicData>
            </a:graphic>
          </wp:inline>
        </w:drawing>
      </w:r>
    </w:p>
    <w:p w:rsidR="001C43D0" w:rsidRPr="00CE0A20" w:rsidRDefault="001C43D0" w:rsidP="001C43D0">
      <w:pPr>
        <w:spacing w:line="276"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3.38. Яєчко щурів на 7-</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150 мкг/100 г: молода сполучна тканина між атрофованими канальцями. </w:t>
      </w:r>
      <w:r w:rsidR="004C1F95">
        <w:rPr>
          <w:rFonts w:ascii="Times New Roman" w:hAnsi="Times New Roman" w:cs="Times New Roman"/>
          <w:sz w:val="28"/>
          <w:szCs w:val="28"/>
          <w:lang w:val="uk-UA"/>
        </w:rPr>
        <w:t>(з</w:t>
      </w:r>
      <w:r w:rsidR="004C1F95">
        <w:rPr>
          <w:rFonts w:ascii="Times New Roman" w:hAnsi="Times New Roman" w:cs="Times New Roman"/>
          <w:sz w:val="28"/>
          <w:szCs w:val="28"/>
          <w:lang w:val="uk-UA"/>
        </w:rPr>
        <w:t>б.х2</w:t>
      </w:r>
      <w:r w:rsidR="004C1F95" w:rsidRPr="00CE0A20">
        <w:rPr>
          <w:rFonts w:ascii="Times New Roman" w:hAnsi="Times New Roman" w:cs="Times New Roman"/>
          <w:sz w:val="28"/>
          <w:szCs w:val="28"/>
          <w:lang w:val="uk-UA"/>
        </w:rPr>
        <w:t>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23578638" wp14:editId="6FC4D45A">
            <wp:extent cx="2800350" cy="3594100"/>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51">
                      <a:lum contrast="30000"/>
                      <a:extLst>
                        <a:ext uri="{28A0092B-C50C-407E-A947-70E740481C1C}">
                          <a14:useLocalDpi xmlns:a14="http://schemas.microsoft.com/office/drawing/2010/main" val="0"/>
                        </a:ext>
                      </a:extLst>
                    </a:blip>
                    <a:srcRect/>
                    <a:stretch>
                      <a:fillRect/>
                    </a:stretch>
                  </pic:blipFill>
                  <pic:spPr bwMode="auto">
                    <a:xfrm>
                      <a:off x="0" y="0"/>
                      <a:ext cx="2800350" cy="3594100"/>
                    </a:xfrm>
                    <a:prstGeom prst="rect">
                      <a:avLst/>
                    </a:prstGeom>
                    <a:noFill/>
                    <a:ln>
                      <a:noFill/>
                    </a:ln>
                  </pic:spPr>
                </pic:pic>
              </a:graphicData>
            </a:graphic>
          </wp:inline>
        </w:drawing>
      </w:r>
    </w:p>
    <w:p w:rsidR="001C43D0" w:rsidRPr="00CE0A20" w:rsidRDefault="001C43D0" w:rsidP="001C43D0">
      <w:pPr>
        <w:spacing w:line="360" w:lineRule="auto"/>
        <w:jc w:val="both"/>
        <w:rPr>
          <w:rFonts w:ascii="Times New Roman" w:hAnsi="Times New Roman" w:cs="Times New Roman"/>
          <w:sz w:val="28"/>
          <w:szCs w:val="28"/>
          <w:lang w:val="uk-UA"/>
        </w:rPr>
      </w:pPr>
    </w:p>
    <w:p w:rsidR="001C43D0" w:rsidRPr="00CE0A20" w:rsidRDefault="001C43D0" w:rsidP="001C43D0">
      <w:pPr>
        <w:spacing w:line="276"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3.39. Яєчко щурів на 7-</w:t>
      </w:r>
      <w:r w:rsidR="00885BC3">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150 мкг/100 г: у сім'яному канальці виявлено одиничні клітини Сертолі та сперматогонії, індиферентні статеві клітини. </w:t>
      </w:r>
      <w:r w:rsidR="004C1F95">
        <w:rPr>
          <w:rFonts w:ascii="Times New Roman" w:hAnsi="Times New Roman" w:cs="Times New Roman"/>
          <w:sz w:val="28"/>
          <w:szCs w:val="28"/>
          <w:lang w:val="uk-UA"/>
        </w:rPr>
        <w:t>(з</w:t>
      </w:r>
      <w:r w:rsidR="004C1F95">
        <w:rPr>
          <w:rFonts w:ascii="Times New Roman" w:hAnsi="Times New Roman" w:cs="Times New Roman"/>
          <w:sz w:val="28"/>
          <w:szCs w:val="28"/>
          <w:lang w:val="uk-UA"/>
        </w:rPr>
        <w:t>б.х4</w:t>
      </w:r>
      <w:r w:rsidR="004C1F95" w:rsidRPr="00CE0A20">
        <w:rPr>
          <w:rFonts w:ascii="Times New Roman" w:hAnsi="Times New Roman" w:cs="Times New Roman"/>
          <w:sz w:val="28"/>
          <w:szCs w:val="28"/>
          <w:lang w:val="uk-UA"/>
        </w:rPr>
        <w:t>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6D4007">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 Через 14 и 28 днів від початку експерименту в сім'яних залозах щурів атрофічна трансформація канальцевої </w:t>
      </w:r>
      <w:r w:rsidRPr="00CE0A20">
        <w:rPr>
          <w:rFonts w:ascii="Times New Roman" w:hAnsi="Times New Roman" w:cs="Times New Roman"/>
          <w:color w:val="auto"/>
          <w:sz w:val="28"/>
          <w:szCs w:val="28"/>
          <w:lang w:val="uk-UA"/>
        </w:rPr>
        <w:t>мережі</w:t>
      </w:r>
      <w:r w:rsidRPr="00CE0A20">
        <w:rPr>
          <w:rFonts w:ascii="Times New Roman" w:hAnsi="Times New Roman" w:cs="Times New Roman"/>
          <w:color w:val="FF0000"/>
          <w:sz w:val="28"/>
          <w:szCs w:val="28"/>
          <w:lang w:val="uk-UA"/>
        </w:rPr>
        <w:t xml:space="preserve"> </w:t>
      </w:r>
      <w:r w:rsidRPr="00CE0A20">
        <w:rPr>
          <w:rFonts w:ascii="Times New Roman" w:hAnsi="Times New Roman" w:cs="Times New Roman"/>
          <w:sz w:val="28"/>
          <w:szCs w:val="28"/>
          <w:lang w:val="uk-UA"/>
        </w:rPr>
        <w:t>залишалася стабільною, репара</w:t>
      </w:r>
      <w:r w:rsidRPr="00CE0A20">
        <w:rPr>
          <w:rFonts w:ascii="Times New Roman" w:hAnsi="Times New Roman" w:cs="Times New Roman"/>
          <w:sz w:val="28"/>
          <w:szCs w:val="28"/>
          <w:lang w:val="uk-UA"/>
        </w:rPr>
        <w:softHyphen/>
        <w:t xml:space="preserve">тивних процесів не виявлено (рис. 3.40). Відзначено подальшу ескалацію клітин Лейдіга (рис. 3.41). Ядра або дрібні, мають видовжену, веретеноподібну форму, гіперхромні, або овальні, тьмяні, позбавлені хроматинової зернистості; цитоплазма вакуолізована. Можливо, такий стан є свідченням виснаження функціональних можливостей тестостерон-продукуючих клітин у зв'язку з довготривалою надмірною стимуляцією, появою незрілих форм.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 xml:space="preserve">зберігається виразна атрофія сім'яних канальців (рис. 3.42), сперматогенез відсутній, у низці випадків виявлено поля фіброзної тканини, що заміщувала канальці (рис. 3.43), спостергіається масивна проліферація клітин Лейдіга та вакуолізація цитоплазми клітин (рис. 3.44). </w:t>
      </w:r>
    </w:p>
    <w:p w:rsidR="001C43D0" w:rsidRPr="00CE0A20" w:rsidRDefault="001C43D0" w:rsidP="001C43D0">
      <w:pPr>
        <w:spacing w:line="360" w:lineRule="auto"/>
        <w:ind w:firstLine="900"/>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6D1381DF" wp14:editId="206A278C">
            <wp:extent cx="4108450" cy="3276600"/>
            <wp:effectExtent l="0" t="0" r="6350" b="0"/>
            <wp:docPr id="28" name="Рисунок 28" descr="Описание: DSCN2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Описание: DSCN236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08450" cy="327660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885BC3" w:rsidP="001C43D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3.40. Яєчко щурів на 14-ту добу </w:t>
      </w:r>
      <w:r w:rsidR="001C43D0" w:rsidRPr="00CE0A20">
        <w:rPr>
          <w:rFonts w:ascii="Times New Roman" w:hAnsi="Times New Roman" w:cs="Times New Roman"/>
          <w:sz w:val="28"/>
          <w:szCs w:val="28"/>
          <w:lang w:val="uk-UA"/>
        </w:rPr>
        <w:t>після введення CdCl</w:t>
      </w:r>
      <w:r w:rsidR="001C43D0" w:rsidRPr="00CE0A20">
        <w:rPr>
          <w:rFonts w:ascii="Times New Roman" w:hAnsi="Times New Roman" w:cs="Times New Roman"/>
          <w:sz w:val="28"/>
          <w:szCs w:val="28"/>
          <w:vertAlign w:val="subscript"/>
          <w:lang w:val="uk-UA"/>
        </w:rPr>
        <w:t>2</w:t>
      </w:r>
      <w:r w:rsidR="001C43D0" w:rsidRPr="00CE0A20">
        <w:rPr>
          <w:rFonts w:ascii="Times New Roman" w:hAnsi="Times New Roman" w:cs="Times New Roman"/>
          <w:sz w:val="28"/>
          <w:szCs w:val="28"/>
          <w:lang w:val="uk-UA"/>
        </w:rPr>
        <w:t xml:space="preserve"> в дозі 150 мкг/100 г: атрофія сім'яних канальців з різким пригніченням сперматогенезу.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237BF01E" wp14:editId="64B76299">
            <wp:extent cx="3822700" cy="2971800"/>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53">
                      <a:lum contrast="6000"/>
                      <a:extLst>
                        <a:ext uri="{28A0092B-C50C-407E-A947-70E740481C1C}">
                          <a14:useLocalDpi xmlns:a14="http://schemas.microsoft.com/office/drawing/2010/main" val="0"/>
                        </a:ext>
                      </a:extLst>
                    </a:blip>
                    <a:srcRect/>
                    <a:stretch>
                      <a:fillRect/>
                    </a:stretch>
                  </pic:blipFill>
                  <pic:spPr bwMode="auto">
                    <a:xfrm>
                      <a:off x="0" y="0"/>
                      <a:ext cx="3822700" cy="2971800"/>
                    </a:xfrm>
                    <a:prstGeom prst="rect">
                      <a:avLst/>
                    </a:prstGeom>
                    <a:noFill/>
                    <a:ln>
                      <a:noFill/>
                    </a:ln>
                  </pic:spPr>
                </pic:pic>
              </a:graphicData>
            </a:graphic>
          </wp:inline>
        </w:drawing>
      </w:r>
    </w:p>
    <w:p w:rsidR="001C43D0" w:rsidRPr="00CE0A20" w:rsidRDefault="001C43D0" w:rsidP="001C43D0">
      <w:pPr>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3.41. Яєчко щурів на 14-</w:t>
      </w:r>
      <w:r w:rsidR="00885BC3">
        <w:rPr>
          <w:rFonts w:ascii="Times New Roman" w:hAnsi="Times New Roman" w:cs="Times New Roman"/>
          <w:sz w:val="28"/>
          <w:szCs w:val="28"/>
          <w:lang w:val="uk-UA"/>
        </w:rPr>
        <w:t>ту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150 мкг/100 г: проліферація клітин Лейдіга в міжканальцевому локусі, рясність дрібних гіперхромних ядер (зб.х400). Гематоксилін-еозин</w:t>
      </w:r>
      <w:r w:rsidR="004C1F95">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p>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6A4E6E28" wp14:editId="5DE4E7EB">
            <wp:extent cx="3022600" cy="3879850"/>
            <wp:effectExtent l="0" t="0" r="6350" b="6350"/>
            <wp:docPr id="26" name="Рисунок 26" descr="Описание: DSCN8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descr="Описание: DSCN861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022600" cy="387985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3.42. Яєчко щурів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дозі 150 мкг/100 г: виразна атрофія сім'яних канальців, відсутність сперматогенезу</w:t>
      </w:r>
      <w:r w:rsidR="006D4007" w:rsidRPr="00CE0A20">
        <w:rPr>
          <w:rFonts w:ascii="Times New Roman" w:hAnsi="Times New Roman" w:cs="Times New Roman"/>
          <w:sz w:val="28"/>
          <w:szCs w:val="28"/>
          <w:lang w:val="uk-UA"/>
        </w:rPr>
        <w:t xml:space="preserve"> (з</w:t>
      </w:r>
      <w:r w:rsidRPr="00CE0A20">
        <w:rPr>
          <w:rFonts w:ascii="Times New Roman" w:hAnsi="Times New Roman" w:cs="Times New Roman"/>
          <w:sz w:val="28"/>
          <w:szCs w:val="28"/>
          <w:lang w:val="uk-UA"/>
        </w:rPr>
        <w:t>б.х100</w:t>
      </w:r>
      <w:r w:rsidR="006D4007" w:rsidRPr="00CE0A20">
        <w:rPr>
          <w:rFonts w:ascii="Times New Roman" w:hAnsi="Times New Roman" w:cs="Times New Roman"/>
          <w:sz w:val="28"/>
          <w:szCs w:val="28"/>
          <w:lang w:val="uk-UA"/>
        </w:rPr>
        <w:t>)</w:t>
      </w:r>
      <w:r w:rsidRPr="00CE0A20">
        <w:rPr>
          <w:rFonts w:ascii="Times New Roman" w:hAnsi="Times New Roman" w:cs="Times New Roman"/>
          <w:sz w:val="28"/>
          <w:szCs w:val="28"/>
          <w:lang w:val="uk-UA"/>
        </w:rPr>
        <w:t>. Гематоксилін-еозин</w:t>
      </w:r>
      <w:r w:rsidR="006D4007" w:rsidRPr="00CE0A20">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31A21816" wp14:editId="3282C52E">
            <wp:extent cx="2864291" cy="383650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62108" cy="3833581"/>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3.43. Яєчко щурів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150 мкг/100 г: фіброзна тканина, що заміщує канальці</w:t>
      </w:r>
      <w:r w:rsidR="006D4007" w:rsidRPr="00CE0A20">
        <w:rPr>
          <w:rFonts w:ascii="Times New Roman" w:hAnsi="Times New Roman" w:cs="Times New Roman"/>
          <w:sz w:val="28"/>
          <w:szCs w:val="28"/>
          <w:lang w:val="uk-UA"/>
        </w:rPr>
        <w:t xml:space="preserve"> (з</w:t>
      </w:r>
      <w:r w:rsidRPr="00CE0A20">
        <w:rPr>
          <w:rFonts w:ascii="Times New Roman" w:hAnsi="Times New Roman" w:cs="Times New Roman"/>
          <w:sz w:val="28"/>
          <w:szCs w:val="28"/>
          <w:lang w:val="uk-UA"/>
        </w:rPr>
        <w:t>б.х200</w:t>
      </w:r>
      <w:r w:rsidR="006D4007" w:rsidRPr="00CE0A20">
        <w:rPr>
          <w:rFonts w:ascii="Times New Roman" w:hAnsi="Times New Roman" w:cs="Times New Roman"/>
          <w:sz w:val="28"/>
          <w:szCs w:val="28"/>
          <w:lang w:val="uk-UA"/>
        </w:rPr>
        <w:t>)</w:t>
      </w:r>
      <w:r w:rsidRPr="00CE0A20">
        <w:rPr>
          <w:rFonts w:ascii="Times New Roman" w:hAnsi="Times New Roman" w:cs="Times New Roman"/>
          <w:sz w:val="28"/>
          <w:szCs w:val="28"/>
          <w:lang w:val="uk-UA"/>
        </w:rPr>
        <w:t>. Гематоксилін-еозин</w:t>
      </w:r>
      <w:r w:rsidR="004C1F95">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p>
    <w:p w:rsidR="001C43D0" w:rsidRPr="00CE0A20" w:rsidRDefault="001C43D0" w:rsidP="001C43D0">
      <w:pPr>
        <w:spacing w:line="360" w:lineRule="auto"/>
        <w:ind w:firstLine="708"/>
        <w:jc w:val="both"/>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1"/>
        <w:gridCol w:w="4700"/>
      </w:tblGrid>
      <w:tr w:rsidR="001C43D0" w:rsidRPr="00CE0A20" w:rsidTr="001C43D0">
        <w:tc>
          <w:tcPr>
            <w:tcW w:w="47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83840" behindDoc="0" locked="0" layoutInCell="1" allowOverlap="1" wp14:anchorId="5DD35099" wp14:editId="0EC7E416">
                      <wp:simplePos x="0" y="0"/>
                      <wp:positionH relativeFrom="column">
                        <wp:posOffset>-1905</wp:posOffset>
                      </wp:positionH>
                      <wp:positionV relativeFrom="paragraph">
                        <wp:posOffset>1923415</wp:posOffset>
                      </wp:positionV>
                      <wp:extent cx="425450" cy="329565"/>
                      <wp:effectExtent l="0" t="0" r="0" b="0"/>
                      <wp:wrapNone/>
                      <wp:docPr id="129" name="Прямоугольник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0" cy="329565"/>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0F6151" w:rsidRDefault="000F6151" w:rsidP="001C43D0">
                                  <w:pPr>
                                    <w:jc w:val="center"/>
                                    <w:rPr>
                                      <w:lang w:val="uk-UA"/>
                                    </w:rPr>
                                  </w:pPr>
                                  <w:r>
                                    <w:rPr>
                                      <w:rFonts w:hint="eastAsia"/>
                                      <w:lang w:val="uk-UA"/>
                                    </w:rPr>
                                    <w:t>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9" o:spid="_x0000_s1049" style="position:absolute;left:0;text-align:left;margin-left:-.15pt;margin-top:151.45pt;width:33.5pt;height:25.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" stroked="f" strokeweight="1pt">
                      <v:textbox>
                        <w:txbxContent>
                          <w:p w:rsidR="000F6151" w:rsidRDefault="000F6151" w:rsidP="001C43D0">
                            <w:pPr>
                              <w:jc w:val="center"/>
                              <w:rPr>
                                <w:lang w:val="uk-UA"/>
                              </w:rPr>
                            </w:pPr>
                            <w:r>
                              <w:rPr>
                                <w:rFonts w:hint="eastAsia"/>
                                <w:lang w:val="uk-UA"/>
                              </w:rPr>
                              <w:t>а</w:t>
                            </w:r>
                          </w:p>
                        </w:txbxContent>
                      </v:textbox>
                    </v:rect>
                  </w:pict>
                </mc:Fallback>
              </mc:AlternateContent>
            </w:r>
            <w:r w:rsidRPr="00CE0A20">
              <w:rPr>
                <w:rFonts w:ascii="Times New Roman" w:hAnsi="Times New Roman" w:cs="Times New Roman"/>
                <w:noProof/>
                <w:sz w:val="28"/>
                <w:szCs w:val="28"/>
              </w:rPr>
              <w:drawing>
                <wp:inline distT="0" distB="0" distL="0" distR="0" wp14:anchorId="2585E60D" wp14:editId="1CD75432">
                  <wp:extent cx="3117850" cy="2184400"/>
                  <wp:effectExtent l="0" t="0" r="635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56">
                            <a:lum contrast="12000"/>
                            <a:extLst>
                              <a:ext uri="{28A0092B-C50C-407E-A947-70E740481C1C}">
                                <a14:useLocalDpi xmlns:a14="http://schemas.microsoft.com/office/drawing/2010/main" val="0"/>
                              </a:ext>
                            </a:extLst>
                          </a:blip>
                          <a:srcRect/>
                          <a:stretch>
                            <a:fillRect/>
                          </a:stretch>
                        </pic:blipFill>
                        <pic:spPr bwMode="auto">
                          <a:xfrm>
                            <a:off x="0" y="0"/>
                            <a:ext cx="3117850" cy="2184400"/>
                          </a:xfrm>
                          <a:prstGeom prst="rect">
                            <a:avLst/>
                          </a:prstGeom>
                          <a:noFill/>
                          <a:ln>
                            <a:noFill/>
                          </a:ln>
                        </pic:spPr>
                      </pic:pic>
                    </a:graphicData>
                  </a:graphic>
                </wp:inline>
              </w:drawing>
            </w:r>
          </w:p>
        </w:tc>
        <w:tc>
          <w:tcPr>
            <w:tcW w:w="4786"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both"/>
              <w:rPr>
                <w:rFonts w:ascii="Times New Roman" w:hAnsi="Times New Roman" w:cs="Times New Roman"/>
                <w:sz w:val="28"/>
                <w:szCs w:val="28"/>
                <w:lang w:val="uk-UA"/>
              </w:rPr>
            </w:pPr>
            <w:r w:rsidRPr="00CE0A20">
              <w:rPr>
                <w:rFonts w:ascii="Times New Roman" w:hAnsi="Times New Roman" w:cs="Times New Roman"/>
                <w:noProof/>
                <w:sz w:val="28"/>
                <w:szCs w:val="28"/>
              </w:rPr>
              <mc:AlternateContent>
                <mc:Choice Requires="wps">
                  <w:drawing>
                    <wp:anchor distT="0" distB="0" distL="114300" distR="114300" simplePos="0" relativeHeight="251684864" behindDoc="0" locked="0" layoutInCell="1" allowOverlap="1" wp14:anchorId="0BC5C2FB" wp14:editId="3CD5CF3B">
                      <wp:simplePos x="0" y="0"/>
                      <wp:positionH relativeFrom="column">
                        <wp:posOffset>53975</wp:posOffset>
                      </wp:positionH>
                      <wp:positionV relativeFrom="paragraph">
                        <wp:posOffset>1809115</wp:posOffset>
                      </wp:positionV>
                      <wp:extent cx="446405" cy="297815"/>
                      <wp:effectExtent l="0" t="0" r="0" b="6985"/>
                      <wp:wrapNone/>
                      <wp:docPr id="128" name="Прямоугольник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405" cy="297815"/>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0F6151" w:rsidRDefault="000F6151" w:rsidP="001C43D0">
                                  <w:pPr>
                                    <w:jc w:val="center"/>
                                    <w:rPr>
                                      <w:lang w:val="uk-UA"/>
                                    </w:rPr>
                                  </w:pPr>
                                  <w:r>
                                    <w:rPr>
                                      <w:rFonts w:hint="eastAsia"/>
                                      <w:lang w:val="uk-UA"/>
                                    </w:rPr>
                                    <w:t>б</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8" o:spid="_x0000_s1050" style="position:absolute;left:0;text-align:left;margin-left:4.25pt;margin-top:142.45pt;width:35.15pt;height:23.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" stroked="f" strokeweight="1pt">
                      <v:textbox>
                        <w:txbxContent>
                          <w:p w:rsidR="000F6151" w:rsidRDefault="000F6151" w:rsidP="001C43D0">
                            <w:pPr>
                              <w:jc w:val="center"/>
                              <w:rPr>
                                <w:lang w:val="uk-UA"/>
                              </w:rPr>
                            </w:pPr>
                            <w:r>
                              <w:rPr>
                                <w:rFonts w:hint="eastAsia"/>
                                <w:lang w:val="uk-UA"/>
                              </w:rPr>
                              <w:t>б</w:t>
                            </w:r>
                          </w:p>
                        </w:txbxContent>
                      </v:textbox>
                    </v:rect>
                  </w:pict>
                </mc:Fallback>
              </mc:AlternateContent>
            </w:r>
            <w:r w:rsidRPr="00CE0A20">
              <w:rPr>
                <w:rFonts w:ascii="Times New Roman" w:hAnsi="Times New Roman" w:cs="Times New Roman"/>
                <w:noProof/>
                <w:sz w:val="28"/>
                <w:szCs w:val="28"/>
              </w:rPr>
              <w:drawing>
                <wp:inline distT="0" distB="0" distL="0" distR="0" wp14:anchorId="717BDF2D" wp14:editId="382DABE6">
                  <wp:extent cx="3009900" cy="2184400"/>
                  <wp:effectExtent l="0" t="0" r="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57">
                            <a:lum bright="-6000" contrast="24000"/>
                            <a:extLst>
                              <a:ext uri="{28A0092B-C50C-407E-A947-70E740481C1C}">
                                <a14:useLocalDpi xmlns:a14="http://schemas.microsoft.com/office/drawing/2010/main" val="0"/>
                              </a:ext>
                            </a:extLst>
                          </a:blip>
                          <a:srcRect/>
                          <a:stretch>
                            <a:fillRect/>
                          </a:stretch>
                        </pic:blipFill>
                        <pic:spPr bwMode="auto">
                          <a:xfrm>
                            <a:off x="0" y="0"/>
                            <a:ext cx="3009900" cy="2184400"/>
                          </a:xfrm>
                          <a:prstGeom prst="rect">
                            <a:avLst/>
                          </a:prstGeom>
                          <a:noFill/>
                          <a:ln>
                            <a:noFill/>
                          </a:ln>
                        </pic:spPr>
                      </pic:pic>
                    </a:graphicData>
                  </a:graphic>
                </wp:inline>
              </w:drawing>
            </w:r>
          </w:p>
        </w:tc>
      </w:tr>
    </w:tbl>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3.44. Яєчко щурів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150 мкг/100 г : а – масивн</w:t>
      </w:r>
      <w:r w:rsidR="006D4007" w:rsidRPr="00CE0A20">
        <w:rPr>
          <w:rFonts w:ascii="Times New Roman" w:hAnsi="Times New Roman" w:cs="Times New Roman"/>
          <w:sz w:val="28"/>
          <w:szCs w:val="28"/>
          <w:lang w:val="uk-UA"/>
        </w:rPr>
        <w:t>а</w:t>
      </w:r>
      <w:r w:rsidRPr="00CE0A20">
        <w:rPr>
          <w:rFonts w:ascii="Times New Roman" w:hAnsi="Times New Roman" w:cs="Times New Roman"/>
          <w:sz w:val="28"/>
          <w:szCs w:val="28"/>
          <w:lang w:val="uk-UA"/>
        </w:rPr>
        <w:t xml:space="preserve"> </w:t>
      </w:r>
      <w:r w:rsidR="006D4007" w:rsidRPr="00CE0A20">
        <w:rPr>
          <w:rFonts w:ascii="Times New Roman" w:hAnsi="Times New Roman" w:cs="Times New Roman"/>
          <w:sz w:val="28"/>
          <w:szCs w:val="28"/>
          <w:lang w:val="uk-UA"/>
        </w:rPr>
        <w:t xml:space="preserve">проліферація клітин Лейдіга; б –  вакуолізація цитоплазми клітин </w:t>
      </w:r>
      <w:r w:rsidRPr="00CE0A20">
        <w:rPr>
          <w:rFonts w:ascii="Times New Roman" w:hAnsi="Times New Roman" w:cs="Times New Roman"/>
          <w:sz w:val="28"/>
          <w:szCs w:val="28"/>
          <w:lang w:val="uk-UA"/>
        </w:rPr>
        <w:t>(зб.х400). Гематоксилін-еозин</w:t>
      </w:r>
      <w:r w:rsidR="004C1F95">
        <w:rPr>
          <w:rFonts w:ascii="Times New Roman" w:hAnsi="Times New Roman" w:cs="Times New Roman"/>
          <w:sz w:val="28"/>
          <w:szCs w:val="28"/>
          <w:lang w:val="uk-UA"/>
        </w:rPr>
        <w:t>.</w:t>
      </w:r>
      <w:r w:rsidRPr="00CE0A20">
        <w:rPr>
          <w:rFonts w:ascii="Times New Roman" w:hAnsi="Times New Roman" w:cs="Times New Roman"/>
          <w:sz w:val="28"/>
          <w:szCs w:val="28"/>
          <w:lang w:val="uk-UA"/>
        </w:rPr>
        <w:t xml:space="preserve"> </w:t>
      </w:r>
    </w:p>
    <w:p w:rsidR="001C43D0" w:rsidRPr="00CE0A20" w:rsidRDefault="001C43D0" w:rsidP="001C43D0">
      <w:pPr>
        <w:spacing w:line="360" w:lineRule="auto"/>
        <w:ind w:firstLine="720"/>
        <w:jc w:val="both"/>
        <w:rPr>
          <w:rFonts w:ascii="Times New Roman" w:hAnsi="Times New Roman" w:cs="Times New Roman"/>
          <w:sz w:val="28"/>
          <w:szCs w:val="28"/>
          <w:lang w:val="uk-UA"/>
        </w:rPr>
      </w:pPr>
    </w:p>
    <w:p w:rsidR="00DD101F" w:rsidRPr="00CE0A20" w:rsidRDefault="00DD101F" w:rsidP="001C43D0">
      <w:pPr>
        <w:spacing w:line="360" w:lineRule="auto"/>
        <w:ind w:firstLine="720"/>
        <w:jc w:val="both"/>
        <w:rPr>
          <w:rFonts w:ascii="Times New Roman" w:hAnsi="Times New Roman" w:cs="Times New Roman"/>
          <w:sz w:val="28"/>
          <w:szCs w:val="28"/>
          <w:lang w:val="uk-UA"/>
        </w:rPr>
      </w:pPr>
    </w:p>
    <w:p w:rsidR="001C43D0" w:rsidRPr="00CE0A20" w:rsidRDefault="001C43D0" w:rsidP="001C43D0">
      <w:pPr>
        <w:spacing w:line="360" w:lineRule="auto"/>
        <w:ind w:firstLine="72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У передміхуровій залозі цих самців протягом усього періоду спостереження простежено кістозне розширення ацинусів (рис. 3.45), іноді зменшення висоти (сплощення) клітин. У багатьох ацинусах спостерігається виразна вакуолізація цитоплазми епітеліальних клітин (3.46). Епітелій стає багаторядним. Ці ознаки свідчать про функціональну недостатність, зниження функціональної активності передміхурової залози тварин. </w:t>
      </w:r>
    </w:p>
    <w:p w:rsidR="00DD101F" w:rsidRPr="00CE0A20" w:rsidRDefault="00DD101F" w:rsidP="001C43D0">
      <w:pPr>
        <w:spacing w:line="360" w:lineRule="auto"/>
        <w:ind w:firstLine="720"/>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4B285545" wp14:editId="655C132D">
            <wp:extent cx="4107025" cy="3379304"/>
            <wp:effectExtent l="0" t="0" r="8255" b="0"/>
            <wp:docPr id="22" name="Рисунок 22" descr="Описание: пж1-4-1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descr="Описание: пж1-4-1а"/>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108795" cy="3380760"/>
                    </a:xfrm>
                    <a:prstGeom prst="rect">
                      <a:avLst/>
                    </a:prstGeom>
                    <a:noFill/>
                    <a:ln>
                      <a:noFill/>
                    </a:ln>
                  </pic:spPr>
                </pic:pic>
              </a:graphicData>
            </a:graphic>
          </wp:inline>
        </w:drawing>
      </w:r>
    </w:p>
    <w:p w:rsidR="00DD101F" w:rsidRPr="00CE0A20" w:rsidRDefault="00DD101F" w:rsidP="001C43D0">
      <w:pPr>
        <w:spacing w:line="360" w:lineRule="auto"/>
        <w:jc w:val="center"/>
        <w:rPr>
          <w:rFonts w:ascii="Times New Roman" w:hAnsi="Times New Roman" w:cs="Times New Roman"/>
          <w:sz w:val="28"/>
          <w:szCs w:val="28"/>
          <w:lang w:val="uk-UA"/>
        </w:rPr>
      </w:pP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3.45. Вентральна частка передміхурової залози щурів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150 мкг/100 г: кістозне розширення ацинусу (зб.х100). Гематоксилін-еозин</w:t>
      </w:r>
      <w:r w:rsidR="004C1F95">
        <w:rPr>
          <w:rFonts w:ascii="Times New Roman" w:hAnsi="Times New Roman" w:cs="Times New Roman"/>
          <w:sz w:val="28"/>
          <w:szCs w:val="28"/>
          <w:lang w:val="uk-UA"/>
        </w:rPr>
        <w:t>.</w:t>
      </w:r>
    </w:p>
    <w:p w:rsidR="00DD101F" w:rsidRPr="00CE0A20" w:rsidRDefault="00DD101F" w:rsidP="00DD101F">
      <w:pPr>
        <w:spacing w:line="360" w:lineRule="auto"/>
        <w:ind w:firstLine="900"/>
        <w:jc w:val="both"/>
        <w:rPr>
          <w:rFonts w:ascii="Times New Roman" w:hAnsi="Times New Roman" w:cs="Times New Roman"/>
          <w:sz w:val="28"/>
          <w:szCs w:val="28"/>
          <w:lang w:val="uk-UA"/>
        </w:rPr>
      </w:pPr>
    </w:p>
    <w:p w:rsidR="00DD101F" w:rsidRPr="00CE0A20" w:rsidRDefault="00DD101F" w:rsidP="00DD101F">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Після внутрішньоочеревинного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200 мкг/100 г мас</w:t>
      </w:r>
      <w:r w:rsidR="00885BC3">
        <w:rPr>
          <w:rFonts w:ascii="Times New Roman" w:hAnsi="Times New Roman" w:cs="Times New Roman"/>
          <w:sz w:val="28"/>
          <w:szCs w:val="28"/>
          <w:lang w:val="uk-UA"/>
        </w:rPr>
        <w:t>и тіла у тварин, що вижили на 7-му</w:t>
      </w:r>
      <w:r w:rsidRPr="00CE0A20">
        <w:rPr>
          <w:rFonts w:ascii="Times New Roman" w:hAnsi="Times New Roman" w:cs="Times New Roman"/>
          <w:sz w:val="28"/>
          <w:szCs w:val="28"/>
          <w:lang w:val="uk-UA"/>
        </w:rPr>
        <w:t xml:space="preserve"> </w:t>
      </w:r>
      <w:r w:rsidR="00885BC3">
        <w:rPr>
          <w:rFonts w:ascii="Times New Roman" w:hAnsi="Times New Roman" w:cs="Times New Roman"/>
          <w:sz w:val="28"/>
          <w:szCs w:val="28"/>
          <w:lang w:val="uk-UA"/>
        </w:rPr>
        <w:t>добу</w:t>
      </w:r>
      <w:r w:rsidRPr="00CE0A20">
        <w:rPr>
          <w:rFonts w:ascii="Times New Roman" w:hAnsi="Times New Roman" w:cs="Times New Roman"/>
          <w:sz w:val="28"/>
          <w:szCs w:val="28"/>
          <w:lang w:val="uk-UA"/>
        </w:rPr>
        <w:t xml:space="preserve"> експерименту, мікроскопічно виявлено майже тотальний некроз тестикулярної тканини (рис. 3.47). </w:t>
      </w:r>
    </w:p>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tabs>
          <w:tab w:val="left" w:pos="4968"/>
        </w:tabs>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1858A0C2" wp14:editId="1B1BEC2D">
            <wp:extent cx="4002226" cy="3220279"/>
            <wp:effectExtent l="0" t="0" r="0" b="0"/>
            <wp:docPr id="21" name="Рисунок 21" descr="Описание: Е13пж-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descr="Описание: Е13пж-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003688" cy="3221456"/>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3.46. Вентральна </w:t>
      </w:r>
      <w:r w:rsidRPr="00CE0A20">
        <w:rPr>
          <w:rFonts w:ascii="Times New Roman" w:hAnsi="Times New Roman" w:cs="Times New Roman"/>
          <w:color w:val="auto"/>
          <w:sz w:val="28"/>
          <w:szCs w:val="28"/>
          <w:lang w:val="uk-UA"/>
        </w:rPr>
        <w:t>частка передміхурової</w:t>
      </w:r>
      <w:r w:rsidRPr="00CE0A20">
        <w:rPr>
          <w:rFonts w:ascii="Times New Roman" w:hAnsi="Times New Roman" w:cs="Times New Roman"/>
          <w:sz w:val="28"/>
          <w:szCs w:val="28"/>
          <w:lang w:val="uk-UA"/>
        </w:rPr>
        <w:t xml:space="preserve"> залози щурів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150 мкг/100 г: вакуолізація та проліферація епітеліальних клітин (зб.х400). 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900"/>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19402895" wp14:editId="4D619260">
            <wp:extent cx="3220278" cy="3868108"/>
            <wp:effectExtent l="0" t="0" r="0" b="0"/>
            <wp:docPr id="20" name="Рисунок 20" descr="Описание: Е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descr="Описание: Е11-1-8"/>
                    <pic:cNvPicPr>
                      <a:picLocks noChangeAspect="1" noChangeArrowheads="1"/>
                    </pic:cNvPicPr>
                  </pic:nvPicPr>
                  <pic:blipFill>
                    <a:blip r:embed="rId60">
                      <a:lum contrast="30000"/>
                      <a:extLst>
                        <a:ext uri="{28A0092B-C50C-407E-A947-70E740481C1C}">
                          <a14:useLocalDpi xmlns:a14="http://schemas.microsoft.com/office/drawing/2010/main" val="0"/>
                        </a:ext>
                      </a:extLst>
                    </a:blip>
                    <a:srcRect/>
                    <a:stretch>
                      <a:fillRect/>
                    </a:stretch>
                  </pic:blipFill>
                  <pic:spPr bwMode="auto">
                    <a:xfrm>
                      <a:off x="0" y="0"/>
                      <a:ext cx="3235210" cy="3886044"/>
                    </a:xfrm>
                    <a:prstGeom prst="rect">
                      <a:avLst/>
                    </a:prstGeom>
                    <a:noFill/>
                    <a:ln>
                      <a:noFill/>
                    </a:ln>
                  </pic:spPr>
                </pic:pic>
              </a:graphicData>
            </a:graphic>
          </wp:inline>
        </w:drawing>
      </w:r>
    </w:p>
    <w:p w:rsidR="004C1F95" w:rsidRDefault="001C43D0" w:rsidP="004C1F95">
      <w:pPr>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3.47. Яєчко щурів на </w:t>
      </w:r>
      <w:r w:rsidR="00D564C4" w:rsidRPr="00CE0A20">
        <w:rPr>
          <w:rFonts w:ascii="Times New Roman" w:hAnsi="Times New Roman" w:cs="Times New Roman"/>
          <w:sz w:val="28"/>
          <w:szCs w:val="28"/>
          <w:lang w:val="uk-UA"/>
        </w:rPr>
        <w:t xml:space="preserve">7-му добу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дозі 200 мкг/100 г: тотальний некроз сім'яних канальців.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4C1F95">
      <w:pPr>
        <w:spacing w:line="360" w:lineRule="auto"/>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Усі статеві клітини та клітини Сертолі загинули. Просвіт канальців суцільно заповнювала безструктурна маса детриту, який часто був просичений солями кальцію. Місцями помітно, що міжканальцево містилася ніжна фіброзна тканина, яка де-не-де заміщувала загиблі канальці (рис. 3.48). Клітини Лейдіга також часто гинули, але місцями можна побачити їхні проліферати. Ядра дрібні, тьмяні, хроматинова зернистість відсутня (рис. 3.49). </w:t>
      </w: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 вентральній частці передміхурової залози ацинуси простатичних залозок часто діжкоподібно розширені. Епітелій, що вистилає стінки ацинусів, дуже потужно проліферує. Навіть при збереженні однорядності розташування виразно збільшена чисельність клітин у ряді – прояв виразного зменшення функціональної активності залози (рис. 3.50).</w:t>
      </w:r>
    </w:p>
    <w:p w:rsidR="00DD101F" w:rsidRPr="00CE0A20" w:rsidRDefault="00DD101F" w:rsidP="001C43D0">
      <w:pPr>
        <w:spacing w:line="360" w:lineRule="auto"/>
        <w:ind w:firstLine="900"/>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33395A32" wp14:editId="3A460A87">
            <wp:extent cx="3117940" cy="3995530"/>
            <wp:effectExtent l="0" t="0" r="6350" b="5080"/>
            <wp:docPr id="19" name="Рисунок 19" descr="Описание: DSCN5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descr="Описание: DSCN5917"/>
                    <pic:cNvPicPr>
                      <a:picLocks noChangeAspect="1" noChangeArrowheads="1"/>
                    </pic:cNvPicPr>
                  </pic:nvPicPr>
                  <pic:blipFill>
                    <a:blip r:embed="rId61">
                      <a:lum contrast="18000"/>
                      <a:extLst>
                        <a:ext uri="{28A0092B-C50C-407E-A947-70E740481C1C}">
                          <a14:useLocalDpi xmlns:a14="http://schemas.microsoft.com/office/drawing/2010/main" val="0"/>
                        </a:ext>
                      </a:extLst>
                    </a:blip>
                    <a:srcRect/>
                    <a:stretch>
                      <a:fillRect/>
                    </a:stretch>
                  </pic:blipFill>
                  <pic:spPr bwMode="auto">
                    <a:xfrm>
                      <a:off x="0" y="0"/>
                      <a:ext cx="3116005" cy="3993051"/>
                    </a:xfrm>
                    <a:prstGeom prst="rect">
                      <a:avLst/>
                    </a:prstGeom>
                    <a:noFill/>
                    <a:ln>
                      <a:noFill/>
                    </a:ln>
                  </pic:spPr>
                </pic:pic>
              </a:graphicData>
            </a:graphic>
          </wp:inline>
        </w:drawing>
      </w:r>
    </w:p>
    <w:p w:rsidR="004C1F95" w:rsidRDefault="001C43D0" w:rsidP="004C1F95">
      <w:pPr>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3.48. Яєчко щурів на </w:t>
      </w:r>
      <w:r w:rsidR="00D564C4" w:rsidRPr="00CE0A20">
        <w:rPr>
          <w:rFonts w:ascii="Times New Roman" w:hAnsi="Times New Roman" w:cs="Times New Roman"/>
          <w:sz w:val="28"/>
          <w:szCs w:val="28"/>
          <w:lang w:val="uk-UA"/>
        </w:rPr>
        <w:t xml:space="preserve">7-му добу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200 мкг/100 г: фіброзна тканина заміщує загиблі канальці. </w:t>
      </w:r>
      <w:r w:rsidR="004C1F95">
        <w:rPr>
          <w:rFonts w:ascii="Times New Roman" w:hAnsi="Times New Roman" w:cs="Times New Roman"/>
          <w:sz w:val="28"/>
          <w:szCs w:val="28"/>
          <w:lang w:val="uk-UA"/>
        </w:rPr>
        <w:t>(з</w:t>
      </w:r>
      <w:r w:rsidR="004C1F95" w:rsidRPr="00CE0A20">
        <w:rPr>
          <w:rFonts w:ascii="Times New Roman" w:hAnsi="Times New Roman" w:cs="Times New Roman"/>
          <w:sz w:val="28"/>
          <w:szCs w:val="28"/>
          <w:lang w:val="uk-UA"/>
        </w:rPr>
        <w:t>б.х100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4C1F95" w:rsidRDefault="004C1F95" w:rsidP="004C1F95">
      <w:pPr>
        <w:spacing w:line="276" w:lineRule="auto"/>
        <w:ind w:firstLine="708"/>
        <w:jc w:val="both"/>
        <w:rPr>
          <w:rFonts w:ascii="Times New Roman" w:hAnsi="Times New Roman" w:cs="Times New Roman"/>
          <w:sz w:val="28"/>
          <w:szCs w:val="28"/>
          <w:lang w:val="uk-UA"/>
        </w:rPr>
      </w:pPr>
    </w:p>
    <w:p w:rsidR="001C43D0" w:rsidRPr="00CE0A20" w:rsidRDefault="001C43D0" w:rsidP="004C1F95">
      <w:pPr>
        <w:spacing w:line="276"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79901768" wp14:editId="27DEFCF9">
            <wp:extent cx="2800350" cy="36957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62">
                      <a:lum contrast="18000"/>
                      <a:extLst>
                        <a:ext uri="{28A0092B-C50C-407E-A947-70E740481C1C}">
                          <a14:useLocalDpi xmlns:a14="http://schemas.microsoft.com/office/drawing/2010/main" val="0"/>
                        </a:ext>
                      </a:extLst>
                    </a:blip>
                    <a:srcRect/>
                    <a:stretch>
                      <a:fillRect/>
                    </a:stretch>
                  </pic:blipFill>
                  <pic:spPr bwMode="auto">
                    <a:xfrm>
                      <a:off x="0" y="0"/>
                      <a:ext cx="2800350" cy="3695700"/>
                    </a:xfrm>
                    <a:prstGeom prst="rect">
                      <a:avLst/>
                    </a:prstGeom>
                    <a:noFill/>
                    <a:ln>
                      <a:noFill/>
                    </a:ln>
                  </pic:spPr>
                </pic:pic>
              </a:graphicData>
            </a:graphic>
          </wp:inline>
        </w:drawing>
      </w:r>
    </w:p>
    <w:p w:rsidR="004C1F95" w:rsidRDefault="001C43D0" w:rsidP="004C1F95">
      <w:pPr>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Рис. 3.49. Яєчко щурів на 7-</w:t>
      </w:r>
      <w:r w:rsidR="00D564C4" w:rsidRPr="00CE0A20">
        <w:rPr>
          <w:rFonts w:ascii="Times New Roman" w:hAnsi="Times New Roman" w:cs="Times New Roman"/>
          <w:sz w:val="28"/>
          <w:szCs w:val="28"/>
          <w:lang w:val="uk-UA"/>
        </w:rPr>
        <w:t>му добу</w:t>
      </w:r>
      <w:r w:rsidRPr="00CE0A20">
        <w:rPr>
          <w:rFonts w:ascii="Times New Roman" w:hAnsi="Times New Roman" w:cs="Times New Roman"/>
          <w:sz w:val="28"/>
          <w:szCs w:val="28"/>
          <w:lang w:val="uk-UA"/>
        </w:rPr>
        <w:t xml:space="preserve">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дозою 200 мкг/100 г: проліферат клітин Лейдіга з дрібними, тьмяними ядрами. </w:t>
      </w:r>
      <w:r w:rsidR="004C1F95">
        <w:rPr>
          <w:rFonts w:ascii="Times New Roman" w:hAnsi="Times New Roman" w:cs="Times New Roman"/>
          <w:sz w:val="28"/>
          <w:szCs w:val="28"/>
          <w:lang w:val="uk-UA"/>
        </w:rPr>
        <w:t>(з</w:t>
      </w:r>
      <w:r w:rsidR="004C1F95">
        <w:rPr>
          <w:rFonts w:ascii="Times New Roman" w:hAnsi="Times New Roman" w:cs="Times New Roman"/>
          <w:sz w:val="28"/>
          <w:szCs w:val="28"/>
          <w:lang w:val="uk-UA"/>
        </w:rPr>
        <w:t>б.х25</w:t>
      </w:r>
      <w:r w:rsidR="004C1F95" w:rsidRPr="00CE0A20">
        <w:rPr>
          <w:rFonts w:ascii="Times New Roman" w:hAnsi="Times New Roman" w:cs="Times New Roman"/>
          <w:sz w:val="28"/>
          <w:szCs w:val="28"/>
          <w:lang w:val="uk-UA"/>
        </w:rPr>
        <w:t>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276"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jc w:val="both"/>
        <w:rPr>
          <w:rFonts w:ascii="Times New Roman" w:hAnsi="Times New Roman" w:cs="Times New Roman"/>
          <w:sz w:val="28"/>
          <w:szCs w:val="28"/>
          <w:lang w:val="uk-UA"/>
        </w:rPr>
      </w:pPr>
    </w:p>
    <w:p w:rsidR="001C43D0" w:rsidRPr="00CE0A20" w:rsidRDefault="001C43D0" w:rsidP="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noProof/>
          <w:sz w:val="28"/>
          <w:szCs w:val="28"/>
        </w:rPr>
        <w:drawing>
          <wp:inline distT="0" distB="0" distL="0" distR="0" wp14:anchorId="1345670B" wp14:editId="688EC418">
            <wp:extent cx="4381500" cy="3232150"/>
            <wp:effectExtent l="0" t="0" r="0" b="6350"/>
            <wp:docPr id="17" name="Рисунок 17" descr="Описание: DSCN5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descr="Описание: DSCN591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381500" cy="3232150"/>
                    </a:xfrm>
                    <a:prstGeom prst="rect">
                      <a:avLst/>
                    </a:prstGeom>
                    <a:noFill/>
                    <a:ln>
                      <a:noFill/>
                    </a:ln>
                  </pic:spPr>
                </pic:pic>
              </a:graphicData>
            </a:graphic>
          </wp:inline>
        </w:drawing>
      </w:r>
    </w:p>
    <w:p w:rsidR="004C1F95" w:rsidRDefault="001C43D0" w:rsidP="004C1F95">
      <w:pPr>
        <w:ind w:firstLine="708"/>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Рис. 3.50. Вентральна частка передміхурової залози щура на </w:t>
      </w:r>
      <w:r w:rsidR="00D564C4" w:rsidRPr="00CE0A20">
        <w:rPr>
          <w:rFonts w:ascii="Times New Roman" w:hAnsi="Times New Roman" w:cs="Times New Roman"/>
          <w:sz w:val="28"/>
          <w:szCs w:val="28"/>
          <w:lang w:val="uk-UA"/>
        </w:rPr>
        <w:t xml:space="preserve">7-му добу </w:t>
      </w: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дозі 200 мкг/100 г. Проліферація епітелію </w:t>
      </w:r>
      <w:r w:rsidRPr="00CE0A20">
        <w:rPr>
          <w:rFonts w:ascii="Times New Roman" w:hAnsi="Times New Roman" w:cs="Times New Roman"/>
          <w:sz w:val="28"/>
          <w:szCs w:val="28"/>
          <w:highlight w:val="cyan"/>
          <w:lang w:val="uk-UA"/>
        </w:rPr>
        <w:t>в</w:t>
      </w:r>
      <w:r w:rsidRPr="00CE0A20">
        <w:rPr>
          <w:rFonts w:ascii="Times New Roman" w:hAnsi="Times New Roman" w:cs="Times New Roman"/>
          <w:sz w:val="28"/>
          <w:szCs w:val="28"/>
          <w:lang w:val="uk-UA"/>
        </w:rPr>
        <w:t xml:space="preserve"> стінці ацинусів. </w:t>
      </w:r>
      <w:r w:rsidR="004C1F95">
        <w:rPr>
          <w:rFonts w:ascii="Times New Roman" w:hAnsi="Times New Roman" w:cs="Times New Roman"/>
          <w:sz w:val="28"/>
          <w:szCs w:val="28"/>
          <w:lang w:val="uk-UA"/>
        </w:rPr>
        <w:t>(з</w:t>
      </w:r>
      <w:r w:rsidR="004C1F95">
        <w:rPr>
          <w:rFonts w:ascii="Times New Roman" w:hAnsi="Times New Roman" w:cs="Times New Roman"/>
          <w:sz w:val="28"/>
          <w:szCs w:val="28"/>
          <w:lang w:val="uk-UA"/>
        </w:rPr>
        <w:t>б.х4</w:t>
      </w:r>
      <w:r w:rsidR="004C1F95" w:rsidRPr="00CE0A20">
        <w:rPr>
          <w:rFonts w:ascii="Times New Roman" w:hAnsi="Times New Roman" w:cs="Times New Roman"/>
          <w:sz w:val="28"/>
          <w:szCs w:val="28"/>
          <w:lang w:val="uk-UA"/>
        </w:rPr>
        <w:t>00</w:t>
      </w:r>
      <w:r w:rsidR="004C1F95">
        <w:rPr>
          <w:rFonts w:ascii="Times New Roman" w:hAnsi="Times New Roman" w:cs="Times New Roman"/>
          <w:sz w:val="28"/>
          <w:szCs w:val="28"/>
          <w:lang w:val="uk-UA"/>
        </w:rPr>
        <w:t>)</w:t>
      </w:r>
      <w:r w:rsidR="004C1F95" w:rsidRPr="00CE0A20">
        <w:rPr>
          <w:rFonts w:ascii="Times New Roman" w:hAnsi="Times New Roman" w:cs="Times New Roman"/>
          <w:sz w:val="28"/>
          <w:szCs w:val="28"/>
          <w:lang w:val="uk-UA"/>
        </w:rPr>
        <w:t>.</w:t>
      </w:r>
      <w:r w:rsidR="004C1F95">
        <w:rPr>
          <w:rFonts w:ascii="Times New Roman" w:hAnsi="Times New Roman" w:cs="Times New Roman"/>
          <w:sz w:val="28"/>
          <w:szCs w:val="28"/>
          <w:lang w:val="uk-UA"/>
        </w:rPr>
        <w:t xml:space="preserve"> </w:t>
      </w:r>
      <w:r w:rsidR="004C1F95" w:rsidRPr="00CE0A20">
        <w:rPr>
          <w:rFonts w:ascii="Times New Roman" w:hAnsi="Times New Roman" w:cs="Times New Roman"/>
          <w:sz w:val="28"/>
          <w:szCs w:val="28"/>
          <w:lang w:val="uk-UA"/>
        </w:rPr>
        <w:t>Гематоксилін-еозин</w:t>
      </w:r>
      <w:r w:rsidR="004C1F95">
        <w:rPr>
          <w:rFonts w:ascii="Times New Roman" w:hAnsi="Times New Roman" w:cs="Times New Roman"/>
          <w:sz w:val="28"/>
          <w:szCs w:val="28"/>
          <w:lang w:val="uk-UA"/>
        </w:rPr>
        <w:t>.</w:t>
      </w:r>
    </w:p>
    <w:p w:rsidR="001C43D0" w:rsidRPr="00CE0A20" w:rsidRDefault="001C43D0" w:rsidP="001C43D0">
      <w:pPr>
        <w:spacing w:line="360" w:lineRule="auto"/>
        <w:ind w:firstLine="708"/>
        <w:jc w:val="both"/>
        <w:rPr>
          <w:rFonts w:ascii="Times New Roman" w:hAnsi="Times New Roman" w:cs="Times New Roman"/>
          <w:sz w:val="28"/>
          <w:szCs w:val="28"/>
          <w:lang w:val="uk-UA"/>
        </w:rPr>
      </w:pP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Подальше дослідження не здійснено у зв'язку зі 100% загибеллю тварин до 14-ого дня експерименту. </w:t>
      </w: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Підтвердженням отриманих у результаті гістологічних досліджень даних є аналіз морфометричних характеристик сперматогенного епітелію (табл. 3.4).</w:t>
      </w:r>
    </w:p>
    <w:p w:rsidR="00DD101F" w:rsidRPr="00CE0A20" w:rsidRDefault="00DD101F" w:rsidP="001C43D0">
      <w:pPr>
        <w:spacing w:line="360" w:lineRule="auto"/>
        <w:ind w:firstLine="851"/>
        <w:jc w:val="both"/>
        <w:rPr>
          <w:rFonts w:ascii="Times New Roman" w:hAnsi="Times New Roman" w:cs="Times New Roman"/>
          <w:sz w:val="28"/>
          <w:szCs w:val="28"/>
          <w:lang w:val="uk-UA"/>
        </w:rPr>
      </w:pPr>
    </w:p>
    <w:p w:rsidR="001C43D0" w:rsidRPr="00CE0A20" w:rsidRDefault="001C43D0" w:rsidP="001C43D0">
      <w:pPr>
        <w:spacing w:line="360" w:lineRule="auto"/>
        <w:ind w:firstLine="851"/>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Таблиця 3.4</w:t>
      </w:r>
      <w:r w:rsidRPr="00CE0A20">
        <w:rPr>
          <w:rFonts w:ascii="Times New Roman" w:hAnsi="Times New Roman" w:cs="Times New Roman"/>
          <w:sz w:val="28"/>
          <w:szCs w:val="28"/>
        </w:rPr>
        <w:t xml:space="preserve"> –</w:t>
      </w:r>
      <w:r w:rsidRPr="00CE0A20">
        <w:rPr>
          <w:rFonts w:ascii="Times New Roman" w:hAnsi="Times New Roman" w:cs="Times New Roman"/>
          <w:sz w:val="28"/>
          <w:szCs w:val="28"/>
          <w:lang w:val="uk-UA"/>
        </w:rPr>
        <w:t xml:space="preserve"> Морфометричні показники стану сперматогенного епітелію</w:t>
      </w:r>
    </w:p>
    <w:tbl>
      <w:tblPr>
        <w:tblW w:w="975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35"/>
        <w:gridCol w:w="1701"/>
        <w:gridCol w:w="1843"/>
        <w:gridCol w:w="1986"/>
        <w:gridCol w:w="1985"/>
      </w:tblGrid>
      <w:tr w:rsidR="001C43D0" w:rsidRPr="00CE0A20" w:rsidTr="001C43D0">
        <w:trPr>
          <w:trHeight w:val="405"/>
        </w:trPr>
        <w:tc>
          <w:tcPr>
            <w:tcW w:w="223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Група експеримен</w:t>
            </w:r>
            <w:r w:rsidRPr="00CE0A20">
              <w:rPr>
                <w:rFonts w:ascii="Times New Roman" w:hAnsi="Times New Roman" w:cs="Times New Roman"/>
                <w:sz w:val="28"/>
                <w:szCs w:val="28"/>
                <w:lang w:val="uk-UA"/>
              </w:rPr>
              <w:softHyphen/>
              <w:t>тальних тварин</w:t>
            </w:r>
          </w:p>
        </w:tc>
        <w:tc>
          <w:tcPr>
            <w:tcW w:w="7512"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Досліджуваний показник</w:t>
            </w:r>
          </w:p>
        </w:tc>
      </w:tr>
      <w:tr w:rsidR="001C43D0" w:rsidRPr="00CE0A20" w:rsidTr="001C43D0">
        <w:tc>
          <w:tcPr>
            <w:tcW w:w="9747" w:type="dxa"/>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КНС, абс.</w:t>
            </w:r>
          </w:p>
        </w:tc>
        <w:tc>
          <w:tcPr>
            <w:tcW w:w="1842" w:type="dxa"/>
            <w:tcBorders>
              <w:top w:val="single" w:sz="4" w:space="0" w:color="auto"/>
              <w:left w:val="single" w:sz="4" w:space="0" w:color="auto"/>
              <w:bottom w:val="single" w:sz="4" w:space="0" w:color="auto"/>
              <w:right w:val="single" w:sz="4" w:space="0" w:color="auto"/>
            </w:tcBorders>
            <w:shd w:val="clear" w:color="auto" w:fill="FFFFFF"/>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КЗК-ЗСЕ, %</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КЗК- 12СМ, %</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ІС, бали</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1-а група (конт</w:t>
            </w:r>
            <w:r w:rsidRPr="00CE0A20">
              <w:rPr>
                <w:rFonts w:ascii="Times New Roman" w:hAnsi="Times New Roman" w:cs="Times New Roman"/>
                <w:sz w:val="28"/>
                <w:szCs w:val="28"/>
                <w:lang w:val="uk-UA"/>
              </w:rPr>
              <w:softHyphen/>
              <w:t>рольна) (n=6)</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52,8±3,5</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5,0±0,6</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0,33±0,51</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3,34±0,02</w:t>
            </w:r>
          </w:p>
        </w:tc>
      </w:tr>
      <w:tr w:rsidR="001C43D0" w:rsidRPr="00CE0A20" w:rsidTr="001C43D0">
        <w:tc>
          <w:tcPr>
            <w:tcW w:w="9747"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на 7-му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(n=6)</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46,7±4,2</w:t>
            </w:r>
            <w:r w:rsidRPr="00CE0A20">
              <w:rPr>
                <w:rFonts w:ascii="Times New Roman" w:hAnsi="Times New Roman" w:cs="Times New Roman"/>
                <w:sz w:val="28"/>
                <w:szCs w:val="28"/>
                <w:vertAlign w:val="superscript"/>
                <w:lang w:val="uk-UA"/>
              </w:rPr>
              <w:t>1</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3,2±1,6</w:t>
            </w:r>
            <w:r w:rsidRPr="00CE0A20">
              <w:rPr>
                <w:rFonts w:ascii="Times New Roman" w:hAnsi="Times New Roman" w:cs="Times New Roman"/>
                <w:sz w:val="28"/>
                <w:szCs w:val="28"/>
                <w:vertAlign w:val="superscript"/>
                <w:lang w:val="uk-UA"/>
              </w:rPr>
              <w:t>1</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0,5±0,5</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2,67±0,23</w:t>
            </w:r>
            <w:r w:rsidRPr="00CE0A20">
              <w:rPr>
                <w:rFonts w:ascii="Times New Roman" w:hAnsi="Times New Roman" w:cs="Times New Roman"/>
                <w:sz w:val="28"/>
                <w:szCs w:val="28"/>
                <w:vertAlign w:val="superscript"/>
                <w:lang w:val="uk-UA"/>
              </w:rPr>
              <w:t>1</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(n=6)</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21,8±1,2</w:t>
            </w:r>
            <w:r w:rsidRPr="00CE0A20">
              <w:rPr>
                <w:rFonts w:ascii="Times New Roman" w:hAnsi="Times New Roman" w:cs="Times New Roman"/>
                <w:sz w:val="28"/>
                <w:szCs w:val="28"/>
                <w:vertAlign w:val="superscript"/>
                <w:lang w:val="uk-UA"/>
              </w:rPr>
              <w:t>1</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1,70±0,12</w:t>
            </w:r>
            <w:r w:rsidRPr="00CE0A20">
              <w:rPr>
                <w:rFonts w:ascii="Times New Roman" w:hAnsi="Times New Roman" w:cs="Times New Roman"/>
                <w:sz w:val="28"/>
                <w:szCs w:val="28"/>
                <w:vertAlign w:val="superscript"/>
                <w:lang w:val="uk-UA"/>
              </w:rPr>
              <w:t>1</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(n=6)</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0,2±0,2</w:t>
            </w:r>
            <w:r w:rsidRPr="00CE0A20">
              <w:rPr>
                <w:rFonts w:ascii="Times New Roman" w:hAnsi="Times New Roman" w:cs="Times New Roman"/>
                <w:sz w:val="28"/>
                <w:szCs w:val="28"/>
                <w:vertAlign w:val="superscript"/>
                <w:lang w:val="uk-UA"/>
              </w:rPr>
              <w:t>1</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0,06±0,12</w:t>
            </w:r>
            <w:r w:rsidRPr="00CE0A20">
              <w:rPr>
                <w:rFonts w:ascii="Times New Roman" w:hAnsi="Times New Roman" w:cs="Times New Roman"/>
                <w:sz w:val="28"/>
                <w:szCs w:val="28"/>
                <w:vertAlign w:val="superscript"/>
                <w:lang w:val="uk-UA"/>
              </w:rPr>
              <w:t>1</w:t>
            </w:r>
          </w:p>
        </w:tc>
      </w:tr>
      <w:tr w:rsidR="001C43D0" w:rsidRPr="00CE0A20" w:rsidTr="001C43D0">
        <w:tc>
          <w:tcPr>
            <w:tcW w:w="9747"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на 14-ту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50,7±0,9</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1,5±1,2</w:t>
            </w:r>
            <w:r w:rsidRPr="00CE0A20">
              <w:rPr>
                <w:rFonts w:ascii="Times New Roman" w:hAnsi="Times New Roman" w:cs="Times New Roman"/>
                <w:sz w:val="28"/>
                <w:szCs w:val="28"/>
                <w:vertAlign w:val="superscript"/>
                <w:lang w:val="uk-UA"/>
              </w:rPr>
              <w:t>1</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3,7±1,0</w:t>
            </w:r>
            <w:r w:rsidRPr="00CE0A20">
              <w:rPr>
                <w:rFonts w:ascii="Times New Roman" w:hAnsi="Times New Roman" w:cs="Times New Roman"/>
                <w:sz w:val="28"/>
                <w:szCs w:val="28"/>
                <w:vertAlign w:val="superscript"/>
                <w:lang w:val="uk-UA"/>
              </w:rPr>
              <w:t>1</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3,17±0,04</w:t>
            </w:r>
            <w:r w:rsidRPr="00CE0A20">
              <w:rPr>
                <w:rFonts w:ascii="Times New Roman" w:hAnsi="Times New Roman" w:cs="Times New Roman"/>
                <w:sz w:val="28"/>
                <w:szCs w:val="28"/>
                <w:vertAlign w:val="superscript"/>
                <w:lang w:val="uk-UA"/>
              </w:rPr>
              <w:t>1</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47,7±1,4</w:t>
            </w:r>
            <w:r w:rsidRPr="00CE0A20">
              <w:rPr>
                <w:rFonts w:ascii="Times New Roman" w:hAnsi="Times New Roman" w:cs="Times New Roman"/>
                <w:sz w:val="28"/>
                <w:szCs w:val="28"/>
                <w:vertAlign w:val="superscript"/>
                <w:lang w:val="uk-UA"/>
              </w:rPr>
              <w:t>1,2</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3,0±0,9</w:t>
            </w:r>
            <w:r w:rsidRPr="00CE0A20">
              <w:rPr>
                <w:rFonts w:ascii="Times New Roman" w:hAnsi="Times New Roman" w:cs="Times New Roman"/>
                <w:sz w:val="28"/>
                <w:szCs w:val="28"/>
                <w:vertAlign w:val="superscript"/>
                <w:lang w:val="uk-UA"/>
              </w:rPr>
              <w:t>1,2</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3,7±1,0</w:t>
            </w:r>
            <w:r w:rsidRPr="00CE0A20">
              <w:rPr>
                <w:rFonts w:ascii="Times New Roman" w:hAnsi="Times New Roman" w:cs="Times New Roman"/>
                <w:sz w:val="28"/>
                <w:szCs w:val="28"/>
                <w:vertAlign w:val="superscript"/>
                <w:lang w:val="uk-UA"/>
              </w:rPr>
              <w:t>1,2</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2,92±0,12</w:t>
            </w:r>
            <w:r w:rsidRPr="00CE0A20">
              <w:rPr>
                <w:rFonts w:ascii="Times New Roman" w:hAnsi="Times New Roman" w:cs="Times New Roman"/>
                <w:sz w:val="28"/>
                <w:szCs w:val="28"/>
                <w:vertAlign w:val="superscript"/>
                <w:lang w:val="uk-UA"/>
              </w:rPr>
              <w:t>1</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0,2±0,2</w:t>
            </w:r>
            <w:r w:rsidRPr="00CE0A20">
              <w:rPr>
                <w:rFonts w:ascii="Times New Roman" w:hAnsi="Times New Roman" w:cs="Times New Roman"/>
                <w:sz w:val="28"/>
                <w:szCs w:val="28"/>
                <w:vertAlign w:val="superscript"/>
                <w:lang w:val="uk-UA"/>
              </w:rPr>
              <w:t>1</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0,02±0,03</w:t>
            </w:r>
            <w:r w:rsidRPr="00CE0A20">
              <w:rPr>
                <w:rFonts w:ascii="Times New Roman" w:hAnsi="Times New Roman" w:cs="Times New Roman"/>
                <w:sz w:val="28"/>
                <w:szCs w:val="28"/>
                <w:vertAlign w:val="superscript"/>
                <w:lang w:val="uk-UA"/>
              </w:rPr>
              <w:t>1</w:t>
            </w:r>
          </w:p>
        </w:tc>
      </w:tr>
      <w:tr w:rsidR="001C43D0" w:rsidRPr="00CE0A20" w:rsidTr="001C43D0">
        <w:tc>
          <w:tcPr>
            <w:tcW w:w="9747" w:type="dxa"/>
            <w:gridSpan w:val="5"/>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на 28-му добу після введення CdCI</w:t>
            </w:r>
            <w:r w:rsidRPr="00CE0A20">
              <w:rPr>
                <w:rFonts w:ascii="Times New Roman" w:hAnsi="Times New Roman" w:cs="Times New Roman"/>
                <w:sz w:val="28"/>
                <w:szCs w:val="28"/>
                <w:vertAlign w:val="subscript"/>
                <w:lang w:val="uk-UA"/>
              </w:rPr>
              <w:t>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2-а група (n=20)</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51,9±0,9</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1,0±1,1</w:t>
            </w:r>
            <w:r w:rsidRPr="00CE0A20">
              <w:rPr>
                <w:rFonts w:ascii="Times New Roman" w:hAnsi="Times New Roman" w:cs="Times New Roman"/>
                <w:sz w:val="28"/>
                <w:szCs w:val="28"/>
                <w:vertAlign w:val="superscript"/>
                <w:lang w:val="uk-UA"/>
              </w:rPr>
              <w:t>1</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4,2±0,7</w:t>
            </w:r>
            <w:r w:rsidRPr="00CE0A20">
              <w:rPr>
                <w:rFonts w:ascii="Times New Roman" w:hAnsi="Times New Roman" w:cs="Times New Roman"/>
                <w:sz w:val="28"/>
                <w:szCs w:val="28"/>
                <w:vertAlign w:val="superscript"/>
                <w:lang w:val="uk-UA"/>
              </w:rPr>
              <w:t>1</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3,33±0,02</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3-я група (n=20)</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48,3±1,8</w:t>
            </w:r>
            <w:r w:rsidRPr="00CE0A20">
              <w:rPr>
                <w:rFonts w:ascii="Times New Roman" w:hAnsi="Times New Roman" w:cs="Times New Roman"/>
                <w:sz w:val="28"/>
                <w:szCs w:val="28"/>
                <w:vertAlign w:val="superscript"/>
                <w:lang w:val="uk-UA"/>
              </w:rPr>
              <w:t>1</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3,2±0,7</w:t>
            </w:r>
            <w:r w:rsidRPr="00CE0A20">
              <w:rPr>
                <w:rFonts w:ascii="Times New Roman" w:hAnsi="Times New Roman" w:cs="Times New Roman"/>
                <w:sz w:val="28"/>
                <w:szCs w:val="28"/>
                <w:vertAlign w:val="superscript"/>
                <w:lang w:val="uk-UA"/>
              </w:rPr>
              <w:t>1</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3,3±1,0</w:t>
            </w:r>
            <w:r w:rsidRPr="00CE0A20">
              <w:rPr>
                <w:rFonts w:ascii="Times New Roman" w:hAnsi="Times New Roman" w:cs="Times New Roman"/>
                <w:sz w:val="28"/>
                <w:szCs w:val="28"/>
                <w:vertAlign w:val="superscript"/>
                <w:lang w:val="uk-UA"/>
              </w:rPr>
              <w:t>1</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3,19±0,02</w:t>
            </w:r>
            <w:r w:rsidRPr="00CE0A20">
              <w:rPr>
                <w:rFonts w:ascii="Times New Roman" w:hAnsi="Times New Roman" w:cs="Times New Roman"/>
                <w:sz w:val="28"/>
                <w:szCs w:val="28"/>
                <w:vertAlign w:val="superscript"/>
                <w:lang w:val="uk-UA"/>
              </w:rPr>
              <w:t>1</w:t>
            </w:r>
          </w:p>
        </w:tc>
      </w:tr>
      <w:tr w:rsidR="001C43D0" w:rsidRPr="00CE0A20" w:rsidTr="001C43D0">
        <w:tc>
          <w:tcPr>
            <w:tcW w:w="223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pPr>
              <w:rPr>
                <w:rFonts w:ascii="Times New Roman" w:hAnsi="Times New Roman" w:cs="Times New Roman"/>
                <w:sz w:val="28"/>
                <w:szCs w:val="28"/>
                <w:lang w:val="uk-UA"/>
              </w:rPr>
            </w:pPr>
            <w:r w:rsidRPr="00CE0A20">
              <w:rPr>
                <w:rFonts w:ascii="Times New Roman" w:hAnsi="Times New Roman" w:cs="Times New Roman"/>
                <w:sz w:val="28"/>
                <w:szCs w:val="28"/>
                <w:lang w:val="uk-UA"/>
              </w:rPr>
              <w:t>4-а група (n=20)</w:t>
            </w:r>
          </w:p>
        </w:tc>
        <w:tc>
          <w:tcPr>
            <w:tcW w:w="1701"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0,1±0,2</w:t>
            </w:r>
            <w:r w:rsidRPr="00CE0A20">
              <w:rPr>
                <w:rFonts w:ascii="Times New Roman" w:hAnsi="Times New Roman" w:cs="Times New Roman"/>
                <w:sz w:val="28"/>
                <w:szCs w:val="28"/>
                <w:vertAlign w:val="superscript"/>
                <w:lang w:val="uk-UA"/>
              </w:rPr>
              <w:t>1</w:t>
            </w:r>
          </w:p>
        </w:tc>
        <w:tc>
          <w:tcPr>
            <w:tcW w:w="1842"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w:t>
            </w:r>
          </w:p>
        </w:tc>
        <w:tc>
          <w:tcPr>
            <w:tcW w:w="198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0</w:t>
            </w:r>
          </w:p>
        </w:tc>
        <w:tc>
          <w:tcPr>
            <w:tcW w:w="1984"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line="360" w:lineRule="auto"/>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0,04±0,06</w:t>
            </w:r>
            <w:r w:rsidRPr="00CE0A20">
              <w:rPr>
                <w:rFonts w:ascii="Times New Roman" w:hAnsi="Times New Roman" w:cs="Times New Roman"/>
                <w:sz w:val="28"/>
                <w:szCs w:val="28"/>
                <w:vertAlign w:val="superscript"/>
                <w:lang w:val="uk-UA"/>
              </w:rPr>
              <w:t>1</w:t>
            </w:r>
          </w:p>
        </w:tc>
      </w:tr>
    </w:tbl>
    <w:p w:rsidR="001C43D0" w:rsidRPr="00CE0A20" w:rsidRDefault="001C43D0" w:rsidP="001C43D0">
      <w:pPr>
        <w:spacing w:line="360" w:lineRule="auto"/>
        <w:rPr>
          <w:rFonts w:ascii="Times New Roman" w:hAnsi="Times New Roman" w:cs="Times New Roman"/>
          <w:sz w:val="28"/>
          <w:szCs w:val="28"/>
          <w:lang w:val="uk-UA"/>
        </w:rPr>
      </w:pPr>
      <w:r w:rsidRPr="00CE0A20">
        <w:rPr>
          <w:rFonts w:ascii="Times New Roman" w:hAnsi="Times New Roman" w:cs="Times New Roman"/>
          <w:sz w:val="28"/>
          <w:szCs w:val="28"/>
          <w:lang w:val="uk-UA"/>
        </w:rPr>
        <w:t>Примітки. 1 – р &lt; 0,05 порівняно з контрольною групою за t-критерієм.</w:t>
      </w:r>
    </w:p>
    <w:p w:rsidR="001C43D0" w:rsidRPr="00CE0A20" w:rsidRDefault="001C43D0" w:rsidP="001C43D0">
      <w:pPr>
        <w:spacing w:line="360" w:lineRule="auto"/>
        <w:ind w:left="1843" w:hanging="425"/>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 2 – р &lt; 0,05 порівняно з попереднім терміном експерименту за парним критерієм Стьюдента.</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DD101F" w:rsidRPr="00CE0A20" w:rsidRDefault="00DD101F" w:rsidP="00DD101F">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В інтактній групі тварин середня кількість нормальних сперматогоніїв (КНС) становила (52,8±1,4) клітин (від 48,8 до 56,6), кількість звивистих канальців зі злущеним сперматогенним епітелієм (КЗК-ЗСЕ) – (5,0±0,3)% (від 4% до 6%), у метафазі 2-го поділу дозрівання (з 12-ю стадією мейозу) (КЗК-12СМ) – (0,33±0,21) % (від 0 до 1). Індекс сперматогенезу дорівнював (3,34±0,01) бала.</w:t>
      </w:r>
    </w:p>
    <w:p w:rsidR="00DD101F" w:rsidRPr="00CE0A20" w:rsidRDefault="00DD101F" w:rsidP="00DD101F">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 2-й групі експериментальних тварин на 7-у добу експерименту КНС на один каналець достовірно знизилася (р &lt; 0,05 за t-критерієм), на 14</w:t>
      </w:r>
      <w:r w:rsidRPr="00CE0A20">
        <w:rPr>
          <w:rFonts w:ascii="Times New Roman" w:hAnsi="Times New Roman" w:cs="Times New Roman"/>
          <w:sz w:val="28"/>
          <w:szCs w:val="28"/>
          <w:lang w:val="uk-UA"/>
        </w:rPr>
        <w:noBreakHyphen/>
        <w:t>ту добу та на 28-у добу їхня кількість поступово підвищилася, не відрізняючись від КНС у контрольній групі (</w:t>
      </w:r>
      <w:r w:rsidRPr="00CE0A20">
        <w:rPr>
          <w:rFonts w:ascii="Times New Roman" w:hAnsi="Times New Roman" w:cs="Times New Roman"/>
          <w:sz w:val="28"/>
          <w:szCs w:val="28"/>
          <w:lang w:val="en-US"/>
        </w:rPr>
        <w:t>p</w:t>
      </w:r>
      <w:r w:rsidRPr="00CE0A20">
        <w:rPr>
          <w:rFonts w:ascii="Times New Roman" w:hAnsi="Times New Roman" w:cs="Times New Roman"/>
          <w:sz w:val="28"/>
          <w:szCs w:val="28"/>
        </w:rPr>
        <w:t xml:space="preserve">&gt; 0,05 </w:t>
      </w:r>
      <w:r w:rsidRPr="00CE0A20">
        <w:rPr>
          <w:rFonts w:ascii="Times New Roman" w:hAnsi="Times New Roman" w:cs="Times New Roman"/>
          <w:sz w:val="28"/>
          <w:szCs w:val="28"/>
          <w:lang w:val="uk-UA"/>
        </w:rPr>
        <w:t>за t-критерієм). КЗК-ЗСЕ поступово зменшувалася та у всі терміни дослідження була достовірно меншою, ніж у групі інтактних тварин (р &lt; 0,05 за t-критерієм). КЗК-12СМ, навпаки, поступово збільшилася: на 7-у добу не достовірно, та на 14-у та 28-у добу достовірно (р &lt; 0,05 за t-критерієм). ІС на 7-у та 14-у добу був достовірно меншим, ніж у контрольній групі (р &lt; 0,05 за t-критерієм), а на 28-у добу не відрізнявся від контрольних значень (</w:t>
      </w:r>
      <w:r w:rsidRPr="00CE0A20">
        <w:rPr>
          <w:rFonts w:ascii="Times New Roman" w:hAnsi="Times New Roman" w:cs="Times New Roman"/>
          <w:sz w:val="28"/>
          <w:szCs w:val="28"/>
          <w:lang w:val="en-US"/>
        </w:rPr>
        <w:t>p</w:t>
      </w:r>
      <w:r w:rsidRPr="00CE0A20">
        <w:rPr>
          <w:rFonts w:ascii="Times New Roman" w:hAnsi="Times New Roman" w:cs="Times New Roman"/>
          <w:sz w:val="28"/>
          <w:szCs w:val="28"/>
        </w:rPr>
        <w:t xml:space="preserve">&gt; 0,05 </w:t>
      </w:r>
      <w:r w:rsidRPr="00CE0A20">
        <w:rPr>
          <w:rFonts w:ascii="Times New Roman" w:hAnsi="Times New Roman" w:cs="Times New Roman"/>
          <w:sz w:val="28"/>
          <w:szCs w:val="28"/>
          <w:lang w:val="uk-UA"/>
        </w:rPr>
        <w:t>за t-критерієм).</w:t>
      </w: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дозі 100 мкг/100 г ваги тварини (3-я група) КНС на 7-му добу експерименту знизилась майже вдвічі порівняно з контролем, але на 14-ту та 28-му добу значно зросла, хоч і не досягла контрольних значень (р &lt; 0,05 за t-критерієм). Звивисті канальці зі злущеним сперматогенним епітелієм та з 12-ою стадією мейозу на 7-му добу були відсутні, але з’явилися на 14-ту та на 28-му добу (р &lt; 0,05 за t-критерієм порівняно з контролем). ІС на 7-у добу достовірно знизився щодо контролю, підвищився на 14-ту добу, залишаючись достовірно нижчим за контрольні показники (р &lt; 0,05 за t-критерієм), та на 28-ту добу наблизився до показника інтактних тварин (</w:t>
      </w:r>
      <w:r w:rsidRPr="00CE0A20">
        <w:rPr>
          <w:rFonts w:ascii="Times New Roman" w:hAnsi="Times New Roman" w:cs="Times New Roman"/>
          <w:sz w:val="28"/>
          <w:szCs w:val="28"/>
          <w:lang w:val="en-US"/>
        </w:rPr>
        <w:t>p</w:t>
      </w:r>
      <w:r w:rsidRPr="00CE0A20">
        <w:rPr>
          <w:rFonts w:ascii="Times New Roman" w:hAnsi="Times New Roman" w:cs="Times New Roman"/>
          <w:sz w:val="28"/>
          <w:szCs w:val="28"/>
        </w:rPr>
        <w:t xml:space="preserve">&gt; 0,05 </w:t>
      </w:r>
      <w:r w:rsidRPr="00CE0A20">
        <w:rPr>
          <w:rFonts w:ascii="Times New Roman" w:hAnsi="Times New Roman" w:cs="Times New Roman"/>
          <w:sz w:val="28"/>
          <w:szCs w:val="28"/>
          <w:lang w:val="uk-UA"/>
        </w:rPr>
        <w:t>за t-критерієм).</w:t>
      </w: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У 4-й групі експериментальних тварин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в дозі 150 мкг/100 г ваги тварини) протягом усього експерименту лише в препаратах окремих тварин визначалися одиничні нормальні сперматогонії. Тобто вже на 7-му добу спостерігалися ознаки повного пригнічення сперматогенезу, і цей ефект був стабільним до 28-ої доби експерименту.</w:t>
      </w:r>
    </w:p>
    <w:p w:rsidR="001C43D0" w:rsidRPr="00CE0A20" w:rsidRDefault="001C43D0" w:rsidP="001C43D0">
      <w:pPr>
        <w:spacing w:line="360" w:lineRule="auto"/>
        <w:ind w:firstLine="900"/>
        <w:jc w:val="both"/>
        <w:rPr>
          <w:rFonts w:ascii="Times New Roman" w:hAnsi="Times New Roman" w:cs="Times New Roman"/>
          <w:sz w:val="28"/>
          <w:szCs w:val="28"/>
          <w:lang w:val="uk-UA"/>
        </w:rPr>
      </w:pPr>
    </w:p>
    <w:p w:rsidR="00DD101F" w:rsidRPr="00CE0A20" w:rsidRDefault="00DD101F" w:rsidP="001C43D0">
      <w:pPr>
        <w:spacing w:line="360" w:lineRule="auto"/>
        <w:ind w:firstLine="900"/>
        <w:jc w:val="both"/>
        <w:rPr>
          <w:rFonts w:ascii="Times New Roman" w:hAnsi="Times New Roman" w:cs="Times New Roman"/>
          <w:b/>
          <w:sz w:val="28"/>
          <w:szCs w:val="28"/>
          <w:lang w:val="uk-UA"/>
        </w:rPr>
      </w:pPr>
    </w:p>
    <w:p w:rsidR="001C43D0" w:rsidRPr="00CE0A20" w:rsidRDefault="001C43D0" w:rsidP="001C43D0">
      <w:pPr>
        <w:spacing w:line="360" w:lineRule="auto"/>
        <w:ind w:firstLine="900"/>
        <w:jc w:val="both"/>
        <w:rPr>
          <w:rFonts w:ascii="Times New Roman" w:hAnsi="Times New Roman" w:cs="Times New Roman"/>
          <w:b/>
          <w:sz w:val="28"/>
          <w:szCs w:val="28"/>
          <w:lang w:val="uk-UA"/>
        </w:rPr>
      </w:pPr>
      <w:r w:rsidRPr="00CE0A20">
        <w:rPr>
          <w:rFonts w:ascii="Times New Roman" w:hAnsi="Times New Roman" w:cs="Times New Roman"/>
          <w:b/>
          <w:sz w:val="28"/>
          <w:szCs w:val="28"/>
          <w:lang w:val="uk-UA"/>
        </w:rPr>
        <w:t>3.5. Вплив</w:t>
      </w:r>
      <w:r w:rsidRPr="000B5176">
        <w:rPr>
          <w:rFonts w:ascii="Times New Roman" w:hAnsi="Times New Roman" w:cs="Times New Roman"/>
          <w:b/>
          <w:sz w:val="28"/>
          <w:szCs w:val="28"/>
          <w:lang w:val="uk-UA"/>
        </w:rPr>
        <w:t xml:space="preserve"> </w:t>
      </w:r>
      <w:r w:rsidR="000B5176" w:rsidRPr="000B5176">
        <w:rPr>
          <w:rFonts w:ascii="Times New Roman" w:hAnsi="Times New Roman" w:cs="Times New Roman"/>
          <w:b/>
          <w:sz w:val="28"/>
          <w:szCs w:val="28"/>
          <w:lang w:val="uk-UA"/>
        </w:rPr>
        <w:t>CdCl</w:t>
      </w:r>
      <w:r w:rsidR="000B5176" w:rsidRPr="000B5176">
        <w:rPr>
          <w:rFonts w:ascii="Times New Roman" w:hAnsi="Times New Roman" w:cs="Times New Roman"/>
          <w:b/>
          <w:sz w:val="28"/>
          <w:szCs w:val="28"/>
          <w:vertAlign w:val="subscript"/>
          <w:lang w:val="uk-UA"/>
        </w:rPr>
        <w:t>2</w:t>
      </w:r>
      <w:r w:rsidR="000B5176" w:rsidRPr="00CE0A20">
        <w:rPr>
          <w:rFonts w:ascii="Times New Roman" w:hAnsi="Times New Roman" w:cs="Times New Roman"/>
          <w:sz w:val="28"/>
          <w:szCs w:val="28"/>
          <w:lang w:val="uk-UA"/>
        </w:rPr>
        <w:t xml:space="preserve"> </w:t>
      </w:r>
      <w:r w:rsidRPr="00CE0A20">
        <w:rPr>
          <w:rFonts w:ascii="Times New Roman" w:hAnsi="Times New Roman" w:cs="Times New Roman"/>
          <w:b/>
          <w:sz w:val="28"/>
          <w:szCs w:val="28"/>
          <w:lang w:val="uk-UA"/>
        </w:rPr>
        <w:t>на копулятивну поведінку тварин</w:t>
      </w:r>
    </w:p>
    <w:p w:rsidR="006D4007" w:rsidRPr="00CE0A20" w:rsidRDefault="006D4007" w:rsidP="001C43D0">
      <w:pPr>
        <w:spacing w:line="360" w:lineRule="auto"/>
        <w:ind w:firstLine="900"/>
        <w:jc w:val="both"/>
        <w:rPr>
          <w:rFonts w:ascii="Times New Roman" w:hAnsi="Times New Roman" w:cs="Times New Roman"/>
          <w:sz w:val="28"/>
          <w:szCs w:val="28"/>
          <w:lang w:val="uk-UA"/>
        </w:rPr>
      </w:pP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Основним клінічним проявом андрогенного дефіциту, що виникає внаслідок токсичної дії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є зміни копулятивної поведінки щурів. Її оцінювали за кількістю садок до першої еякуляції (КС), кількістю садок, що закінчується інтромісією (КІ), тривалістю латентного періоду еякуляції (ЛПЕ), копулятивною ефективністю (КЕ) і тривалістю міжкопулятивного періоду (МКП). Ці показники найбільш наближені до показників еректильної функції в чоловіків (табл. 3.5).</w:t>
      </w: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Як свідчать отримані дані, після введення CdCl</w:t>
      </w:r>
      <w:r w:rsidRPr="00CE0A20">
        <w:rPr>
          <w:rFonts w:ascii="Times New Roman" w:hAnsi="Times New Roman" w:cs="Times New Roman"/>
          <w:sz w:val="28"/>
          <w:szCs w:val="28"/>
          <w:vertAlign w:val="subscript"/>
          <w:lang w:val="uk-UA"/>
        </w:rPr>
        <w:t xml:space="preserve">2 </w:t>
      </w:r>
      <w:r w:rsidRPr="00CE0A20">
        <w:rPr>
          <w:rFonts w:ascii="Times New Roman" w:hAnsi="Times New Roman" w:cs="Times New Roman"/>
          <w:sz w:val="28"/>
          <w:szCs w:val="28"/>
          <w:lang w:val="uk-UA"/>
        </w:rPr>
        <w:t>у дозі 150 мкг/ 100 г ваги тварини спостерігаються зміни копулятивої поведінки щурів. Порівняно з групою здорових тварин КС до першої еякуляції була достовірно вищою, ніж у контрольній групі (р&lt;0,05 за критерієм Манна–Уїтні), меншою мірою, але також достовірно зросла КІ (р&lt;0,05 за критерієм Манна–Уїтні). Крім того, відзначено недостовірне зростання ЛПЕ (</w:t>
      </w:r>
      <w:r w:rsidRPr="00CE0A20">
        <w:rPr>
          <w:rFonts w:ascii="Times New Roman" w:hAnsi="Times New Roman" w:cs="Times New Roman"/>
          <w:sz w:val="28"/>
          <w:szCs w:val="28"/>
          <w:lang w:val="en-US"/>
        </w:rPr>
        <w:t>p</w:t>
      </w:r>
      <w:r w:rsidRPr="00CE0A20">
        <w:rPr>
          <w:rFonts w:ascii="Times New Roman" w:hAnsi="Times New Roman" w:cs="Times New Roman"/>
          <w:sz w:val="28"/>
          <w:szCs w:val="28"/>
        </w:rPr>
        <w:t>&gt;0,05</w:t>
      </w:r>
      <w:r w:rsidRPr="00CE0A20">
        <w:rPr>
          <w:rFonts w:ascii="Times New Roman" w:hAnsi="Times New Roman" w:cs="Times New Roman"/>
          <w:sz w:val="28"/>
          <w:szCs w:val="28"/>
          <w:lang w:val="uk-UA"/>
        </w:rPr>
        <w:t xml:space="preserve"> за критерієм Манна–Уїтні). КЕ, навпаки, була меншою, ніж у контрольній групі (р&lt;0,0</w:t>
      </w:r>
      <w:r w:rsidRPr="00CE0A20">
        <w:rPr>
          <w:rFonts w:ascii="Times New Roman" w:hAnsi="Times New Roman" w:cs="Times New Roman"/>
          <w:sz w:val="28"/>
          <w:szCs w:val="28"/>
        </w:rPr>
        <w:t>01</w:t>
      </w:r>
      <w:r w:rsidRPr="00CE0A20">
        <w:rPr>
          <w:rFonts w:ascii="Times New Roman" w:hAnsi="Times New Roman" w:cs="Times New Roman"/>
          <w:sz w:val="28"/>
          <w:szCs w:val="28"/>
          <w:lang w:val="uk-UA"/>
        </w:rPr>
        <w:t xml:space="preserve"> за критерієм Манна–Уїтні). Меншим був й МКІ </w:t>
      </w:r>
      <w:r w:rsidRPr="00CE0A20">
        <w:rPr>
          <w:rFonts w:ascii="Times New Roman" w:hAnsi="Times New Roman" w:cs="Times New Roman"/>
          <w:sz w:val="28"/>
          <w:szCs w:val="28"/>
        </w:rPr>
        <w:t>(</w:t>
      </w:r>
      <w:r w:rsidRPr="00CE0A20">
        <w:rPr>
          <w:rFonts w:ascii="Times New Roman" w:hAnsi="Times New Roman" w:cs="Times New Roman"/>
          <w:sz w:val="28"/>
          <w:szCs w:val="28"/>
          <w:lang w:val="uk-UA"/>
        </w:rPr>
        <w:t>р</w:t>
      </w:r>
      <w:r w:rsidRPr="00CE0A20">
        <w:rPr>
          <w:rFonts w:ascii="Times New Roman" w:hAnsi="Times New Roman" w:cs="Times New Roman"/>
          <w:sz w:val="28"/>
          <w:szCs w:val="28"/>
        </w:rPr>
        <w:t xml:space="preserve">&lt;0,05 </w:t>
      </w:r>
      <w:r w:rsidRPr="00CE0A20">
        <w:rPr>
          <w:rFonts w:ascii="Times New Roman" w:hAnsi="Times New Roman" w:cs="Times New Roman"/>
          <w:sz w:val="28"/>
          <w:szCs w:val="28"/>
          <w:lang w:val="uk-UA"/>
        </w:rPr>
        <w:t xml:space="preserve">порівняно з контрольною групою </w:t>
      </w:r>
      <w:r w:rsidRPr="00CE0A20">
        <w:rPr>
          <w:rFonts w:ascii="Times New Roman" w:hAnsi="Times New Roman" w:cs="Times New Roman"/>
          <w:sz w:val="28"/>
          <w:szCs w:val="28"/>
        </w:rPr>
        <w:t xml:space="preserve">за </w:t>
      </w:r>
      <w:r w:rsidRPr="00CE0A20">
        <w:rPr>
          <w:rFonts w:ascii="Times New Roman" w:hAnsi="Times New Roman" w:cs="Times New Roman"/>
          <w:sz w:val="28"/>
          <w:szCs w:val="28"/>
          <w:lang w:val="uk-UA"/>
        </w:rPr>
        <w:t>критерієм Манна–Уїтні</w:t>
      </w:r>
      <w:r w:rsidRPr="00CE0A20">
        <w:rPr>
          <w:rFonts w:ascii="Times New Roman" w:hAnsi="Times New Roman" w:cs="Times New Roman"/>
          <w:sz w:val="28"/>
          <w:szCs w:val="28"/>
        </w:rPr>
        <w:t>)</w:t>
      </w:r>
      <w:r w:rsidRPr="00CE0A20">
        <w:rPr>
          <w:rFonts w:ascii="Times New Roman" w:hAnsi="Times New Roman" w:cs="Times New Roman"/>
          <w:sz w:val="28"/>
          <w:szCs w:val="28"/>
          <w:lang w:val="uk-UA"/>
        </w:rPr>
        <w:t>.</w:t>
      </w:r>
    </w:p>
    <w:p w:rsidR="001C43D0" w:rsidRPr="00CE0A20" w:rsidRDefault="001C43D0" w:rsidP="001C43D0">
      <w:pPr>
        <w:spacing w:line="360" w:lineRule="auto"/>
        <w:ind w:firstLine="900"/>
        <w:jc w:val="both"/>
        <w:rPr>
          <w:rFonts w:ascii="Times New Roman" w:hAnsi="Times New Roman" w:cs="Times New Roman"/>
          <w:sz w:val="28"/>
          <w:szCs w:val="28"/>
          <w:lang w:val="uk-UA"/>
        </w:rPr>
      </w:pPr>
    </w:p>
    <w:p w:rsidR="001C43D0" w:rsidRPr="00CE0A20" w:rsidRDefault="001C43D0" w:rsidP="001C43D0">
      <w:pPr>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 xml:space="preserve">Таблиця 3.5 – Показники копулятивної поведінки експериментальних тварин </w:t>
      </w:r>
      <w:r w:rsidRPr="00CE0A20">
        <w:rPr>
          <w:rFonts w:ascii="Times New Roman" w:hAnsi="Times New Roman" w:cs="Times New Roman"/>
          <w:sz w:val="28"/>
          <w:szCs w:val="28"/>
        </w:rPr>
        <w:t>(</w:t>
      </w:r>
      <w:r w:rsidRPr="00CE0A20">
        <w:rPr>
          <w:rFonts w:ascii="Times New Roman" w:hAnsi="Times New Roman" w:cs="Times New Roman"/>
          <w:sz w:val="28"/>
          <w:szCs w:val="28"/>
          <w:lang w:val="en-US"/>
        </w:rPr>
        <w:t>M</w:t>
      </w:r>
      <w:r w:rsidRPr="00CE0A20">
        <w:rPr>
          <w:rFonts w:ascii="Times New Roman" w:hAnsi="Times New Roman" w:cs="Times New Roman"/>
          <w:sz w:val="28"/>
          <w:szCs w:val="28"/>
        </w:rPr>
        <w:t>±</w:t>
      </w:r>
      <w:r w:rsidRPr="00CE0A20">
        <w:rPr>
          <w:rFonts w:ascii="Times New Roman" w:hAnsi="Times New Roman" w:cs="Times New Roman"/>
          <w:sz w:val="28"/>
          <w:szCs w:val="28"/>
          <w:lang w:val="en-US"/>
        </w:rPr>
        <w:t>SD</w:t>
      </w:r>
      <w:r w:rsidRPr="00CE0A20">
        <w:rPr>
          <w:rFonts w:ascii="Times New Roman" w:hAnsi="Times New Roman" w:cs="Times New Roman"/>
          <w:sz w:val="28"/>
          <w:szCs w:val="28"/>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5"/>
        <w:gridCol w:w="3190"/>
        <w:gridCol w:w="3190"/>
      </w:tblGrid>
      <w:tr w:rsidR="001C43D0" w:rsidRPr="00CE0A20" w:rsidTr="001C43D0">
        <w:tc>
          <w:tcPr>
            <w:tcW w:w="2975" w:type="dxa"/>
            <w:tcBorders>
              <w:top w:val="single" w:sz="4" w:space="0" w:color="auto"/>
              <w:left w:val="single" w:sz="4" w:space="0" w:color="auto"/>
              <w:bottom w:val="single" w:sz="4" w:space="0" w:color="auto"/>
              <w:right w:val="single" w:sz="4" w:space="0" w:color="auto"/>
            </w:tcBorders>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Показники копулятивної поведінки</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І група (контрольна)</w:t>
            </w:r>
          </w:p>
          <w:p w:rsidR="001C43D0" w:rsidRPr="00CE0A20" w:rsidRDefault="001C43D0">
            <w:pPr>
              <w:jc w:val="center"/>
              <w:rPr>
                <w:rFonts w:ascii="Times New Roman" w:hAnsi="Times New Roman" w:cs="Times New Roman"/>
                <w:sz w:val="28"/>
                <w:szCs w:val="28"/>
                <w:lang w:val="en-US"/>
              </w:rPr>
            </w:pPr>
            <w:r w:rsidRPr="00CE0A20">
              <w:rPr>
                <w:rFonts w:ascii="Times New Roman" w:hAnsi="Times New Roman" w:cs="Times New Roman"/>
                <w:sz w:val="28"/>
                <w:szCs w:val="28"/>
                <w:lang w:val="en-US"/>
              </w:rPr>
              <w:t>n=20</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jc w:val="center"/>
              <w:rPr>
                <w:rFonts w:ascii="Times New Roman" w:hAnsi="Times New Roman" w:cs="Times New Roman"/>
                <w:sz w:val="28"/>
                <w:szCs w:val="28"/>
              </w:rPr>
            </w:pPr>
            <w:r w:rsidRPr="00CE0A20">
              <w:rPr>
                <w:rFonts w:ascii="Times New Roman" w:hAnsi="Times New Roman" w:cs="Times New Roman"/>
                <w:sz w:val="28"/>
                <w:szCs w:val="28"/>
              </w:rPr>
              <w:t xml:space="preserve">4 </w:t>
            </w:r>
            <w:r w:rsidRPr="00CE0A20">
              <w:rPr>
                <w:rFonts w:ascii="Times New Roman" w:hAnsi="Times New Roman" w:cs="Times New Roman"/>
                <w:sz w:val="28"/>
                <w:szCs w:val="28"/>
                <w:lang w:val="uk-UA"/>
              </w:rPr>
              <w:t>група (CdCI</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у дозі 150 мкг/ 100 г ваги) </w:t>
            </w:r>
            <w:r w:rsidRPr="00CE0A20">
              <w:rPr>
                <w:rFonts w:ascii="Times New Roman" w:hAnsi="Times New Roman" w:cs="Times New Roman"/>
                <w:sz w:val="28"/>
                <w:szCs w:val="28"/>
                <w:lang w:val="en-US"/>
              </w:rPr>
              <w:t>n</w:t>
            </w:r>
            <w:r w:rsidRPr="00CE0A20">
              <w:rPr>
                <w:rFonts w:ascii="Times New Roman" w:hAnsi="Times New Roman" w:cs="Times New Roman"/>
                <w:sz w:val="28"/>
                <w:szCs w:val="28"/>
              </w:rPr>
              <w:t>=20</w:t>
            </w:r>
          </w:p>
        </w:tc>
      </w:tr>
      <w:tr w:rsidR="001C43D0" w:rsidRPr="00CE0A20" w:rsidTr="001C43D0">
        <w:tc>
          <w:tcPr>
            <w:tcW w:w="297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ind w:firstLine="426"/>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КС</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2,6±0,7</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vertAlign w:val="superscript"/>
                <w:lang w:val="uk-UA"/>
              </w:rPr>
            </w:pPr>
            <w:r w:rsidRPr="00CE0A20">
              <w:rPr>
                <w:rFonts w:ascii="Times New Roman" w:hAnsi="Times New Roman" w:cs="Times New Roman"/>
                <w:sz w:val="28"/>
                <w:szCs w:val="28"/>
                <w:lang w:val="uk-UA"/>
              </w:rPr>
              <w:t>8,7±1,0</w:t>
            </w:r>
            <w:r w:rsidRPr="00CE0A20">
              <w:rPr>
                <w:rFonts w:ascii="Times New Roman" w:hAnsi="Times New Roman" w:cs="Times New Roman"/>
                <w:sz w:val="28"/>
                <w:szCs w:val="28"/>
                <w:vertAlign w:val="superscript"/>
                <w:lang w:val="uk-UA"/>
              </w:rPr>
              <w:t>1</w:t>
            </w:r>
          </w:p>
        </w:tc>
      </w:tr>
      <w:tr w:rsidR="001C43D0" w:rsidRPr="00CE0A20" w:rsidTr="001C43D0">
        <w:tc>
          <w:tcPr>
            <w:tcW w:w="297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ind w:firstLine="426"/>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КІ</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8,7±0,4</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13,3±2,7</w:t>
            </w:r>
            <w:r w:rsidRPr="00CE0A20">
              <w:rPr>
                <w:rFonts w:ascii="Times New Roman" w:hAnsi="Times New Roman" w:cs="Times New Roman"/>
                <w:sz w:val="28"/>
                <w:szCs w:val="28"/>
                <w:vertAlign w:val="superscript"/>
                <w:lang w:val="uk-UA"/>
              </w:rPr>
              <w:t>1</w:t>
            </w:r>
          </w:p>
        </w:tc>
      </w:tr>
      <w:tr w:rsidR="001C43D0" w:rsidRPr="00CE0A20" w:rsidTr="001C43D0">
        <w:tc>
          <w:tcPr>
            <w:tcW w:w="297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ind w:firstLine="426"/>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ЛПЕ, с</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469,1±132,5</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545,9±87,5</w:t>
            </w:r>
          </w:p>
        </w:tc>
      </w:tr>
      <w:tr w:rsidR="001C43D0" w:rsidRPr="00CE0A20" w:rsidTr="001C43D0">
        <w:tc>
          <w:tcPr>
            <w:tcW w:w="297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ind w:firstLine="426"/>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КЕ, %</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77,0±5,0</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59,9±6,9</w:t>
            </w:r>
            <w:r w:rsidRPr="00CE0A20">
              <w:rPr>
                <w:rFonts w:ascii="Times New Roman" w:hAnsi="Times New Roman" w:cs="Times New Roman"/>
                <w:sz w:val="28"/>
                <w:szCs w:val="28"/>
                <w:vertAlign w:val="superscript"/>
                <w:lang w:val="uk-UA"/>
              </w:rPr>
              <w:t>1</w:t>
            </w:r>
          </w:p>
        </w:tc>
      </w:tr>
      <w:tr w:rsidR="001C43D0" w:rsidRPr="00CE0A20" w:rsidTr="001C43D0">
        <w:tc>
          <w:tcPr>
            <w:tcW w:w="2975"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ind w:firstLine="426"/>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МКІ, с</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53,6±15,2</w:t>
            </w:r>
          </w:p>
        </w:tc>
        <w:tc>
          <w:tcPr>
            <w:tcW w:w="3190" w:type="dxa"/>
            <w:tcBorders>
              <w:top w:val="single" w:sz="4" w:space="0" w:color="auto"/>
              <w:left w:val="single" w:sz="4" w:space="0" w:color="auto"/>
              <w:bottom w:val="single" w:sz="4" w:space="0" w:color="auto"/>
              <w:right w:val="single" w:sz="4" w:space="0" w:color="auto"/>
            </w:tcBorders>
            <w:hideMark/>
          </w:tcPr>
          <w:p w:rsidR="001C43D0" w:rsidRPr="00CE0A20" w:rsidRDefault="001C43D0">
            <w:pPr>
              <w:spacing w:before="60" w:after="60"/>
              <w:jc w:val="center"/>
              <w:rPr>
                <w:rFonts w:ascii="Times New Roman" w:hAnsi="Times New Roman" w:cs="Times New Roman"/>
                <w:sz w:val="28"/>
                <w:szCs w:val="28"/>
                <w:lang w:val="uk-UA"/>
              </w:rPr>
            </w:pPr>
            <w:r w:rsidRPr="00CE0A20">
              <w:rPr>
                <w:rFonts w:ascii="Times New Roman" w:hAnsi="Times New Roman" w:cs="Times New Roman"/>
                <w:sz w:val="28"/>
                <w:szCs w:val="28"/>
                <w:lang w:val="uk-UA"/>
              </w:rPr>
              <w:t>42,6±11,5</w:t>
            </w:r>
            <w:r w:rsidRPr="00CE0A20">
              <w:rPr>
                <w:rFonts w:ascii="Times New Roman" w:hAnsi="Times New Roman" w:cs="Times New Roman"/>
                <w:sz w:val="28"/>
                <w:szCs w:val="28"/>
                <w:vertAlign w:val="superscript"/>
                <w:lang w:val="uk-UA"/>
              </w:rPr>
              <w:t>1</w:t>
            </w:r>
          </w:p>
        </w:tc>
      </w:tr>
    </w:tbl>
    <w:p w:rsidR="001C43D0" w:rsidRPr="00CE0A20" w:rsidRDefault="001C43D0" w:rsidP="001C43D0">
      <w:pPr>
        <w:spacing w:line="360" w:lineRule="auto"/>
        <w:ind w:firstLine="900"/>
        <w:jc w:val="both"/>
        <w:rPr>
          <w:rFonts w:ascii="Times New Roman" w:hAnsi="Times New Roman" w:cs="Times New Roman"/>
          <w:sz w:val="28"/>
          <w:szCs w:val="28"/>
        </w:rPr>
      </w:pPr>
      <w:r w:rsidRPr="00CE0A20">
        <w:rPr>
          <w:rFonts w:ascii="Times New Roman" w:hAnsi="Times New Roman" w:cs="Times New Roman"/>
          <w:sz w:val="28"/>
          <w:szCs w:val="28"/>
          <w:lang w:val="uk-UA"/>
        </w:rPr>
        <w:t>Примітка. 1 – різниця з показником контрольної групи достовірна (р</w:t>
      </w:r>
      <w:r w:rsidRPr="00CE0A20">
        <w:rPr>
          <w:rFonts w:ascii="Times New Roman" w:hAnsi="Times New Roman" w:cs="Times New Roman"/>
          <w:sz w:val="28"/>
          <w:szCs w:val="28"/>
        </w:rPr>
        <w:t>&lt;0,05</w:t>
      </w:r>
      <w:r w:rsidRPr="00CE0A20">
        <w:rPr>
          <w:rFonts w:ascii="Times New Roman" w:hAnsi="Times New Roman" w:cs="Times New Roman"/>
          <w:sz w:val="28"/>
          <w:szCs w:val="28"/>
          <w:lang w:val="uk-UA"/>
        </w:rPr>
        <w:t xml:space="preserve"> за критерієм Манна–Уїтні</w:t>
      </w:r>
      <w:r w:rsidRPr="00CE0A20">
        <w:rPr>
          <w:rFonts w:ascii="Times New Roman" w:hAnsi="Times New Roman" w:cs="Times New Roman"/>
          <w:sz w:val="28"/>
          <w:szCs w:val="28"/>
        </w:rPr>
        <w:t>).</w:t>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Отримані дані є свідченням погіршення показників копулятивної поведінки експериментальних тварин урезультаті андрогенного дефіциту, що виник унаслідок токсичної дії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При цьому слід зазначити, що при застосуванні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у дозі 150 мкг/100 г ваги тварини копулятивна поведінка зберігається, що є свідченням збереження центральних механізмів регуляції на фоні токсичного ураження тестикул. З іншого боку, це є свідченням залежності копулятивної поведінки самців щурів від рівня тестостерону та підтверджує роль гіпогонадизму у виникненні копулятивної дисфункції.</w:t>
      </w:r>
    </w:p>
    <w:p w:rsidR="001C43D0" w:rsidRPr="00CE0A20" w:rsidRDefault="001C43D0" w:rsidP="001C43D0">
      <w:pPr>
        <w:tabs>
          <w:tab w:val="left" w:pos="7020"/>
        </w:tabs>
        <w:spacing w:line="360" w:lineRule="auto"/>
        <w:ind w:firstLine="142"/>
        <w:jc w:val="center"/>
        <w:rPr>
          <w:rFonts w:ascii="Times New Roman" w:hAnsi="Times New Roman" w:cs="Times New Roman"/>
          <w:sz w:val="28"/>
          <w:szCs w:val="28"/>
          <w:lang w:val="uk-UA"/>
        </w:rPr>
      </w:pPr>
    </w:p>
    <w:p w:rsidR="001C43D0" w:rsidRPr="00CE0A20" w:rsidRDefault="001C43D0" w:rsidP="001C43D0">
      <w:pPr>
        <w:tabs>
          <w:tab w:val="left" w:pos="7020"/>
        </w:tabs>
        <w:spacing w:line="360" w:lineRule="auto"/>
        <w:ind w:firstLine="142"/>
        <w:jc w:val="center"/>
        <w:rPr>
          <w:rFonts w:ascii="Times New Roman" w:hAnsi="Times New Roman" w:cs="Times New Roman"/>
          <w:b/>
          <w:sz w:val="28"/>
          <w:szCs w:val="28"/>
          <w:lang w:val="uk-UA"/>
        </w:rPr>
      </w:pPr>
      <w:r w:rsidRPr="00CE0A20">
        <w:rPr>
          <w:rFonts w:ascii="Times New Roman" w:hAnsi="Times New Roman" w:cs="Times New Roman"/>
          <w:b/>
          <w:sz w:val="28"/>
          <w:szCs w:val="28"/>
          <w:lang w:val="uk-UA"/>
        </w:rPr>
        <w:t>Резюме</w:t>
      </w:r>
    </w:p>
    <w:p w:rsidR="001C43D0" w:rsidRPr="00CE0A20" w:rsidRDefault="001C43D0" w:rsidP="001C43D0">
      <w:pPr>
        <w:tabs>
          <w:tab w:val="left" w:pos="7020"/>
        </w:tabs>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Таким чином, за результатами експерименту можна констатувати, що після введення експериментальним тваринам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у дозі 55 мкг/100 г і 100</w:t>
      </w:r>
      <w:r w:rsidRPr="00CE0A20">
        <w:rPr>
          <w:rFonts w:ascii="Times New Roman" w:hAnsi="Times New Roman" w:cs="Times New Roman"/>
          <w:sz w:val="28"/>
          <w:szCs w:val="28"/>
          <w:lang w:val="en-US"/>
        </w:rPr>
        <w:t> </w:t>
      </w:r>
      <w:r w:rsidRPr="00CE0A20">
        <w:rPr>
          <w:rFonts w:ascii="Times New Roman" w:hAnsi="Times New Roman" w:cs="Times New Roman"/>
          <w:sz w:val="28"/>
          <w:szCs w:val="28"/>
          <w:lang w:val="uk-UA"/>
        </w:rPr>
        <w:t>мкг/100 г ваги тварини на 7-</w:t>
      </w:r>
      <w:r w:rsidRPr="00CE0A20">
        <w:rPr>
          <w:rFonts w:ascii="Times New Roman" w:hAnsi="Times New Roman" w:cs="Times New Roman"/>
          <w:sz w:val="28"/>
          <w:szCs w:val="28"/>
        </w:rPr>
        <w:t>м</w:t>
      </w:r>
      <w:r w:rsidRPr="00CE0A20">
        <w:rPr>
          <w:rFonts w:ascii="Times New Roman" w:hAnsi="Times New Roman" w:cs="Times New Roman"/>
          <w:sz w:val="28"/>
          <w:szCs w:val="28"/>
          <w:lang w:val="uk-UA"/>
        </w:rPr>
        <w:t>у добу експерименту виникає гіпогонадизм з характерними змінами гормонального статусу з відповідними ознаками пошкодження тестикулярної тканини, який призводить до розвитку копулятивної дисфункції. У подальшому на 14-ту та 28-му добу спостереження відбувається поступове відновлення рівня статевих гормонів з наявністю ознак регенерації сім'яних канальців з відновленням пулу статевих клітин, нормалізацією кількісних характеристик процесу сперматогенезу та гормональної функції клітин Лейдіга.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у дозі 150 мкг/100 г ваги тварини спричиняло стійкий андрогенний дефіцит, починаючи із 7-ої доби та до 28-ої доби експерименту, з відповідними змінами гормонального статусу та копулятивної поведінки експериментальних тварин. При цьому після введення цієї дози летальних випадків не було, а ознаки загальнотоксичної дії на 28-му добу зникали. Після введення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у дозі 200 мкг/100 г ваги тварини з’являється сильний загальнотоксичний ефект, який веде до загибелі значної частини експериментальних тварин уже на 7</w:t>
      </w:r>
      <w:r w:rsidRPr="00CE0A20">
        <w:rPr>
          <w:rFonts w:ascii="Times New Roman" w:hAnsi="Times New Roman" w:cs="Times New Roman"/>
          <w:sz w:val="28"/>
          <w:szCs w:val="28"/>
          <w:lang w:val="uk-UA"/>
        </w:rPr>
        <w:noBreakHyphen/>
        <w:t>му добу експерименту.</w:t>
      </w:r>
    </w:p>
    <w:p w:rsidR="001C43D0" w:rsidRPr="00CE0A20" w:rsidRDefault="001C43D0" w:rsidP="001C43D0">
      <w:pPr>
        <w:tabs>
          <w:tab w:val="left" w:pos="7020"/>
        </w:tabs>
        <w:spacing w:line="360" w:lineRule="auto"/>
        <w:ind w:firstLine="900"/>
        <w:jc w:val="both"/>
        <w:rPr>
          <w:rFonts w:ascii="Times New Roman" w:hAnsi="Times New Roman" w:cs="Times New Roman"/>
          <w:sz w:val="28"/>
          <w:szCs w:val="28"/>
          <w:lang w:val="uk-UA"/>
        </w:rPr>
      </w:pPr>
      <w:r w:rsidRPr="00CE0A20">
        <w:rPr>
          <w:rFonts w:ascii="Times New Roman" w:hAnsi="Times New Roman" w:cs="Times New Roman"/>
          <w:sz w:val="28"/>
          <w:szCs w:val="28"/>
          <w:lang w:val="uk-UA"/>
        </w:rPr>
        <w:t>Це дає підставу стверджувати, що оптимальною дозою CdCl</w:t>
      </w:r>
      <w:r w:rsidRPr="00CE0A20">
        <w:rPr>
          <w:rFonts w:ascii="Times New Roman" w:hAnsi="Times New Roman" w:cs="Times New Roman"/>
          <w:sz w:val="28"/>
          <w:szCs w:val="28"/>
          <w:vertAlign w:val="subscript"/>
          <w:lang w:val="uk-UA"/>
        </w:rPr>
        <w:t>2</w:t>
      </w:r>
      <w:r w:rsidRPr="00CE0A20">
        <w:rPr>
          <w:rFonts w:ascii="Times New Roman" w:hAnsi="Times New Roman" w:cs="Times New Roman"/>
          <w:sz w:val="28"/>
          <w:szCs w:val="28"/>
          <w:lang w:val="uk-UA"/>
        </w:rPr>
        <w:t xml:space="preserve"> для моделювання копулятивної дисфункції на тлі стійкого андрогенного дефіциту є 150 мкг/100 г ваги тварин.</w:t>
      </w:r>
    </w:p>
    <w:p w:rsidR="001C43D0" w:rsidRPr="00CE0A20" w:rsidRDefault="001C43D0" w:rsidP="001C43D0">
      <w:pPr>
        <w:pStyle w:val="261"/>
        <w:shd w:val="clear" w:color="auto" w:fill="auto"/>
        <w:spacing w:before="0" w:line="360" w:lineRule="auto"/>
        <w:ind w:left="20" w:firstLine="689"/>
        <w:rPr>
          <w:rFonts w:ascii="Times New Roman" w:hAnsi="Times New Roman" w:cs="Times New Roman"/>
          <w:color w:val="000000"/>
          <w:sz w:val="28"/>
          <w:szCs w:val="28"/>
          <w:lang w:val="uk-UA"/>
        </w:rPr>
      </w:pPr>
    </w:p>
    <w:p w:rsidR="00DD101F" w:rsidRPr="00CE0A20" w:rsidRDefault="00DD101F" w:rsidP="00DD101F">
      <w:pPr>
        <w:pStyle w:val="af5"/>
        <w:tabs>
          <w:tab w:val="left" w:pos="1180"/>
          <w:tab w:val="center" w:pos="5039"/>
        </w:tabs>
        <w:ind w:left="1069" w:right="-5" w:firstLine="0"/>
        <w:rPr>
          <w:b/>
          <w:bCs/>
          <w:lang w:val="uk-UA"/>
        </w:rPr>
      </w:pPr>
      <w:r w:rsidRPr="00CE0A20">
        <w:rPr>
          <w:b/>
          <w:bCs/>
        </w:rPr>
        <w:t>Список праць, опублікованих за темою розд</w:t>
      </w:r>
      <w:r w:rsidRPr="00CE0A20">
        <w:rPr>
          <w:b/>
          <w:bCs/>
          <w:lang w:val="uk-UA"/>
        </w:rPr>
        <w:t>і</w:t>
      </w:r>
      <w:r w:rsidRPr="00CE0A20">
        <w:rPr>
          <w:b/>
          <w:bCs/>
        </w:rPr>
        <w:t>лу дисертації</w:t>
      </w:r>
      <w:r w:rsidRPr="00CE0A20">
        <w:rPr>
          <w:b/>
          <w:bCs/>
          <w:lang w:val="uk-UA"/>
        </w:rPr>
        <w:t>:</w:t>
      </w:r>
    </w:p>
    <w:p w:rsidR="001C43D0" w:rsidRPr="00CE0A20" w:rsidRDefault="001C43D0" w:rsidP="001C43D0">
      <w:pPr>
        <w:numPr>
          <w:ilvl w:val="0"/>
          <w:numId w:val="34"/>
        </w:numPr>
        <w:tabs>
          <w:tab w:val="left" w:pos="1276"/>
        </w:tabs>
        <w:spacing w:line="360" w:lineRule="auto"/>
        <w:ind w:left="0" w:firstLine="709"/>
        <w:jc w:val="both"/>
        <w:rPr>
          <w:rFonts w:ascii="Times New Roman" w:eastAsia="Times New Roman" w:hAnsi="Times New Roman" w:cs="Times New Roman"/>
          <w:sz w:val="28"/>
          <w:szCs w:val="28"/>
          <w:lang w:val="uk-UA"/>
        </w:rPr>
      </w:pPr>
      <w:r w:rsidRPr="00CE0A20">
        <w:rPr>
          <w:rFonts w:ascii="Times New Roman" w:eastAsia="Times New Roman" w:hAnsi="Times New Roman" w:cs="Times New Roman"/>
          <w:sz w:val="28"/>
          <w:szCs w:val="28"/>
          <w:lang w:val="uk-UA"/>
        </w:rPr>
        <w:t>Антонян ИМ. Изучение ферментов перекисного окисления липидов в эксперименте по подбору эффективной дозы хлорида</w:t>
      </w:r>
      <w:r w:rsidR="00286CFF" w:rsidRPr="00CE0A20">
        <w:rPr>
          <w:rFonts w:ascii="Times New Roman" w:eastAsia="Times New Roman" w:hAnsi="Times New Roman" w:cs="Times New Roman"/>
          <w:sz w:val="28"/>
          <w:szCs w:val="28"/>
          <w:lang w:val="uk-UA"/>
        </w:rPr>
        <w:t xml:space="preserve"> </w:t>
      </w:r>
      <w:r w:rsidRPr="00CE0A20">
        <w:rPr>
          <w:rFonts w:ascii="Times New Roman" w:eastAsia="Times New Roman" w:hAnsi="Times New Roman" w:cs="Times New Roman"/>
          <w:sz w:val="28"/>
          <w:szCs w:val="28"/>
          <w:lang w:val="uk-UA"/>
        </w:rPr>
        <w:t>кадмия для создания модели мужского бесплодия у самцов крыс. Проблеми сучасної медичної науки та освіти. 2009;4:66-69.</w:t>
      </w:r>
    </w:p>
    <w:p w:rsidR="001C43D0" w:rsidRPr="00CE0A20" w:rsidRDefault="001C43D0" w:rsidP="001C43D0">
      <w:pPr>
        <w:numPr>
          <w:ilvl w:val="0"/>
          <w:numId w:val="34"/>
        </w:numPr>
        <w:tabs>
          <w:tab w:val="left" w:pos="1276"/>
        </w:tabs>
        <w:spacing w:line="360" w:lineRule="auto"/>
        <w:ind w:left="0" w:firstLine="709"/>
        <w:jc w:val="both"/>
        <w:rPr>
          <w:rFonts w:ascii="Times New Roman" w:eastAsia="Times New Roman" w:hAnsi="Times New Roman" w:cs="Times New Roman"/>
          <w:sz w:val="28"/>
          <w:szCs w:val="28"/>
          <w:lang w:val="uk-UA"/>
        </w:rPr>
      </w:pPr>
      <w:r w:rsidRPr="00CE0A20">
        <w:rPr>
          <w:rFonts w:ascii="Times New Roman" w:eastAsia="Times New Roman" w:hAnsi="Times New Roman" w:cs="Times New Roman"/>
          <w:sz w:val="28"/>
          <w:szCs w:val="28"/>
          <w:lang w:val="uk-UA"/>
        </w:rPr>
        <w:t>Антонян ИМ. Определение эффективной концентрации кадмия хлорида для создания модели необратимого бесплодия у самцов крыс. Проблеми сучасної медичної науки та освіти. 2010; 1:48-57.</w:t>
      </w:r>
    </w:p>
    <w:p w:rsidR="001C43D0" w:rsidRPr="00CE0A20" w:rsidRDefault="001C43D0" w:rsidP="001C43D0">
      <w:pPr>
        <w:numPr>
          <w:ilvl w:val="0"/>
          <w:numId w:val="34"/>
        </w:numPr>
        <w:tabs>
          <w:tab w:val="left" w:pos="1276"/>
        </w:tabs>
        <w:spacing w:line="360" w:lineRule="auto"/>
        <w:ind w:left="0" w:firstLine="709"/>
        <w:jc w:val="both"/>
        <w:rPr>
          <w:rFonts w:ascii="Times New Roman" w:eastAsia="Times New Roman" w:hAnsi="Times New Roman" w:cs="Times New Roman"/>
          <w:sz w:val="28"/>
          <w:szCs w:val="28"/>
          <w:lang w:val="uk-UA"/>
        </w:rPr>
      </w:pPr>
      <w:r w:rsidRPr="00CE0A20">
        <w:rPr>
          <w:rFonts w:ascii="Times New Roman" w:eastAsia="Times New Roman" w:hAnsi="Times New Roman" w:cs="Times New Roman"/>
          <w:sz w:val="28"/>
          <w:szCs w:val="28"/>
          <w:lang w:val="uk-UA"/>
        </w:rPr>
        <w:t xml:space="preserve">Антонян ІМ, Лісовий ВМ, Мікулинський ЮЮ. Спосіб моделювання чоловічого необоротного безпліддя у щурів. </w:t>
      </w:r>
      <w:r w:rsidRPr="00CE0A20">
        <w:rPr>
          <w:rFonts w:ascii="Times New Roman" w:eastAsia="Times New Roman" w:hAnsi="Times New Roman" w:cs="Times New Roman"/>
          <w:bCs/>
          <w:sz w:val="28"/>
          <w:szCs w:val="28"/>
          <w:lang w:val="uk-UA"/>
        </w:rPr>
        <w:t xml:space="preserve">Деклараційний патент на корисну модель №57337. Опубл.: </w:t>
      </w:r>
      <w:r w:rsidRPr="00CE0A20">
        <w:rPr>
          <w:rFonts w:ascii="Times New Roman" w:eastAsia="Times New Roman" w:hAnsi="Times New Roman" w:cs="Times New Roman"/>
          <w:sz w:val="28"/>
          <w:szCs w:val="28"/>
          <w:lang w:val="uk-UA"/>
        </w:rPr>
        <w:t xml:space="preserve">Бюл.№ 4 від 25.02.11 р. </w:t>
      </w:r>
    </w:p>
    <w:p w:rsidR="00286CFF" w:rsidRPr="00CE0A20" w:rsidRDefault="00286CFF" w:rsidP="00DD101F">
      <w:pPr>
        <w:numPr>
          <w:ilvl w:val="0"/>
          <w:numId w:val="34"/>
        </w:numPr>
        <w:tabs>
          <w:tab w:val="left" w:pos="1276"/>
        </w:tabs>
        <w:spacing w:line="360" w:lineRule="auto"/>
        <w:ind w:left="0" w:firstLine="709"/>
        <w:jc w:val="both"/>
        <w:rPr>
          <w:rFonts w:ascii="Times New Roman" w:eastAsia="Times New Roman" w:hAnsi="Times New Roman" w:cs="Times New Roman"/>
          <w:sz w:val="28"/>
          <w:szCs w:val="28"/>
          <w:lang w:val="uk-UA"/>
        </w:rPr>
      </w:pPr>
      <w:r w:rsidRPr="00CE0A20">
        <w:rPr>
          <w:rFonts w:ascii="Times New Roman" w:eastAsia="Times New Roman" w:hAnsi="Times New Roman" w:cs="Times New Roman"/>
          <w:color w:val="000000" w:themeColor="text1"/>
          <w:sz w:val="28"/>
          <w:szCs w:val="28"/>
          <w:lang w:val="uk-UA"/>
        </w:rPr>
        <w:t xml:space="preserve">Лісовий ВМ, Антонян ІМ. Зміни показників копулятивної поведінки самців щурів з експериментальним гіпогонадизмом під впливом клітинної терапії. Експериментальна і клінічна медицина. 2013; 2: 18-22. </w:t>
      </w:r>
    </w:p>
    <w:p w:rsidR="00286CFF" w:rsidRPr="00CE0A20" w:rsidRDefault="00286CFF" w:rsidP="00DD101F">
      <w:pPr>
        <w:numPr>
          <w:ilvl w:val="0"/>
          <w:numId w:val="34"/>
        </w:numPr>
        <w:tabs>
          <w:tab w:val="left" w:pos="1276"/>
        </w:tabs>
        <w:spacing w:line="360" w:lineRule="auto"/>
        <w:ind w:left="0" w:firstLine="709"/>
        <w:jc w:val="both"/>
        <w:rPr>
          <w:rFonts w:ascii="Times New Roman" w:eastAsia="Times New Roman" w:hAnsi="Times New Roman" w:cs="Times New Roman"/>
          <w:sz w:val="28"/>
          <w:szCs w:val="28"/>
          <w:lang w:val="uk-UA"/>
        </w:rPr>
      </w:pPr>
      <w:r w:rsidRPr="00CE0A20">
        <w:rPr>
          <w:rFonts w:ascii="Times New Roman" w:eastAsia="Times New Roman" w:hAnsi="Times New Roman" w:cs="Times New Roman"/>
          <w:color w:val="000000" w:themeColor="text1"/>
          <w:sz w:val="28"/>
          <w:szCs w:val="28"/>
          <w:lang w:val="uk-UA"/>
        </w:rPr>
        <w:t>Антонян ІМ, Волчік ІВ, Омельченко ОА. Використання клітинних технологій для корекції копулятивної поведінки тварин в експерименті.  Урологія. 2014; 18(2): 20-23.</w:t>
      </w:r>
      <w:r w:rsidRPr="00CE0A20">
        <w:rPr>
          <w:rFonts w:ascii="Times New Roman" w:eastAsia="Times New Roman" w:hAnsi="Times New Roman" w:cs="Times New Roman"/>
          <w:i/>
          <w:color w:val="000000" w:themeColor="text1"/>
          <w:sz w:val="28"/>
          <w:szCs w:val="28"/>
          <w:lang w:val="uk-UA"/>
        </w:rPr>
        <w:t xml:space="preserve"> </w:t>
      </w:r>
    </w:p>
    <w:p w:rsidR="00286CFF" w:rsidRPr="00CE0A20" w:rsidRDefault="00286CFF" w:rsidP="006D4007">
      <w:pPr>
        <w:tabs>
          <w:tab w:val="left" w:pos="1276"/>
        </w:tabs>
        <w:spacing w:line="360" w:lineRule="auto"/>
        <w:ind w:left="709"/>
        <w:jc w:val="both"/>
        <w:rPr>
          <w:rFonts w:ascii="Times New Roman" w:eastAsia="Times New Roman" w:hAnsi="Times New Roman" w:cs="Times New Roman"/>
          <w:sz w:val="28"/>
          <w:szCs w:val="28"/>
          <w:lang w:val="uk-UA"/>
        </w:rPr>
      </w:pPr>
    </w:p>
    <w:p w:rsidR="001C43D0" w:rsidRPr="00CE0A20" w:rsidRDefault="001C43D0" w:rsidP="001C43D0">
      <w:pPr>
        <w:ind w:firstLine="680"/>
        <w:rPr>
          <w:rFonts w:ascii="Times New Roman" w:hAnsi="Times New Roman" w:cs="Times New Roman"/>
          <w:sz w:val="28"/>
          <w:szCs w:val="28"/>
          <w:lang w:val="uk-UA"/>
        </w:rPr>
      </w:pPr>
    </w:p>
    <w:p w:rsidR="001C43D0" w:rsidRPr="00CE0A20" w:rsidRDefault="001C43D0">
      <w:pPr>
        <w:spacing w:after="200" w:line="276" w:lineRule="auto"/>
        <w:rPr>
          <w:rFonts w:ascii="Times New Roman" w:hAnsi="Times New Roman" w:cs="Times New Roman"/>
          <w:sz w:val="28"/>
          <w:szCs w:val="28"/>
        </w:rPr>
      </w:pPr>
    </w:p>
    <w:p w:rsidR="006D4007" w:rsidRPr="00CE0A20" w:rsidRDefault="006D4007">
      <w:pPr>
        <w:spacing w:after="200" w:line="276" w:lineRule="auto"/>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br w:type="page"/>
      </w:r>
    </w:p>
    <w:p w:rsidR="001C43D0" w:rsidRPr="00CE0A20" w:rsidRDefault="006D4007" w:rsidP="001C43D0">
      <w:pPr>
        <w:spacing w:line="360" w:lineRule="auto"/>
        <w:jc w:val="center"/>
        <w:rPr>
          <w:rFonts w:ascii="Times New Roman" w:hAnsi="Times New Roman" w:cs="Times New Roman"/>
          <w:b/>
          <w:color w:val="000000" w:themeColor="text1"/>
          <w:sz w:val="28"/>
          <w:szCs w:val="28"/>
        </w:rPr>
      </w:pPr>
      <w:r w:rsidRPr="00CE0A20">
        <w:rPr>
          <w:rFonts w:ascii="Times New Roman" w:hAnsi="Times New Roman" w:cs="Times New Roman"/>
          <w:b/>
          <w:color w:val="000000" w:themeColor="text1"/>
          <w:sz w:val="28"/>
          <w:szCs w:val="28"/>
          <w:lang w:val="uk-UA"/>
        </w:rPr>
        <w:t xml:space="preserve">Розділ </w:t>
      </w:r>
      <w:r w:rsidR="001C43D0" w:rsidRPr="00CE0A20">
        <w:rPr>
          <w:rFonts w:ascii="Times New Roman" w:hAnsi="Times New Roman" w:cs="Times New Roman"/>
          <w:b/>
          <w:color w:val="000000" w:themeColor="text1"/>
          <w:sz w:val="28"/>
          <w:szCs w:val="28"/>
        </w:rPr>
        <w:t>4</w:t>
      </w:r>
    </w:p>
    <w:p w:rsidR="001C43D0" w:rsidRPr="00CE0A20" w:rsidRDefault="001C43D0" w:rsidP="001C43D0">
      <w:pPr>
        <w:spacing w:line="360" w:lineRule="auto"/>
        <w:jc w:val="center"/>
        <w:rPr>
          <w:rFonts w:ascii="Times New Roman" w:hAnsi="Times New Roman" w:cs="Times New Roman"/>
          <w:b/>
          <w:i/>
          <w:color w:val="000000" w:themeColor="text1"/>
          <w:sz w:val="28"/>
          <w:szCs w:val="28"/>
          <w:lang w:val="uk-UA"/>
        </w:rPr>
      </w:pPr>
      <w:r w:rsidRPr="00CE0A20">
        <w:rPr>
          <w:rFonts w:ascii="Times New Roman" w:hAnsi="Times New Roman" w:cs="Times New Roman"/>
          <w:b/>
          <w:color w:val="000000" w:themeColor="text1"/>
          <w:sz w:val="28"/>
          <w:szCs w:val="28"/>
          <w:lang w:val="uk-UA"/>
        </w:rPr>
        <w:t xml:space="preserve">ЕКСПЕРИМЕНТАЛЬНЕ ОБҐРУНТУВАННЯ ЛІКУВАННЯ АНДРОГЕННОГО ДЕФІЦИТУ ЗА ДОПОМОГОЮ </w:t>
      </w:r>
      <w:r w:rsidRPr="00CE0A20">
        <w:rPr>
          <w:rFonts w:ascii="Times New Roman" w:hAnsi="Times New Roman" w:cs="Times New Roman"/>
          <w:b/>
          <w:iCs/>
          <w:color w:val="000000" w:themeColor="text1"/>
          <w:sz w:val="28"/>
          <w:szCs w:val="28"/>
        </w:rPr>
        <w:t>КЛІТИН СТРОМИ КІСТКОВОГО МОЗКУ</w:t>
      </w:r>
    </w:p>
    <w:p w:rsidR="001C43D0" w:rsidRPr="00CE0A20" w:rsidRDefault="001C43D0" w:rsidP="001C43D0">
      <w:pPr>
        <w:spacing w:line="360" w:lineRule="auto"/>
        <w:rPr>
          <w:rFonts w:ascii="Times New Roman" w:hAnsi="Times New Roman" w:cs="Times New Roman"/>
          <w:b/>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 результатами аналізу багатьох досліджень, гіпогонадизм є досить частим ускладненням багатьох соматичних захворювань чоловіків, поширеність яких зростає з віком. Своєю чергою, наявність дефіциту тестостерону має вплив на різноманітні системи гомеостазу та набуває не тільки медичного, але й соціального значення. Основним методом лікування андрогенного дефіциту є замісна гормональна терапія, яка, крім позитивного впливу на дисбаланс статевих гормонів, має багато побічних ефектів та потребує постійного контролю гормонального стану організму.</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цей час для лікування різноманітної патології успішно застосовують стромальні клітини, які обумовлюють відновлення втрачених клітин та їх функцію. Тому цілком обґрунтованим є вивчення регенера</w:t>
      </w:r>
      <w:r w:rsidRPr="00CE0A20">
        <w:rPr>
          <w:rFonts w:ascii="Times New Roman" w:hAnsi="Times New Roman" w:cs="Times New Roman"/>
          <w:color w:val="000000" w:themeColor="text1"/>
          <w:sz w:val="28"/>
          <w:szCs w:val="28"/>
          <w:lang w:val="uk-UA"/>
        </w:rPr>
        <w:softHyphen/>
        <w:t xml:space="preserve">торного потенціалу стромальних клітин для відновлення сперматогенезу та корекції андрогенного дефіциту. З цією метою виконано другий етап експерименту. У результаті серії експериментів першого етапу була визначення оптимальна модель андрогенного дефіциту –  введення </w:t>
      </w:r>
      <w:r w:rsidR="00CE0A20" w:rsidRPr="00C32D6D">
        <w:rPr>
          <w:rFonts w:ascii="Times New Roman" w:hAnsi="Times New Roman" w:cs="Times New Roman"/>
          <w:color w:val="222222"/>
          <w:sz w:val="28"/>
          <w:szCs w:val="28"/>
          <w:lang w:val="uk-UA"/>
        </w:rPr>
        <w:t>CdCl</w:t>
      </w:r>
      <w:r w:rsidR="00CE0A20" w:rsidRPr="00C32D6D">
        <w:rPr>
          <w:rFonts w:ascii="Times New Roman" w:hAnsi="Times New Roman" w:cs="Times New Roman"/>
          <w:color w:val="222222"/>
          <w:sz w:val="28"/>
          <w:szCs w:val="28"/>
          <w:vertAlign w:val="subscript"/>
          <w:lang w:val="uk-UA"/>
        </w:rPr>
        <w:t>2</w:t>
      </w:r>
      <w:r w:rsidR="00CE0A20">
        <w:rPr>
          <w:rFonts w:ascii="Times New Roman" w:hAnsi="Times New Roman" w:cs="Times New Roman"/>
          <w:color w:val="222222"/>
          <w:sz w:val="28"/>
          <w:szCs w:val="28"/>
          <w:vertAlign w:val="subscript"/>
          <w:lang w:val="uk-UA"/>
        </w:rPr>
        <w:t xml:space="preserve">  </w:t>
      </w:r>
      <w:r w:rsidRPr="00CE0A20">
        <w:rPr>
          <w:rFonts w:ascii="Times New Roman" w:hAnsi="Times New Roman" w:cs="Times New Roman"/>
          <w:color w:val="000000" w:themeColor="text1"/>
          <w:sz w:val="28"/>
          <w:szCs w:val="28"/>
          <w:lang w:val="uk-UA"/>
        </w:rPr>
        <w:t xml:space="preserve">у дозі 150 мкг/100 г  ваги експериментальної тварини спричинювало розвиток стійкого гіпогонадизму з відповідними змінами гормонального статусу та морфології статевих органів без значної загальнотоксичної дії (див. розд. 3). Для визначення оптимальної дози та методу трансплантації КСКМ здійснено серії експериментів з їх інтратестикулярним введенням тваринам з моделлю андрогенного дефіциту у кількості </w:t>
      </w:r>
      <w:r w:rsidRPr="00CE0A20">
        <w:rPr>
          <w:rFonts w:ascii="Times New Roman" w:hAnsi="Times New Roman" w:cs="Times New Roman"/>
          <w:i/>
          <w:iCs/>
          <w:color w:val="000000" w:themeColor="text1"/>
          <w:sz w:val="28"/>
          <w:szCs w:val="28"/>
        </w:rPr>
        <w:t>80 000,  100 000 та 200 000 клітин</w:t>
      </w:r>
      <w:r w:rsidRPr="00CE0A20">
        <w:rPr>
          <w:rFonts w:ascii="Times New Roman" w:hAnsi="Times New Roman" w:cs="Times New Roman"/>
          <w:i/>
          <w:iCs/>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в одне яєчко (група 3а, 3б та 3в) та в обидва (група 4а, 4б, 4в). Отримані в цих групах експериментальних тварин дані порівнювали з аналогічними показниками в групі інтактних тварин (1 група – контрольна) та в групі тварин з експериментальним андрогенним дефіцитом (2 група – порівняння).</w:t>
      </w:r>
    </w:p>
    <w:p w:rsidR="001C43D0" w:rsidRPr="00CE0A20" w:rsidRDefault="001C43D0" w:rsidP="001C43D0">
      <w:pPr>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4.1. Гормональний статус експериментальних тварин після трансплантації КСКМ</w:t>
      </w:r>
    </w:p>
    <w:p w:rsidR="006D4007" w:rsidRPr="00CE0A20" w:rsidRDefault="006D4007"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 xml:space="preserve">Вміст основних статевих гормонів (тестостерону, естрадіолу та відношення Т/Е) після трансплантації КСКМ в одне яєчко  наведено  в табл. 4.1. </w:t>
      </w:r>
    </w:p>
    <w:p w:rsidR="006D4007" w:rsidRPr="00CE0A20" w:rsidRDefault="006D4007" w:rsidP="006D4007">
      <w:pPr>
        <w:spacing w:line="360" w:lineRule="auto"/>
        <w:jc w:val="center"/>
        <w:rPr>
          <w:rFonts w:ascii="Times New Roman" w:hAnsi="Times New Roman" w:cs="Times New Roman"/>
          <w:color w:val="000000" w:themeColor="text1"/>
          <w:sz w:val="28"/>
          <w:szCs w:val="28"/>
          <w:lang w:val="uk-UA"/>
        </w:rPr>
      </w:pPr>
    </w:p>
    <w:p w:rsidR="001C43D0" w:rsidRPr="00CE0A20" w:rsidRDefault="001C43D0" w:rsidP="006D4007">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4.1</w:t>
      </w:r>
      <w:r w:rsidR="006D4007" w:rsidRPr="00CE0A20">
        <w:rPr>
          <w:rFonts w:ascii="Times New Roman" w:hAnsi="Times New Roman" w:cs="Times New Roman"/>
          <w:color w:val="000000" w:themeColor="text1"/>
          <w:sz w:val="28"/>
          <w:szCs w:val="28"/>
          <w:lang w:val="uk-UA"/>
        </w:rPr>
        <w:t xml:space="preserve"> - </w:t>
      </w:r>
      <w:r w:rsidRPr="00CE0A20">
        <w:rPr>
          <w:rFonts w:ascii="Times New Roman" w:hAnsi="Times New Roman" w:cs="Times New Roman"/>
          <w:color w:val="000000" w:themeColor="text1"/>
          <w:sz w:val="28"/>
          <w:szCs w:val="28"/>
          <w:lang w:val="uk-UA"/>
        </w:rPr>
        <w:t>Вміст тестостерону та естрадіолу в сироватці крові експериментальних тварин після трансплантації КСКМ в одне яєчко</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21"/>
        <w:gridCol w:w="2282"/>
        <w:gridCol w:w="2283"/>
        <w:gridCol w:w="2283"/>
      </w:tblGrid>
      <w:tr w:rsidR="001C43D0" w:rsidRPr="00CE0A20" w:rsidTr="001C43D0">
        <w:trPr>
          <w:trHeight w:val="405"/>
        </w:trPr>
        <w:tc>
          <w:tcPr>
            <w:tcW w:w="2721" w:type="dxa"/>
            <w:vMerge w:val="restart"/>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Група експериментальних тварин</w:t>
            </w:r>
          </w:p>
        </w:tc>
        <w:tc>
          <w:tcPr>
            <w:tcW w:w="6848" w:type="dxa"/>
            <w:gridSpan w:val="3"/>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Досліджуваний показник</w:t>
            </w:r>
          </w:p>
        </w:tc>
      </w:tr>
      <w:tr w:rsidR="001C43D0" w:rsidRPr="00CE0A20" w:rsidTr="001C43D0">
        <w:tc>
          <w:tcPr>
            <w:tcW w:w="2721" w:type="dxa"/>
            <w:vMerge/>
            <w:vAlign w:val="center"/>
          </w:tcPr>
          <w:p w:rsidR="001C43D0" w:rsidRPr="00CE0A20" w:rsidRDefault="001C43D0" w:rsidP="001C43D0">
            <w:pPr>
              <w:jc w:val="center"/>
              <w:rPr>
                <w:rFonts w:ascii="Times New Roman" w:hAnsi="Times New Roman" w:cs="Times New Roman"/>
                <w:color w:val="000000" w:themeColor="text1"/>
                <w:sz w:val="28"/>
                <w:szCs w:val="28"/>
                <w:lang w:val="uk-UA"/>
              </w:rPr>
            </w:pPr>
          </w:p>
        </w:tc>
        <w:tc>
          <w:tcPr>
            <w:tcW w:w="2282"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Тестостерон (нмоль/мл)</w:t>
            </w:r>
          </w:p>
        </w:tc>
        <w:tc>
          <w:tcPr>
            <w:tcW w:w="2283"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Естрадіол (пг/мл)</w:t>
            </w:r>
          </w:p>
        </w:tc>
        <w:tc>
          <w:tcPr>
            <w:tcW w:w="2283"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Індекс Т/Е</w:t>
            </w:r>
          </w:p>
        </w:tc>
      </w:tr>
      <w:tr w:rsidR="001C43D0" w:rsidRPr="00CE0A20" w:rsidTr="001C43D0">
        <w:tc>
          <w:tcPr>
            <w:tcW w:w="2721"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 група (контрольна)  (n=20)</w:t>
            </w:r>
          </w:p>
        </w:tc>
        <w:tc>
          <w:tcPr>
            <w:tcW w:w="228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27,1±9,0</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0,24±0,07</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118,4±35,7</w:t>
            </w:r>
          </w:p>
        </w:tc>
      </w:tr>
      <w:tr w:rsidR="001C43D0" w:rsidRPr="00CE0A20" w:rsidTr="001C43D0">
        <w:tc>
          <w:tcPr>
            <w:tcW w:w="2721"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 група (порів</w:t>
            </w:r>
            <w:r w:rsidRPr="00CE0A20">
              <w:rPr>
                <w:rFonts w:ascii="Times New Roman" w:hAnsi="Times New Roman" w:cs="Times New Roman"/>
                <w:color w:val="000000" w:themeColor="text1"/>
                <w:sz w:val="28"/>
                <w:szCs w:val="28"/>
                <w:lang w:val="uk-UA"/>
              </w:rPr>
              <w:softHyphen/>
              <w:t>нян</w:t>
            </w:r>
            <w:r w:rsidRPr="00CE0A20">
              <w:rPr>
                <w:rFonts w:ascii="Times New Roman" w:hAnsi="Times New Roman" w:cs="Times New Roman"/>
                <w:color w:val="000000" w:themeColor="text1"/>
                <w:sz w:val="28"/>
                <w:szCs w:val="28"/>
                <w:lang w:val="uk-UA"/>
              </w:rPr>
              <w:softHyphen/>
              <w:t>ня) (n=20)</w:t>
            </w:r>
          </w:p>
        </w:tc>
        <w:tc>
          <w:tcPr>
            <w:tcW w:w="228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8,9±2,9 </w:t>
            </w:r>
            <w:r w:rsidRPr="00CE0A20">
              <w:rPr>
                <w:rFonts w:ascii="Times New Roman" w:hAnsi="Times New Roman" w:cs="Times New Roman"/>
                <w:color w:val="000000" w:themeColor="text1"/>
                <w:sz w:val="28"/>
                <w:szCs w:val="28"/>
                <w:vertAlign w:val="superscript"/>
                <w:lang w:val="uk-UA"/>
              </w:rPr>
              <w:t>1</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0,31±0,28 </w:t>
            </w:r>
            <w:r w:rsidRPr="00CE0A20">
              <w:rPr>
                <w:rFonts w:ascii="Times New Roman" w:hAnsi="Times New Roman" w:cs="Times New Roman"/>
                <w:color w:val="000000" w:themeColor="text1"/>
                <w:sz w:val="28"/>
                <w:szCs w:val="28"/>
                <w:vertAlign w:val="superscript"/>
                <w:lang w:val="uk-UA"/>
              </w:rPr>
              <w:t>1</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30,9±14,1 </w:t>
            </w:r>
            <w:r w:rsidRPr="00CE0A20">
              <w:rPr>
                <w:rFonts w:ascii="Times New Roman" w:hAnsi="Times New Roman" w:cs="Times New Roman"/>
                <w:color w:val="000000" w:themeColor="text1"/>
                <w:sz w:val="28"/>
                <w:szCs w:val="28"/>
                <w:vertAlign w:val="superscript"/>
                <w:lang w:val="uk-UA"/>
              </w:rPr>
              <w:t>1</w:t>
            </w:r>
          </w:p>
        </w:tc>
      </w:tr>
      <w:tr w:rsidR="001C43D0" w:rsidRPr="00CE0A20" w:rsidTr="001C43D0">
        <w:trPr>
          <w:trHeight w:val="743"/>
        </w:trPr>
        <w:tc>
          <w:tcPr>
            <w:tcW w:w="2721"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3а група (n=20)</w:t>
            </w:r>
          </w:p>
        </w:tc>
        <w:tc>
          <w:tcPr>
            <w:tcW w:w="228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10,6±2,8 </w:t>
            </w:r>
            <w:r w:rsidRPr="00CE0A20">
              <w:rPr>
                <w:rFonts w:ascii="Times New Roman" w:hAnsi="Times New Roman" w:cs="Times New Roman"/>
                <w:color w:val="000000" w:themeColor="text1"/>
                <w:sz w:val="28"/>
                <w:szCs w:val="28"/>
                <w:vertAlign w:val="superscript"/>
                <w:lang w:val="uk-UA"/>
              </w:rPr>
              <w:t>1</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0,31±0,07 </w:t>
            </w:r>
            <w:r w:rsidRPr="00CE0A20">
              <w:rPr>
                <w:rFonts w:ascii="Times New Roman" w:hAnsi="Times New Roman" w:cs="Times New Roman"/>
                <w:color w:val="000000" w:themeColor="text1"/>
                <w:sz w:val="28"/>
                <w:szCs w:val="28"/>
                <w:vertAlign w:val="superscript"/>
                <w:lang w:val="uk-UA"/>
              </w:rPr>
              <w:t>1</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35,8±13,2 </w:t>
            </w:r>
            <w:r w:rsidRPr="00CE0A20">
              <w:rPr>
                <w:rFonts w:ascii="Times New Roman" w:hAnsi="Times New Roman" w:cs="Times New Roman"/>
                <w:color w:val="000000" w:themeColor="text1"/>
                <w:sz w:val="28"/>
                <w:szCs w:val="28"/>
                <w:vertAlign w:val="superscript"/>
                <w:lang w:val="uk-UA"/>
              </w:rPr>
              <w:t>1</w:t>
            </w:r>
          </w:p>
        </w:tc>
      </w:tr>
      <w:tr w:rsidR="001C43D0" w:rsidRPr="00CE0A20" w:rsidTr="001C43D0">
        <w:trPr>
          <w:trHeight w:val="840"/>
        </w:trPr>
        <w:tc>
          <w:tcPr>
            <w:tcW w:w="2721"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3б група (n=20)</w:t>
            </w:r>
          </w:p>
        </w:tc>
        <w:tc>
          <w:tcPr>
            <w:tcW w:w="228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10,2±2,2 </w:t>
            </w:r>
            <w:r w:rsidRPr="00CE0A20">
              <w:rPr>
                <w:rFonts w:ascii="Times New Roman" w:hAnsi="Times New Roman" w:cs="Times New Roman"/>
                <w:color w:val="000000" w:themeColor="text1"/>
                <w:sz w:val="28"/>
                <w:szCs w:val="28"/>
                <w:vertAlign w:val="superscript"/>
                <w:lang w:val="uk-UA"/>
              </w:rPr>
              <w:t>1</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0,29±0,08 </w:t>
            </w:r>
            <w:r w:rsidRPr="00CE0A20">
              <w:rPr>
                <w:rFonts w:ascii="Times New Roman" w:hAnsi="Times New Roman" w:cs="Times New Roman"/>
                <w:color w:val="000000" w:themeColor="text1"/>
                <w:sz w:val="28"/>
                <w:szCs w:val="28"/>
                <w:vertAlign w:val="superscript"/>
                <w:lang w:val="uk-UA"/>
              </w:rPr>
              <w:t>1</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36,5±9,8 </w:t>
            </w:r>
            <w:r w:rsidRPr="00CE0A20">
              <w:rPr>
                <w:rFonts w:ascii="Times New Roman" w:hAnsi="Times New Roman" w:cs="Times New Roman"/>
                <w:color w:val="000000" w:themeColor="text1"/>
                <w:sz w:val="28"/>
                <w:szCs w:val="28"/>
                <w:vertAlign w:val="superscript"/>
                <w:lang w:val="uk-UA"/>
              </w:rPr>
              <w:t>1</w:t>
            </w:r>
          </w:p>
        </w:tc>
      </w:tr>
      <w:tr w:rsidR="001C43D0" w:rsidRPr="00CE0A20" w:rsidTr="001C43D0">
        <w:trPr>
          <w:trHeight w:val="853"/>
        </w:trPr>
        <w:tc>
          <w:tcPr>
            <w:tcW w:w="2721"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3в група (n=20)</w:t>
            </w:r>
          </w:p>
        </w:tc>
        <w:tc>
          <w:tcPr>
            <w:tcW w:w="228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11,1±3,6 </w:t>
            </w:r>
            <w:r w:rsidRPr="00CE0A20">
              <w:rPr>
                <w:rFonts w:ascii="Times New Roman" w:hAnsi="Times New Roman" w:cs="Times New Roman"/>
                <w:color w:val="000000" w:themeColor="text1"/>
                <w:sz w:val="28"/>
                <w:szCs w:val="28"/>
                <w:vertAlign w:val="superscript"/>
                <w:lang w:val="uk-UA"/>
              </w:rPr>
              <w:t>1,2</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0,29±0,08 </w:t>
            </w:r>
            <w:r w:rsidRPr="00CE0A20">
              <w:rPr>
                <w:rFonts w:ascii="Times New Roman" w:hAnsi="Times New Roman" w:cs="Times New Roman"/>
                <w:color w:val="000000" w:themeColor="text1"/>
                <w:sz w:val="28"/>
                <w:szCs w:val="28"/>
                <w:vertAlign w:val="superscript"/>
                <w:lang w:val="uk-UA"/>
              </w:rPr>
              <w:t>1</w:t>
            </w:r>
          </w:p>
        </w:tc>
        <w:tc>
          <w:tcPr>
            <w:tcW w:w="228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41,3±19,7 </w:t>
            </w:r>
            <w:r w:rsidRPr="00CE0A20">
              <w:rPr>
                <w:rFonts w:ascii="Times New Roman" w:hAnsi="Times New Roman" w:cs="Times New Roman"/>
                <w:color w:val="000000" w:themeColor="text1"/>
                <w:sz w:val="28"/>
                <w:szCs w:val="28"/>
                <w:vertAlign w:val="superscript"/>
                <w:lang w:val="uk-UA"/>
              </w:rPr>
              <w:t>1</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контрольною групою за t-критерієм.</w:t>
      </w:r>
    </w:p>
    <w:p w:rsidR="001C43D0" w:rsidRPr="00CE0A20" w:rsidRDefault="001C43D0" w:rsidP="001C43D0">
      <w:pPr>
        <w:spacing w:line="360" w:lineRule="auto"/>
        <w:ind w:left="1843" w:hanging="425"/>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 – р &lt; 0,05 порівняно з 2-ю групою за t-критерієм.</w:t>
      </w:r>
    </w:p>
    <w:p w:rsidR="001C43D0" w:rsidRPr="00CE0A20" w:rsidRDefault="001C43D0" w:rsidP="001C43D0">
      <w:pPr>
        <w:widowControl w:val="0"/>
        <w:spacing w:line="360" w:lineRule="auto"/>
        <w:ind w:left="23" w:firstLine="692"/>
        <w:jc w:val="both"/>
        <w:outlineLvl w:val="3"/>
        <w:rPr>
          <w:rFonts w:ascii="Times New Roman" w:eastAsiaTheme="minorHAnsi" w:hAnsi="Times New Roman" w:cs="Times New Roman"/>
          <w:b/>
          <w:bCs/>
          <w:color w:val="000000" w:themeColor="text1"/>
          <w:sz w:val="28"/>
          <w:szCs w:val="28"/>
          <w:lang w:val="uk-UA" w:eastAsia="en-US"/>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Через 28 діб після інтратестикулярної трансплантації 80 000 КСКМ (3а група) вміст тестостерону був не достовірно вищим, ніж у групі порівняння (2 група – тварини з ЕАД) (р =0,069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але не наблизився до показника інтактних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&lt;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Концентрація естрадіолу у цих тварин була достовірно більшою, ніж в інтактних тварин –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&lt;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та не відрізнялася від аналогічного показника тварин групи порівняння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&gt;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Індекс Т/Е у тварин 3а групи  був достовірно меншим, ніж у контрольній групі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 &lt; 0,05 </w:t>
      </w:r>
      <w:r w:rsidRPr="00CE0A20">
        <w:rPr>
          <w:rFonts w:ascii="Times New Roman" w:hAnsi="Times New Roman" w:cs="Times New Roman"/>
          <w:color w:val="000000" w:themeColor="text1"/>
          <w:sz w:val="28"/>
          <w:szCs w:val="28"/>
          <w:lang w:val="uk-UA"/>
        </w:rPr>
        <w:t xml:space="preserve">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але не відрізнявся від показника групи порівняння </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 &gt; 0,05</w:t>
      </w:r>
      <w:r w:rsidRPr="00CE0A20">
        <w:rPr>
          <w:rFonts w:ascii="Times New Roman" w:hAnsi="Times New Roman" w:cs="Times New Roman"/>
          <w:color w:val="000000" w:themeColor="text1"/>
          <w:sz w:val="28"/>
          <w:szCs w:val="28"/>
          <w:lang w:val="uk-UA"/>
        </w:rPr>
        <w:t xml:space="preserve">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групі тварин після інтратестикулярної трансплантації в одне яєчко 100 000 КСКМ концентрація тестостерону була достовірно меншою, ніж у 1-й групі, та не відрізнялась від аналогічного показника групи порівняння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&gt;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Рівень естрадіолу був вищим, ніж у тварин контрольної групи з тенденцією до зниження порівняно з 2-ю групою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&gt;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Індекс Т/Е був значно нижчим порівняно з 1-ю групою та не достовірно вищим, ніж у тварин 2-ї групи.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Після трансплантації 200 000 КСКМ в одне яєчко рівень тестостерону був достовірно більшим, ніж у групі порівняння (р=0,037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але був значно меншим, ніж у групі інтактних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Середній рівень естрадіолу  та величина Т/Е достовірно відрізнялися від аналогічних показників контрольної групи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&lt;0,05за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але не мали різниці з показниками групи порівняння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&gt;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Загалом ці результати свідчать про наявність позитивного впливу трансплантації КСКМ на вміст основних статевих гормонів, але він не виявився достатнім для їх нормалізації навіть при введенні 200 000 клітин.</w:t>
      </w:r>
    </w:p>
    <w:p w:rsidR="001C43D0" w:rsidRPr="00CE0A20" w:rsidRDefault="001C43D0" w:rsidP="001C43D0">
      <w:pPr>
        <w:widowControl w:val="0"/>
        <w:spacing w:line="360" w:lineRule="auto"/>
        <w:ind w:left="23" w:firstLine="692"/>
        <w:jc w:val="both"/>
        <w:outlineLvl w:val="3"/>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color w:val="000000" w:themeColor="text1"/>
          <w:sz w:val="28"/>
          <w:szCs w:val="28"/>
          <w:lang w:val="uk-UA" w:eastAsia="en-US"/>
        </w:rPr>
        <w:t>Аналіз вмісту статевих гормонів гіпофізарного поход</w:t>
      </w:r>
      <w:r w:rsidRPr="00CE0A20">
        <w:rPr>
          <w:rFonts w:ascii="Times New Roman" w:eastAsiaTheme="minorHAnsi" w:hAnsi="Times New Roman" w:cs="Times New Roman"/>
          <w:color w:val="000000" w:themeColor="text1"/>
          <w:sz w:val="28"/>
          <w:szCs w:val="28"/>
          <w:lang w:val="uk-UA" w:eastAsia="en-US"/>
        </w:rPr>
        <w:softHyphen/>
        <w:t>ження (ФСГ, ЛГ, ПРЛ та ГЗСГ) у сироватці крові експериментальних тварин та під впливом різних доз CdCI</w:t>
      </w:r>
      <w:r w:rsidRPr="00CE0A20">
        <w:rPr>
          <w:rFonts w:ascii="Times New Roman" w:eastAsiaTheme="minorHAnsi" w:hAnsi="Times New Roman" w:cs="Times New Roman"/>
          <w:color w:val="000000" w:themeColor="text1"/>
          <w:sz w:val="28"/>
          <w:szCs w:val="28"/>
          <w:vertAlign w:val="subscript"/>
          <w:lang w:val="uk-UA" w:eastAsia="en-US"/>
        </w:rPr>
        <w:t>2</w:t>
      </w:r>
      <w:r w:rsidRPr="00CE0A20">
        <w:rPr>
          <w:rFonts w:ascii="Times New Roman" w:eastAsiaTheme="minorHAnsi" w:hAnsi="Times New Roman" w:cs="Times New Roman"/>
          <w:color w:val="000000" w:themeColor="text1"/>
          <w:sz w:val="28"/>
          <w:szCs w:val="28"/>
          <w:lang w:val="uk-UA" w:eastAsia="en-US"/>
        </w:rPr>
        <w:t xml:space="preserve"> виявив таке.</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Після трансплантації 80 000 КСКМ в одне яєчко концентрація ФСГ була достовірно вищою, ніж у контрольній групі (p&lt;0,05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та незначно нижчим, ніж у групі порівняння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Концентрація ЛГ у цій групі тварин  була достовірно меншою, ніж у тварин  групи порівняння, але достовірно більшою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&lt;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 ніж в інтактних тварин. Значно більшою, ніж у контрольній групі, була концентрація ПРЛ та ГЗСГ, при цьому істотної різниці порівняно з аналогічними показниками  тварин 2-ї групи не виявлено (р&gt;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(табл. 4.2).</w:t>
      </w:r>
    </w:p>
    <w:p w:rsidR="001C43D0" w:rsidRPr="00CE0A20" w:rsidRDefault="001C43D0" w:rsidP="006D4007">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4.2</w:t>
      </w:r>
      <w:r w:rsidR="006D4007" w:rsidRPr="00CE0A20">
        <w:rPr>
          <w:rFonts w:ascii="Times New Roman" w:hAnsi="Times New Roman" w:cs="Times New Roman"/>
          <w:color w:val="000000" w:themeColor="text1"/>
          <w:sz w:val="28"/>
          <w:szCs w:val="28"/>
          <w:lang w:val="uk-UA"/>
        </w:rPr>
        <w:t xml:space="preserve"> - </w:t>
      </w:r>
      <w:r w:rsidRPr="00CE0A20">
        <w:rPr>
          <w:rFonts w:ascii="Times New Roman" w:hAnsi="Times New Roman" w:cs="Times New Roman"/>
          <w:color w:val="000000" w:themeColor="text1"/>
          <w:sz w:val="28"/>
          <w:szCs w:val="28"/>
          <w:lang w:val="uk-UA"/>
        </w:rPr>
        <w:t xml:space="preserve">Концентрація статевих гормонів гіпофізарного походження </w:t>
      </w:r>
      <w:r w:rsidRPr="00CE0A20">
        <w:rPr>
          <w:rFonts w:ascii="Times New Roman" w:hAnsi="Times New Roman" w:cs="Times New Roman"/>
          <w:color w:val="000000" w:themeColor="text1"/>
          <w:sz w:val="28"/>
          <w:szCs w:val="28"/>
        </w:rPr>
        <w:t xml:space="preserve">та ГЗСГ </w:t>
      </w:r>
      <w:r w:rsidRPr="00CE0A20">
        <w:rPr>
          <w:rFonts w:ascii="Times New Roman" w:hAnsi="Times New Roman" w:cs="Times New Roman"/>
          <w:color w:val="000000" w:themeColor="text1"/>
          <w:sz w:val="28"/>
          <w:szCs w:val="28"/>
          <w:lang w:val="uk-UA"/>
        </w:rPr>
        <w:t xml:space="preserve">після трансплантації КСКМ в одне яєчко </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957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35"/>
        <w:gridCol w:w="1833"/>
        <w:gridCol w:w="1834"/>
        <w:gridCol w:w="1834"/>
        <w:gridCol w:w="1834"/>
      </w:tblGrid>
      <w:tr w:rsidR="001C43D0" w:rsidRPr="00CE0A20" w:rsidTr="001C43D0">
        <w:trPr>
          <w:trHeight w:val="405"/>
        </w:trPr>
        <w:tc>
          <w:tcPr>
            <w:tcW w:w="2235" w:type="dxa"/>
            <w:vMerge w:val="restart"/>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Група експеримен</w:t>
            </w:r>
            <w:r w:rsidRPr="00CE0A20">
              <w:rPr>
                <w:rFonts w:ascii="Times New Roman" w:hAnsi="Times New Roman" w:cs="Times New Roman"/>
                <w:color w:val="000000" w:themeColor="text1"/>
                <w:sz w:val="28"/>
                <w:szCs w:val="28"/>
                <w:lang w:val="uk-UA"/>
              </w:rPr>
              <w:softHyphen/>
              <w:t>тальних тварин</w:t>
            </w:r>
          </w:p>
        </w:tc>
        <w:tc>
          <w:tcPr>
            <w:tcW w:w="7335" w:type="dxa"/>
            <w:gridSpan w:val="4"/>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Досліджуваний показник</w:t>
            </w:r>
          </w:p>
        </w:tc>
      </w:tr>
      <w:tr w:rsidR="001C43D0" w:rsidRPr="00CE0A20" w:rsidTr="001C43D0">
        <w:tc>
          <w:tcPr>
            <w:tcW w:w="2235" w:type="dxa"/>
            <w:vMerge/>
            <w:vAlign w:val="center"/>
          </w:tcPr>
          <w:p w:rsidR="001C43D0" w:rsidRPr="00CE0A20" w:rsidRDefault="001C43D0" w:rsidP="001C43D0">
            <w:pPr>
              <w:jc w:val="center"/>
              <w:rPr>
                <w:rFonts w:ascii="Times New Roman" w:hAnsi="Times New Roman" w:cs="Times New Roman"/>
                <w:color w:val="000000" w:themeColor="text1"/>
                <w:sz w:val="28"/>
                <w:szCs w:val="28"/>
                <w:lang w:val="uk-UA"/>
              </w:rPr>
            </w:pPr>
          </w:p>
        </w:tc>
        <w:tc>
          <w:tcPr>
            <w:tcW w:w="1833"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ФСГ (мЕд/мл)</w:t>
            </w:r>
          </w:p>
        </w:tc>
        <w:tc>
          <w:tcPr>
            <w:tcW w:w="1834" w:type="dxa"/>
            <w:shd w:val="clear" w:color="auto" w:fill="FFFFFF"/>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ЛГ   (мЕд/мл)</w:t>
            </w:r>
          </w:p>
        </w:tc>
        <w:tc>
          <w:tcPr>
            <w:tcW w:w="1834"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ПРЛ (МкМЕ/мл)</w:t>
            </w:r>
          </w:p>
        </w:tc>
        <w:tc>
          <w:tcPr>
            <w:tcW w:w="1834"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ГЗСГ (нмоль/мл)</w:t>
            </w:r>
          </w:p>
        </w:tc>
      </w:tr>
      <w:tr w:rsidR="001C43D0" w:rsidRPr="00CE0A20" w:rsidTr="001C43D0">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1-а група (конт</w:t>
            </w:r>
            <w:r w:rsidRPr="00CE0A20">
              <w:rPr>
                <w:rFonts w:ascii="Times New Roman" w:hAnsi="Times New Roman" w:cs="Times New Roman"/>
                <w:color w:val="000000" w:themeColor="text1"/>
                <w:sz w:val="28"/>
                <w:szCs w:val="28"/>
                <w:lang w:val="uk-UA"/>
              </w:rPr>
              <w:softHyphen/>
              <w:t>рольна)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3,6±0,7</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5,5±0,7</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38,8±15,9</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92,0±33,4</w:t>
            </w:r>
          </w:p>
        </w:tc>
      </w:tr>
      <w:tr w:rsidR="001C43D0" w:rsidRPr="00CE0A20" w:rsidTr="001C43D0">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2-а група (порів</w:t>
            </w:r>
            <w:r w:rsidRPr="00CE0A20">
              <w:rPr>
                <w:rFonts w:ascii="Times New Roman" w:hAnsi="Times New Roman" w:cs="Times New Roman"/>
                <w:color w:val="000000" w:themeColor="text1"/>
                <w:sz w:val="28"/>
                <w:szCs w:val="28"/>
                <w:lang w:val="uk-UA"/>
              </w:rPr>
              <w:softHyphen/>
              <w:t>няння)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5,8±0,7 </w:t>
            </w:r>
            <w:r w:rsidRPr="00CE0A20">
              <w:rPr>
                <w:rFonts w:ascii="Times New Roman" w:hAnsi="Times New Roman" w:cs="Times New Roman"/>
                <w:color w:val="000000" w:themeColor="text1"/>
                <w:sz w:val="28"/>
                <w:szCs w:val="28"/>
                <w:vertAlign w:val="superscript"/>
                <w:lang w:val="uk-UA"/>
              </w:rPr>
              <w:t>1</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7,7±0,7 </w:t>
            </w:r>
            <w:r w:rsidRPr="00CE0A20">
              <w:rPr>
                <w:rFonts w:ascii="Times New Roman" w:hAnsi="Times New Roman" w:cs="Times New Roman"/>
                <w:color w:val="000000" w:themeColor="text1"/>
                <w:sz w:val="28"/>
                <w:szCs w:val="28"/>
                <w:vertAlign w:val="superscript"/>
                <w:lang w:val="uk-UA"/>
              </w:rPr>
              <w:t>1</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146,4±46,6 </w:t>
            </w:r>
            <w:r w:rsidRPr="00CE0A20">
              <w:rPr>
                <w:rFonts w:ascii="Times New Roman" w:hAnsi="Times New Roman" w:cs="Times New Roman"/>
                <w:color w:val="000000" w:themeColor="text1"/>
                <w:sz w:val="28"/>
                <w:szCs w:val="28"/>
                <w:vertAlign w:val="superscript"/>
                <w:lang w:val="uk-UA"/>
              </w:rPr>
              <w:t>1</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229,7±45,1 </w:t>
            </w:r>
            <w:r w:rsidRPr="00CE0A20">
              <w:rPr>
                <w:rFonts w:ascii="Times New Roman" w:hAnsi="Times New Roman" w:cs="Times New Roman"/>
                <w:color w:val="000000" w:themeColor="text1"/>
                <w:sz w:val="28"/>
                <w:szCs w:val="28"/>
                <w:vertAlign w:val="superscript"/>
                <w:lang w:val="uk-UA"/>
              </w:rPr>
              <w:t>1</w:t>
            </w:r>
          </w:p>
        </w:tc>
      </w:tr>
      <w:tr w:rsidR="001C43D0" w:rsidRPr="00CE0A20" w:rsidTr="001C43D0">
        <w:trPr>
          <w:trHeight w:val="815"/>
        </w:trPr>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3а група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5,4±0,7 </w:t>
            </w:r>
            <w:r w:rsidRPr="00CE0A20">
              <w:rPr>
                <w:rFonts w:ascii="Times New Roman" w:hAnsi="Times New Roman" w:cs="Times New Roman"/>
                <w:color w:val="000000" w:themeColor="text1"/>
                <w:sz w:val="28"/>
                <w:szCs w:val="28"/>
                <w:vertAlign w:val="superscript"/>
                <w:lang w:val="uk-UA"/>
              </w:rPr>
              <w:t>1</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6,9±0,3 </w:t>
            </w:r>
            <w:r w:rsidRPr="00CE0A20">
              <w:rPr>
                <w:rFonts w:ascii="Times New Roman" w:hAnsi="Times New Roman" w:cs="Times New Roman"/>
                <w:color w:val="000000" w:themeColor="text1"/>
                <w:sz w:val="28"/>
                <w:szCs w:val="28"/>
                <w:vertAlign w:val="superscript"/>
                <w:lang w:val="uk-UA"/>
              </w:rPr>
              <w:t>1,2</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135,6±38,6 </w:t>
            </w:r>
            <w:r w:rsidRPr="00CE0A20">
              <w:rPr>
                <w:rFonts w:ascii="Times New Roman" w:hAnsi="Times New Roman" w:cs="Times New Roman"/>
                <w:color w:val="000000" w:themeColor="text1"/>
                <w:sz w:val="28"/>
                <w:szCs w:val="28"/>
                <w:vertAlign w:val="superscript"/>
                <w:lang w:val="uk-UA"/>
              </w:rPr>
              <w:t>1</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215,8±45,8 </w:t>
            </w:r>
            <w:r w:rsidRPr="00CE0A20">
              <w:rPr>
                <w:rFonts w:ascii="Times New Roman" w:hAnsi="Times New Roman" w:cs="Times New Roman"/>
                <w:color w:val="000000" w:themeColor="text1"/>
                <w:sz w:val="28"/>
                <w:szCs w:val="28"/>
                <w:vertAlign w:val="superscript"/>
                <w:lang w:val="uk-UA"/>
              </w:rPr>
              <w:t>1</w:t>
            </w:r>
          </w:p>
        </w:tc>
      </w:tr>
      <w:tr w:rsidR="001C43D0" w:rsidRPr="00CE0A20" w:rsidTr="001C43D0">
        <w:trPr>
          <w:trHeight w:val="840"/>
        </w:trPr>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3б група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5,0±0,7 </w:t>
            </w:r>
            <w:r w:rsidRPr="00CE0A20">
              <w:rPr>
                <w:rFonts w:ascii="Times New Roman" w:hAnsi="Times New Roman" w:cs="Times New Roman"/>
                <w:color w:val="000000" w:themeColor="text1"/>
                <w:sz w:val="28"/>
                <w:szCs w:val="28"/>
                <w:vertAlign w:val="superscript"/>
                <w:lang w:val="uk-UA"/>
              </w:rPr>
              <w:t>1,2</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6,8±0,4 </w:t>
            </w:r>
            <w:r w:rsidRPr="00CE0A20">
              <w:rPr>
                <w:rFonts w:ascii="Times New Roman" w:hAnsi="Times New Roman" w:cs="Times New Roman"/>
                <w:color w:val="000000" w:themeColor="text1"/>
                <w:sz w:val="28"/>
                <w:szCs w:val="28"/>
                <w:vertAlign w:val="superscript"/>
                <w:lang w:val="uk-UA"/>
              </w:rPr>
              <w:t>1,2</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128,3±33,1 </w:t>
            </w:r>
            <w:r w:rsidRPr="00CE0A20">
              <w:rPr>
                <w:rFonts w:ascii="Times New Roman" w:hAnsi="Times New Roman" w:cs="Times New Roman"/>
                <w:color w:val="000000" w:themeColor="text1"/>
                <w:sz w:val="28"/>
                <w:szCs w:val="28"/>
                <w:vertAlign w:val="superscript"/>
                <w:lang w:val="uk-UA"/>
              </w:rPr>
              <w:t>1</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214,0±42,7 </w:t>
            </w:r>
            <w:r w:rsidRPr="00CE0A20">
              <w:rPr>
                <w:rFonts w:ascii="Times New Roman" w:hAnsi="Times New Roman" w:cs="Times New Roman"/>
                <w:color w:val="000000" w:themeColor="text1"/>
                <w:sz w:val="28"/>
                <w:szCs w:val="28"/>
                <w:vertAlign w:val="superscript"/>
                <w:lang w:val="uk-UA"/>
              </w:rPr>
              <w:t>1</w:t>
            </w:r>
          </w:p>
        </w:tc>
      </w:tr>
      <w:tr w:rsidR="001C43D0" w:rsidRPr="00CE0A20" w:rsidTr="001C43D0">
        <w:trPr>
          <w:trHeight w:val="803"/>
        </w:trPr>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3в група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5,0±0,7 </w:t>
            </w:r>
            <w:r w:rsidRPr="00CE0A20">
              <w:rPr>
                <w:rFonts w:ascii="Times New Roman" w:hAnsi="Times New Roman" w:cs="Times New Roman"/>
                <w:color w:val="000000" w:themeColor="text1"/>
                <w:sz w:val="28"/>
                <w:szCs w:val="28"/>
                <w:vertAlign w:val="superscript"/>
                <w:lang w:val="uk-UA"/>
              </w:rPr>
              <w:t>1,2</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6,7±0,4 </w:t>
            </w:r>
            <w:r w:rsidRPr="00CE0A20">
              <w:rPr>
                <w:rFonts w:ascii="Times New Roman" w:hAnsi="Times New Roman" w:cs="Times New Roman"/>
                <w:color w:val="000000" w:themeColor="text1"/>
                <w:sz w:val="28"/>
                <w:szCs w:val="28"/>
                <w:vertAlign w:val="superscript"/>
                <w:lang w:val="uk-UA"/>
              </w:rPr>
              <w:t>1,2</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118,2±31,7 </w:t>
            </w:r>
            <w:r w:rsidRPr="00CE0A20">
              <w:rPr>
                <w:rFonts w:ascii="Times New Roman" w:hAnsi="Times New Roman" w:cs="Times New Roman"/>
                <w:color w:val="000000" w:themeColor="text1"/>
                <w:sz w:val="28"/>
                <w:szCs w:val="28"/>
                <w:vertAlign w:val="superscript"/>
                <w:lang w:val="uk-UA"/>
              </w:rPr>
              <w:t>1,2</w:t>
            </w:r>
          </w:p>
        </w:tc>
        <w:tc>
          <w:tcPr>
            <w:tcW w:w="1834"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213,2±44,9 </w:t>
            </w:r>
            <w:r w:rsidRPr="00CE0A20">
              <w:rPr>
                <w:rFonts w:ascii="Times New Roman" w:hAnsi="Times New Roman" w:cs="Times New Roman"/>
                <w:color w:val="000000" w:themeColor="text1"/>
                <w:sz w:val="28"/>
                <w:szCs w:val="28"/>
                <w:vertAlign w:val="superscript"/>
                <w:lang w:val="uk-UA"/>
              </w:rPr>
              <w:t>1</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контрольною групою за t-критерієм.</w:t>
      </w:r>
    </w:p>
    <w:p w:rsidR="001C43D0" w:rsidRPr="00CE0A20" w:rsidRDefault="001C43D0" w:rsidP="001C43D0">
      <w:pPr>
        <w:spacing w:line="360" w:lineRule="auto"/>
        <w:ind w:left="1843" w:hanging="425"/>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 – р &lt; 0,05 порівняно з 2-ю групою за t-критерієм.</w:t>
      </w:r>
    </w:p>
    <w:p w:rsidR="001C43D0" w:rsidRPr="00CE0A20" w:rsidRDefault="001C43D0" w:rsidP="001C43D0">
      <w:pPr>
        <w:widowControl w:val="0"/>
        <w:spacing w:line="360" w:lineRule="auto"/>
        <w:ind w:left="23" w:firstLine="692"/>
        <w:jc w:val="both"/>
        <w:outlineLvl w:val="3"/>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 експериментальних тварин 3б групи (після трансплантації 100 000 КСКМ) рівень ФСГ у сироватці крові був нижчим, ніж у тварин групи порівняння, але достовірно вищим, ніж у групі інтактних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&lt;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Концентрація ЛГ  була достовірно нижчою, ніж у тварин 2-ї групи, та достовірно вищою, ніж у тварин контрольної групи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 &lt; 0,05 </w:t>
      </w:r>
      <w:r w:rsidRPr="00CE0A20">
        <w:rPr>
          <w:rFonts w:ascii="Times New Roman" w:hAnsi="Times New Roman" w:cs="Times New Roman"/>
          <w:color w:val="000000" w:themeColor="text1"/>
          <w:sz w:val="28"/>
          <w:szCs w:val="28"/>
          <w:lang w:val="uk-UA"/>
        </w:rPr>
        <w:t xml:space="preserve">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Рівень ПРЛ дорівнював або був достовірно більшим за контрольний показник та недостовірно меншим, ніж у групі порівняння. Концентрація ГЗСГ у тварин 3б групи була недостовірно меншою, ніж у групі порівняння, але достовірно більшою, ніж у контрольній групі.</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У тварин 3в групи (після трансплантації 200 000 КСКМ в одне яєчко) рівень ФСГ не відрізнявся від показника 3б групи, зберігалося його збільшення порівняно з контрольною групою та зменшення порівняно з 2-ю групою. Це стосується також концентрації ЛГ.  Концентрація ПРЛ зменшилася порівняно з попередньою групою більшою мірою, що було достовірно менше, ніж у тварин групи порівняння, але достовірно більше, ніж у контрольній групі.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Підтвердженням цих закономірностей є результати аналізу величини АІ (рис. 4.1).</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805C846" wp14:editId="20E1136D">
            <wp:extent cx="5804452" cy="4577993"/>
            <wp:effectExtent l="0" t="0" r="635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821332" cy="4591306"/>
                    </a:xfrm>
                    <a:prstGeom prst="rect">
                      <a:avLst/>
                    </a:prstGeom>
                    <a:noFill/>
                    <a:ln>
                      <a:noFill/>
                    </a:ln>
                  </pic:spPr>
                </pic:pic>
              </a:graphicData>
            </a:graphic>
          </wp:inline>
        </w:drawing>
      </w:r>
    </w:p>
    <w:p w:rsidR="001C43D0" w:rsidRPr="00CE0A20" w:rsidRDefault="001C43D0" w:rsidP="001C43D0">
      <w:pPr>
        <w:spacing w:after="240"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 Величина АІ в експериментальних тварин</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Як видно, після трансплантації КСКМ в одне яєчко зберігається значне зниження величини АІ порівняно з контрольною групою з незначною тенденцією до підвищення у зіставленні з 2-ю групою. У групі порівняння величина АІ становила  (4,0±1,5), після трансплантації КСКМ вона збільшилася до (5,2±1,8)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 &lt; 0,05 </w:t>
      </w:r>
      <w:r w:rsidRPr="00CE0A20">
        <w:rPr>
          <w:rFonts w:ascii="Times New Roman" w:hAnsi="Times New Roman" w:cs="Times New Roman"/>
          <w:color w:val="000000" w:themeColor="text1"/>
          <w:sz w:val="28"/>
          <w:szCs w:val="28"/>
          <w:lang w:val="uk-UA"/>
        </w:rPr>
        <w:t xml:space="preserve">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 3а групі, до (5,0±1,7) в 3б групі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 &gt; 0,05 </w:t>
      </w:r>
      <w:r w:rsidRPr="00CE0A20">
        <w:rPr>
          <w:rFonts w:ascii="Times New Roman" w:hAnsi="Times New Roman" w:cs="Times New Roman"/>
          <w:color w:val="000000" w:themeColor="text1"/>
          <w:sz w:val="28"/>
          <w:szCs w:val="28"/>
          <w:lang w:val="uk-UA"/>
        </w:rPr>
        <w:t xml:space="preserve">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та до (5,4±1,8) в 3в групі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 &lt; 0,05 </w:t>
      </w:r>
      <w:r w:rsidRPr="00CE0A20">
        <w:rPr>
          <w:rFonts w:ascii="Times New Roman" w:hAnsi="Times New Roman" w:cs="Times New Roman"/>
          <w:color w:val="000000" w:themeColor="text1"/>
          <w:sz w:val="28"/>
          <w:szCs w:val="28"/>
          <w:lang w:val="uk-UA"/>
        </w:rPr>
        <w:t xml:space="preserve">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після трансплантації КСКМ в одне яєчко спостерігається незначна корекція гормонального дисбалансу на тлі ЕАД. Однак підвищення концентрації тестостерону у сироватці крові досягло рівня достовірності тільки при введенні 200 000 КСМ порівняно з тваринами без лікування ЕАД. Концентрації окремих статевих гормонів гіпофізарного походження  (ЛГ, ПРЛ), що були компенсаторно підвищені у тварин з ЕАД, зменшились, але в жодному випадку не досягли рівня інтактних тварин.</w:t>
      </w:r>
    </w:p>
    <w:p w:rsidR="001C43D0" w:rsidRPr="00CE0A20" w:rsidRDefault="001C43D0" w:rsidP="001C43D0">
      <w:pPr>
        <w:widowControl w:val="0"/>
        <w:spacing w:line="360" w:lineRule="auto"/>
        <w:ind w:left="23" w:firstLine="692"/>
        <w:jc w:val="both"/>
        <w:outlineLvl w:val="3"/>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color w:val="000000" w:themeColor="text1"/>
          <w:sz w:val="28"/>
          <w:szCs w:val="28"/>
          <w:lang w:val="uk-UA" w:eastAsia="en-US"/>
        </w:rPr>
        <w:t>Це стало підставою для виконання другої серії експериментальних досліджень, під час яких здійснювали інтратестикулярну трансплантацію КСКМ в аналогічній кількості, але в обидва яєчка. У результаті аналізу отриманих даних виявлено більш показові закономірності (рис. 4.</w:t>
      </w:r>
      <w:r w:rsidR="006D4007" w:rsidRPr="00CE0A20">
        <w:rPr>
          <w:rFonts w:ascii="Times New Roman" w:eastAsiaTheme="minorHAnsi" w:hAnsi="Times New Roman" w:cs="Times New Roman"/>
          <w:color w:val="000000" w:themeColor="text1"/>
          <w:sz w:val="28"/>
          <w:szCs w:val="28"/>
          <w:lang w:val="uk-UA" w:eastAsia="en-US"/>
        </w:rPr>
        <w:t>2</w:t>
      </w:r>
      <w:r w:rsidRPr="00CE0A20">
        <w:rPr>
          <w:rFonts w:ascii="Times New Roman" w:eastAsiaTheme="minorHAnsi" w:hAnsi="Times New Roman" w:cs="Times New Roman"/>
          <w:color w:val="000000" w:themeColor="text1"/>
          <w:sz w:val="28"/>
          <w:szCs w:val="28"/>
          <w:lang w:val="uk-UA" w:eastAsia="en-US"/>
        </w:rPr>
        <w:t>-4.</w:t>
      </w:r>
      <w:r w:rsidR="006D4007" w:rsidRPr="00CE0A20">
        <w:rPr>
          <w:rFonts w:ascii="Times New Roman" w:eastAsiaTheme="minorHAnsi" w:hAnsi="Times New Roman" w:cs="Times New Roman"/>
          <w:color w:val="000000" w:themeColor="text1"/>
          <w:sz w:val="28"/>
          <w:szCs w:val="28"/>
          <w:lang w:val="uk-UA" w:eastAsia="en-US"/>
        </w:rPr>
        <w:t>4</w:t>
      </w:r>
      <w:r w:rsidRPr="00CE0A20">
        <w:rPr>
          <w:rFonts w:ascii="Times New Roman" w:eastAsiaTheme="minorHAnsi" w:hAnsi="Times New Roman" w:cs="Times New Roman"/>
          <w:color w:val="000000" w:themeColor="text1"/>
          <w:sz w:val="28"/>
          <w:szCs w:val="28"/>
          <w:lang w:val="uk-UA" w:eastAsia="en-US"/>
        </w:rPr>
        <w:t>).</w:t>
      </w:r>
    </w:p>
    <w:p w:rsidR="006D4007" w:rsidRPr="00CE0A20" w:rsidRDefault="006D4007" w:rsidP="001C43D0">
      <w:pPr>
        <w:widowControl w:val="0"/>
        <w:spacing w:line="360" w:lineRule="auto"/>
        <w:ind w:left="23" w:firstLine="692"/>
        <w:jc w:val="both"/>
        <w:outlineLvl w:val="3"/>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widowControl w:val="0"/>
        <w:spacing w:line="360" w:lineRule="auto"/>
        <w:ind w:left="23" w:hanging="23"/>
        <w:jc w:val="both"/>
        <w:outlineLvl w:val="3"/>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noProof/>
          <w:color w:val="000000" w:themeColor="text1"/>
          <w:sz w:val="28"/>
          <w:szCs w:val="28"/>
        </w:rPr>
        <w:drawing>
          <wp:inline distT="0" distB="0" distL="0" distR="0" wp14:anchorId="75B308F2" wp14:editId="706B2FA3">
            <wp:extent cx="5920286" cy="4731026"/>
            <wp:effectExtent l="0" t="0" r="4445"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0491" cy="4739181"/>
                    </a:xfrm>
                    <a:prstGeom prst="rect">
                      <a:avLst/>
                    </a:prstGeom>
                    <a:noFill/>
                    <a:ln>
                      <a:noFill/>
                    </a:ln>
                  </pic:spPr>
                </pic:pic>
              </a:graphicData>
            </a:graphic>
          </wp:inline>
        </w:drawing>
      </w:r>
    </w:p>
    <w:p w:rsidR="001C43D0" w:rsidRPr="00CE0A20" w:rsidRDefault="001C43D0" w:rsidP="001C43D0">
      <w:pPr>
        <w:widowControl w:val="0"/>
        <w:spacing w:line="360" w:lineRule="auto"/>
        <w:ind w:left="23" w:firstLine="692"/>
        <w:jc w:val="both"/>
        <w:outlineLvl w:val="3"/>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color w:val="000000" w:themeColor="text1"/>
          <w:sz w:val="28"/>
          <w:szCs w:val="28"/>
          <w:lang w:val="uk-UA" w:eastAsia="en-US"/>
        </w:rPr>
        <w:t>Рис. 4.</w:t>
      </w:r>
      <w:r w:rsidR="006D4007" w:rsidRPr="00CE0A20">
        <w:rPr>
          <w:rFonts w:ascii="Times New Roman" w:eastAsiaTheme="minorHAnsi" w:hAnsi="Times New Roman" w:cs="Times New Roman"/>
          <w:color w:val="000000" w:themeColor="text1"/>
          <w:sz w:val="28"/>
          <w:szCs w:val="28"/>
          <w:lang w:val="uk-UA" w:eastAsia="en-US"/>
        </w:rPr>
        <w:t>2</w:t>
      </w:r>
      <w:r w:rsidRPr="00CE0A20">
        <w:rPr>
          <w:rFonts w:ascii="Times New Roman" w:eastAsiaTheme="minorHAnsi" w:hAnsi="Times New Roman" w:cs="Times New Roman"/>
          <w:color w:val="000000" w:themeColor="text1"/>
          <w:sz w:val="28"/>
          <w:szCs w:val="28"/>
          <w:lang w:val="uk-UA" w:eastAsia="en-US"/>
        </w:rPr>
        <w:t>. Вміст тестотерону в сироватці крові експериментальних тварин</w:t>
      </w:r>
    </w:p>
    <w:p w:rsidR="001C43D0" w:rsidRPr="00CE0A20" w:rsidRDefault="001C43D0" w:rsidP="001C43D0">
      <w:pPr>
        <w:widowControl w:val="0"/>
        <w:spacing w:line="360" w:lineRule="auto"/>
        <w:ind w:left="23" w:firstLine="692"/>
        <w:jc w:val="both"/>
        <w:outlineLvl w:val="3"/>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color w:val="000000" w:themeColor="text1"/>
          <w:sz w:val="28"/>
          <w:szCs w:val="28"/>
          <w:lang w:val="uk-UA" w:eastAsia="en-US"/>
        </w:rPr>
        <w:t>Через 28 діб після введення 80 000 КСКМ в кожне яєчко (4а група) рівень тестостерону дорівнював (15,1±5,6) нмоль/мл, достовірно більше, ніж у групі порівняння – (9,7±3,1) ммоль/мл  (</w:t>
      </w:r>
      <w:r w:rsidRPr="00CE0A20">
        <w:rPr>
          <w:rFonts w:ascii="Times New Roman" w:eastAsiaTheme="minorHAnsi" w:hAnsi="Times New Roman" w:cs="Times New Roman"/>
          <w:color w:val="000000" w:themeColor="text1"/>
          <w:sz w:val="28"/>
          <w:szCs w:val="28"/>
          <w:lang w:eastAsia="en-US"/>
        </w:rPr>
        <w:t>p</w:t>
      </w:r>
      <w:r w:rsidRPr="00CE0A20">
        <w:rPr>
          <w:rFonts w:ascii="Times New Roman" w:eastAsiaTheme="minorHAnsi" w:hAnsi="Times New Roman" w:cs="Times New Roman"/>
          <w:color w:val="000000" w:themeColor="text1"/>
          <w:sz w:val="28"/>
          <w:szCs w:val="28"/>
          <w:lang w:val="uk-UA" w:eastAsia="en-US"/>
        </w:rPr>
        <w:t xml:space="preserve"> &lt; 0,05 за </w:t>
      </w:r>
      <w:r w:rsidRPr="00CE0A20">
        <w:rPr>
          <w:rFonts w:ascii="Times New Roman" w:eastAsiaTheme="minorHAnsi" w:hAnsi="Times New Roman" w:cs="Times New Roman"/>
          <w:color w:val="000000" w:themeColor="text1"/>
          <w:sz w:val="28"/>
          <w:szCs w:val="28"/>
          <w:lang w:eastAsia="en-US"/>
        </w:rPr>
        <w:t>t</w:t>
      </w:r>
      <w:r w:rsidRPr="00CE0A20">
        <w:rPr>
          <w:rFonts w:ascii="Times New Roman" w:eastAsiaTheme="minorHAnsi" w:hAnsi="Times New Roman" w:cs="Times New Roman"/>
          <w:color w:val="000000" w:themeColor="text1"/>
          <w:sz w:val="28"/>
          <w:szCs w:val="28"/>
          <w:lang w:val="uk-UA" w:eastAsia="en-US"/>
        </w:rPr>
        <w:t>-критерієм), але менше, ніж в інтактних тварин (</w:t>
      </w:r>
      <w:r w:rsidRPr="00CE0A20">
        <w:rPr>
          <w:rFonts w:ascii="Times New Roman" w:eastAsiaTheme="minorHAnsi" w:hAnsi="Times New Roman" w:cs="Times New Roman"/>
          <w:color w:val="000000" w:themeColor="text1"/>
          <w:sz w:val="28"/>
          <w:szCs w:val="28"/>
          <w:lang w:eastAsia="en-US"/>
        </w:rPr>
        <w:t>p</w:t>
      </w:r>
      <w:r w:rsidRPr="00CE0A20">
        <w:rPr>
          <w:rFonts w:ascii="Times New Roman" w:eastAsiaTheme="minorHAnsi" w:hAnsi="Times New Roman" w:cs="Times New Roman"/>
          <w:color w:val="000000" w:themeColor="text1"/>
          <w:sz w:val="28"/>
          <w:szCs w:val="28"/>
          <w:lang w:val="uk-UA" w:eastAsia="en-US"/>
        </w:rPr>
        <w:t xml:space="preserve"> &lt; 0,05 за </w:t>
      </w:r>
      <w:r w:rsidRPr="00CE0A20">
        <w:rPr>
          <w:rFonts w:ascii="Times New Roman" w:eastAsiaTheme="minorHAnsi" w:hAnsi="Times New Roman" w:cs="Times New Roman"/>
          <w:color w:val="000000" w:themeColor="text1"/>
          <w:sz w:val="28"/>
          <w:szCs w:val="28"/>
          <w:lang w:eastAsia="en-US"/>
        </w:rPr>
        <w:t>t</w:t>
      </w:r>
      <w:r w:rsidRPr="00CE0A20">
        <w:rPr>
          <w:rFonts w:ascii="Times New Roman" w:eastAsiaTheme="minorHAnsi" w:hAnsi="Times New Roman" w:cs="Times New Roman"/>
          <w:color w:val="000000" w:themeColor="text1"/>
          <w:sz w:val="28"/>
          <w:szCs w:val="28"/>
          <w:lang w:val="uk-UA" w:eastAsia="en-US"/>
        </w:rPr>
        <w:t xml:space="preserve">-критерієм). Після введення 100 000 КСКМ в кожне яєчко (група 4б) відмічається ще більший рівень тестостерону – (19,0±6,4) ммоль/мл, що також достовірно більше, ніж у 2-й групі, але все ще не досяг рівня тестостерону в інтактних тварин (р=0,083 за </w:t>
      </w:r>
      <w:r w:rsidRPr="00CE0A20">
        <w:rPr>
          <w:rFonts w:ascii="Times New Roman" w:eastAsiaTheme="minorHAnsi" w:hAnsi="Times New Roman" w:cs="Times New Roman"/>
          <w:color w:val="000000" w:themeColor="text1"/>
          <w:sz w:val="28"/>
          <w:szCs w:val="28"/>
          <w:lang w:eastAsia="en-US"/>
        </w:rPr>
        <w:t>t</w:t>
      </w:r>
      <w:r w:rsidRPr="00CE0A20">
        <w:rPr>
          <w:rFonts w:ascii="Times New Roman" w:eastAsiaTheme="minorHAnsi" w:hAnsi="Times New Roman" w:cs="Times New Roman"/>
          <w:color w:val="000000" w:themeColor="text1"/>
          <w:sz w:val="28"/>
          <w:szCs w:val="28"/>
          <w:lang w:val="uk-UA" w:eastAsia="en-US"/>
        </w:rPr>
        <w:t>-критерієм). У 4в групі після введення 200 000 КСКМ в кожне яєчко рівень тестостерону досяг (22,6±7,0) ммоль/м, що не відрізнялось від середнього показника інтактних тварин (</w:t>
      </w:r>
      <w:r w:rsidRPr="00CE0A20">
        <w:rPr>
          <w:rFonts w:ascii="Times New Roman" w:eastAsiaTheme="minorHAnsi" w:hAnsi="Times New Roman" w:cs="Times New Roman"/>
          <w:color w:val="000000" w:themeColor="text1"/>
          <w:sz w:val="28"/>
          <w:szCs w:val="28"/>
          <w:lang w:eastAsia="en-US"/>
        </w:rPr>
        <w:t>p</w:t>
      </w:r>
      <w:r w:rsidRPr="00CE0A20">
        <w:rPr>
          <w:rFonts w:ascii="Times New Roman" w:eastAsiaTheme="minorHAnsi" w:hAnsi="Times New Roman" w:cs="Times New Roman"/>
          <w:color w:val="000000" w:themeColor="text1"/>
          <w:sz w:val="28"/>
          <w:szCs w:val="28"/>
          <w:lang w:val="uk-UA" w:eastAsia="en-US"/>
        </w:rPr>
        <w:t xml:space="preserve"> &gt; 0,05 за </w:t>
      </w:r>
      <w:r w:rsidRPr="00CE0A20">
        <w:rPr>
          <w:rFonts w:ascii="Times New Roman" w:eastAsiaTheme="minorHAnsi" w:hAnsi="Times New Roman" w:cs="Times New Roman"/>
          <w:color w:val="000000" w:themeColor="text1"/>
          <w:sz w:val="28"/>
          <w:szCs w:val="28"/>
          <w:lang w:eastAsia="en-US"/>
        </w:rPr>
        <w:t>t</w:t>
      </w:r>
      <w:r w:rsidRPr="00CE0A20">
        <w:rPr>
          <w:rFonts w:ascii="Times New Roman" w:eastAsiaTheme="minorHAnsi" w:hAnsi="Times New Roman" w:cs="Times New Roman"/>
          <w:color w:val="000000" w:themeColor="text1"/>
          <w:sz w:val="28"/>
          <w:szCs w:val="28"/>
          <w:lang w:val="uk-UA" w:eastAsia="en-US"/>
        </w:rPr>
        <w:t>-кр</w:t>
      </w:r>
      <w:r w:rsidR="006D4007" w:rsidRPr="00CE0A20">
        <w:rPr>
          <w:rFonts w:ascii="Times New Roman" w:eastAsiaTheme="minorHAnsi" w:hAnsi="Times New Roman" w:cs="Times New Roman"/>
          <w:color w:val="000000" w:themeColor="text1"/>
          <w:sz w:val="28"/>
          <w:szCs w:val="28"/>
          <w:lang w:val="uk-UA" w:eastAsia="en-US"/>
        </w:rPr>
        <w:t>итерієм).</w:t>
      </w:r>
    </w:p>
    <w:p w:rsidR="001C43D0" w:rsidRPr="00CE0A20" w:rsidRDefault="001C43D0" w:rsidP="001C43D0">
      <w:pPr>
        <w:widowControl w:val="0"/>
        <w:spacing w:line="360" w:lineRule="auto"/>
        <w:ind w:left="23" w:firstLine="692"/>
        <w:jc w:val="both"/>
        <w:outlineLvl w:val="3"/>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color w:val="000000" w:themeColor="text1"/>
          <w:sz w:val="28"/>
          <w:szCs w:val="28"/>
          <w:lang w:val="uk-UA" w:eastAsia="en-US"/>
        </w:rPr>
        <w:t>Схожий характер мали рівні естрадіолу в цих групах тварин. У 4а групі він становив (0,26±0,08) пг/мл, що було достовірно менше, ніж у групі порівняння (</w:t>
      </w:r>
      <w:r w:rsidRPr="00CE0A20">
        <w:rPr>
          <w:rFonts w:ascii="Times New Roman" w:eastAsiaTheme="minorHAnsi" w:hAnsi="Times New Roman" w:cs="Times New Roman"/>
          <w:color w:val="000000" w:themeColor="text1"/>
          <w:sz w:val="28"/>
          <w:szCs w:val="28"/>
          <w:lang w:eastAsia="en-US"/>
        </w:rPr>
        <w:t>p</w:t>
      </w:r>
      <w:r w:rsidRPr="00CE0A20">
        <w:rPr>
          <w:rFonts w:ascii="Times New Roman" w:eastAsiaTheme="minorHAnsi" w:hAnsi="Times New Roman" w:cs="Times New Roman"/>
          <w:color w:val="000000" w:themeColor="text1"/>
          <w:sz w:val="28"/>
          <w:szCs w:val="28"/>
          <w:lang w:val="uk-UA" w:eastAsia="en-US"/>
        </w:rPr>
        <w:t xml:space="preserve"> &lt; 0,05 за </w:t>
      </w:r>
      <w:r w:rsidRPr="00CE0A20">
        <w:rPr>
          <w:rFonts w:ascii="Times New Roman" w:eastAsiaTheme="minorHAnsi" w:hAnsi="Times New Roman" w:cs="Times New Roman"/>
          <w:color w:val="000000" w:themeColor="text1"/>
          <w:sz w:val="28"/>
          <w:szCs w:val="28"/>
          <w:lang w:eastAsia="en-US"/>
        </w:rPr>
        <w:t>t</w:t>
      </w:r>
      <w:r w:rsidRPr="00CE0A20">
        <w:rPr>
          <w:rFonts w:ascii="Times New Roman" w:eastAsiaTheme="minorHAnsi" w:hAnsi="Times New Roman" w:cs="Times New Roman"/>
          <w:color w:val="000000" w:themeColor="text1"/>
          <w:sz w:val="28"/>
          <w:szCs w:val="28"/>
          <w:lang w:val="uk-UA" w:eastAsia="en-US"/>
        </w:rPr>
        <w:t>-критерієм) та не відрізнялося від показника інтактних тварин. При збільшення дози КСКМ до 100 000 концентрація (4б група) естрадіолу практично не змінилась, становлячи (0,26±0,07) пг/мл  з аналогічними співвідношеннями з інтактними тваринами та тваринами групи порівняння. У тварин 4в групи рівень естрадіолу знизився до (0,21±0,07) пг/мл, що також було достовірно менше, ніж у групі порівняння, та відрізнялося від середніх значень у тварин контрольної групи (рис. 4.</w:t>
      </w:r>
      <w:r w:rsidR="006D4007" w:rsidRPr="00CE0A20">
        <w:rPr>
          <w:rFonts w:ascii="Times New Roman" w:eastAsiaTheme="minorHAnsi" w:hAnsi="Times New Roman" w:cs="Times New Roman"/>
          <w:color w:val="000000" w:themeColor="text1"/>
          <w:sz w:val="28"/>
          <w:szCs w:val="28"/>
          <w:lang w:val="uk-UA" w:eastAsia="en-US"/>
        </w:rPr>
        <w:t>3</w:t>
      </w:r>
      <w:r w:rsidRPr="00CE0A20">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Ці особливості знайшли відображення й при порівнянні величини Т/Е (рис. 4.5). У 4а групі величина Т/Е становила (59,9±20,8) – достовірно більше, ніж у групі порівняння та достовірно менше, ніж в інтактних тварин. У 4б групі величина Т/Е зросла до (78,8±32,05), що достовірно більше, ніж у групі порівняння та достовірно менше, ніж в інтактних тварин (р=0,041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У 4в групі Т/Е дорівнювала (119,2±49,1), що не відрізнялось від показника інтактних тварин (рис. 4.</w:t>
      </w:r>
      <w:r w:rsidR="006D4007" w:rsidRPr="00CE0A20">
        <w:rPr>
          <w:rFonts w:ascii="Times New Roman" w:hAnsi="Times New Roman" w:cs="Times New Roman"/>
          <w:color w:val="000000" w:themeColor="text1"/>
          <w:sz w:val="28"/>
          <w:szCs w:val="28"/>
          <w:lang w:val="uk-UA"/>
        </w:rPr>
        <w:t>4</w:t>
      </w:r>
      <w:r w:rsidRPr="00CE0A20">
        <w:rPr>
          <w:rFonts w:ascii="Times New Roman" w:hAnsi="Times New Roman" w:cs="Times New Roman"/>
          <w:color w:val="000000" w:themeColor="text1"/>
          <w:sz w:val="28"/>
          <w:szCs w:val="28"/>
          <w:lang w:val="uk-UA"/>
        </w:rPr>
        <w:t>).</w:t>
      </w:r>
    </w:p>
    <w:p w:rsidR="001C43D0" w:rsidRPr="00CE0A20" w:rsidRDefault="001C43D0" w:rsidP="001C43D0">
      <w:pPr>
        <w:widowControl w:val="0"/>
        <w:spacing w:line="360" w:lineRule="auto"/>
        <w:ind w:left="23" w:firstLine="692"/>
        <w:jc w:val="both"/>
        <w:outlineLvl w:val="3"/>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widowControl w:val="0"/>
        <w:spacing w:line="360" w:lineRule="auto"/>
        <w:ind w:left="23" w:hanging="23"/>
        <w:jc w:val="center"/>
        <w:outlineLvl w:val="3"/>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noProof/>
          <w:color w:val="000000" w:themeColor="text1"/>
          <w:sz w:val="28"/>
          <w:szCs w:val="28"/>
        </w:rPr>
        <w:drawing>
          <wp:inline distT="0" distB="0" distL="0" distR="0" wp14:anchorId="5B0F667E" wp14:editId="78DBC75D">
            <wp:extent cx="5032746" cy="4026089"/>
            <wp:effectExtent l="0" t="0" r="0"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032468" cy="4025867"/>
                    </a:xfrm>
                    <a:prstGeom prst="rect">
                      <a:avLst/>
                    </a:prstGeom>
                    <a:noFill/>
                    <a:ln>
                      <a:noFill/>
                    </a:ln>
                  </pic:spPr>
                </pic:pic>
              </a:graphicData>
            </a:graphic>
          </wp:inline>
        </w:drawing>
      </w:r>
    </w:p>
    <w:p w:rsidR="001C43D0" w:rsidRPr="00CE0A20" w:rsidRDefault="006D4007"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4.3</w:t>
      </w:r>
      <w:r w:rsidR="001C43D0" w:rsidRPr="00CE0A20">
        <w:rPr>
          <w:rFonts w:ascii="Times New Roman" w:hAnsi="Times New Roman" w:cs="Times New Roman"/>
          <w:color w:val="000000" w:themeColor="text1"/>
          <w:sz w:val="28"/>
          <w:szCs w:val="28"/>
          <w:lang w:val="uk-UA"/>
        </w:rPr>
        <w:t>. Вміст естрадіолу в сироватці крові експериментальних тварин</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227C2197" wp14:editId="0F21596D">
            <wp:extent cx="5308979" cy="4247070"/>
            <wp:effectExtent l="0" t="0" r="6350" b="127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08835" cy="4246955"/>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w:t>
      </w:r>
      <w:r w:rsidR="006D4007" w:rsidRPr="00CE0A20">
        <w:rPr>
          <w:rFonts w:ascii="Times New Roman" w:hAnsi="Times New Roman" w:cs="Times New Roman"/>
          <w:color w:val="000000" w:themeColor="text1"/>
          <w:sz w:val="28"/>
          <w:szCs w:val="28"/>
          <w:lang w:val="uk-UA"/>
        </w:rPr>
        <w:t>4</w:t>
      </w:r>
      <w:r w:rsidRPr="00CE0A20">
        <w:rPr>
          <w:rFonts w:ascii="Times New Roman" w:hAnsi="Times New Roman" w:cs="Times New Roman"/>
          <w:color w:val="000000" w:themeColor="text1"/>
          <w:sz w:val="28"/>
          <w:szCs w:val="28"/>
          <w:lang w:val="uk-UA"/>
        </w:rPr>
        <w:t>. Величина Т/Е в експериментальних тварин</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трансплантація КСКМ в кожне яєчко спричиняє позитивний ефект, у результаті якого рівні тестостерону, естрадіолу та їх співвідношення нормалізуються, а у тварин, яким вводили 200 000 КСКМ їх велична не відрізнялася від інтактних тварин.</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Аналіз статевих гормонів гіпофізарного походження виявив досить велику розбіжність індивідуальних значень окремих гормонів, але теж продемонстрував певні закономірності. Збільшення рівня тестостерону та величини Т/Е призводило до зменшення рівня цих гормонів.</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4а групі концентрація ФСГ була достовірно більшою за показник контрольної групи та достовірно меншою за показник групи порівняння, у 4б та 4в групах його рівень не відрізнявся від контрольних значень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&gt;</w:t>
      </w:r>
      <w:r w:rsidRPr="00CE0A20">
        <w:rPr>
          <w:rFonts w:ascii="Times New Roman" w:hAnsi="Times New Roman" w:cs="Times New Roman"/>
          <w:color w:val="000000" w:themeColor="text1"/>
          <w:sz w:val="28"/>
          <w:szCs w:val="28"/>
          <w:lang w:val="uk-UA"/>
        </w:rPr>
        <w:t xml:space="preserve">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(табл. 4.3).</w:t>
      </w:r>
    </w:p>
    <w:p w:rsidR="006D4007" w:rsidRPr="00CE0A20" w:rsidRDefault="006D4007" w:rsidP="001C43D0">
      <w:pPr>
        <w:spacing w:line="360" w:lineRule="auto"/>
        <w:ind w:firstLine="709"/>
        <w:jc w:val="both"/>
        <w:rPr>
          <w:rFonts w:ascii="Times New Roman" w:hAnsi="Times New Roman" w:cs="Times New Roman"/>
          <w:color w:val="000000" w:themeColor="text1"/>
          <w:sz w:val="28"/>
          <w:szCs w:val="28"/>
        </w:rPr>
      </w:pPr>
    </w:p>
    <w:p w:rsidR="001C43D0" w:rsidRPr="00CE0A20" w:rsidRDefault="001C43D0" w:rsidP="006D4007">
      <w:pPr>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color w:val="000000" w:themeColor="text1"/>
          <w:sz w:val="28"/>
          <w:szCs w:val="28"/>
          <w:lang w:val="uk-UA"/>
        </w:rPr>
        <w:t>Таблиця 4.3</w:t>
      </w:r>
      <w:r w:rsidR="006D4007" w:rsidRPr="00CE0A20">
        <w:rPr>
          <w:rFonts w:ascii="Times New Roman" w:hAnsi="Times New Roman" w:cs="Times New Roman"/>
          <w:color w:val="000000" w:themeColor="text1"/>
          <w:sz w:val="28"/>
          <w:szCs w:val="28"/>
          <w:lang w:val="uk-UA"/>
        </w:rPr>
        <w:t xml:space="preserve"> - </w:t>
      </w:r>
      <w:r w:rsidRPr="00CE0A20">
        <w:rPr>
          <w:rFonts w:ascii="Times New Roman" w:hAnsi="Times New Roman" w:cs="Times New Roman"/>
          <w:color w:val="000000" w:themeColor="text1"/>
          <w:sz w:val="28"/>
          <w:szCs w:val="28"/>
          <w:lang w:val="uk-UA"/>
        </w:rPr>
        <w:t>Концентрація статевих гормонів гіпофізарного поход</w:t>
      </w:r>
      <w:r w:rsidRPr="00CE0A20">
        <w:rPr>
          <w:rFonts w:ascii="Times New Roman" w:hAnsi="Times New Roman" w:cs="Times New Roman"/>
          <w:color w:val="000000" w:themeColor="text1"/>
          <w:sz w:val="28"/>
          <w:szCs w:val="28"/>
          <w:lang w:val="uk-UA"/>
        </w:rPr>
        <w:softHyphen/>
        <w:t>ження та ГЗСГ після трансплантації КСКМ в кожне яєчко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lang w:val="uk-UA"/>
        </w:rPr>
        <w:t>)</w:t>
      </w:r>
    </w:p>
    <w:tbl>
      <w:tblPr>
        <w:tblW w:w="974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35"/>
        <w:gridCol w:w="1833"/>
        <w:gridCol w:w="1710"/>
        <w:gridCol w:w="1957"/>
        <w:gridCol w:w="2012"/>
      </w:tblGrid>
      <w:tr w:rsidR="001C43D0" w:rsidRPr="00CE0A20" w:rsidTr="001C43D0">
        <w:trPr>
          <w:trHeight w:val="405"/>
        </w:trPr>
        <w:tc>
          <w:tcPr>
            <w:tcW w:w="2235" w:type="dxa"/>
            <w:vMerge w:val="restart"/>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Група експеримен</w:t>
            </w:r>
            <w:r w:rsidRPr="00CE0A20">
              <w:rPr>
                <w:rFonts w:ascii="Times New Roman" w:hAnsi="Times New Roman" w:cs="Times New Roman"/>
                <w:color w:val="000000" w:themeColor="text1"/>
                <w:sz w:val="28"/>
                <w:szCs w:val="28"/>
                <w:lang w:val="uk-UA"/>
              </w:rPr>
              <w:softHyphen/>
              <w:t>тальних тварин</w:t>
            </w:r>
          </w:p>
        </w:tc>
        <w:tc>
          <w:tcPr>
            <w:tcW w:w="7512" w:type="dxa"/>
            <w:gridSpan w:val="4"/>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Досліджуваний показник</w:t>
            </w:r>
          </w:p>
        </w:tc>
      </w:tr>
      <w:tr w:rsidR="001C43D0" w:rsidRPr="00CE0A20" w:rsidTr="001C43D0">
        <w:tc>
          <w:tcPr>
            <w:tcW w:w="2235" w:type="dxa"/>
            <w:vMerge/>
            <w:vAlign w:val="center"/>
          </w:tcPr>
          <w:p w:rsidR="001C43D0" w:rsidRPr="00CE0A20" w:rsidRDefault="001C43D0" w:rsidP="001C43D0">
            <w:pPr>
              <w:jc w:val="center"/>
              <w:rPr>
                <w:rFonts w:ascii="Times New Roman" w:hAnsi="Times New Roman" w:cs="Times New Roman"/>
                <w:color w:val="000000" w:themeColor="text1"/>
                <w:sz w:val="28"/>
                <w:szCs w:val="28"/>
                <w:lang w:val="uk-UA"/>
              </w:rPr>
            </w:pPr>
          </w:p>
        </w:tc>
        <w:tc>
          <w:tcPr>
            <w:tcW w:w="1833"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ФСГ (мЕд/мл)</w:t>
            </w:r>
          </w:p>
        </w:tc>
        <w:tc>
          <w:tcPr>
            <w:tcW w:w="1710" w:type="dxa"/>
            <w:shd w:val="clear" w:color="auto" w:fill="FFFFFF"/>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ЛГ   (мЕд/мл)</w:t>
            </w:r>
          </w:p>
        </w:tc>
        <w:tc>
          <w:tcPr>
            <w:tcW w:w="1957"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ПРЛ (МкМЕ/мл)</w:t>
            </w:r>
          </w:p>
        </w:tc>
        <w:tc>
          <w:tcPr>
            <w:tcW w:w="2012"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ГЗСГ (нмоль/мл)</w:t>
            </w:r>
          </w:p>
        </w:tc>
      </w:tr>
      <w:tr w:rsidR="001C43D0" w:rsidRPr="00CE0A20" w:rsidTr="001C43D0">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1-а група (конт</w:t>
            </w:r>
            <w:r w:rsidRPr="00CE0A20">
              <w:rPr>
                <w:rFonts w:ascii="Times New Roman" w:hAnsi="Times New Roman" w:cs="Times New Roman"/>
                <w:color w:val="000000" w:themeColor="text1"/>
                <w:sz w:val="28"/>
                <w:szCs w:val="28"/>
                <w:lang w:val="uk-UA"/>
              </w:rPr>
              <w:softHyphen/>
              <w:t>рольна)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3,98±0,46</w:t>
            </w:r>
          </w:p>
        </w:tc>
        <w:tc>
          <w:tcPr>
            <w:tcW w:w="1710"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6,01±0,44</w:t>
            </w:r>
          </w:p>
        </w:tc>
        <w:tc>
          <w:tcPr>
            <w:tcW w:w="1957"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38,08±17,10</w:t>
            </w:r>
          </w:p>
        </w:tc>
        <w:tc>
          <w:tcPr>
            <w:tcW w:w="201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95,28±36,07</w:t>
            </w:r>
          </w:p>
        </w:tc>
      </w:tr>
      <w:tr w:rsidR="001C43D0" w:rsidRPr="00CE0A20" w:rsidTr="001C43D0">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2-а група (порів</w:t>
            </w:r>
            <w:r w:rsidRPr="00CE0A20">
              <w:rPr>
                <w:rFonts w:ascii="Times New Roman" w:hAnsi="Times New Roman" w:cs="Times New Roman"/>
                <w:color w:val="000000" w:themeColor="text1"/>
                <w:sz w:val="28"/>
                <w:szCs w:val="28"/>
                <w:lang w:val="uk-UA"/>
              </w:rPr>
              <w:softHyphen/>
              <w:t>няння)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5,39±0,59</w:t>
            </w:r>
          </w:p>
        </w:tc>
        <w:tc>
          <w:tcPr>
            <w:tcW w:w="1710"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7,10±0,38</w:t>
            </w:r>
          </w:p>
        </w:tc>
        <w:tc>
          <w:tcPr>
            <w:tcW w:w="1957"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122,40±41,51</w:t>
            </w:r>
          </w:p>
        </w:tc>
        <w:tc>
          <w:tcPr>
            <w:tcW w:w="201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215,93±50,82</w:t>
            </w:r>
          </w:p>
        </w:tc>
      </w:tr>
      <w:tr w:rsidR="001C43D0" w:rsidRPr="00CE0A20" w:rsidTr="001C43D0">
        <w:trPr>
          <w:trHeight w:val="815"/>
        </w:trPr>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4а група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4,30±0,45</w:t>
            </w:r>
            <w:r w:rsidRPr="00CE0A20">
              <w:rPr>
                <w:rFonts w:ascii="Times New Roman" w:hAnsi="Times New Roman" w:cs="Times New Roman"/>
                <w:color w:val="000000" w:themeColor="text1"/>
                <w:sz w:val="28"/>
                <w:szCs w:val="28"/>
                <w:vertAlign w:val="superscript"/>
                <w:lang w:val="uk-UA"/>
              </w:rPr>
              <w:t>1,2</w:t>
            </w:r>
          </w:p>
        </w:tc>
        <w:tc>
          <w:tcPr>
            <w:tcW w:w="1710"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6,71±0,46</w:t>
            </w:r>
            <w:r w:rsidRPr="00CE0A20">
              <w:rPr>
                <w:rFonts w:ascii="Times New Roman" w:hAnsi="Times New Roman" w:cs="Times New Roman"/>
                <w:color w:val="000000" w:themeColor="text1"/>
                <w:sz w:val="28"/>
                <w:szCs w:val="28"/>
                <w:vertAlign w:val="superscript"/>
                <w:lang w:val="uk-UA"/>
              </w:rPr>
              <w:t>1,2</w:t>
            </w:r>
          </w:p>
        </w:tc>
        <w:tc>
          <w:tcPr>
            <w:tcW w:w="1957"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76,61±30,89</w:t>
            </w:r>
            <w:r w:rsidRPr="00CE0A20">
              <w:rPr>
                <w:rFonts w:ascii="Times New Roman" w:hAnsi="Times New Roman" w:cs="Times New Roman"/>
                <w:color w:val="000000" w:themeColor="text1"/>
                <w:sz w:val="28"/>
                <w:szCs w:val="28"/>
                <w:vertAlign w:val="superscript"/>
                <w:lang w:val="uk-UA"/>
              </w:rPr>
              <w:t>1,2</w:t>
            </w:r>
          </w:p>
        </w:tc>
        <w:tc>
          <w:tcPr>
            <w:tcW w:w="201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172,96±40,68</w:t>
            </w:r>
            <w:r w:rsidRPr="00CE0A20">
              <w:rPr>
                <w:rFonts w:ascii="Times New Roman" w:hAnsi="Times New Roman" w:cs="Times New Roman"/>
                <w:color w:val="000000" w:themeColor="text1"/>
                <w:sz w:val="28"/>
                <w:szCs w:val="28"/>
                <w:vertAlign w:val="superscript"/>
                <w:lang w:val="uk-UA"/>
              </w:rPr>
              <w:t>1,2</w:t>
            </w:r>
          </w:p>
        </w:tc>
      </w:tr>
      <w:tr w:rsidR="001C43D0" w:rsidRPr="00CE0A20" w:rsidTr="001C43D0">
        <w:trPr>
          <w:trHeight w:val="840"/>
        </w:trPr>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4б група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4,02±0,25</w:t>
            </w:r>
            <w:r w:rsidRPr="00CE0A20">
              <w:rPr>
                <w:rFonts w:ascii="Times New Roman" w:hAnsi="Times New Roman" w:cs="Times New Roman"/>
                <w:color w:val="000000" w:themeColor="text1"/>
                <w:sz w:val="28"/>
                <w:szCs w:val="28"/>
                <w:vertAlign w:val="superscript"/>
                <w:lang w:val="uk-UA"/>
              </w:rPr>
              <w:t>2</w:t>
            </w:r>
          </w:p>
        </w:tc>
        <w:tc>
          <w:tcPr>
            <w:tcW w:w="1710"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6,61±0,32</w:t>
            </w:r>
            <w:r w:rsidRPr="00CE0A20">
              <w:rPr>
                <w:rFonts w:ascii="Times New Roman" w:hAnsi="Times New Roman" w:cs="Times New Roman"/>
                <w:color w:val="000000" w:themeColor="text1"/>
                <w:sz w:val="28"/>
                <w:szCs w:val="28"/>
                <w:vertAlign w:val="superscript"/>
                <w:lang w:val="uk-UA"/>
              </w:rPr>
              <w:t>1,2</w:t>
            </w:r>
          </w:p>
        </w:tc>
        <w:tc>
          <w:tcPr>
            <w:tcW w:w="1957"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49,29±20,95</w:t>
            </w:r>
            <w:r w:rsidRPr="00CE0A20">
              <w:rPr>
                <w:rFonts w:ascii="Times New Roman" w:hAnsi="Times New Roman" w:cs="Times New Roman"/>
                <w:color w:val="000000" w:themeColor="text1"/>
                <w:sz w:val="28"/>
                <w:szCs w:val="28"/>
                <w:vertAlign w:val="superscript"/>
                <w:lang w:val="uk-UA"/>
              </w:rPr>
              <w:t>2</w:t>
            </w:r>
          </w:p>
        </w:tc>
        <w:tc>
          <w:tcPr>
            <w:tcW w:w="201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136,08±47,88</w:t>
            </w:r>
            <w:r w:rsidRPr="00CE0A20">
              <w:rPr>
                <w:rFonts w:ascii="Times New Roman" w:hAnsi="Times New Roman" w:cs="Times New Roman"/>
                <w:color w:val="000000" w:themeColor="text1"/>
                <w:sz w:val="28"/>
                <w:szCs w:val="28"/>
                <w:vertAlign w:val="superscript"/>
                <w:lang w:val="uk-UA"/>
              </w:rPr>
              <w:t>1,2</w:t>
            </w:r>
          </w:p>
        </w:tc>
      </w:tr>
      <w:tr w:rsidR="001C43D0" w:rsidRPr="00CE0A20" w:rsidTr="001C43D0">
        <w:trPr>
          <w:trHeight w:val="803"/>
        </w:trPr>
        <w:tc>
          <w:tcPr>
            <w:tcW w:w="2235"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4в група (n=20)</w:t>
            </w:r>
          </w:p>
        </w:tc>
        <w:tc>
          <w:tcPr>
            <w:tcW w:w="1833"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3,93±0,31</w:t>
            </w:r>
            <w:r w:rsidRPr="00CE0A20">
              <w:rPr>
                <w:rFonts w:ascii="Times New Roman" w:hAnsi="Times New Roman" w:cs="Times New Roman"/>
                <w:color w:val="000000" w:themeColor="text1"/>
                <w:sz w:val="28"/>
                <w:szCs w:val="28"/>
                <w:vertAlign w:val="superscript"/>
                <w:lang w:val="uk-UA"/>
              </w:rPr>
              <w:t>2</w:t>
            </w:r>
          </w:p>
        </w:tc>
        <w:tc>
          <w:tcPr>
            <w:tcW w:w="1710"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6,00±0,24</w:t>
            </w:r>
            <w:r w:rsidRPr="00CE0A20">
              <w:rPr>
                <w:rFonts w:ascii="Times New Roman" w:hAnsi="Times New Roman" w:cs="Times New Roman"/>
                <w:color w:val="000000" w:themeColor="text1"/>
                <w:sz w:val="28"/>
                <w:szCs w:val="28"/>
                <w:vertAlign w:val="superscript"/>
                <w:lang w:val="uk-UA"/>
              </w:rPr>
              <w:t>2</w:t>
            </w:r>
          </w:p>
        </w:tc>
        <w:tc>
          <w:tcPr>
            <w:tcW w:w="1957"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34,06±16,88</w:t>
            </w:r>
            <w:r w:rsidRPr="00CE0A20">
              <w:rPr>
                <w:rFonts w:ascii="Times New Roman" w:hAnsi="Times New Roman" w:cs="Times New Roman"/>
                <w:color w:val="000000" w:themeColor="text1"/>
                <w:sz w:val="28"/>
                <w:szCs w:val="28"/>
                <w:vertAlign w:val="superscript"/>
                <w:lang w:val="uk-UA"/>
              </w:rPr>
              <w:t>2</w:t>
            </w:r>
          </w:p>
        </w:tc>
        <w:tc>
          <w:tcPr>
            <w:tcW w:w="2012"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84,98±35,30</w:t>
            </w:r>
            <w:r w:rsidRPr="00CE0A20">
              <w:rPr>
                <w:rFonts w:ascii="Times New Roman" w:hAnsi="Times New Roman" w:cs="Times New Roman"/>
                <w:color w:val="000000" w:themeColor="text1"/>
                <w:sz w:val="28"/>
                <w:szCs w:val="28"/>
                <w:vertAlign w:val="superscript"/>
                <w:lang w:val="uk-UA"/>
              </w:rPr>
              <w:t>2</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контрольною групою за t-критерієм.</w:t>
      </w:r>
    </w:p>
    <w:p w:rsidR="001C43D0" w:rsidRPr="00CE0A20" w:rsidRDefault="001C43D0" w:rsidP="001C43D0">
      <w:pPr>
        <w:spacing w:line="360" w:lineRule="auto"/>
        <w:ind w:left="1843" w:hanging="425"/>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 – р &lt; 0,05 порівняно з 2-ю групою за t-критерієм.</w:t>
      </w:r>
    </w:p>
    <w:p w:rsidR="006D4007" w:rsidRPr="00CE0A20" w:rsidRDefault="006D4007" w:rsidP="001C43D0">
      <w:pPr>
        <w:spacing w:line="360" w:lineRule="auto"/>
        <w:ind w:firstLine="709"/>
        <w:jc w:val="both"/>
        <w:rPr>
          <w:rFonts w:ascii="Times New Roman" w:hAnsi="Times New Roman" w:cs="Times New Roman"/>
          <w:color w:val="000000" w:themeColor="text1"/>
          <w:sz w:val="28"/>
          <w:szCs w:val="28"/>
          <w:lang w:val="uk-UA"/>
        </w:rPr>
      </w:pPr>
    </w:p>
    <w:p w:rsidR="006D4007" w:rsidRPr="00CE0A20" w:rsidRDefault="006D4007"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Середній рівень ЛГ у сироватці крові тварин у 4а, 4б та 4в групах був достовірно меншим, ніж у групі порівняння, а в 4в групі не відрізнялася від показника контрольної групи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Концентрація ПРЛ, яка була значно підвищена у тварин 2-ї групи, після введення КСКМ в кожне яєчко знизилась, та в 4б та 4в групах ці показники не відрізнялись від таких в інтактних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&lt;0,05 </w:t>
      </w:r>
      <w:r w:rsidRPr="00CE0A20">
        <w:rPr>
          <w:rFonts w:ascii="Times New Roman" w:hAnsi="Times New Roman" w:cs="Times New Roman"/>
          <w:color w:val="000000" w:themeColor="text1"/>
          <w:sz w:val="28"/>
          <w:szCs w:val="28"/>
          <w:lang w:val="uk-UA"/>
        </w:rPr>
        <w:t xml:space="preserve">за </w:t>
      </w:r>
      <w:r w:rsidRPr="00CE0A20">
        <w:rPr>
          <w:rFonts w:ascii="Times New Roman" w:hAnsi="Times New Roman" w:cs="Times New Roman"/>
          <w:color w:val="000000" w:themeColor="text1"/>
          <w:sz w:val="28"/>
          <w:szCs w:val="28"/>
          <w:lang w:val="en-US"/>
        </w:rPr>
        <w:t>t</w:t>
      </w:r>
      <w:r w:rsidR="00BB29C6" w:rsidRPr="00CE0A20">
        <w:rPr>
          <w:rFonts w:ascii="Times New Roman" w:hAnsi="Times New Roman" w:cs="Times New Roman"/>
          <w:color w:val="000000" w:themeColor="text1"/>
          <w:sz w:val="28"/>
          <w:szCs w:val="28"/>
          <w:lang w:val="uk-UA"/>
        </w:rPr>
        <w: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Вивчення вмісту ГЗСГ виявило його зниження в усіх групах тварин: у 4а групі вона була достовірно більше контрольних значень, але достовірно менше показника групи порівняння; у 4б групі – достовірно більше контрольних значень, але достовірно менше показника групи порівняння. У 4в групі його концентрація не відрізнялася від аналогічного показника в інтактних тварин.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Підтвердженням виявлених закономірностей є результати аналізу величини АІ (табл. 4.4).</w:t>
      </w:r>
    </w:p>
    <w:p w:rsidR="006D4007" w:rsidRPr="00CE0A20" w:rsidRDefault="006D4007"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4.4</w:t>
      </w:r>
      <w:r w:rsidR="006D4007" w:rsidRPr="00CE0A20">
        <w:rPr>
          <w:rFonts w:ascii="Times New Roman" w:hAnsi="Times New Roman" w:cs="Times New Roman"/>
          <w:color w:val="000000" w:themeColor="text1"/>
          <w:sz w:val="28"/>
          <w:szCs w:val="28"/>
          <w:lang w:val="uk-UA"/>
        </w:rPr>
        <w:t xml:space="preserve"> - </w:t>
      </w:r>
      <w:r w:rsidRPr="00CE0A20">
        <w:rPr>
          <w:rFonts w:ascii="Times New Roman" w:hAnsi="Times New Roman" w:cs="Times New Roman"/>
          <w:color w:val="000000" w:themeColor="text1"/>
          <w:sz w:val="28"/>
          <w:szCs w:val="28"/>
          <w:lang w:val="uk-UA"/>
        </w:rPr>
        <w:t>Величина АІ після трансплантації КСКМ в кожне яєчко</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0"/>
        <w:gridCol w:w="3686"/>
      </w:tblGrid>
      <w:tr w:rsidR="001C43D0" w:rsidRPr="00CE0A20" w:rsidTr="001C43D0">
        <w:trPr>
          <w:trHeight w:val="737"/>
        </w:trPr>
        <w:tc>
          <w:tcPr>
            <w:tcW w:w="5670"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Група експеримен</w:t>
            </w:r>
            <w:r w:rsidRPr="00CE0A20">
              <w:rPr>
                <w:rFonts w:ascii="Times New Roman" w:hAnsi="Times New Roman" w:cs="Times New Roman"/>
                <w:color w:val="000000" w:themeColor="text1"/>
                <w:sz w:val="28"/>
                <w:szCs w:val="28"/>
                <w:lang w:val="uk-UA"/>
              </w:rPr>
              <w:softHyphen/>
              <w:t>тальних тварин</w:t>
            </w:r>
          </w:p>
        </w:tc>
        <w:tc>
          <w:tcPr>
            <w:tcW w:w="3686"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АІ</w:t>
            </w:r>
          </w:p>
        </w:tc>
      </w:tr>
      <w:tr w:rsidR="001C43D0" w:rsidRPr="00CE0A20" w:rsidTr="001C43D0">
        <w:tc>
          <w:tcPr>
            <w:tcW w:w="5670"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1-а група (конт</w:t>
            </w:r>
            <w:r w:rsidRPr="00CE0A20">
              <w:rPr>
                <w:rFonts w:ascii="Times New Roman" w:hAnsi="Times New Roman" w:cs="Times New Roman"/>
                <w:color w:val="000000" w:themeColor="text1"/>
                <w:sz w:val="28"/>
                <w:szCs w:val="28"/>
                <w:lang w:val="uk-UA"/>
              </w:rPr>
              <w:softHyphen/>
              <w:t>рольна)  (n=20)</w:t>
            </w:r>
          </w:p>
        </w:tc>
        <w:tc>
          <w:tcPr>
            <w:tcW w:w="3686"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28,7±15,1</w:t>
            </w:r>
          </w:p>
        </w:tc>
      </w:tr>
      <w:tr w:rsidR="001C43D0" w:rsidRPr="00CE0A20" w:rsidTr="001C43D0">
        <w:tc>
          <w:tcPr>
            <w:tcW w:w="5670"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2-а група (порів</w:t>
            </w:r>
            <w:r w:rsidRPr="00CE0A20">
              <w:rPr>
                <w:rFonts w:ascii="Times New Roman" w:hAnsi="Times New Roman" w:cs="Times New Roman"/>
                <w:color w:val="000000" w:themeColor="text1"/>
                <w:sz w:val="28"/>
                <w:szCs w:val="28"/>
                <w:lang w:val="uk-UA"/>
              </w:rPr>
              <w:softHyphen/>
              <w:t>няння)  (n=20)</w:t>
            </w:r>
          </w:p>
        </w:tc>
        <w:tc>
          <w:tcPr>
            <w:tcW w:w="3686"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4,4±1,9</w:t>
            </w:r>
          </w:p>
        </w:tc>
      </w:tr>
      <w:tr w:rsidR="001C43D0" w:rsidRPr="00CE0A20" w:rsidTr="001C43D0">
        <w:trPr>
          <w:trHeight w:val="583"/>
        </w:trPr>
        <w:tc>
          <w:tcPr>
            <w:tcW w:w="5670"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4а група (n=20)</w:t>
            </w:r>
          </w:p>
        </w:tc>
        <w:tc>
          <w:tcPr>
            <w:tcW w:w="3686"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8,9±2,9</w:t>
            </w:r>
            <w:r w:rsidRPr="00CE0A20">
              <w:rPr>
                <w:rFonts w:ascii="Times New Roman" w:hAnsi="Times New Roman" w:cs="Times New Roman"/>
                <w:color w:val="000000" w:themeColor="text1"/>
                <w:sz w:val="28"/>
                <w:szCs w:val="28"/>
                <w:vertAlign w:val="superscript"/>
                <w:lang w:val="uk-UA"/>
              </w:rPr>
              <w:t>1,2</w:t>
            </w:r>
          </w:p>
        </w:tc>
      </w:tr>
      <w:tr w:rsidR="001C43D0" w:rsidRPr="00CE0A20" w:rsidTr="001C43D0">
        <w:trPr>
          <w:trHeight w:val="577"/>
        </w:trPr>
        <w:tc>
          <w:tcPr>
            <w:tcW w:w="5670"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4б група (n=20)</w:t>
            </w:r>
          </w:p>
        </w:tc>
        <w:tc>
          <w:tcPr>
            <w:tcW w:w="3686"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15,0±5,5)</w:t>
            </w:r>
            <w:r w:rsidRPr="00CE0A20">
              <w:rPr>
                <w:rFonts w:ascii="Times New Roman" w:hAnsi="Times New Roman" w:cs="Times New Roman"/>
                <w:color w:val="000000" w:themeColor="text1"/>
                <w:sz w:val="28"/>
                <w:szCs w:val="28"/>
                <w:vertAlign w:val="superscript"/>
                <w:lang w:val="uk-UA"/>
              </w:rPr>
              <w:t>1,2</w:t>
            </w:r>
          </w:p>
        </w:tc>
      </w:tr>
      <w:tr w:rsidR="001C43D0" w:rsidRPr="00CE0A20" w:rsidTr="001C43D0">
        <w:trPr>
          <w:trHeight w:val="401"/>
        </w:trPr>
        <w:tc>
          <w:tcPr>
            <w:tcW w:w="5670"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4в група (n=20)</w:t>
            </w:r>
          </w:p>
        </w:tc>
        <w:tc>
          <w:tcPr>
            <w:tcW w:w="3686" w:type="dxa"/>
            <w:vAlign w:val="center"/>
          </w:tcPr>
          <w:p w:rsidR="001C43D0" w:rsidRPr="00CE0A20" w:rsidRDefault="001C43D0" w:rsidP="001C43D0">
            <w:pPr>
              <w:spacing w:before="120" w:after="120"/>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32,6±21,7</w:t>
            </w:r>
            <w:r w:rsidRPr="00CE0A20">
              <w:rPr>
                <w:rFonts w:ascii="Times New Roman" w:hAnsi="Times New Roman" w:cs="Times New Roman"/>
                <w:color w:val="000000" w:themeColor="text1"/>
                <w:sz w:val="28"/>
                <w:szCs w:val="28"/>
                <w:vertAlign w:val="superscript"/>
                <w:lang w:val="uk-UA"/>
              </w:rPr>
              <w:t>2</w:t>
            </w:r>
          </w:p>
        </w:tc>
      </w:tr>
    </w:tbl>
    <w:p w:rsidR="001C43D0" w:rsidRPr="00CE0A20" w:rsidRDefault="001C43D0" w:rsidP="001C43D0">
      <w:pP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контрольною групою за t-критерієм.</w:t>
      </w:r>
    </w:p>
    <w:p w:rsidR="001C43D0" w:rsidRPr="00CE0A20" w:rsidRDefault="001C43D0" w:rsidP="001C43D0">
      <w:pPr>
        <w:ind w:left="1843" w:hanging="425"/>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 2 – р &lt; 0,05 порівняно з 2-ю групою за t-критерієм.</w:t>
      </w:r>
    </w:p>
    <w:p w:rsidR="001C43D0" w:rsidRPr="00CE0A20" w:rsidRDefault="001C43D0" w:rsidP="001C43D0">
      <w:pPr>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t>АІ – андрогенний індекс</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BB29C6" w:rsidRPr="00CE0A20" w:rsidRDefault="00BB29C6"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Після трансплантації 80 000 КСКМ в кожне яєчко (4а група) величина АІ була достовірно більшою, ніж у групі порівняння, та достовірно меншою, ніж в інтактних тварин); у 4б групі вона  була достовірно меншою, ніж в інтактних тварин); у 4в групі  – не відрізнялась від показника інтактних тварин (табл. 4.4). Розбіжність індивідуальних значень у цій групі була дуже значною – мінімальне значення 10,1, максимальне – 109,2.</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Таким чином, результати аналізу гормонального статусу свідчать про значне збільшення лікувального ефекту інтратестикулярної трансплантації КСКМ при їх введенні в кожне яєчко.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4.2. Морфологічні зміни статевих органів під впливом трансплантації КСКМ</w:t>
      </w:r>
    </w:p>
    <w:p w:rsidR="001C43D0" w:rsidRPr="00CE0A20" w:rsidRDefault="001C43D0" w:rsidP="001C43D0">
      <w:pPr>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Світлооптична мікроскопія зрізів яєчок тварин з токсичним ураженням </w:t>
      </w:r>
      <w:r w:rsidRPr="00CE0A20">
        <w:rPr>
          <w:rFonts w:ascii="Times New Roman" w:hAnsi="Times New Roman" w:cs="Times New Roman"/>
          <w:color w:val="000000" w:themeColor="text1"/>
          <w:sz w:val="28"/>
          <w:szCs w:val="28"/>
          <w:lang w:val="en-US"/>
        </w:rPr>
        <w:t>CdCl</w:t>
      </w:r>
      <w:r w:rsidRPr="00CE0A20">
        <w:rPr>
          <w:rFonts w:ascii="Times New Roman" w:hAnsi="Times New Roman" w:cs="Times New Roman"/>
          <w:color w:val="000000" w:themeColor="text1"/>
          <w:sz w:val="28"/>
          <w:szCs w:val="28"/>
          <w:vertAlign w:val="subscript"/>
          <w:lang w:val="uk-UA"/>
        </w:rPr>
        <w:t>4</w:t>
      </w:r>
      <w:r w:rsidRPr="00CE0A20">
        <w:rPr>
          <w:rFonts w:ascii="Times New Roman" w:hAnsi="Times New Roman" w:cs="Times New Roman"/>
          <w:color w:val="000000" w:themeColor="text1"/>
          <w:sz w:val="28"/>
          <w:szCs w:val="28"/>
          <w:lang w:val="uk-UA"/>
        </w:rPr>
        <w:t xml:space="preserve"> виявила 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color w:val="000000" w:themeColor="text1"/>
          <w:sz w:val="28"/>
          <w:szCs w:val="28"/>
          <w:lang w:val="uk-UA"/>
        </w:rPr>
        <w:t xml:space="preserve">експерименту виразну деструкцію більшості сім'яних канальців з атрофією сім'яродного епітелію (рис. 4.6), інколи еозинофільним детритом, початком заміщувального склерозу (рис. 4.7). </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0D706D96" wp14:editId="2D28D5CE">
            <wp:extent cx="2483502" cy="3319670"/>
            <wp:effectExtent l="0" t="0" r="0" b="0"/>
            <wp:docPr id="208" name="Рисунок 208" descr="Описание: 1-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descr="Описание: 1-17-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484801" cy="3321406"/>
                    </a:xfrm>
                    <a:prstGeom prst="rect">
                      <a:avLst/>
                    </a:prstGeom>
                    <a:noFill/>
                    <a:ln>
                      <a:noFill/>
                    </a:ln>
                  </pic:spPr>
                </pic:pic>
              </a:graphicData>
            </a:graphic>
          </wp:inline>
        </w:drawing>
      </w:r>
    </w:p>
    <w:p w:rsidR="001C43D0" w:rsidRPr="00CE0A20" w:rsidRDefault="001C43D0" w:rsidP="00DD101F">
      <w:pPr>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t xml:space="preserve">Рис. 4.6. Яєчко щурів після токсичного ураження </w:t>
      </w:r>
      <w:r w:rsidRPr="00CE0A20">
        <w:rPr>
          <w:rFonts w:ascii="Times New Roman" w:hAnsi="Times New Roman" w:cs="Times New Roman"/>
          <w:color w:val="000000" w:themeColor="text1"/>
          <w:sz w:val="28"/>
          <w:szCs w:val="28"/>
          <w:lang w:val="en-US"/>
        </w:rPr>
        <w:t>CdCl</w:t>
      </w:r>
      <w:r w:rsidRPr="00CE0A20">
        <w:rPr>
          <w:rFonts w:ascii="Times New Roman" w:hAnsi="Times New Roman" w:cs="Times New Roman"/>
          <w:color w:val="000000" w:themeColor="text1"/>
          <w:sz w:val="28"/>
          <w:szCs w:val="28"/>
          <w:vertAlign w:val="subscript"/>
          <w:lang w:val="uk-UA"/>
        </w:rPr>
        <w:t>4</w:t>
      </w:r>
      <w:r w:rsidRPr="00CE0A20">
        <w:rPr>
          <w:rFonts w:ascii="Times New Roman" w:hAnsi="Times New Roman" w:cs="Times New Roman"/>
          <w:color w:val="000000" w:themeColor="text1"/>
          <w:sz w:val="28"/>
          <w:szCs w:val="28"/>
          <w:lang w:val="uk-UA"/>
        </w:rPr>
        <w:t>: атрофія сім'яних канальців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х100). Гематоксилін-еозин</w:t>
      </w:r>
      <w:r w:rsid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tabs>
          <w:tab w:val="left" w:pos="7020"/>
        </w:tabs>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129F102A" wp14:editId="7B3BC3F1">
            <wp:extent cx="3240000" cy="4114800"/>
            <wp:effectExtent l="0" t="0" r="0" b="0"/>
            <wp:docPr id="209" name="Рисунок 209" descr="Описание: DSCN5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descr="Описание: DSCN596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40000" cy="4114800"/>
                    </a:xfrm>
                    <a:prstGeom prst="rect">
                      <a:avLst/>
                    </a:prstGeom>
                    <a:noFill/>
                    <a:ln>
                      <a:noFill/>
                    </a:ln>
                  </pic:spPr>
                </pic:pic>
              </a:graphicData>
            </a:graphic>
          </wp:inline>
        </w:drawing>
      </w:r>
    </w:p>
    <w:p w:rsidR="001C43D0" w:rsidRPr="00CE0A20" w:rsidRDefault="001C43D0" w:rsidP="001C43D0">
      <w:pPr>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4.7. Контрольне яєчко щурів: фіброзна тканина заміщує канальці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х200). Гематоксилін-еозин</w:t>
      </w:r>
      <w:r w:rsid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spacing w:line="360" w:lineRule="auto"/>
        <w:ind w:firstLine="900"/>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Базальна мембрана частини канальців зруйнована. В окремих  канальцях збереглися нечисленні клітини Сертолі, поодинокі сперматогонії невизначеного типу та індиферентні клітини. У дуже незначної кількості канальців видно більш численні сперматогонії та підтримуючі клітини. В міжканальцевих локусах простежуються різні за розміром проліферати клітин Лейдіга, серед яких багато незрілих форм (рис. 4.8). Практично повне припинення сперматогенезу у цій сім'яній залозі п</w:t>
      </w:r>
      <w:r w:rsidR="00DD101F" w:rsidRPr="00CE0A20">
        <w:rPr>
          <w:rFonts w:ascii="Times New Roman" w:hAnsi="Times New Roman" w:cs="Times New Roman"/>
          <w:color w:val="000000" w:themeColor="text1"/>
          <w:sz w:val="28"/>
          <w:szCs w:val="28"/>
          <w:lang w:val="uk-UA"/>
        </w:rPr>
        <w:t>ідтверджено також морфометрично</w:t>
      </w:r>
      <w:r w:rsidRPr="00CE0A20">
        <w:rPr>
          <w:rFonts w:ascii="Times New Roman" w:hAnsi="Times New Roman" w:cs="Times New Roman"/>
          <w:color w:val="000000" w:themeColor="text1"/>
          <w:sz w:val="28"/>
          <w:szCs w:val="28"/>
          <w:lang w:val="uk-UA"/>
        </w:rPr>
        <w:t>.</w:t>
      </w:r>
    </w:p>
    <w:p w:rsidR="001C43D0" w:rsidRPr="00CE0A20" w:rsidRDefault="001C43D0" w:rsidP="001C43D0">
      <w:pPr>
        <w:jc w:val="both"/>
        <w:rPr>
          <w:rFonts w:ascii="Times New Roman" w:hAnsi="Times New Roman" w:cs="Times New Roman"/>
          <w:color w:val="000000" w:themeColor="text1"/>
          <w:sz w:val="28"/>
          <w:szCs w:val="28"/>
          <w:lang w:val="uk-UA"/>
        </w:rPr>
      </w:pPr>
    </w:p>
    <w:p w:rsidR="001C43D0" w:rsidRPr="00CE0A20" w:rsidRDefault="001C43D0" w:rsidP="001C43D0">
      <w:pPr>
        <w:jc w:val="both"/>
        <w:rPr>
          <w:rFonts w:ascii="Times New Roman" w:hAnsi="Times New Roman" w:cs="Times New Roman"/>
          <w:color w:val="000000" w:themeColor="text1"/>
          <w:sz w:val="28"/>
          <w:szCs w:val="28"/>
          <w:lang w:val="uk-UA"/>
        </w:rPr>
      </w:pPr>
    </w:p>
    <w:p w:rsidR="001C43D0" w:rsidRPr="00CE0A20" w:rsidRDefault="001C43D0" w:rsidP="001C43D0">
      <w:pPr>
        <w:jc w:val="both"/>
        <w:rPr>
          <w:rFonts w:ascii="Times New Roman" w:hAnsi="Times New Roman" w:cs="Times New Roman"/>
          <w:color w:val="000000" w:themeColor="text1"/>
          <w:sz w:val="28"/>
          <w:szCs w:val="28"/>
          <w:lang w:val="uk-UA"/>
        </w:rPr>
      </w:pPr>
    </w:p>
    <w:p w:rsidR="001C43D0" w:rsidRPr="00CE0A20" w:rsidRDefault="001C43D0" w:rsidP="001C43D0">
      <w:pPr>
        <w:jc w:val="both"/>
        <w:rPr>
          <w:rFonts w:ascii="Times New Roman" w:hAnsi="Times New Roman" w:cs="Times New Roman"/>
          <w:color w:val="000000" w:themeColor="text1"/>
          <w:sz w:val="28"/>
          <w:szCs w:val="28"/>
          <w:lang w:val="uk-UA"/>
        </w:rPr>
      </w:pPr>
    </w:p>
    <w:p w:rsidR="001C43D0" w:rsidRPr="00CE0A20" w:rsidRDefault="001C43D0" w:rsidP="001C43D0">
      <w:pPr>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3ED8E698" wp14:editId="22131A3B">
            <wp:extent cx="3240000" cy="3952800"/>
            <wp:effectExtent l="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240000" cy="395280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4.8. Контрольне яєчко щурів: у міжканальцевому локусі проліферат незрілих клітин Лейдіга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4C1F95">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tabs>
          <w:tab w:val="left" w:pos="7020"/>
        </w:tabs>
        <w:spacing w:line="360" w:lineRule="auto"/>
        <w:ind w:firstLine="720"/>
        <w:jc w:val="both"/>
        <w:rPr>
          <w:rFonts w:ascii="Times New Roman" w:hAnsi="Times New Roman" w:cs="Times New Roman"/>
          <w:color w:val="000000" w:themeColor="text1"/>
          <w:sz w:val="28"/>
          <w:szCs w:val="28"/>
          <w:lang w:val="uk-UA"/>
        </w:rPr>
      </w:pPr>
    </w:p>
    <w:p w:rsidR="00DD101F" w:rsidRPr="00CE0A20" w:rsidRDefault="001C43D0" w:rsidP="00DD101F">
      <w:pPr>
        <w:tabs>
          <w:tab w:val="left" w:pos="7020"/>
        </w:tabs>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Інтратестикулярне введення КСКМ дозою 80000 клітин у праве яєчко щурів не дуже виразно впливало на морфологічний стан його порівняно з контрольним (лівим) яєчком. Значна кількість сім'яних канальців деградована, спустошена від статевих клітин (рис. 4.9). У деяких канальцях спостерігали клітини Сертолі та нечисленні сперматогонії (в основному темні типу А). Місцями міжканальцево видно вогнища фіброзної тканини (рис. 4.10). </w:t>
      </w:r>
    </w:p>
    <w:p w:rsidR="00DD101F" w:rsidRPr="00CE0A20" w:rsidRDefault="00DD101F" w:rsidP="00DD101F">
      <w:pPr>
        <w:tabs>
          <w:tab w:val="left" w:pos="7020"/>
        </w:tabs>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Клітини Лейдіга у міжканальцевих локусах здебільше дрібні, незрілі. Водночас мозаїчно по мікропрепарату у частини канальців візуалізувалися проліферативні прояви з боку сперматогоній, які іноді розташовувалися в стінці у декілька рядів (рис. 4.11 та 4.12). Такі початкові ознаки інтратубулярної активації найбільш молодих статевих клітин порівняно з контролем підтверджені також морфометрично (див. нижче). </w:t>
      </w:r>
    </w:p>
    <w:p w:rsidR="001C43D0" w:rsidRPr="00CE0A20" w:rsidRDefault="001C43D0" w:rsidP="001C43D0">
      <w:pPr>
        <w:tabs>
          <w:tab w:val="left" w:pos="7020"/>
        </w:tabs>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51E20813" wp14:editId="675C950B">
            <wp:extent cx="2678116" cy="3419061"/>
            <wp:effectExtent l="0" t="0" r="8255" b="0"/>
            <wp:docPr id="211" name="Рисунок 211" descr="Описание: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descr="Описание: 1-5-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679231" cy="3420484"/>
                    </a:xfrm>
                    <a:prstGeom prst="rect">
                      <a:avLst/>
                    </a:prstGeom>
                    <a:noFill/>
                    <a:ln>
                      <a:noFill/>
                    </a:ln>
                  </pic:spPr>
                </pic:pic>
              </a:graphicData>
            </a:graphic>
          </wp:inline>
        </w:drawing>
      </w:r>
    </w:p>
    <w:p w:rsidR="001C43D0" w:rsidRPr="00CE0A20" w:rsidRDefault="001C43D0" w:rsidP="00DD101F">
      <w:pPr>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4.10. Яєчко щура після трансплантації в нього КСКМ дозою 80000 клітин: сім'яні канальці спустошені, у стінці їх видно нечисленні сперматогонії, вогнищевий фіброз міжканальцево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х100). Гематоксилін-еозин</w:t>
      </w:r>
      <w:r w:rsidR="004C1F95">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DD101F">
      <w:pPr>
        <w:spacing w:line="276" w:lineRule="auto"/>
        <w:ind w:firstLine="708"/>
        <w:jc w:val="both"/>
        <w:rPr>
          <w:rFonts w:ascii="Times New Roman" w:hAnsi="Times New Roman" w:cs="Times New Roman"/>
          <w:color w:val="000000" w:themeColor="text1"/>
          <w:sz w:val="28"/>
          <w:szCs w:val="28"/>
          <w:lang w:val="uk-UA"/>
        </w:rPr>
      </w:pPr>
    </w:p>
    <w:p w:rsidR="001C43D0" w:rsidRPr="00CE0A20" w:rsidRDefault="001C43D0" w:rsidP="00DD101F">
      <w:pPr>
        <w:spacing w:line="276"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highlight w:val="yellow"/>
        </w:rPr>
        <w:drawing>
          <wp:inline distT="0" distB="0" distL="0" distR="0" wp14:anchorId="65CEC686" wp14:editId="48A2E25D">
            <wp:extent cx="2849407" cy="3562066"/>
            <wp:effectExtent l="0" t="0" r="8255" b="635"/>
            <wp:docPr id="212" name="Рисунок 212" descr="Описание: DSCN5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descr="Описание: DSCN547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849414" cy="3562075"/>
                    </a:xfrm>
                    <a:prstGeom prst="rect">
                      <a:avLst/>
                    </a:prstGeom>
                    <a:noFill/>
                    <a:ln>
                      <a:noFill/>
                    </a:ln>
                  </pic:spPr>
                </pic:pic>
              </a:graphicData>
            </a:graphic>
          </wp:inline>
        </w:drawing>
      </w:r>
    </w:p>
    <w:p w:rsidR="001C43D0" w:rsidRPr="00CE0A20" w:rsidRDefault="001C43D0" w:rsidP="00DD101F">
      <w:pPr>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4.11. Яєчко щурів, після трансплантації в нього КСКМ дозою 80000 клітин: у стінках сім'яних канальців видно проліферацію сперматогоній, які утворюють декілька рядів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х200). Гематоксилін-еозин</w:t>
      </w:r>
      <w:r w:rsidR="004C1F95">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tabs>
          <w:tab w:val="left" w:pos="7020"/>
        </w:tabs>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anchor distT="0" distB="0" distL="114300" distR="114300" simplePos="0" relativeHeight="251703296" behindDoc="0" locked="0" layoutInCell="1" allowOverlap="1" wp14:anchorId="2BD2E1E7" wp14:editId="543125C5">
            <wp:simplePos x="0" y="0"/>
            <wp:positionH relativeFrom="column">
              <wp:posOffset>1080135</wp:posOffset>
            </wp:positionH>
            <wp:positionV relativeFrom="paragraph">
              <wp:align>top</wp:align>
            </wp:positionV>
            <wp:extent cx="2833370" cy="3548380"/>
            <wp:effectExtent l="0" t="0" r="5080" b="0"/>
            <wp:wrapSquare wrapText="bothSides"/>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73">
                      <a:lum bright="6000" contrast="24000"/>
                      <a:extLst>
                        <a:ext uri="{28A0092B-C50C-407E-A947-70E740481C1C}">
                          <a14:useLocalDpi xmlns:a14="http://schemas.microsoft.com/office/drawing/2010/main" val="0"/>
                        </a:ext>
                      </a:extLst>
                    </a:blip>
                    <a:srcRect/>
                    <a:stretch>
                      <a:fillRect/>
                    </a:stretch>
                  </pic:blipFill>
                  <pic:spPr bwMode="auto">
                    <a:xfrm>
                      <a:off x="0" y="0"/>
                      <a:ext cx="2833370" cy="3548380"/>
                    </a:xfrm>
                    <a:prstGeom prst="rect">
                      <a:avLst/>
                    </a:prstGeom>
                    <a:noFill/>
                    <a:ln>
                      <a:noFill/>
                    </a:ln>
                  </pic:spPr>
                </pic:pic>
              </a:graphicData>
            </a:graphic>
          </wp:anchor>
        </w:drawing>
      </w:r>
      <w:r w:rsidRPr="00CE0A20">
        <w:rPr>
          <w:rFonts w:ascii="Times New Roman" w:hAnsi="Times New Roman" w:cs="Times New Roman"/>
          <w:color w:val="000000" w:themeColor="text1"/>
          <w:sz w:val="28"/>
          <w:szCs w:val="28"/>
          <w:lang w:val="uk-UA"/>
        </w:rPr>
        <w:br w:type="textWrapping" w:clear="all"/>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4.12. Яєчко щурів, після трансплантації в нього КСКМ дозою 80000 клітин: клітини Лейдіга незрілого виду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DD101F" w:rsidRPr="00CE0A20" w:rsidRDefault="00DD101F" w:rsidP="001C43D0">
      <w:pPr>
        <w:spacing w:line="360" w:lineRule="auto"/>
        <w:ind w:firstLine="900"/>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Одночасне введення тієї самої дози КСКМ в обидва яєчка сприяло відновленню морфоструктури значної кількості звивистих сім'яних каналь</w:t>
      </w:r>
      <w:r w:rsidRPr="00CE0A20">
        <w:rPr>
          <w:rFonts w:ascii="Times New Roman" w:hAnsi="Times New Roman" w:cs="Times New Roman"/>
          <w:color w:val="000000" w:themeColor="text1"/>
          <w:sz w:val="28"/>
          <w:szCs w:val="28"/>
          <w:lang w:val="uk-UA"/>
        </w:rPr>
        <w:softHyphen/>
        <w:t>ців. Розмір їх, кількість рядів статевих клітин, правильне розташу</w:t>
      </w:r>
      <w:r w:rsidRPr="00CE0A20">
        <w:rPr>
          <w:rFonts w:ascii="Times New Roman" w:hAnsi="Times New Roman" w:cs="Times New Roman"/>
          <w:color w:val="000000" w:themeColor="text1"/>
          <w:sz w:val="28"/>
          <w:szCs w:val="28"/>
          <w:lang w:val="uk-UA"/>
        </w:rPr>
        <w:softHyphen/>
        <w:t xml:space="preserve">вання рядів та самих статевих клітин згідно зі стадіями розвитку в таких канальцях нормалізувалося. Однак канальці з повністю завершеним сперматогенезом, тобто присутністю зрілих сперматозоїдів, були відсутні. Серед сперматогоній видно різні клітини типу А. Клітини Сертолі також доволі численні, на погляд ядра їх не змінено. Окрім таких канальців, виявлено канальці дещо меншого розміру, які містили тільки сперматогонії та сперматоцити або сперматогонії, сперматоцити та ранні сперматиди (рис. 4.13). </w:t>
      </w:r>
      <w:r w:rsidR="00DD101F" w:rsidRPr="00CE0A20">
        <w:rPr>
          <w:rFonts w:ascii="Times New Roman" w:hAnsi="Times New Roman" w:cs="Times New Roman"/>
          <w:color w:val="000000" w:themeColor="text1"/>
          <w:sz w:val="28"/>
          <w:szCs w:val="28"/>
          <w:lang w:val="uk-UA"/>
        </w:rPr>
        <w:t xml:space="preserve"> </w:t>
      </w:r>
    </w:p>
    <w:p w:rsidR="00DD101F" w:rsidRPr="00CE0A20" w:rsidRDefault="00DD101F" w:rsidP="001C43D0">
      <w:pPr>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Сперматогонії в таких канальцях часто проліферували, чіткість рядів статевих клітин та концентричне розташування їх не чітке.</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7C82E203" wp14:editId="44257910">
            <wp:extent cx="2631748" cy="3836505"/>
            <wp:effectExtent l="0" t="0" r="0" b="0"/>
            <wp:docPr id="214" name="Рисунок 214" descr="Описание: норма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descr="Описание: норма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631621" cy="3836320"/>
                    </a:xfrm>
                    <a:prstGeom prst="rect">
                      <a:avLst/>
                    </a:prstGeom>
                    <a:noFill/>
                    <a:ln>
                      <a:noFill/>
                    </a:ln>
                  </pic:spPr>
                </pic:pic>
              </a:graphicData>
            </a:graphic>
          </wp:inline>
        </w:drawing>
      </w:r>
    </w:p>
    <w:p w:rsidR="001C43D0" w:rsidRPr="00CE0A20" w:rsidRDefault="001C43D0" w:rsidP="001C43D0">
      <w:pPr>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4.13. Яєчко щурів, після трансплантації КСКМ дозою 80000 клітин водночас в обидва яєчка: сім'яні канальці нормального розміру, містять статеві клітини від сперматогоній до пізніх сперматид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х100). Гематоксилін-еозин</w:t>
      </w:r>
      <w:r w:rsidR="00CE0A20">
        <w:rPr>
          <w:rFonts w:ascii="Times New Roman" w:hAnsi="Times New Roman" w:cs="Times New Roman"/>
          <w:color w:val="000000" w:themeColor="text1"/>
          <w:sz w:val="28"/>
          <w:szCs w:val="28"/>
          <w:lang w:val="uk-UA"/>
        </w:rPr>
        <w:t>.</w:t>
      </w:r>
    </w:p>
    <w:p w:rsidR="00DD101F" w:rsidRPr="00CE0A20" w:rsidRDefault="00DD101F" w:rsidP="001C43D0">
      <w:pPr>
        <w:spacing w:line="360" w:lineRule="auto"/>
        <w:ind w:firstLine="900"/>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Крім того, незначна частина канальців (в основному поблизу білкової оболонки) не відновлюва</w:t>
      </w:r>
      <w:r w:rsidRPr="00CE0A20">
        <w:rPr>
          <w:rFonts w:ascii="Times New Roman" w:hAnsi="Times New Roman" w:cs="Times New Roman"/>
          <w:color w:val="000000" w:themeColor="text1"/>
          <w:sz w:val="28"/>
          <w:szCs w:val="28"/>
          <w:lang w:val="uk-UA"/>
        </w:rPr>
        <w:softHyphen/>
        <w:t>лася, залишалася спустошеною. У них видно лише сперматогонії та поодинокі сперматоцити I-го порядку, сім'яні кулі. (рис. 4.14). Кількісна оцінка стану сперматогенезу в сім'яних канальцях підтвердила морфологічні ознаки певної стимуляції регенераторних проявів у них. Практично віднови</w:t>
      </w:r>
      <w:r w:rsidRPr="00CE0A20">
        <w:rPr>
          <w:rFonts w:ascii="Times New Roman" w:hAnsi="Times New Roman" w:cs="Times New Roman"/>
          <w:color w:val="000000" w:themeColor="text1"/>
          <w:sz w:val="28"/>
          <w:szCs w:val="28"/>
          <w:lang w:val="uk-UA"/>
        </w:rPr>
        <w:softHyphen/>
        <w:t>лася чисельність найбільш молодих статевих клітин сперматогоній на один каналець (при майже нульовому показнику в контрольних до них щурів), що є вирішальним для подальшого відтворення повноцінного сперматогенезу. Певною мірою відновлюється також ендокринна частина сім'яників. У міжканаль</w:t>
      </w:r>
      <w:r w:rsidRPr="00CE0A20">
        <w:rPr>
          <w:rFonts w:ascii="Times New Roman" w:hAnsi="Times New Roman" w:cs="Times New Roman"/>
          <w:color w:val="000000" w:themeColor="text1"/>
          <w:sz w:val="28"/>
          <w:szCs w:val="28"/>
          <w:lang w:val="uk-UA"/>
        </w:rPr>
        <w:softHyphen/>
        <w:t>цевих локусах клітини Лейдіга значно менш чисельні, ядра їх нормохромні, хоча й мають місце тьмяні, без хроматинової зернистості ядра (рис. 4.15).</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6CA22AE9" wp14:editId="24550D27">
            <wp:extent cx="2703381" cy="3796748"/>
            <wp:effectExtent l="0" t="0" r="1905"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713515" cy="3810980"/>
                    </a:xfrm>
                    <a:prstGeom prst="rect">
                      <a:avLst/>
                    </a:prstGeom>
                    <a:noFill/>
                    <a:ln>
                      <a:noFill/>
                    </a:ln>
                  </pic:spPr>
                </pic:pic>
              </a:graphicData>
            </a:graphic>
          </wp:inline>
        </w:drawing>
      </w:r>
    </w:p>
    <w:p w:rsidR="001C43D0" w:rsidRPr="00CE0A20" w:rsidRDefault="001C43D0" w:rsidP="001C43D0">
      <w:pPr>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4.14. Яєчко щурів після трансплантації КСКМ дозою 80000 клітин водночас в обидва яєчка: канальці зменшені за розміром, розвиток статевих клітин залишається на рівні сперматоцитів або ранніх сперматид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х100). Гематоксилін-еозин</w:t>
      </w:r>
      <w:r w:rsid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6DE66935" wp14:editId="3B5F0081">
            <wp:extent cx="2534661" cy="3385180"/>
            <wp:effectExtent l="0" t="0" r="0" b="635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76">
                      <a:lum bright="12000" contrast="24000"/>
                      <a:extLst>
                        <a:ext uri="{28A0092B-C50C-407E-A947-70E740481C1C}">
                          <a14:useLocalDpi xmlns:a14="http://schemas.microsoft.com/office/drawing/2010/main" val="0"/>
                        </a:ext>
                      </a:extLst>
                    </a:blip>
                    <a:srcRect/>
                    <a:stretch>
                      <a:fillRect/>
                    </a:stretch>
                  </pic:blipFill>
                  <pic:spPr bwMode="auto">
                    <a:xfrm>
                      <a:off x="0" y="0"/>
                      <a:ext cx="2534539" cy="3385017"/>
                    </a:xfrm>
                    <a:prstGeom prst="rect">
                      <a:avLst/>
                    </a:prstGeom>
                    <a:noFill/>
                    <a:ln>
                      <a:noFill/>
                    </a:ln>
                  </pic:spPr>
                </pic:pic>
              </a:graphicData>
            </a:graphic>
          </wp:inline>
        </w:drawing>
      </w:r>
    </w:p>
    <w:p w:rsidR="001C43D0" w:rsidRPr="00CE0A20" w:rsidRDefault="001C43D0" w:rsidP="00DD101F">
      <w:pPr>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4.15. Яєчко щурів після трансплантації КСКМ дозою 80000 клітин водночас в обидва яєчка: у міжканальцевому локусі клітини Лейдіга з нормохромними ядрами, без хроматинової зернистості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tabs>
          <w:tab w:val="left" w:pos="7020"/>
        </w:tabs>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Збільшення дози КСКМ до 100000 клітин при трансплантації тільки в одне яєчко не спричиняє показового покращення морфологічного стану його сім'яних канальців порівняно з попередньою дозою при аналогічному введенні. Також мали місце спустошені канальці, фіброзні розростання міжканальцево (рис. 4.16). </w:t>
      </w:r>
    </w:p>
    <w:p w:rsidR="001C43D0" w:rsidRPr="00CE0A20" w:rsidRDefault="001C43D0" w:rsidP="001C43D0">
      <w:pPr>
        <w:tabs>
          <w:tab w:val="left" w:pos="7020"/>
        </w:tabs>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6A31E11" wp14:editId="7AC55DC5">
            <wp:extent cx="3240000" cy="4316400"/>
            <wp:effectExtent l="0" t="0" r="0" b="8255"/>
            <wp:docPr id="217" name="Рисунок 217" descr="Описание: DSCN5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descr="Описание: DSCN596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240000" cy="431640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p>
    <w:p w:rsidR="001C43D0" w:rsidRPr="00CE0A20" w:rsidRDefault="001C43D0" w:rsidP="00DD101F">
      <w:pPr>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4.16. Яєчко щурів після трансплантації в нього КСКМ дозою 100000 клітин: у спустошених сім'яних канальцях хаотично розташовані сперматогонії, невиразний міжканальцевий фіброз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х100). Гематоксилін-еозин</w:t>
      </w:r>
      <w:r w:rsid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tabs>
          <w:tab w:val="left" w:pos="7020"/>
        </w:tabs>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Утім, у деяких з канальців видно хаотично розташовані сперматогонії, а у деяких канальцях спостерігали помітне пожвавлення початкових етапів сперматогенезу (окрім сперматогоній, сперматоцити I-го порядку) (рис. 4.17). Серед сперматогоній видні і темні типу А, і світлі типу А. Клітини Лейдіга у меншій кількості, але ядра їх ще часто незрілого вигляду (рис. 4.18).</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00AB487B" wp14:editId="4608382D">
            <wp:extent cx="3152775" cy="3644265"/>
            <wp:effectExtent l="0" t="0" r="9525" b="0"/>
            <wp:docPr id="218" name="Рисунок 218" descr="Описание: DSCN5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descr="Описание: DSCN533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152775" cy="3644265"/>
                    </a:xfrm>
                    <a:prstGeom prst="rect">
                      <a:avLst/>
                    </a:prstGeom>
                    <a:noFill/>
                    <a:ln>
                      <a:noFill/>
                    </a:ln>
                  </pic:spPr>
                </pic:pic>
              </a:graphicData>
            </a:graphic>
          </wp:inline>
        </w:drawing>
      </w:r>
    </w:p>
    <w:p w:rsidR="001C43D0" w:rsidRDefault="001C43D0" w:rsidP="001C43D0">
      <w:pPr>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4.17. Яєчко щурів після трансплантації в нього КСКМ дозою 100000 клітин: початкові етапи сперматогенезу в сім'яних канальцях, візуалізуються сперматогонії, сперматоцити I-го порядку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х200). Гематоксилін-еозин</w:t>
      </w:r>
      <w:r w:rsid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CE0A20" w:rsidRPr="00CE0A20" w:rsidRDefault="00CE0A20" w:rsidP="001C43D0">
      <w:pPr>
        <w:ind w:firstLine="708"/>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45FF79B" wp14:editId="30AAD1C5">
            <wp:extent cx="2940313" cy="3605348"/>
            <wp:effectExtent l="0" t="0" r="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pic:cNvPicPr>
                      <a:picLocks noChangeAspect="1" noChangeArrowheads="1"/>
                    </pic:cNvPicPr>
                  </pic:nvPicPr>
                  <pic:blipFill>
                    <a:blip r:embed="rId79">
                      <a:lum contrast="12000"/>
                      <a:extLst>
                        <a:ext uri="{28A0092B-C50C-407E-A947-70E740481C1C}">
                          <a14:useLocalDpi xmlns:a14="http://schemas.microsoft.com/office/drawing/2010/main" val="0"/>
                        </a:ext>
                      </a:extLst>
                    </a:blip>
                    <a:srcRect/>
                    <a:stretch>
                      <a:fillRect/>
                    </a:stretch>
                  </pic:blipFill>
                  <pic:spPr bwMode="auto">
                    <a:xfrm>
                      <a:off x="0" y="0"/>
                      <a:ext cx="2936644" cy="3600850"/>
                    </a:xfrm>
                    <a:prstGeom prst="rect">
                      <a:avLst/>
                    </a:prstGeom>
                    <a:noFill/>
                    <a:ln>
                      <a:noFill/>
                    </a:ln>
                  </pic:spPr>
                </pic:pic>
              </a:graphicData>
            </a:graphic>
          </wp:inline>
        </w:drawing>
      </w:r>
    </w:p>
    <w:p w:rsidR="001C43D0" w:rsidRPr="00CE0A20" w:rsidRDefault="001C43D0" w:rsidP="001C43D0">
      <w:pPr>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4.18. Яєчко щурів після трансплантації в нього КСКМ дозою 100000 клітин: клітини Лейдіга незрілого видгляду (</w:t>
      </w:r>
      <w:r w:rsidR="00CE0A20">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Інтратестикулярне введення КСКМ дозою 100000 клітин одночасно в обидва яєчка, сприяє більш повноцінному відновленню тестикулярної тканини, ніж після введення тільки в одне яєчко. Переважна більшість сім'яних канальців мала нормальні розміри. Статеві клітини правильно розташовані (рис. 4.19), лише в деяких канальцях видно хаотичне розташу</w:t>
      </w:r>
      <w:r w:rsidRPr="00CE0A20">
        <w:rPr>
          <w:rFonts w:ascii="Times New Roman" w:hAnsi="Times New Roman" w:cs="Times New Roman"/>
          <w:color w:val="000000" w:themeColor="text1"/>
          <w:sz w:val="28"/>
          <w:szCs w:val="28"/>
          <w:lang w:val="uk-UA"/>
        </w:rPr>
        <w:softHyphen/>
        <w:t xml:space="preserve">вання їх (рис. 4.20). Спустошені канальці не візуалізуються. Клітини Лейдіга у міжканальцевих локусах помірної кількості, ядра їх переважно нормохромні, хроматинова зернистість в частині простежується (рис. 4.21).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anchor distT="0" distB="0" distL="114300" distR="114300" simplePos="0" relativeHeight="251704320" behindDoc="0" locked="0" layoutInCell="1" allowOverlap="1" wp14:anchorId="243E51F4" wp14:editId="05DAB9E3">
            <wp:simplePos x="0" y="0"/>
            <wp:positionH relativeFrom="column">
              <wp:posOffset>1537335</wp:posOffset>
            </wp:positionH>
            <wp:positionV relativeFrom="paragraph">
              <wp:align>top</wp:align>
            </wp:positionV>
            <wp:extent cx="3125470" cy="3985260"/>
            <wp:effectExtent l="0" t="0" r="0" b="0"/>
            <wp:wrapSquare wrapText="bothSides"/>
            <wp:docPr id="220" name="Рисунок 220" descr="Описание: DSCN5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descr="Описание: DSCN592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125470" cy="3985260"/>
                    </a:xfrm>
                    <a:prstGeom prst="rect">
                      <a:avLst/>
                    </a:prstGeom>
                    <a:noFill/>
                    <a:ln>
                      <a:noFill/>
                    </a:ln>
                  </pic:spPr>
                </pic:pic>
              </a:graphicData>
            </a:graphic>
          </wp:anchor>
        </w:drawing>
      </w:r>
      <w:r w:rsidRPr="00CE0A20">
        <w:rPr>
          <w:rFonts w:ascii="Times New Roman" w:hAnsi="Times New Roman" w:cs="Times New Roman"/>
          <w:color w:val="000000" w:themeColor="text1"/>
          <w:sz w:val="28"/>
          <w:szCs w:val="28"/>
          <w:lang w:val="uk-UA"/>
        </w:rPr>
        <w:br w:type="textWrapping" w:clear="all"/>
      </w:r>
    </w:p>
    <w:p w:rsidR="001C43D0" w:rsidRPr="00CE0A20" w:rsidRDefault="001C43D0" w:rsidP="001C43D0">
      <w:pPr>
        <w:spacing w:line="276"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4.19. Яєчко щурів після трансплантації КСКМ дозою 100000 клітин водночас в обидва яєчка: статеві клітини у більшості сім'яних канальців розташовані правильними рядами, у них видно сперматогонії, сперматоцити, ранні сперматиди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х100). Гематоксилін-еозин</w:t>
      </w:r>
      <w:r w:rsidR="00090096">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3319EE71" wp14:editId="04DD28A4">
            <wp:extent cx="2742713" cy="3435532"/>
            <wp:effectExtent l="0" t="0" r="635"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747496" cy="3441523"/>
                    </a:xfrm>
                    <a:prstGeom prst="rect">
                      <a:avLst/>
                    </a:prstGeom>
                    <a:noFill/>
                    <a:ln>
                      <a:noFill/>
                    </a:ln>
                  </pic:spPr>
                </pic:pic>
              </a:graphicData>
            </a:graphic>
          </wp:inline>
        </w:drawing>
      </w:r>
    </w:p>
    <w:p w:rsidR="001C43D0" w:rsidRDefault="001C43D0" w:rsidP="001C43D0">
      <w:pPr>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4.20. Яєчко щурів після трансплантації КСКМ дозою 100000 клітин водночас в обидва яєчка: у стінці канальців статеві клітини розташовано хаотично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х200). Гематоксилін-еозин</w:t>
      </w:r>
      <w:r w:rsidR="00090096">
        <w:rPr>
          <w:rFonts w:ascii="Times New Roman" w:hAnsi="Times New Roman" w:cs="Times New Roman"/>
          <w:color w:val="000000" w:themeColor="text1"/>
          <w:sz w:val="28"/>
          <w:szCs w:val="28"/>
          <w:lang w:val="uk-UA"/>
        </w:rPr>
        <w:t>.</w:t>
      </w:r>
    </w:p>
    <w:p w:rsidR="00090096" w:rsidRPr="00CE0A20" w:rsidRDefault="00090096" w:rsidP="001C43D0">
      <w:pPr>
        <w:spacing w:line="276"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336CC8E9" wp14:editId="6F64685C">
            <wp:extent cx="2831285" cy="3526972"/>
            <wp:effectExtent l="0" t="0" r="7620"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pic:cNvPicPr>
                      <a:picLocks noChangeAspect="1" noChangeArrowheads="1"/>
                    </pic:cNvPicPr>
                  </pic:nvPicPr>
                  <pic:blipFill>
                    <a:blip r:embed="rId82">
                      <a:lum bright="6000" contrast="30000"/>
                      <a:extLst>
                        <a:ext uri="{28A0092B-C50C-407E-A947-70E740481C1C}">
                          <a14:useLocalDpi xmlns:a14="http://schemas.microsoft.com/office/drawing/2010/main" val="0"/>
                        </a:ext>
                      </a:extLst>
                    </a:blip>
                    <a:srcRect/>
                    <a:stretch>
                      <a:fillRect/>
                    </a:stretch>
                  </pic:blipFill>
                  <pic:spPr bwMode="auto">
                    <a:xfrm>
                      <a:off x="0" y="0"/>
                      <a:ext cx="2833598" cy="3529854"/>
                    </a:xfrm>
                    <a:prstGeom prst="rect">
                      <a:avLst/>
                    </a:prstGeom>
                    <a:noFill/>
                    <a:ln>
                      <a:noFill/>
                    </a:ln>
                  </pic:spPr>
                </pic:pic>
              </a:graphicData>
            </a:graphic>
          </wp:inline>
        </w:drawing>
      </w:r>
    </w:p>
    <w:p w:rsidR="001C43D0" w:rsidRPr="00CE0A20" w:rsidRDefault="001C43D0" w:rsidP="001C43D0">
      <w:pPr>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4.21. Яєчко щурів після трансплантації КСКМ дозою 100000 клітин водночас в обидва яєчка: стан клітин Лейдіга у міжканальцевому локусі наближено до нормального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090096">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Після введення КСКМ дозою 200000 клітин тільки в одне яєчко, морфологічна картина сім'яних залоз нагадувала наведену вище при введенні попередніх доз КСКМ також тільки в одне яєчко. Багато сім'яних канальців спустошені, частина з них заповнена клітинним еозинофільним детритом (рис. 4.22). Навколо деяких канальців у вигляді муфт розвивається ніжна фіброзна тканина. В окремих канальцях збережені клітини Сертолі, візуалізуються сперматогонії та сперматицити, але розташування їх хаотичне. У частини канальців, як і при введенні попередніх доз КСКМ, видно відновлення ранніх фаз сперматогенезу (фази розмножування та фази росту) (рис. 4.23). Клітини Лейдіга у міжканальцевих локусах незрілого типу, з дрібніми ядрами, без хроматинової зернистості, подекуди виразно більшої кількості (рис. 4.24). </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7A0489D4" wp14:editId="1B288653">
            <wp:extent cx="3016250" cy="3848735"/>
            <wp:effectExtent l="0" t="0" r="0" b="0"/>
            <wp:docPr id="223" name="Рисунок 223" descr="Описание: DSCN5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descr="Описание: DSCN596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016250" cy="3848735"/>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4.22. Яєчко щурів після трансплантації в нього КСКМ дозою 200000 клітин: спустошення сім'яних канальців, клітинний детрит у просвіті частини канальців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х100). Гематоксилін-еозин</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7CB5DED0" wp14:editId="6831C866">
            <wp:extent cx="2797810" cy="3480435"/>
            <wp:effectExtent l="0" t="0" r="2540" b="5715"/>
            <wp:docPr id="96" name="Рисунок 96" descr="Описание: DSCN3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descr="Описание: DSCN336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797810" cy="3480435"/>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4.23. Яєчко щурів після трансплантації в нього КСКМ дозою 200000 клітин: сім'яні канальці заповнені сперматогоніями, сперматоцитами та ранніми сперматидами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х200). Гематоксилін-еозин</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58E1CE0A" wp14:editId="69AA3F6E">
            <wp:extent cx="2811145" cy="3575685"/>
            <wp:effectExtent l="0" t="0" r="8255" b="5715"/>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85">
                      <a:lum bright="12000" contrast="12000"/>
                      <a:extLst>
                        <a:ext uri="{28A0092B-C50C-407E-A947-70E740481C1C}">
                          <a14:useLocalDpi xmlns:a14="http://schemas.microsoft.com/office/drawing/2010/main" val="0"/>
                        </a:ext>
                      </a:extLst>
                    </a:blip>
                    <a:srcRect/>
                    <a:stretch>
                      <a:fillRect/>
                    </a:stretch>
                  </pic:blipFill>
                  <pic:spPr bwMode="auto">
                    <a:xfrm>
                      <a:off x="0" y="0"/>
                      <a:ext cx="2811145" cy="3575685"/>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4.24. Яєчко щурів, після трансплантації в нього КСКМ дозою 200000 клітин: проліферат незрілих клітин Лейдіга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090096">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Після введення КСКМ дозою 200000 клітин одночасно в обидва яєчка сім'яні канальці нормального розміру (рис. 4.25). У переважній більшості їх у стінці виявлено 3-4 шари сперматогенного епітелію, багато клітин Сертолі. Статеві клітини розташовані правильними рядами. Серед сперматогоній багато як темних клітин типу А, так і світлих клітин типу А. Простежено поділ сперматоцитів I-го і II-го порядку, наявність різних етапів диференціювання сперматид (рис. 4.26, 4.27). Багато канальців містили сперматозоїди. У міжканальцевій стромі навколо кровоносних судин клітини Лейдіга нормохромні з помітною хроматиновою зернистістю в ядрі (рис. 4.28). </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3504B15" wp14:editId="7A5D4296">
            <wp:extent cx="2879359" cy="3876261"/>
            <wp:effectExtent l="0" t="0" r="0" b="0"/>
            <wp:docPr id="98" name="Рисунок 98" descr="Описание: 1-7-а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descr="Описание: 1-7-а5"/>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872856" cy="3867506"/>
                    </a:xfrm>
                    <a:prstGeom prst="rect">
                      <a:avLst/>
                    </a:prstGeom>
                    <a:noFill/>
                    <a:ln>
                      <a:noFill/>
                    </a:ln>
                  </pic:spPr>
                </pic:pic>
              </a:graphicData>
            </a:graphic>
          </wp:inline>
        </w:drawing>
      </w:r>
    </w:p>
    <w:p w:rsidR="001C43D0" w:rsidRPr="00CE0A20" w:rsidRDefault="001C43D0" w:rsidP="00DD101F">
      <w:pPr>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4.25. Яєчко щурів після трансплантації КСКМ дозою 200000 клітин водночас в обидва яєчка: нормальний стан сім'яних канальців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х100). Гематоксилін-еозин</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276"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66D06C27" wp14:editId="64D1F127">
            <wp:extent cx="4803775" cy="2947670"/>
            <wp:effectExtent l="0" t="0" r="0" b="5080"/>
            <wp:docPr id="99" name="Рисунок 99" descr="Описание: DSCN5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descr="Описание: DSCN5313"/>
                    <pic:cNvPicPr>
                      <a:picLocks noChangeAspect="1" noChangeArrowheads="1"/>
                    </pic:cNvPicPr>
                  </pic:nvPicPr>
                  <pic:blipFill>
                    <a:blip r:embed="rId87">
                      <a:lum bright="6000" contrast="12000"/>
                      <a:extLst>
                        <a:ext uri="{28A0092B-C50C-407E-A947-70E740481C1C}">
                          <a14:useLocalDpi xmlns:a14="http://schemas.microsoft.com/office/drawing/2010/main" val="0"/>
                        </a:ext>
                      </a:extLst>
                    </a:blip>
                    <a:srcRect/>
                    <a:stretch>
                      <a:fillRect/>
                    </a:stretch>
                  </pic:blipFill>
                  <pic:spPr bwMode="auto">
                    <a:xfrm>
                      <a:off x="0" y="0"/>
                      <a:ext cx="4803775" cy="294767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4.26. Яєчко щурів після трансплантації КСКМ дозою 200000 клітин водночас в обидва яєчка: поділ сперматоцитів I-го і II-го порядку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 xml:space="preserve">х250). Гематоксилін-еозин. </w:t>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spacing w:line="276"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651D4EF7" wp14:editId="306B45DA">
            <wp:extent cx="4612640" cy="3098165"/>
            <wp:effectExtent l="0" t="0" r="0" b="6985"/>
            <wp:docPr id="100" name="Рисунок 100" descr="Описание: DSCN5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descr="Описание: DSCN593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612640" cy="3098165"/>
                    </a:xfrm>
                    <a:prstGeom prst="rect">
                      <a:avLst/>
                    </a:prstGeom>
                    <a:noFill/>
                    <a:ln>
                      <a:noFill/>
                    </a:ln>
                  </pic:spPr>
                </pic:pic>
              </a:graphicData>
            </a:graphic>
          </wp:inline>
        </w:drawing>
      </w:r>
    </w:p>
    <w:p w:rsidR="001C43D0" w:rsidRPr="00CE0A20" w:rsidRDefault="001C43D0" w:rsidP="001C43D0">
      <w:pPr>
        <w:spacing w:line="276"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4.27. Яєчко щурів після трансплантації КСКМ дозою 200000 клітин водночас в обидва яєчка: у стрічці сперматогенного епітелію видно всі генерації статевих клітин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х250). Гематоксилін-еозин</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1E639A28" wp14:editId="6E1DC1D3">
            <wp:extent cx="3138805" cy="4544695"/>
            <wp:effectExtent l="0" t="0" r="4445" b="825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89">
                      <a:lum bright="6000" contrast="12000"/>
                      <a:extLst>
                        <a:ext uri="{28A0092B-C50C-407E-A947-70E740481C1C}">
                          <a14:useLocalDpi xmlns:a14="http://schemas.microsoft.com/office/drawing/2010/main" val="0"/>
                        </a:ext>
                      </a:extLst>
                    </a:blip>
                    <a:srcRect/>
                    <a:stretch>
                      <a:fillRect/>
                    </a:stretch>
                  </pic:blipFill>
                  <pic:spPr bwMode="auto">
                    <a:xfrm>
                      <a:off x="0" y="0"/>
                      <a:ext cx="3138805" cy="4544695"/>
                    </a:xfrm>
                    <a:prstGeom prst="rect">
                      <a:avLst/>
                    </a:prstGeom>
                    <a:noFill/>
                    <a:ln>
                      <a:noFill/>
                    </a:ln>
                  </pic:spPr>
                </pic:pic>
              </a:graphicData>
            </a:graphic>
          </wp:inline>
        </w:drawing>
      </w:r>
    </w:p>
    <w:p w:rsidR="001C43D0" w:rsidRPr="00CE0A20" w:rsidRDefault="001C43D0" w:rsidP="001C43D0">
      <w:pPr>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4.28. Яєчко щурів після трансплантації КСКМ дозою 200000 клітин водночас в обидва яєчка: нормохромні клітини Лейдіга в міжканальцевому локусі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p>
    <w:p w:rsidR="001C43D0" w:rsidRPr="00CE0A20" w:rsidRDefault="001C43D0" w:rsidP="001C43D0">
      <w:pPr>
        <w:widowControl w:val="0"/>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Окрім яєчок, у щурів різних груп 2-ої серії експерименту досліджена також і вентральна частка передміхурової залози. У тварин, яким КСКМ у діа</w:t>
      </w:r>
      <w:r w:rsidRPr="00CE0A20">
        <w:rPr>
          <w:rFonts w:ascii="Times New Roman" w:hAnsi="Times New Roman" w:cs="Times New Roman"/>
          <w:color w:val="000000" w:themeColor="text1"/>
          <w:sz w:val="28"/>
          <w:szCs w:val="28"/>
          <w:lang w:val="uk-UA"/>
        </w:rPr>
        <w:softHyphen/>
        <w:t>пазоні доз від 80000 до 200000 клітин вводили тільки в одне яєчко, у дослідженій частці залози ацинуси простатичних залозок часто були збіль</w:t>
      </w:r>
      <w:r w:rsidRPr="00CE0A20">
        <w:rPr>
          <w:rFonts w:ascii="Times New Roman" w:hAnsi="Times New Roman" w:cs="Times New Roman"/>
          <w:color w:val="000000" w:themeColor="text1"/>
          <w:sz w:val="28"/>
          <w:szCs w:val="28"/>
          <w:lang w:val="uk-UA"/>
        </w:rPr>
        <w:softHyphen/>
        <w:t>шені в розмірі. Епітелій, що вистелав стінки ацинусів, був вакуолізований. Вираз</w:t>
      </w:r>
      <w:r w:rsidRPr="00CE0A20">
        <w:rPr>
          <w:rFonts w:ascii="Times New Roman" w:hAnsi="Times New Roman" w:cs="Times New Roman"/>
          <w:color w:val="000000" w:themeColor="text1"/>
          <w:sz w:val="28"/>
          <w:szCs w:val="28"/>
          <w:lang w:val="uk-UA"/>
        </w:rPr>
        <w:softHyphen/>
        <w:t xml:space="preserve">ність вакуолізації епітелію зменшувалася в щурів, яким вводили КСКМ дозою 200000 клітин (рис. 4.29-4.31). </w:t>
      </w:r>
    </w:p>
    <w:tbl>
      <w:tblPr>
        <w:tblW w:w="9464" w:type="dxa"/>
        <w:tblInd w:w="-106" w:type="dxa"/>
        <w:tblLayout w:type="fixed"/>
        <w:tblLook w:val="01E0" w:firstRow="1" w:lastRow="1" w:firstColumn="1" w:lastColumn="1" w:noHBand="0" w:noVBand="0"/>
      </w:tblPr>
      <w:tblGrid>
        <w:gridCol w:w="9464"/>
      </w:tblGrid>
      <w:tr w:rsidR="001C43D0" w:rsidRPr="00CE0A20" w:rsidTr="001C43D0">
        <w:tc>
          <w:tcPr>
            <w:tcW w:w="9464" w:type="dxa"/>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06A1BEEE" wp14:editId="06266CEF">
                  <wp:extent cx="3876040" cy="2974975"/>
                  <wp:effectExtent l="0" t="0" r="0" b="0"/>
                  <wp:docPr id="102" name="Рисунок 102" descr="Описание: пж2-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Описание: пж2-11-7"/>
                          <pic:cNvPicPr>
                            <a:picLocks noChangeAspect="1" noChangeArrowheads="1"/>
                          </pic:cNvPicPr>
                        </pic:nvPicPr>
                        <pic:blipFill>
                          <a:blip r:embed="rId90">
                            <a:lum contrast="18000"/>
                            <a:extLst>
                              <a:ext uri="{28A0092B-C50C-407E-A947-70E740481C1C}">
                                <a14:useLocalDpi xmlns:a14="http://schemas.microsoft.com/office/drawing/2010/main" val="0"/>
                              </a:ext>
                            </a:extLst>
                          </a:blip>
                          <a:srcRect/>
                          <a:stretch>
                            <a:fillRect/>
                          </a:stretch>
                        </pic:blipFill>
                        <pic:spPr bwMode="auto">
                          <a:xfrm>
                            <a:off x="0" y="0"/>
                            <a:ext cx="3876040" cy="2974975"/>
                          </a:xfrm>
                          <a:prstGeom prst="rect">
                            <a:avLst/>
                          </a:prstGeom>
                          <a:noFill/>
                          <a:ln>
                            <a:noFill/>
                          </a:ln>
                        </pic:spPr>
                      </pic:pic>
                    </a:graphicData>
                  </a:graphic>
                </wp:inline>
              </w:drawing>
            </w: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91008" behindDoc="0" locked="0" layoutInCell="1" allowOverlap="1" wp14:anchorId="0B2DB058" wp14:editId="72D2D730">
                      <wp:simplePos x="0" y="0"/>
                      <wp:positionH relativeFrom="column">
                        <wp:posOffset>992505</wp:posOffset>
                      </wp:positionH>
                      <wp:positionV relativeFrom="paragraph">
                        <wp:posOffset>2591435</wp:posOffset>
                      </wp:positionV>
                      <wp:extent cx="342900" cy="342900"/>
                      <wp:effectExtent l="0" t="0" r="19050" b="19050"/>
                      <wp:wrapNone/>
                      <wp:docPr id="127" name="Прямоугольник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706E1B" w:rsidRDefault="000F6151" w:rsidP="001C43D0">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7" o:spid="_x0000_s1051" style="position:absolute;left:0;text-align:left;margin-left:78.15pt;margin-top:204.05pt;width:27pt;height:2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">
                      <v:textbox>
                        <w:txbxContent>
                          <w:p w:rsidR="000F6151" w:rsidRPr="00706E1B" w:rsidRDefault="000F6151" w:rsidP="001C43D0">
                            <w:pPr>
                              <w:rPr>
                                <w:lang w:val="uk-UA"/>
                              </w:rPr>
                            </w:pPr>
                            <w:r>
                              <w:rPr>
                                <w:lang w:val="uk-UA"/>
                              </w:rPr>
                              <w:t>а</w:t>
                            </w:r>
                          </w:p>
                        </w:txbxContent>
                      </v:textbox>
                    </v:rect>
                  </w:pict>
                </mc:Fallback>
              </mc:AlternateContent>
            </w:r>
          </w:p>
        </w:tc>
      </w:tr>
    </w:tbl>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89984" behindDoc="0" locked="0" layoutInCell="1" allowOverlap="1" wp14:anchorId="1D96479F" wp14:editId="294669EB">
                <wp:simplePos x="0" y="0"/>
                <wp:positionH relativeFrom="column">
                  <wp:posOffset>1022350</wp:posOffset>
                </wp:positionH>
                <wp:positionV relativeFrom="paragraph">
                  <wp:posOffset>2574290</wp:posOffset>
                </wp:positionV>
                <wp:extent cx="342900" cy="342900"/>
                <wp:effectExtent l="0" t="0" r="19050" b="19050"/>
                <wp:wrapNone/>
                <wp:docPr id="126" name="Прямоугольник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706E1B" w:rsidRDefault="000F6151" w:rsidP="001C43D0">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6" o:spid="_x0000_s1052" style="position:absolute;left:0;text-align:left;margin-left:80.5pt;margin-top:202.7pt;width:27pt;height: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">
                <v:textbox>
                  <w:txbxContent>
                    <w:p w:rsidR="000F6151" w:rsidRPr="00706E1B" w:rsidRDefault="000F6151" w:rsidP="001C43D0">
                      <w:pPr>
                        <w:rPr>
                          <w:lang w:val="uk-UA"/>
                        </w:rPr>
                      </w:pPr>
                      <w:r>
                        <w:rPr>
                          <w:lang w:val="uk-UA"/>
                        </w:rPr>
                        <w:t>б</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0D5A16F8" wp14:editId="542FDD38">
            <wp:extent cx="3889375" cy="2920365"/>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889375" cy="2920365"/>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Рис. 4.29. Вентральна частка передміхурової залози щурів після трансплантації КСКМ дозою 80000 клітин в одне яєчко: </w:t>
      </w:r>
      <w:r w:rsidR="004C1F95">
        <w:rPr>
          <w:rFonts w:ascii="Times New Roman" w:hAnsi="Times New Roman" w:cs="Times New Roman"/>
          <w:color w:val="000000" w:themeColor="text1"/>
          <w:sz w:val="28"/>
          <w:szCs w:val="28"/>
          <w:lang w:val="uk-UA"/>
        </w:rPr>
        <w:t xml:space="preserve">а - </w:t>
      </w:r>
      <w:r w:rsidRPr="00CE0A20">
        <w:rPr>
          <w:rFonts w:ascii="Times New Roman" w:hAnsi="Times New Roman" w:cs="Times New Roman"/>
          <w:color w:val="000000" w:themeColor="text1"/>
          <w:sz w:val="28"/>
          <w:szCs w:val="28"/>
          <w:lang w:val="uk-UA"/>
        </w:rPr>
        <w:t>ацинуси проста</w:t>
      </w:r>
      <w:r w:rsidRPr="00CE0A20">
        <w:rPr>
          <w:rFonts w:ascii="Times New Roman" w:hAnsi="Times New Roman" w:cs="Times New Roman"/>
          <w:color w:val="000000" w:themeColor="text1"/>
          <w:sz w:val="28"/>
          <w:szCs w:val="28"/>
          <w:lang w:val="uk-UA"/>
        </w:rPr>
        <w:softHyphen/>
        <w:t>тичних за</w:t>
      </w:r>
      <w:r w:rsidR="004C1F95">
        <w:rPr>
          <w:rFonts w:ascii="Times New Roman" w:hAnsi="Times New Roman" w:cs="Times New Roman"/>
          <w:color w:val="000000" w:themeColor="text1"/>
          <w:sz w:val="28"/>
          <w:szCs w:val="28"/>
          <w:lang w:val="uk-UA"/>
        </w:rPr>
        <w:t>лозок збільшені в розмірі</w:t>
      </w:r>
      <w:r w:rsidRPr="00CE0A20">
        <w:rPr>
          <w:rFonts w:ascii="Times New Roman" w:hAnsi="Times New Roman" w:cs="Times New Roman"/>
          <w:color w:val="000000" w:themeColor="text1"/>
          <w:sz w:val="28"/>
          <w:szCs w:val="28"/>
          <w:lang w:val="uk-UA"/>
        </w:rPr>
        <w:t xml:space="preserve">, </w:t>
      </w:r>
      <w:r w:rsidR="004C1F95">
        <w:rPr>
          <w:rFonts w:ascii="Times New Roman" w:hAnsi="Times New Roman" w:cs="Times New Roman"/>
          <w:color w:val="000000" w:themeColor="text1"/>
          <w:sz w:val="28"/>
          <w:szCs w:val="28"/>
          <w:lang w:val="uk-UA"/>
        </w:rPr>
        <w:t xml:space="preserve">б - </w:t>
      </w:r>
      <w:r w:rsidRPr="00CE0A20">
        <w:rPr>
          <w:rFonts w:ascii="Times New Roman" w:hAnsi="Times New Roman" w:cs="Times New Roman"/>
          <w:color w:val="000000" w:themeColor="text1"/>
          <w:sz w:val="28"/>
          <w:szCs w:val="28"/>
          <w:lang w:val="uk-UA"/>
        </w:rPr>
        <w:t xml:space="preserve">виразність вакуолізації епітеліальних клітин, що вистилають стінки ацинусів. </w:t>
      </w:r>
      <w:r w:rsidR="00090096">
        <w:rPr>
          <w:rFonts w:ascii="Times New Roman" w:hAnsi="Times New Roman" w:cs="Times New Roman"/>
          <w:color w:val="000000" w:themeColor="text1"/>
          <w:sz w:val="28"/>
          <w:szCs w:val="28"/>
          <w:lang w:val="uk-UA"/>
        </w:rPr>
        <w:t>(</w:t>
      </w:r>
      <w:r w:rsidR="00090096">
        <w:rPr>
          <w:rFonts w:ascii="Times New Roman" w:hAnsi="Times New Roman" w:cs="Times New Roman"/>
          <w:color w:val="000000" w:themeColor="text1"/>
          <w:sz w:val="28"/>
          <w:szCs w:val="28"/>
          <w:lang w:val="uk-UA"/>
        </w:rPr>
        <w:t>з</w:t>
      </w:r>
      <w:r w:rsidR="00090096" w:rsidRPr="00CE0A20">
        <w:rPr>
          <w:rFonts w:ascii="Times New Roman" w:hAnsi="Times New Roman" w:cs="Times New Roman"/>
          <w:color w:val="000000" w:themeColor="text1"/>
          <w:sz w:val="28"/>
          <w:szCs w:val="28"/>
          <w:lang w:val="uk-UA"/>
        </w:rPr>
        <w:t>б.х250</w:t>
      </w:r>
      <w:r w:rsidR="00090096">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 xml:space="preserve">Гематоксилін-еозин. </w:t>
      </w:r>
    </w:p>
    <w:p w:rsidR="001C43D0" w:rsidRPr="00CE0A20" w:rsidRDefault="001C43D0" w:rsidP="001C43D0">
      <w:pPr>
        <w:widowControl w:val="0"/>
        <w:spacing w:line="360" w:lineRule="auto"/>
        <w:ind w:firstLine="720"/>
        <w:jc w:val="both"/>
        <w:rPr>
          <w:rFonts w:ascii="Times New Roman" w:hAnsi="Times New Roman" w:cs="Times New Roman"/>
          <w:color w:val="000000" w:themeColor="text1"/>
          <w:sz w:val="28"/>
          <w:szCs w:val="28"/>
          <w:lang w:val="uk-UA"/>
        </w:rPr>
      </w:pPr>
    </w:p>
    <w:p w:rsidR="001C43D0" w:rsidRPr="00CE0A20" w:rsidRDefault="001C43D0" w:rsidP="001C43D0">
      <w:pPr>
        <w:widowControl w:val="0"/>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Наведені ознаки свідчать про певне зниження функціональної активності передміхурової залози у тварин, яким КСКМ вводили тільки в одне яєчко.</w:t>
      </w:r>
    </w:p>
    <w:tbl>
      <w:tblPr>
        <w:tblW w:w="6539" w:type="dxa"/>
        <w:jc w:val="center"/>
        <w:tblLayout w:type="fixed"/>
        <w:tblLook w:val="01E0" w:firstRow="1" w:lastRow="1" w:firstColumn="1" w:lastColumn="1" w:noHBand="0" w:noVBand="0"/>
      </w:tblPr>
      <w:tblGrid>
        <w:gridCol w:w="6539"/>
      </w:tblGrid>
      <w:tr w:rsidR="001C43D0" w:rsidRPr="00CE0A20" w:rsidTr="001C43D0">
        <w:trPr>
          <w:jc w:val="center"/>
        </w:trPr>
        <w:tc>
          <w:tcPr>
            <w:tcW w:w="6539" w:type="dxa"/>
          </w:tcPr>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92032" behindDoc="0" locked="0" layoutInCell="1" allowOverlap="1" wp14:anchorId="4B467EDE" wp14:editId="6A7DD619">
                      <wp:simplePos x="0" y="0"/>
                      <wp:positionH relativeFrom="column">
                        <wp:posOffset>11430</wp:posOffset>
                      </wp:positionH>
                      <wp:positionV relativeFrom="paragraph">
                        <wp:posOffset>2922270</wp:posOffset>
                      </wp:positionV>
                      <wp:extent cx="342900" cy="342900"/>
                      <wp:effectExtent l="0" t="0" r="19050" b="19050"/>
                      <wp:wrapNone/>
                      <wp:docPr id="125" name="Прямоугольник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2507C7" w:rsidRDefault="000F6151" w:rsidP="001C43D0">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5" o:spid="_x0000_s1053" style="position:absolute;left:0;text-align:left;margin-left:.9pt;margin-top:230.1pt;width:27pt;height:2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">
                      <v:textbox>
                        <w:txbxContent>
                          <w:p w:rsidR="000F6151" w:rsidRPr="002507C7" w:rsidRDefault="000F6151" w:rsidP="001C43D0">
                            <w:pPr>
                              <w:rPr>
                                <w:lang w:val="uk-UA"/>
                              </w:rPr>
                            </w:pPr>
                            <w:r>
                              <w:rPr>
                                <w:lang w:val="uk-UA"/>
                              </w:rPr>
                              <w:t>а</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788B79E9" wp14:editId="19D0D104">
                  <wp:extent cx="4012565" cy="3275330"/>
                  <wp:effectExtent l="0" t="0" r="6985" b="127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012565" cy="3275330"/>
                          </a:xfrm>
                          <a:prstGeom prst="rect">
                            <a:avLst/>
                          </a:prstGeom>
                          <a:noFill/>
                          <a:ln>
                            <a:noFill/>
                          </a:ln>
                        </pic:spPr>
                      </pic:pic>
                    </a:graphicData>
                  </a:graphic>
                </wp:inline>
              </w:drawing>
            </w:r>
          </w:p>
        </w:tc>
      </w:tr>
      <w:tr w:rsidR="001C43D0" w:rsidRPr="00CE0A20" w:rsidTr="001C43D0">
        <w:trPr>
          <w:jc w:val="center"/>
        </w:trPr>
        <w:tc>
          <w:tcPr>
            <w:tcW w:w="6539" w:type="dxa"/>
          </w:tcPr>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93056" behindDoc="0" locked="0" layoutInCell="1" allowOverlap="1" wp14:anchorId="7AEF332F" wp14:editId="458B7CC6">
                      <wp:simplePos x="0" y="0"/>
                      <wp:positionH relativeFrom="column">
                        <wp:posOffset>4445</wp:posOffset>
                      </wp:positionH>
                      <wp:positionV relativeFrom="paragraph">
                        <wp:posOffset>2891155</wp:posOffset>
                      </wp:positionV>
                      <wp:extent cx="342900" cy="342900"/>
                      <wp:effectExtent l="0" t="0" r="19050" b="19050"/>
                      <wp:wrapNone/>
                      <wp:docPr id="124" name="Прямоугольник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0B1D91" w:rsidRDefault="000F6151" w:rsidP="001C43D0">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4" o:spid="_x0000_s1054" style="position:absolute;left:0;text-align:left;margin-left:.35pt;margin-top:227.65pt;width:27pt;height:2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">
                      <v:textbox>
                        <w:txbxContent>
                          <w:p w:rsidR="000F6151" w:rsidRPr="000B1D91" w:rsidRDefault="000F6151" w:rsidP="001C43D0">
                            <w:pPr>
                              <w:rPr>
                                <w:lang w:val="uk-UA"/>
                              </w:rPr>
                            </w:pPr>
                            <w:r>
                              <w:rPr>
                                <w:lang w:val="uk-UA"/>
                              </w:rPr>
                              <w:t>б</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133E8496" wp14:editId="60711AFF">
                  <wp:extent cx="3998595" cy="3248025"/>
                  <wp:effectExtent l="0" t="0" r="1905" b="952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998595" cy="3248025"/>
                          </a:xfrm>
                          <a:prstGeom prst="rect">
                            <a:avLst/>
                          </a:prstGeom>
                          <a:noFill/>
                          <a:ln>
                            <a:noFill/>
                          </a:ln>
                        </pic:spPr>
                      </pic:pic>
                    </a:graphicData>
                  </a:graphic>
                </wp:inline>
              </w:drawing>
            </w:r>
          </w:p>
        </w:tc>
      </w:tr>
    </w:tbl>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Рис. 4.30. Вентральна частка передміхурової залози щурів після трансплантації КСКМ дозою 100000 клітин в одне яєчко: </w:t>
      </w:r>
      <w:r w:rsidR="004C1F95">
        <w:rPr>
          <w:rFonts w:ascii="Times New Roman" w:hAnsi="Times New Roman" w:cs="Times New Roman"/>
          <w:color w:val="000000" w:themeColor="text1"/>
          <w:sz w:val="28"/>
          <w:szCs w:val="28"/>
          <w:lang w:val="uk-UA"/>
        </w:rPr>
        <w:t xml:space="preserve">а - </w:t>
      </w:r>
      <w:r w:rsidRPr="00CE0A20">
        <w:rPr>
          <w:rFonts w:ascii="Times New Roman" w:hAnsi="Times New Roman" w:cs="Times New Roman"/>
          <w:color w:val="000000" w:themeColor="text1"/>
          <w:sz w:val="28"/>
          <w:szCs w:val="28"/>
          <w:lang w:val="uk-UA"/>
        </w:rPr>
        <w:t>ацинуси проста</w:t>
      </w:r>
      <w:r w:rsidRPr="00CE0A20">
        <w:rPr>
          <w:rFonts w:ascii="Times New Roman" w:hAnsi="Times New Roman" w:cs="Times New Roman"/>
          <w:color w:val="000000" w:themeColor="text1"/>
          <w:sz w:val="28"/>
          <w:szCs w:val="28"/>
          <w:lang w:val="uk-UA"/>
        </w:rPr>
        <w:softHyphen/>
        <w:t xml:space="preserve">тичних залозок збільшені в розмірі, </w:t>
      </w:r>
      <w:r w:rsidR="004C1F95">
        <w:rPr>
          <w:rFonts w:ascii="Times New Roman" w:hAnsi="Times New Roman" w:cs="Times New Roman"/>
          <w:color w:val="000000" w:themeColor="text1"/>
          <w:sz w:val="28"/>
          <w:szCs w:val="28"/>
          <w:lang w:val="uk-UA"/>
        </w:rPr>
        <w:t xml:space="preserve">б - </w:t>
      </w:r>
      <w:r w:rsidRPr="00CE0A20">
        <w:rPr>
          <w:rFonts w:ascii="Times New Roman" w:hAnsi="Times New Roman" w:cs="Times New Roman"/>
          <w:color w:val="000000" w:themeColor="text1"/>
          <w:sz w:val="28"/>
          <w:szCs w:val="28"/>
          <w:lang w:val="uk-UA"/>
        </w:rPr>
        <w:t xml:space="preserve">виразність вакуолізації епітеліальних клітин, що </w:t>
      </w:r>
      <w:r w:rsidR="004C1F95">
        <w:rPr>
          <w:rFonts w:ascii="Times New Roman" w:hAnsi="Times New Roman" w:cs="Times New Roman"/>
          <w:color w:val="000000" w:themeColor="text1"/>
          <w:sz w:val="28"/>
          <w:szCs w:val="28"/>
          <w:lang w:val="uk-UA"/>
        </w:rPr>
        <w:t>вистилають стінки ацинусів</w:t>
      </w:r>
      <w:r w:rsidRPr="00CE0A20">
        <w:rPr>
          <w:rFonts w:ascii="Times New Roman" w:hAnsi="Times New Roman" w:cs="Times New Roman"/>
          <w:color w:val="000000" w:themeColor="text1"/>
          <w:sz w:val="28"/>
          <w:szCs w:val="28"/>
          <w:lang w:val="uk-UA"/>
        </w:rPr>
        <w:t xml:space="preserve">. </w:t>
      </w:r>
      <w:r w:rsidR="00090096">
        <w:rPr>
          <w:rFonts w:ascii="Times New Roman" w:hAnsi="Times New Roman" w:cs="Times New Roman"/>
          <w:color w:val="000000" w:themeColor="text1"/>
          <w:sz w:val="28"/>
          <w:szCs w:val="28"/>
          <w:lang w:val="uk-UA"/>
        </w:rPr>
        <w:t>(з</w:t>
      </w:r>
      <w:r w:rsidR="00090096" w:rsidRPr="00CE0A20">
        <w:rPr>
          <w:rFonts w:ascii="Times New Roman" w:hAnsi="Times New Roman" w:cs="Times New Roman"/>
          <w:color w:val="000000" w:themeColor="text1"/>
          <w:sz w:val="28"/>
          <w:szCs w:val="28"/>
          <w:lang w:val="uk-UA"/>
        </w:rPr>
        <w:t>б.х250</w:t>
      </w:r>
      <w:r w:rsidR="00090096">
        <w:rPr>
          <w:rFonts w:ascii="Times New Roman" w:hAnsi="Times New Roman" w:cs="Times New Roman"/>
          <w:color w:val="000000" w:themeColor="text1"/>
          <w:sz w:val="28"/>
          <w:szCs w:val="28"/>
          <w:lang w:val="uk-UA"/>
        </w:rPr>
        <w:t>)</w:t>
      </w:r>
      <w:r w:rsidR="00090096"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 xml:space="preserve">Гематоксилін-еозин.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both"/>
        <w:rPr>
          <w:rFonts w:ascii="Times New Roman" w:hAnsi="Times New Roman" w:cs="Times New Roman"/>
          <w:color w:val="000000" w:themeColor="text1"/>
          <w:sz w:val="28"/>
          <w:szCs w:val="28"/>
          <w:lang w:val="uk-UA"/>
        </w:rPr>
        <w:sectPr w:rsidR="001C43D0" w:rsidRPr="00CE0A20" w:rsidSect="007D08ED">
          <w:headerReference w:type="default" r:id="rId94"/>
          <w:pgSz w:w="11907" w:h="16840" w:code="9"/>
          <w:pgMar w:top="1134" w:right="851" w:bottom="1134" w:left="1701" w:header="709" w:footer="709" w:gutter="0"/>
          <w:cols w:space="708"/>
          <w:titlePg/>
          <w:docGrid w:linePitch="360"/>
        </w:sectPr>
      </w:pPr>
    </w:p>
    <w:tbl>
      <w:tblPr>
        <w:tblW w:w="9464" w:type="dxa"/>
        <w:tblInd w:w="-106" w:type="dxa"/>
        <w:tblLayout w:type="fixed"/>
        <w:tblLook w:val="01E0" w:firstRow="1" w:lastRow="1" w:firstColumn="1" w:lastColumn="1" w:noHBand="0" w:noVBand="0"/>
      </w:tblPr>
      <w:tblGrid>
        <w:gridCol w:w="9464"/>
      </w:tblGrid>
      <w:tr w:rsidR="001C43D0" w:rsidRPr="00CE0A20" w:rsidTr="001C43D0">
        <w:tc>
          <w:tcPr>
            <w:tcW w:w="9464" w:type="dxa"/>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94080" behindDoc="0" locked="0" layoutInCell="1" allowOverlap="1" wp14:anchorId="6E25A4CA" wp14:editId="352FD8C3">
                      <wp:simplePos x="0" y="0"/>
                      <wp:positionH relativeFrom="column">
                        <wp:posOffset>981075</wp:posOffset>
                      </wp:positionH>
                      <wp:positionV relativeFrom="paragraph">
                        <wp:posOffset>2680335</wp:posOffset>
                      </wp:positionV>
                      <wp:extent cx="342900" cy="342900"/>
                      <wp:effectExtent l="0" t="0" r="19050" b="19050"/>
                      <wp:wrapNone/>
                      <wp:docPr id="119" name="Прямоуголь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0B1D91" w:rsidRDefault="000F6151" w:rsidP="001C43D0">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9" o:spid="_x0000_s1055" style="position:absolute;left:0;text-align:left;margin-left:77.25pt;margin-top:211.05pt;width:27pt;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">
                      <v:textbox>
                        <w:txbxContent>
                          <w:p w:rsidR="000F6151" w:rsidRPr="000B1D91" w:rsidRDefault="000F6151" w:rsidP="001C43D0">
                            <w:pPr>
                              <w:rPr>
                                <w:lang w:val="uk-UA"/>
                              </w:rPr>
                            </w:pPr>
                            <w:r>
                              <w:rPr>
                                <w:lang w:val="uk-UA"/>
                              </w:rPr>
                              <w:t>а</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079B8297" wp14:editId="73ED94D9">
                  <wp:extent cx="4231005" cy="3248025"/>
                  <wp:effectExtent l="0" t="0" r="0" b="9525"/>
                  <wp:docPr id="106" name="Рисунок 106" descr="Описание: пж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descr="Описание: пж1-10-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231005" cy="3248025"/>
                          </a:xfrm>
                          <a:prstGeom prst="rect">
                            <a:avLst/>
                          </a:prstGeom>
                          <a:noFill/>
                          <a:ln>
                            <a:noFill/>
                          </a:ln>
                        </pic:spPr>
                      </pic:pic>
                    </a:graphicData>
                  </a:graphic>
                </wp:inline>
              </w:drawing>
            </w:r>
          </w:p>
        </w:tc>
      </w:tr>
    </w:tbl>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98176" behindDoc="0" locked="0" layoutInCell="1" allowOverlap="1" wp14:anchorId="7C74394C" wp14:editId="11C70B2E">
                <wp:simplePos x="0" y="0"/>
                <wp:positionH relativeFrom="margin">
                  <wp:posOffset>914400</wp:posOffset>
                </wp:positionH>
                <wp:positionV relativeFrom="paragraph">
                  <wp:posOffset>2748280</wp:posOffset>
                </wp:positionV>
                <wp:extent cx="342900" cy="342900"/>
                <wp:effectExtent l="0" t="0" r="19050" b="19050"/>
                <wp:wrapNone/>
                <wp:docPr id="118" name="Прямоугольник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0B1D91" w:rsidRDefault="000F6151" w:rsidP="001C43D0">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8" o:spid="_x0000_s1056" style="position:absolute;left:0;text-align:left;margin-left:1in;margin-top:216.4pt;width:27pt;height:27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">
                <v:textbox>
                  <w:txbxContent>
                    <w:p w:rsidR="000F6151" w:rsidRPr="000B1D91" w:rsidRDefault="000F6151" w:rsidP="001C43D0">
                      <w:pPr>
                        <w:rPr>
                          <w:lang w:val="uk-UA"/>
                        </w:rPr>
                      </w:pPr>
                      <w:r>
                        <w:rPr>
                          <w:lang w:val="uk-UA"/>
                        </w:rPr>
                        <w:t>б</w:t>
                      </w:r>
                    </w:p>
                  </w:txbxContent>
                </v:textbox>
                <w10:wrap anchorx="margin"/>
              </v:rect>
            </w:pict>
          </mc:Fallback>
        </mc:AlternateContent>
      </w:r>
      <w:r w:rsidRPr="00CE0A20">
        <w:rPr>
          <w:rFonts w:ascii="Times New Roman" w:hAnsi="Times New Roman" w:cs="Times New Roman"/>
          <w:noProof/>
          <w:color w:val="000000" w:themeColor="text1"/>
          <w:sz w:val="28"/>
          <w:szCs w:val="28"/>
        </w:rPr>
        <w:drawing>
          <wp:inline distT="0" distB="0" distL="0" distR="0" wp14:anchorId="1C048CD9" wp14:editId="759C2FF4">
            <wp:extent cx="4258310" cy="3207385"/>
            <wp:effectExtent l="0" t="0" r="889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258310" cy="3207385"/>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Рис. 4.31. Вентральна частка передміхурової залози щурів після трансплантації КСКМ дозою 200000 клітин в одне яєчко: </w:t>
      </w:r>
      <w:r w:rsidR="004C1F95">
        <w:rPr>
          <w:rFonts w:ascii="Times New Roman" w:hAnsi="Times New Roman" w:cs="Times New Roman"/>
          <w:color w:val="000000" w:themeColor="text1"/>
          <w:sz w:val="28"/>
          <w:szCs w:val="28"/>
          <w:lang w:val="uk-UA"/>
        </w:rPr>
        <w:t xml:space="preserve">а - </w:t>
      </w:r>
      <w:r w:rsidRPr="00CE0A20">
        <w:rPr>
          <w:rFonts w:ascii="Times New Roman" w:hAnsi="Times New Roman" w:cs="Times New Roman"/>
          <w:color w:val="000000" w:themeColor="text1"/>
          <w:sz w:val="28"/>
          <w:szCs w:val="28"/>
          <w:lang w:val="uk-UA"/>
        </w:rPr>
        <w:t>ацинуси простатич</w:t>
      </w:r>
      <w:r w:rsidR="004C1F95">
        <w:rPr>
          <w:rFonts w:ascii="Times New Roman" w:hAnsi="Times New Roman" w:cs="Times New Roman"/>
          <w:color w:val="000000" w:themeColor="text1"/>
          <w:sz w:val="28"/>
          <w:szCs w:val="28"/>
          <w:lang w:val="uk-UA"/>
        </w:rPr>
        <w:t>них залозок збільшені в розмірі</w:t>
      </w:r>
      <w:r w:rsidRPr="00CE0A20">
        <w:rPr>
          <w:rFonts w:ascii="Times New Roman" w:hAnsi="Times New Roman" w:cs="Times New Roman"/>
          <w:color w:val="000000" w:themeColor="text1"/>
          <w:sz w:val="28"/>
          <w:szCs w:val="28"/>
          <w:lang w:val="uk-UA"/>
        </w:rPr>
        <w:t xml:space="preserve">, </w:t>
      </w:r>
      <w:r w:rsidR="004C1F95">
        <w:rPr>
          <w:rFonts w:ascii="Times New Roman" w:hAnsi="Times New Roman" w:cs="Times New Roman"/>
          <w:color w:val="000000" w:themeColor="text1"/>
          <w:sz w:val="28"/>
          <w:szCs w:val="28"/>
          <w:lang w:val="uk-UA"/>
        </w:rPr>
        <w:t xml:space="preserve">б - </w:t>
      </w:r>
      <w:r w:rsidRPr="00CE0A20">
        <w:rPr>
          <w:rFonts w:ascii="Times New Roman" w:hAnsi="Times New Roman" w:cs="Times New Roman"/>
          <w:color w:val="000000" w:themeColor="text1"/>
          <w:sz w:val="28"/>
          <w:szCs w:val="28"/>
          <w:lang w:val="uk-UA"/>
        </w:rPr>
        <w:t xml:space="preserve">виразність вакуолізації епітеліальних клітин, що вистилають стінки ацинусів. </w:t>
      </w:r>
      <w:r w:rsidR="00090096">
        <w:rPr>
          <w:rFonts w:ascii="Times New Roman" w:hAnsi="Times New Roman" w:cs="Times New Roman"/>
          <w:color w:val="000000" w:themeColor="text1"/>
          <w:sz w:val="28"/>
          <w:szCs w:val="28"/>
          <w:lang w:val="uk-UA"/>
        </w:rPr>
        <w:t>(з</w:t>
      </w:r>
      <w:r w:rsidR="00090096" w:rsidRPr="00CE0A20">
        <w:rPr>
          <w:rFonts w:ascii="Times New Roman" w:hAnsi="Times New Roman" w:cs="Times New Roman"/>
          <w:color w:val="000000" w:themeColor="text1"/>
          <w:sz w:val="28"/>
          <w:szCs w:val="28"/>
          <w:lang w:val="uk-UA"/>
        </w:rPr>
        <w:t>б.х250</w:t>
      </w:r>
      <w:r w:rsidR="00090096">
        <w:rPr>
          <w:rFonts w:ascii="Times New Roman" w:hAnsi="Times New Roman" w:cs="Times New Roman"/>
          <w:color w:val="000000" w:themeColor="text1"/>
          <w:sz w:val="28"/>
          <w:szCs w:val="28"/>
          <w:lang w:val="uk-UA"/>
        </w:rPr>
        <w:t>)</w:t>
      </w:r>
      <w:r w:rsidR="00090096"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rPr>
        <w:t xml:space="preserve">Гематоксилін-еозин.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Після введення КСКМ в обидва яєчка дозою 80000 клітин у вентральній частці передміхурової залози ацинуси простатичних залозок, хоча й зберігали збільшені розміри, але стан епітелію, що вистилав їхні стінки, був нормальний (рис. 4.32). </w:t>
      </w:r>
    </w:p>
    <w:tbl>
      <w:tblPr>
        <w:tblW w:w="9464" w:type="dxa"/>
        <w:tblInd w:w="-106" w:type="dxa"/>
        <w:tblLayout w:type="fixed"/>
        <w:tblLook w:val="01E0" w:firstRow="1" w:lastRow="1" w:firstColumn="1" w:lastColumn="1" w:noHBand="0" w:noVBand="0"/>
      </w:tblPr>
      <w:tblGrid>
        <w:gridCol w:w="9464"/>
      </w:tblGrid>
      <w:tr w:rsidR="001C43D0" w:rsidRPr="00CE0A20" w:rsidTr="001C43D0">
        <w:trPr>
          <w:trHeight w:val="3955"/>
        </w:trPr>
        <w:tc>
          <w:tcPr>
            <w:tcW w:w="9464" w:type="dxa"/>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95104" behindDoc="0" locked="0" layoutInCell="1" allowOverlap="1" wp14:anchorId="03E89CA7" wp14:editId="0DCE73A2">
                      <wp:simplePos x="0" y="0"/>
                      <wp:positionH relativeFrom="column">
                        <wp:posOffset>1070610</wp:posOffset>
                      </wp:positionH>
                      <wp:positionV relativeFrom="paragraph">
                        <wp:posOffset>2693670</wp:posOffset>
                      </wp:positionV>
                      <wp:extent cx="342900" cy="342900"/>
                      <wp:effectExtent l="0" t="0" r="19050" b="19050"/>
                      <wp:wrapNone/>
                      <wp:docPr id="117" name="Прямоугольник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655736" w:rsidRDefault="000F6151" w:rsidP="001C43D0">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7" o:spid="_x0000_s1057" style="position:absolute;left:0;text-align:left;margin-left:84.3pt;margin-top:212.1pt;width:27pt;height:2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">
                      <v:textbox>
                        <w:txbxContent>
                          <w:p w:rsidR="000F6151" w:rsidRPr="00655736" w:rsidRDefault="000F6151" w:rsidP="001C43D0">
                            <w:pPr>
                              <w:rPr>
                                <w:lang w:val="uk-UA"/>
                              </w:rPr>
                            </w:pPr>
                            <w:r>
                              <w:rPr>
                                <w:lang w:val="uk-UA"/>
                              </w:rPr>
                              <w:t>а</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4436D3D6" wp14:editId="0669853F">
                  <wp:extent cx="3698240" cy="3016250"/>
                  <wp:effectExtent l="0" t="0" r="0" b="0"/>
                  <wp:docPr id="108" name="Рисунок 108" descr="Описание: DSCN5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 descr="Описание: DSCN5950"/>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698240" cy="3016250"/>
                          </a:xfrm>
                          <a:prstGeom prst="rect">
                            <a:avLst/>
                          </a:prstGeom>
                          <a:noFill/>
                          <a:ln>
                            <a:noFill/>
                          </a:ln>
                        </pic:spPr>
                      </pic:pic>
                    </a:graphicData>
                  </a:graphic>
                </wp:inline>
              </w:drawing>
            </w:r>
          </w:p>
        </w:tc>
      </w:tr>
    </w:tbl>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86912" behindDoc="0" locked="0" layoutInCell="1" allowOverlap="1" wp14:anchorId="192986D3" wp14:editId="69260452">
                <wp:simplePos x="0" y="0"/>
                <wp:positionH relativeFrom="column">
                  <wp:posOffset>1115060</wp:posOffset>
                </wp:positionH>
                <wp:positionV relativeFrom="paragraph">
                  <wp:posOffset>2835910</wp:posOffset>
                </wp:positionV>
                <wp:extent cx="342900" cy="342900"/>
                <wp:effectExtent l="0" t="0" r="19050" b="19050"/>
                <wp:wrapNone/>
                <wp:docPr id="116" name="Прямоугольник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655736" w:rsidRDefault="000F6151" w:rsidP="001C43D0">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6" o:spid="_x0000_s1058" style="position:absolute;left:0;text-align:left;margin-left:87.8pt;margin-top:223.3pt;width:27pt;height:2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">
                <v:textbox>
                  <w:txbxContent>
                    <w:p w:rsidR="000F6151" w:rsidRPr="00655736" w:rsidRDefault="000F6151" w:rsidP="001C43D0">
                      <w:pPr>
                        <w:rPr>
                          <w:lang w:val="uk-UA"/>
                        </w:rPr>
                      </w:pPr>
                      <w:r>
                        <w:rPr>
                          <w:lang w:val="uk-UA"/>
                        </w:rPr>
                        <w:t>б</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7280BC6A" wp14:editId="4FC92DA9">
            <wp:extent cx="3684905" cy="3180080"/>
            <wp:effectExtent l="0" t="0" r="0" b="127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684905" cy="318008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4.32. Вентральна частка передміхурової залози щурів після трансплантації КСКМ дозою 80000 клітин водночас в обидва яєчка: а – збільшення розміру ацинусів залозок (х100); б – епітеліальні клітини нормального вигляду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 збільшенні дози КСКМ до 100000 клітин в обидва яєчка ацинуси простатичних залозок у вентральній частці передміхурової залози коливалися за розміром, епітелій не змінено (рис. 4.33). Передміхурова залоза щурів, які отримували КСКМ дозою 200000 клітин в обидва яєчка, за морфологічним станом не відрізнялася від інтактного контролю (рис. 4.34).</w:t>
      </w:r>
    </w:p>
    <w:tbl>
      <w:tblPr>
        <w:tblW w:w="0" w:type="auto"/>
        <w:tblInd w:w="-106" w:type="dxa"/>
        <w:tblLook w:val="01E0" w:firstRow="1" w:lastRow="1" w:firstColumn="1" w:lastColumn="1" w:noHBand="0" w:noVBand="0"/>
      </w:tblPr>
      <w:tblGrid>
        <w:gridCol w:w="9464"/>
      </w:tblGrid>
      <w:tr w:rsidR="001C43D0" w:rsidRPr="00CE0A20" w:rsidTr="001C43D0">
        <w:tc>
          <w:tcPr>
            <w:tcW w:w="9464" w:type="dxa"/>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96128" behindDoc="0" locked="0" layoutInCell="1" allowOverlap="1" wp14:anchorId="73E98FAC" wp14:editId="6239AD2C">
                      <wp:simplePos x="0" y="0"/>
                      <wp:positionH relativeFrom="column">
                        <wp:posOffset>1228687</wp:posOffset>
                      </wp:positionH>
                      <wp:positionV relativeFrom="paragraph">
                        <wp:posOffset>2594326</wp:posOffset>
                      </wp:positionV>
                      <wp:extent cx="342900" cy="342900"/>
                      <wp:effectExtent l="0" t="0" r="19050" b="19050"/>
                      <wp:wrapNone/>
                      <wp:docPr id="115" name="Прямоугольник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D34437" w:rsidRDefault="000F6151" w:rsidP="001C43D0">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5" o:spid="_x0000_s1059" style="position:absolute;left:0;text-align:left;margin-left:96.75pt;margin-top:204.3pt;width:27pt;height:2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">
                      <v:textbox>
                        <w:txbxContent>
                          <w:p w:rsidR="000F6151" w:rsidRPr="00D34437" w:rsidRDefault="000F6151" w:rsidP="001C43D0">
                            <w:pPr>
                              <w:rPr>
                                <w:lang w:val="uk-UA"/>
                              </w:rPr>
                            </w:pPr>
                            <w:r>
                              <w:rPr>
                                <w:lang w:val="uk-UA"/>
                              </w:rPr>
                              <w:t>а</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59B55C35" wp14:editId="1D9F3453">
                  <wp:extent cx="3411941" cy="3029610"/>
                  <wp:effectExtent l="0" t="0" r="0" b="0"/>
                  <wp:docPr id="110" name="Рисунок 110" descr="Описание: DSCN5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descr="Описание: DSCN5940"/>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411913" cy="3029585"/>
                          </a:xfrm>
                          <a:prstGeom prst="rect">
                            <a:avLst/>
                          </a:prstGeom>
                          <a:noFill/>
                          <a:ln>
                            <a:noFill/>
                          </a:ln>
                        </pic:spPr>
                      </pic:pic>
                    </a:graphicData>
                  </a:graphic>
                </wp:inline>
              </w:drawing>
            </w:r>
          </w:p>
        </w:tc>
      </w:tr>
    </w:tbl>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88960" behindDoc="0" locked="0" layoutInCell="1" allowOverlap="1" wp14:anchorId="7FA70A2C" wp14:editId="463E38C3">
                <wp:simplePos x="0" y="0"/>
                <wp:positionH relativeFrom="column">
                  <wp:posOffset>1307740</wp:posOffset>
                </wp:positionH>
                <wp:positionV relativeFrom="paragraph">
                  <wp:posOffset>2716757</wp:posOffset>
                </wp:positionV>
                <wp:extent cx="342900" cy="342900"/>
                <wp:effectExtent l="0" t="0" r="19050" b="19050"/>
                <wp:wrapNone/>
                <wp:docPr id="114" name="Прямоугольник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DA5200" w:rsidRDefault="000F6151" w:rsidP="001C43D0">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4" o:spid="_x0000_s1060" style="position:absolute;left:0;text-align:left;margin-left:102.95pt;margin-top:213.9pt;width:27pt;height:2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">
                <v:textbox>
                  <w:txbxContent>
                    <w:p w:rsidR="000F6151" w:rsidRPr="00DA5200" w:rsidRDefault="000F6151" w:rsidP="001C43D0">
                      <w:pPr>
                        <w:rPr>
                          <w:lang w:val="uk-UA"/>
                        </w:rPr>
                      </w:pPr>
                      <w:r>
                        <w:rPr>
                          <w:lang w:val="uk-UA"/>
                        </w:rPr>
                        <w:t>б</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5C147791" wp14:editId="183BD0A4">
            <wp:extent cx="3452884" cy="3054332"/>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pic:cNvPicPr>
                      <a:picLocks noChangeAspect="1" noChangeArrowheads="1"/>
                    </pic:cNvPicPr>
                  </pic:nvPicPr>
                  <pic:blipFill>
                    <a:blip r:embed="rId100">
                      <a:lum bright="6000" contrast="36000"/>
                      <a:extLst>
                        <a:ext uri="{28A0092B-C50C-407E-A947-70E740481C1C}">
                          <a14:useLocalDpi xmlns:a14="http://schemas.microsoft.com/office/drawing/2010/main" val="0"/>
                        </a:ext>
                      </a:extLst>
                    </a:blip>
                    <a:srcRect/>
                    <a:stretch>
                      <a:fillRect/>
                    </a:stretch>
                  </pic:blipFill>
                  <pic:spPr bwMode="auto">
                    <a:xfrm>
                      <a:off x="0" y="0"/>
                      <a:ext cx="3452847" cy="3054299"/>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4.33. Вентральна частка передміхурової залози щура після трансплантації КСКМ дозою 100000 клітин водночас в обидва яєчка: а – ацинуси простатичних залозок варіюють за розміром (х100); б – епітелій не змінено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 Зб.х100</w:t>
      </w:r>
    </w:p>
    <w:tbl>
      <w:tblPr>
        <w:tblW w:w="9464" w:type="dxa"/>
        <w:tblInd w:w="-106" w:type="dxa"/>
        <w:tblLayout w:type="fixed"/>
        <w:tblLook w:val="01E0" w:firstRow="1" w:lastRow="1" w:firstColumn="1" w:lastColumn="1" w:noHBand="0" w:noVBand="0"/>
      </w:tblPr>
      <w:tblGrid>
        <w:gridCol w:w="9464"/>
      </w:tblGrid>
      <w:tr w:rsidR="001C43D0" w:rsidRPr="00CE0A20" w:rsidTr="001C43D0">
        <w:tc>
          <w:tcPr>
            <w:tcW w:w="9464" w:type="dxa"/>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97152" behindDoc="0" locked="0" layoutInCell="1" allowOverlap="1" wp14:anchorId="49BFEAAF" wp14:editId="629B23DF">
                      <wp:simplePos x="0" y="0"/>
                      <wp:positionH relativeFrom="column">
                        <wp:posOffset>847725</wp:posOffset>
                      </wp:positionH>
                      <wp:positionV relativeFrom="paragraph">
                        <wp:posOffset>3016250</wp:posOffset>
                      </wp:positionV>
                      <wp:extent cx="342900" cy="342900"/>
                      <wp:effectExtent l="0" t="0" r="19050" b="19050"/>
                      <wp:wrapNone/>
                      <wp:docPr id="113" name="Прямоугольник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8B3496" w:rsidRDefault="000F6151" w:rsidP="001C43D0">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3" o:spid="_x0000_s1061" style="position:absolute;left:0;text-align:left;margin-left:66.75pt;margin-top:237.5pt;width:27pt;height:2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">
                      <v:textbox>
                        <w:txbxContent>
                          <w:p w:rsidR="000F6151" w:rsidRPr="008B3496" w:rsidRDefault="000F6151" w:rsidP="001C43D0">
                            <w:pPr>
                              <w:rPr>
                                <w:lang w:val="uk-UA"/>
                              </w:rPr>
                            </w:pPr>
                            <w:r>
                              <w:rPr>
                                <w:lang w:val="uk-UA"/>
                              </w:rPr>
                              <w:t>а</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74BC1C38" wp14:editId="6F9373FF">
                  <wp:extent cx="4285615" cy="3480435"/>
                  <wp:effectExtent l="0" t="0" r="635" b="5715"/>
                  <wp:docPr id="121" name="Рисунок 121" descr="Описание: пж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descr="Описание: пж1-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285615" cy="3480435"/>
                          </a:xfrm>
                          <a:prstGeom prst="rect">
                            <a:avLst/>
                          </a:prstGeom>
                          <a:noFill/>
                          <a:ln>
                            <a:noFill/>
                          </a:ln>
                        </pic:spPr>
                      </pic:pic>
                    </a:graphicData>
                  </a:graphic>
                </wp:inline>
              </w:drawing>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p>
        </w:tc>
      </w:tr>
    </w:tbl>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687936" behindDoc="0" locked="0" layoutInCell="1" allowOverlap="1" wp14:anchorId="06D5EDCF" wp14:editId="5810CE87">
                <wp:simplePos x="0" y="0"/>
                <wp:positionH relativeFrom="column">
                  <wp:posOffset>847090</wp:posOffset>
                </wp:positionH>
                <wp:positionV relativeFrom="paragraph">
                  <wp:posOffset>3053715</wp:posOffset>
                </wp:positionV>
                <wp:extent cx="342900" cy="342900"/>
                <wp:effectExtent l="0" t="0" r="19050" b="19050"/>
                <wp:wrapNone/>
                <wp:docPr id="112" name="Прямоугольник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rsidR="000F6151" w:rsidRPr="008B3496" w:rsidRDefault="000F6151" w:rsidP="001C43D0">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2" o:spid="_x0000_s1062" style="position:absolute;left:0;text-align:left;margin-left:66.7pt;margin-top:240.45pt;width:27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">
                <v:textbox>
                  <w:txbxContent>
                    <w:p w:rsidR="000F6151" w:rsidRPr="008B3496" w:rsidRDefault="000F6151" w:rsidP="001C43D0">
                      <w:pPr>
                        <w:rPr>
                          <w:lang w:val="uk-UA"/>
                        </w:rPr>
                      </w:pPr>
                      <w:r>
                        <w:rPr>
                          <w:lang w:val="uk-UA"/>
                        </w:rPr>
                        <w:t>б</w:t>
                      </w:r>
                    </w:p>
                  </w:txbxContent>
                </v:textbox>
              </v:rect>
            </w:pict>
          </mc:Fallback>
        </mc:AlternateContent>
      </w:r>
      <w:r w:rsidRPr="00CE0A20">
        <w:rPr>
          <w:rFonts w:ascii="Times New Roman" w:hAnsi="Times New Roman" w:cs="Times New Roman"/>
          <w:noProof/>
          <w:color w:val="000000" w:themeColor="text1"/>
          <w:sz w:val="28"/>
          <w:szCs w:val="28"/>
        </w:rPr>
        <w:drawing>
          <wp:inline distT="0" distB="0" distL="0" distR="0" wp14:anchorId="17CFF0F4" wp14:editId="1F5B874D">
            <wp:extent cx="4231005" cy="3439160"/>
            <wp:effectExtent l="0" t="0" r="0" b="889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231005" cy="3439160"/>
                    </a:xfrm>
                    <a:prstGeom prst="rect">
                      <a:avLst/>
                    </a:prstGeom>
                    <a:noFill/>
                    <a:ln>
                      <a:noFill/>
                    </a:ln>
                  </pic:spPr>
                </pic:pic>
              </a:graphicData>
            </a:graphic>
          </wp:inline>
        </w:drawing>
      </w: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4.34. Вентральна частка передміхурової залози щура після трансплантації КСКМ дозою 200000 клітин водночас в обидва яєчка: а – стан ацинусів простатичних залозок відповідає нормі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х200); б – епітеліальні клітини, що вистилають стінку ацинусів, не змінено (</w:t>
      </w:r>
      <w:r w:rsidR="00090096">
        <w:rPr>
          <w:rFonts w:ascii="Times New Roman" w:hAnsi="Times New Roman" w:cs="Times New Roman"/>
          <w:color w:val="000000" w:themeColor="text1"/>
          <w:sz w:val="28"/>
          <w:szCs w:val="28"/>
          <w:lang w:val="uk-UA"/>
        </w:rPr>
        <w:t>зб.</w:t>
      </w:r>
      <w:r w:rsidRPr="00CE0A20">
        <w:rPr>
          <w:rFonts w:ascii="Times New Roman" w:hAnsi="Times New Roman" w:cs="Times New Roman"/>
          <w:color w:val="000000" w:themeColor="text1"/>
          <w:sz w:val="28"/>
          <w:szCs w:val="28"/>
          <w:lang w:val="uk-UA"/>
        </w:rPr>
        <w:t>х400). Гематоксилін-еозин</w:t>
      </w:r>
      <w:r w:rsidR="00090096">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Морфометричний аналіз гістологічних даних дозволив встановити таке (табл. 4.5).</w:t>
      </w:r>
    </w:p>
    <w:p w:rsidR="00C01D33" w:rsidRPr="00CE0A20" w:rsidRDefault="00C01D33" w:rsidP="001C43D0">
      <w:pPr>
        <w:spacing w:line="360" w:lineRule="auto"/>
        <w:ind w:firstLine="720"/>
        <w:jc w:val="both"/>
        <w:rPr>
          <w:rFonts w:ascii="Times New Roman" w:hAnsi="Times New Roman" w:cs="Times New Roman"/>
          <w:color w:val="000000" w:themeColor="text1"/>
          <w:sz w:val="28"/>
          <w:szCs w:val="28"/>
          <w:lang w:val="uk-UA"/>
        </w:rPr>
      </w:pPr>
    </w:p>
    <w:p w:rsidR="001C43D0" w:rsidRPr="00CE0A20" w:rsidRDefault="001C43D0" w:rsidP="00C01D33">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Таблиця 4.5  </w:t>
      </w:r>
      <w:r w:rsidR="00C01D33"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uk-UA" w:eastAsia="uk-UA"/>
        </w:rPr>
        <w:t xml:space="preserve">Морфометричні показники процесу сперматогенезу </w:t>
      </w:r>
      <w:r w:rsidRPr="00CE0A20">
        <w:rPr>
          <w:rFonts w:ascii="Times New Roman" w:hAnsi="Times New Roman" w:cs="Times New Roman"/>
          <w:color w:val="000000" w:themeColor="text1"/>
          <w:sz w:val="28"/>
          <w:szCs w:val="28"/>
          <w:lang w:val="uk-UA"/>
        </w:rPr>
        <w:t xml:space="preserve">на </w:t>
      </w:r>
      <w:r w:rsidR="00885BC3" w:rsidRPr="00CE0A20">
        <w:rPr>
          <w:rFonts w:ascii="Times New Roman" w:hAnsi="Times New Roman" w:cs="Times New Roman"/>
          <w:sz w:val="28"/>
          <w:szCs w:val="28"/>
          <w:lang w:val="uk-UA"/>
        </w:rPr>
        <w:t>28-</w:t>
      </w:r>
      <w:r w:rsidR="00885BC3">
        <w:rPr>
          <w:rFonts w:ascii="Times New Roman" w:hAnsi="Times New Roman" w:cs="Times New Roman"/>
          <w:sz w:val="28"/>
          <w:szCs w:val="28"/>
          <w:lang w:val="uk-UA"/>
        </w:rPr>
        <w:t>му добу</w:t>
      </w:r>
      <w:r w:rsidR="00885BC3" w:rsidRPr="00CE0A20">
        <w:rPr>
          <w:rFonts w:ascii="Times New Roman" w:hAnsi="Times New Roman" w:cs="Times New Roman"/>
          <w:sz w:val="28"/>
          <w:szCs w:val="28"/>
          <w:lang w:val="uk-UA"/>
        </w:rPr>
        <w:t xml:space="preserve"> </w:t>
      </w:r>
      <w:r w:rsidRPr="00CE0A20">
        <w:rPr>
          <w:rFonts w:ascii="Times New Roman" w:hAnsi="Times New Roman" w:cs="Times New Roman"/>
          <w:color w:val="000000" w:themeColor="text1"/>
          <w:sz w:val="28"/>
          <w:szCs w:val="28"/>
          <w:lang w:val="uk-UA"/>
        </w:rPr>
        <w:t>досліду</w:t>
      </w:r>
      <w:r w:rsidRPr="00CE0A20">
        <w:rPr>
          <w:rFonts w:ascii="Times New Roman" w:hAnsi="Times New Roman" w:cs="Times New Roman"/>
          <w:color w:val="000000" w:themeColor="text1"/>
          <w:sz w:val="28"/>
          <w:szCs w:val="28"/>
          <w:lang w:val="uk-UA" w:eastAsia="uk-UA"/>
        </w:rPr>
        <w:t xml:space="preserve"> в щурів з експериментальним гіпогонадизмом після введення </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xml:space="preserve">ККМ у різних дозах </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p w:rsidR="001C43D0" w:rsidRPr="00CE0A20" w:rsidRDefault="001C43D0" w:rsidP="001C43D0">
      <w:pPr>
        <w:spacing w:line="360" w:lineRule="auto"/>
        <w:jc w:val="both"/>
        <w:rPr>
          <w:rFonts w:ascii="Times New Roman" w:hAnsi="Times New Roman" w:cs="Times New Roman"/>
          <w:color w:val="000000" w:themeColor="text1"/>
          <w:sz w:val="28"/>
          <w:szCs w:val="28"/>
          <w:lang w:val="uk-UA" w:eastAsia="uk-UA"/>
        </w:rPr>
      </w:pPr>
    </w:p>
    <w:tbl>
      <w:tblPr>
        <w:tblW w:w="949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807"/>
        <w:gridCol w:w="1808"/>
        <w:gridCol w:w="1807"/>
        <w:gridCol w:w="1808"/>
      </w:tblGrid>
      <w:tr w:rsidR="001C43D0" w:rsidRPr="00CE0A20" w:rsidTr="001C43D0">
        <w:tc>
          <w:tcPr>
            <w:tcW w:w="2268" w:type="dxa"/>
            <w:vMerge w:val="restart"/>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Група експеримен</w:t>
            </w:r>
            <w:r w:rsidRPr="00CE0A20">
              <w:rPr>
                <w:rFonts w:ascii="Times New Roman" w:hAnsi="Times New Roman" w:cs="Times New Roman"/>
                <w:color w:val="000000" w:themeColor="text1"/>
                <w:sz w:val="28"/>
                <w:szCs w:val="28"/>
                <w:lang w:val="uk-UA"/>
              </w:rPr>
              <w:softHyphen/>
              <w:t>тальних тварин</w:t>
            </w:r>
          </w:p>
        </w:tc>
        <w:tc>
          <w:tcPr>
            <w:tcW w:w="7230" w:type="dxa"/>
            <w:gridSpan w:val="4"/>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Показники</w:t>
            </w:r>
          </w:p>
        </w:tc>
      </w:tr>
      <w:tr w:rsidR="001C43D0" w:rsidRPr="00CE0A20" w:rsidTr="001C43D0">
        <w:tc>
          <w:tcPr>
            <w:tcW w:w="2268" w:type="dxa"/>
            <w:vMerge/>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p>
        </w:tc>
        <w:tc>
          <w:tcPr>
            <w:tcW w:w="1807"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КНС, абс.</w:t>
            </w:r>
          </w:p>
        </w:tc>
        <w:tc>
          <w:tcPr>
            <w:tcW w:w="1808"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КЗК-ЗСЕ, %</w:t>
            </w:r>
          </w:p>
        </w:tc>
        <w:tc>
          <w:tcPr>
            <w:tcW w:w="1807"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КЗК-12СМ, %</w:t>
            </w:r>
          </w:p>
        </w:tc>
        <w:tc>
          <w:tcPr>
            <w:tcW w:w="1808" w:type="dxa"/>
            <w:vAlign w:val="center"/>
          </w:tcPr>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ІС, бали</w:t>
            </w:r>
          </w:p>
        </w:tc>
      </w:tr>
      <w:tr w:rsidR="001C43D0" w:rsidRPr="00CE0A20" w:rsidTr="001C43D0">
        <w:trPr>
          <w:trHeight w:val="619"/>
        </w:trPr>
        <w:tc>
          <w:tcPr>
            <w:tcW w:w="2268"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1-а група (конт</w:t>
            </w:r>
            <w:r w:rsidRPr="00CE0A20">
              <w:rPr>
                <w:rFonts w:ascii="Times New Roman" w:hAnsi="Times New Roman" w:cs="Times New Roman"/>
                <w:color w:val="000000" w:themeColor="text1"/>
                <w:sz w:val="28"/>
                <w:szCs w:val="28"/>
                <w:lang w:val="uk-UA"/>
              </w:rPr>
              <w:softHyphen/>
              <w:t>рольна)  (n=6)</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52</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8</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3,5</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0,3±0,5</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5±0,6</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3,34±0,02</w:t>
            </w:r>
          </w:p>
        </w:tc>
      </w:tr>
      <w:tr w:rsidR="001C43D0" w:rsidRPr="00CE0A20" w:rsidTr="001C43D0">
        <w:tc>
          <w:tcPr>
            <w:tcW w:w="2268" w:type="dxa"/>
            <w:vAlign w:val="center"/>
          </w:tcPr>
          <w:p w:rsidR="001C43D0" w:rsidRPr="00CE0A20" w:rsidRDefault="001C43D0" w:rsidP="001C43D0">
            <w:pPr>
              <w:spacing w:before="120" w:after="120"/>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2-а група (порів</w:t>
            </w:r>
            <w:r w:rsidRPr="00CE0A20">
              <w:rPr>
                <w:rFonts w:ascii="Times New Roman" w:hAnsi="Times New Roman" w:cs="Times New Roman"/>
                <w:color w:val="000000" w:themeColor="text1"/>
                <w:sz w:val="28"/>
                <w:szCs w:val="28"/>
                <w:lang w:val="uk-UA"/>
              </w:rPr>
              <w:softHyphen/>
              <w:t>няння) (n=6)</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2,0±0,6</w:t>
            </w:r>
            <w:r w:rsidRPr="00CE0A20">
              <w:rPr>
                <w:rFonts w:ascii="Times New Roman" w:hAnsi="Times New Roman" w:cs="Times New Roman"/>
                <w:color w:val="000000" w:themeColor="text1"/>
                <w:sz w:val="28"/>
                <w:szCs w:val="28"/>
                <w:vertAlign w:val="superscript"/>
                <w:lang w:val="uk-UA"/>
              </w:rPr>
              <w:t>1</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0,08±0,02</w:t>
            </w:r>
            <w:r w:rsidRPr="00CE0A20">
              <w:rPr>
                <w:rFonts w:ascii="Times New Roman" w:hAnsi="Times New Roman" w:cs="Times New Roman"/>
                <w:color w:val="000000" w:themeColor="text1"/>
                <w:sz w:val="28"/>
                <w:szCs w:val="28"/>
                <w:vertAlign w:val="superscript"/>
                <w:lang w:val="uk-UA"/>
              </w:rPr>
              <w:t>1</w:t>
            </w:r>
          </w:p>
        </w:tc>
      </w:tr>
      <w:tr w:rsidR="001C43D0" w:rsidRPr="00CE0A20" w:rsidTr="001C43D0">
        <w:trPr>
          <w:trHeight w:val="695"/>
        </w:trPr>
        <w:tc>
          <w:tcPr>
            <w:tcW w:w="2268" w:type="dxa"/>
          </w:tcPr>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3а група (n=6)</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8,7±1,2</w:t>
            </w:r>
            <w:r w:rsidRPr="00CE0A20">
              <w:rPr>
                <w:rFonts w:ascii="Times New Roman" w:hAnsi="Times New Roman" w:cs="Times New Roman"/>
                <w:color w:val="000000" w:themeColor="text1"/>
                <w:sz w:val="28"/>
                <w:szCs w:val="28"/>
                <w:vertAlign w:val="superscript"/>
                <w:lang w:val="uk-UA"/>
              </w:rPr>
              <w:t>1,2</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0,13±0,03</w:t>
            </w:r>
            <w:r w:rsidRPr="00CE0A20">
              <w:rPr>
                <w:rFonts w:ascii="Times New Roman" w:hAnsi="Times New Roman" w:cs="Times New Roman"/>
                <w:color w:val="000000" w:themeColor="text1"/>
                <w:sz w:val="28"/>
                <w:szCs w:val="28"/>
                <w:vertAlign w:val="superscript"/>
                <w:lang w:val="uk-UA"/>
              </w:rPr>
              <w:t>1</w:t>
            </w:r>
          </w:p>
        </w:tc>
      </w:tr>
      <w:tr w:rsidR="001C43D0" w:rsidRPr="00CE0A20" w:rsidTr="001C43D0">
        <w:trPr>
          <w:trHeight w:val="701"/>
        </w:trPr>
        <w:tc>
          <w:tcPr>
            <w:tcW w:w="2268" w:type="dxa"/>
          </w:tcPr>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3б група (n=6)</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6,97</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1,0</w:t>
            </w:r>
            <w:r w:rsidRPr="00CE0A20">
              <w:rPr>
                <w:rFonts w:ascii="Times New Roman" w:hAnsi="Times New Roman" w:cs="Times New Roman"/>
                <w:color w:val="000000" w:themeColor="text1"/>
                <w:sz w:val="28"/>
                <w:szCs w:val="28"/>
                <w:vertAlign w:val="superscript"/>
                <w:lang w:val="uk-UA"/>
              </w:rPr>
              <w:t>1,2</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0,33±0,15</w:t>
            </w:r>
          </w:p>
        </w:tc>
      </w:tr>
      <w:tr w:rsidR="001C43D0" w:rsidRPr="00CE0A20" w:rsidTr="001C43D0">
        <w:trPr>
          <w:trHeight w:val="693"/>
        </w:trPr>
        <w:tc>
          <w:tcPr>
            <w:tcW w:w="2268" w:type="dxa"/>
          </w:tcPr>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3в група (n=6)</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9,46</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1,4</w:t>
            </w:r>
            <w:r w:rsidRPr="00CE0A20">
              <w:rPr>
                <w:rFonts w:ascii="Times New Roman" w:hAnsi="Times New Roman" w:cs="Times New Roman"/>
                <w:color w:val="000000" w:themeColor="text1"/>
                <w:sz w:val="28"/>
                <w:szCs w:val="28"/>
                <w:vertAlign w:val="superscript"/>
                <w:lang w:val="uk-UA"/>
              </w:rPr>
              <w:t>1,2</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0,35±0,05</w:t>
            </w:r>
            <w:r w:rsidRPr="00CE0A20">
              <w:rPr>
                <w:rFonts w:ascii="Times New Roman" w:hAnsi="Times New Roman" w:cs="Times New Roman"/>
                <w:color w:val="000000" w:themeColor="text1"/>
                <w:sz w:val="28"/>
                <w:szCs w:val="28"/>
                <w:vertAlign w:val="superscript"/>
                <w:lang w:val="uk-UA"/>
              </w:rPr>
              <w:t>2</w:t>
            </w:r>
          </w:p>
        </w:tc>
      </w:tr>
      <w:tr w:rsidR="001C43D0" w:rsidRPr="00CE0A20" w:rsidTr="001C43D0">
        <w:trPr>
          <w:trHeight w:val="705"/>
        </w:trPr>
        <w:tc>
          <w:tcPr>
            <w:tcW w:w="2268" w:type="dxa"/>
          </w:tcPr>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4а група (n=6)</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51,5</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1,7</w:t>
            </w:r>
            <w:r w:rsidRPr="00CE0A20">
              <w:rPr>
                <w:rFonts w:ascii="Times New Roman" w:hAnsi="Times New Roman" w:cs="Times New Roman"/>
                <w:color w:val="000000" w:themeColor="text1"/>
                <w:sz w:val="28"/>
                <w:szCs w:val="28"/>
                <w:vertAlign w:val="superscript"/>
                <w:lang w:val="uk-UA"/>
              </w:rPr>
              <w:t>2</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1,5±1,0</w:t>
            </w:r>
            <w:r w:rsidRPr="00CE0A20">
              <w:rPr>
                <w:rFonts w:ascii="Times New Roman" w:hAnsi="Times New Roman" w:cs="Times New Roman"/>
                <w:color w:val="000000" w:themeColor="text1"/>
                <w:sz w:val="28"/>
                <w:szCs w:val="28"/>
                <w:vertAlign w:val="superscript"/>
                <w:lang w:val="uk-UA"/>
              </w:rPr>
              <w:t>1</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2,90±0,02</w:t>
            </w:r>
            <w:r w:rsidRPr="00CE0A20">
              <w:rPr>
                <w:rFonts w:ascii="Times New Roman" w:hAnsi="Times New Roman" w:cs="Times New Roman"/>
                <w:color w:val="000000" w:themeColor="text1"/>
                <w:sz w:val="28"/>
                <w:szCs w:val="28"/>
                <w:vertAlign w:val="superscript"/>
                <w:lang w:val="uk-UA"/>
              </w:rPr>
              <w:t>1,2</w:t>
            </w:r>
          </w:p>
        </w:tc>
      </w:tr>
      <w:tr w:rsidR="001C43D0" w:rsidRPr="00CE0A20" w:rsidTr="001C43D0">
        <w:trPr>
          <w:trHeight w:val="710"/>
        </w:trPr>
        <w:tc>
          <w:tcPr>
            <w:tcW w:w="2268" w:type="dxa"/>
          </w:tcPr>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4б група (n=6)</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53,2</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3,2</w:t>
            </w:r>
            <w:r w:rsidRPr="00CE0A20">
              <w:rPr>
                <w:rFonts w:ascii="Times New Roman" w:hAnsi="Times New Roman" w:cs="Times New Roman"/>
                <w:color w:val="000000" w:themeColor="text1"/>
                <w:sz w:val="28"/>
                <w:szCs w:val="28"/>
                <w:vertAlign w:val="superscript"/>
                <w:lang w:val="uk-UA"/>
              </w:rPr>
              <w:t>2</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2,8±1,0</w:t>
            </w:r>
            <w:r w:rsidRPr="00CE0A20">
              <w:rPr>
                <w:rFonts w:ascii="Times New Roman" w:hAnsi="Times New Roman" w:cs="Times New Roman"/>
                <w:color w:val="000000" w:themeColor="text1"/>
                <w:sz w:val="28"/>
                <w:szCs w:val="28"/>
                <w:vertAlign w:val="superscript"/>
                <w:lang w:val="uk-UA"/>
              </w:rPr>
              <w:t>1,2</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0</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3,12±0,04</w:t>
            </w:r>
            <w:r w:rsidRPr="00CE0A20">
              <w:rPr>
                <w:rFonts w:ascii="Times New Roman" w:hAnsi="Times New Roman" w:cs="Times New Roman"/>
                <w:color w:val="000000" w:themeColor="text1"/>
                <w:sz w:val="28"/>
                <w:szCs w:val="28"/>
                <w:vertAlign w:val="superscript"/>
                <w:lang w:val="uk-UA"/>
              </w:rPr>
              <w:t>1,2</w:t>
            </w:r>
          </w:p>
        </w:tc>
      </w:tr>
      <w:tr w:rsidR="001C43D0" w:rsidRPr="00CE0A20" w:rsidTr="001C43D0">
        <w:trPr>
          <w:trHeight w:val="689"/>
        </w:trPr>
        <w:tc>
          <w:tcPr>
            <w:tcW w:w="2268" w:type="dxa"/>
          </w:tcPr>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4в група (n=6)</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53,3</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5,3</w:t>
            </w:r>
            <w:r w:rsidRPr="00CE0A20">
              <w:rPr>
                <w:rFonts w:ascii="Times New Roman" w:hAnsi="Times New Roman" w:cs="Times New Roman"/>
                <w:color w:val="000000" w:themeColor="text1"/>
                <w:sz w:val="28"/>
                <w:szCs w:val="28"/>
                <w:vertAlign w:val="superscript"/>
                <w:lang w:val="uk-UA"/>
              </w:rPr>
              <w:t>2</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4,2±1,2</w:t>
            </w:r>
            <w:r w:rsidRPr="00CE0A20">
              <w:rPr>
                <w:rFonts w:ascii="Times New Roman" w:hAnsi="Times New Roman" w:cs="Times New Roman"/>
                <w:color w:val="000000" w:themeColor="text1"/>
                <w:sz w:val="28"/>
                <w:szCs w:val="28"/>
                <w:vertAlign w:val="superscript"/>
                <w:lang w:val="uk-UA"/>
              </w:rPr>
              <w:t>1,2</w:t>
            </w:r>
          </w:p>
        </w:tc>
        <w:tc>
          <w:tcPr>
            <w:tcW w:w="1807"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0,17±0,41</w:t>
            </w:r>
            <w:r w:rsidRPr="00CE0A20">
              <w:rPr>
                <w:rFonts w:ascii="Times New Roman" w:hAnsi="Times New Roman" w:cs="Times New Roman"/>
                <w:color w:val="000000" w:themeColor="text1"/>
                <w:sz w:val="28"/>
                <w:szCs w:val="28"/>
                <w:vertAlign w:val="superscript"/>
                <w:lang w:val="uk-UA"/>
              </w:rPr>
              <w:t>1,2</w:t>
            </w:r>
          </w:p>
        </w:tc>
        <w:tc>
          <w:tcPr>
            <w:tcW w:w="1808" w:type="dxa"/>
            <w:vAlign w:val="center"/>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rPr>
            </w:pPr>
            <w:r w:rsidRPr="00CE0A20">
              <w:rPr>
                <w:rFonts w:ascii="Times New Roman" w:hAnsi="Times New Roman" w:cs="Times New Roman"/>
                <w:color w:val="000000" w:themeColor="text1"/>
                <w:sz w:val="28"/>
                <w:szCs w:val="28"/>
                <w:lang w:val="uk-UA"/>
              </w:rPr>
              <w:t>3,32±0,04</w:t>
            </w:r>
            <w:r w:rsidRPr="00CE0A20">
              <w:rPr>
                <w:rFonts w:ascii="Times New Roman" w:hAnsi="Times New Roman" w:cs="Times New Roman"/>
                <w:color w:val="000000" w:themeColor="text1"/>
                <w:sz w:val="28"/>
                <w:szCs w:val="28"/>
                <w:vertAlign w:val="superscript"/>
                <w:lang w:val="uk-UA"/>
              </w:rPr>
              <w:t>2</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контрольною групою за t-критерієм.</w:t>
      </w:r>
    </w:p>
    <w:p w:rsidR="001C43D0" w:rsidRPr="00CE0A20" w:rsidRDefault="001C43D0" w:rsidP="001C43D0">
      <w:pPr>
        <w:spacing w:line="360" w:lineRule="auto"/>
        <w:ind w:left="1843" w:hanging="425"/>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2 – р &lt; 0,05 порівняно з 2 групою  за  t-критерієм.</w:t>
      </w:r>
    </w:p>
    <w:p w:rsidR="001C43D0" w:rsidRPr="00CE0A20" w:rsidRDefault="001C43D0" w:rsidP="001C43D0">
      <w:pPr>
        <w:spacing w:line="360" w:lineRule="auto"/>
        <w:ind w:left="1418"/>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КНС – кількість нормальних сперматогоній; КЗК-ЗСЕ – кількість звивистих канальців зі злущеним сперматогенним епітелієм; КЗК-12СМ – кількість звивистих канальців зі сперматоцитами з 12-ю стадією мейозу</w:t>
      </w:r>
    </w:p>
    <w:p w:rsidR="001C43D0" w:rsidRPr="00CE0A20" w:rsidRDefault="001C43D0" w:rsidP="001C43D0">
      <w:pPr>
        <w:spacing w:line="360" w:lineRule="auto"/>
        <w:ind w:left="1418"/>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 інтактних тварин (1-а група) КНС становила в середньому (52,8±3,5) (від 48,8 до 56,6 клітин), кількість канальців зі злущеним епітелієм (0,3±0,5%) % (від 0 до 1%), а з 12-ю стадією мейозу (5,0±0,6)% (від 4 до 6%). ІС – (3,34±0,02) бали (від 3,3 до 3,6 балів). В 2-й групі спостерігається практично припинення сперматогенезу зі зменшенням КНС до (2,0±0,6) (від 1,5 до 3,1), були відсутні канальці зі злущеним епітелієм та з 12-ю стадією мейозу. ІС дорівнював (0,08±0,02) бала (від 0,05 до 01 бала).</w:t>
      </w:r>
    </w:p>
    <w:p w:rsidR="001C43D0" w:rsidRPr="00CE0A20" w:rsidRDefault="001C43D0" w:rsidP="001C43D0">
      <w:pPr>
        <w:tabs>
          <w:tab w:val="left" w:pos="7020"/>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Після трансплантації КСКМ в одне яєчко, починаючи з дозі 80 000 клітин, з’являються ознаки інтратубулярної активації найбільш молодих статевих клітин з достовірним збільшенням КНС порівняно з тваринами 2</w:t>
      </w:r>
      <w:r w:rsidRPr="00CE0A20">
        <w:rPr>
          <w:rFonts w:ascii="Times New Roman" w:hAnsi="Times New Roman" w:cs="Times New Roman"/>
          <w:color w:val="000000" w:themeColor="text1"/>
          <w:sz w:val="28"/>
          <w:szCs w:val="28"/>
          <w:lang w:val="uk-UA"/>
        </w:rPr>
        <w:noBreakHyphen/>
        <w:t>ї групи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&lt; 0,05 за t-критерієм), але не досягши  рівня інтактних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&lt; 0,05 за t-критерієм). Після трансплантації КСКМ в обидва яєчка виявляється більш значна активація сперматогенезу. При цьому в 4а групі (після введення 80 000 КСКМ) кількість нормальних сперматогоній на 100 канальців вже не відрізняється від такої в інтактних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&gt; 0,05за t-критерієм), однак ІС та кількість клітин з 12-ю стадією мейозу, що характеризують потужність фази дозрівання та фази формування статевих клітин, ще значно відставали від рівня інтактних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&lt; 0,05 за t-критерієм). Те саме спостерігалося після введення 100 000 КСКМ). Після введення 200 000 КСКМ в обидва яєчка, крім цього, відмічено зростання ІС до (3,32±0,04) балів, що вже не відрізнялося від рівня інтактних тварин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 &gt; 0,05за t-критерієм), хоча кількість клітин з 12-ю стадією мейозу все ще була меншою (0,17±0,41)%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 &lt; 0,05</w:t>
      </w:r>
      <w:r w:rsidRPr="00CE0A20">
        <w:rPr>
          <w:rFonts w:ascii="Times New Roman" w:hAnsi="Times New Roman" w:cs="Times New Roman"/>
          <w:color w:val="000000" w:themeColor="text1"/>
          <w:sz w:val="28"/>
          <w:szCs w:val="28"/>
          <w:lang w:val="uk-UA"/>
        </w:rPr>
        <w:t xml:space="preserve"> за t-критерієм).</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Таким чином, інттратестикулярна імплантація КСКМ в одне яєчко незалежно від дози не достатня для відновлення нормального стану тестикулярної тканини цього яєчка. На тлі деструктивних змін лише в  обмеженій частині канальців під впливом цих доз КСКМ простежена активація ранніх етапів розвитку статевих клітин (фази розмноження та фази росту), що свідчить про появу тільки початкових проявів регенерації, а не про відновлення органом своєї сперматогенної функції. Гормональна функція яєчок за станом клітин Лейдіга не відновлюється, а функціональна активність передміхурової залози залишається зниженою.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Введення КСКМ одночасно в обидва яєчка значно більш виразно відновлює як морфоструктуру канальцевої мережі, так і сперматогенну функцію канальців у щурів з експериментальним гіпогонадизмом. Повнота репарації залежить від дози КСКМ і збільшується з підвищенням її. Так, після введення дози 80000 клітин у стрічці сперматогенного епітелію, що утворює стінку значної більшості звивистих сім'яних канальців, виявлено статеві клітини не лише ранніх, а й більш пізніх етапів розвитку, утім, фінальних форм сперматогенного епітелію (зрілих сперматозоїдів) ще не достатньо. Унаслідок цього індекс сперматогенезу залишається зниженим відносно інтактного контролю. Доза КСКМ у 100000 клітин в обидва яєчка більш виразна, ніж попередня, стимулює відновлення сперматогенної функції, але кількісні характеристики цього процесу також не досягали інтактного рівня. Морфологічний стан популяцій клітин Лейдіга при введенні як дози 80000 клітин КСКМ, так і дози 100000 клітин КСКМ не мав остаточно нормального вигляду, утім, простатичні залозки передміхурової залози поступово відновлювали нормальну морфофункціональну активність. Збільшення дози КСКМ до 200000 клітин в обидва яєчка сприяло повному відновленню тестикулярної тканини з повноцінним клоном різних стадій розвитку статевих клітин, що забезпечують завершений сперматогенез. Відновлю</w:t>
      </w:r>
      <w:r w:rsidRPr="00CE0A20">
        <w:rPr>
          <w:rFonts w:ascii="Times New Roman" w:hAnsi="Times New Roman" w:cs="Times New Roman"/>
          <w:color w:val="000000" w:themeColor="text1"/>
          <w:sz w:val="28"/>
          <w:szCs w:val="28"/>
          <w:lang w:val="uk-UA"/>
        </w:rPr>
        <w:softHyphen/>
        <w:t xml:space="preserve">валася також ендокринна складова гонад (поява морфологічно нормальних клітин Лейдіга), а також морфофункціональний стан передміхурової залози.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4.3. Динаміка показників загальнотоксичної дії CdCl</w:t>
      </w:r>
      <w:r w:rsidRPr="00CE0A20">
        <w:rPr>
          <w:rFonts w:ascii="Times New Roman" w:hAnsi="Times New Roman" w:cs="Times New Roman"/>
          <w:b/>
          <w:color w:val="000000" w:themeColor="text1"/>
          <w:sz w:val="28"/>
          <w:szCs w:val="28"/>
          <w:vertAlign w:val="subscript"/>
          <w:lang w:val="uk-UA"/>
        </w:rPr>
        <w:t>2</w:t>
      </w:r>
    </w:p>
    <w:p w:rsidR="00C01D33" w:rsidRPr="00CE0A20" w:rsidRDefault="00C01D33"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Зважаючи на наявність загальнотоксичного ефекту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150 мкг/100 г маси тіла тварини) на організм експериментальних тварин, додатково була вивчена динаміка вмісту АЛТ та АСТ, а також активність каталази та СОД на 28-у добу після введення КСКМ.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Порівняльний аналіз цих показників виявив такі закономірності.</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Після введення КСКМ в одне яєчко жоден з показників  суттєво не змінився незалежно від кількості введених клітин: концентрація АЛТ на 28-у добу після введення 80 тис. клітин (3а група) складала  (0,88±0,07) Од/л, після введення 100 тис. клітин (3б група) – (0,87±0,07) Од/л, після введення 200 тис. клітин (3в група) – (0,80±0,05) Од/л. Цей рівень був достовірно вищим, ніж у здорових тварин (0,38±0,07) Од/л (р &lt; 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 усіх порівняннях), та практично не відрізнявся від показника тварин з експериментальним АД без лікування (2-а група) – (0,89±0,09) Од/л (р &gt;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 усіх порівняннях) (рис. 4.35).</w:t>
      </w:r>
    </w:p>
    <w:p w:rsidR="001C43D0" w:rsidRPr="00CE0A20" w:rsidRDefault="001C43D0" w:rsidP="001C43D0">
      <w:pPr>
        <w:spacing w:line="360" w:lineRule="auto"/>
        <w:jc w:val="both"/>
        <w:rPr>
          <w:rFonts w:ascii="Times New Roman" w:hAnsi="Times New Roman" w:cs="Times New Roman"/>
          <w:color w:val="000000" w:themeColor="text1"/>
          <w:sz w:val="28"/>
          <w:szCs w:val="28"/>
          <w:lang w:val="en-US"/>
        </w:rPr>
      </w:pPr>
      <w:r w:rsidRPr="00CE0A20">
        <w:rPr>
          <w:rFonts w:ascii="Times New Roman" w:hAnsi="Times New Roman" w:cs="Times New Roman"/>
          <w:noProof/>
          <w:color w:val="000000" w:themeColor="text1"/>
          <w:sz w:val="28"/>
          <w:szCs w:val="28"/>
        </w:rPr>
        <w:drawing>
          <wp:inline distT="0" distB="0" distL="0" distR="0" wp14:anchorId="15625377" wp14:editId="7828C26F">
            <wp:extent cx="5923280" cy="3644265"/>
            <wp:effectExtent l="0" t="0" r="1270" b="0"/>
            <wp:docPr id="123" name="Рисунок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09"/>
                    <pic:cNvPicPr>
                      <a:picLocks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923280" cy="3644265"/>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4.35. Вміст АЛТ та АСТ у сироватці крові експериментальних тварин 1, 2 та 3а-в груп (в Од/л)</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b/>
          <w:bCs/>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Порівняння вмісту АСТ виявило майже аналогічні закономірності: у 3а групі середній вміст АСТ дорівнював (0,96±0,06) Од/л, у 3б групі – (0,96±0,06) Од/л, у 3в групі – (0,93±0,07) Од/л. Цей результат був достовірно вищим, ніж у здорових тварин – (0,67±0,07) Од/л (р = 0,003 порівняно з 3а та 3б групами, та р=0,012 порівняно з 3 в групами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Різниця з 2-ою групою також не знайдено – (0,99±0,09) Од/л (р </w:t>
      </w:r>
      <w:r w:rsidRPr="00CE0A20">
        <w:rPr>
          <w:rFonts w:ascii="Times New Roman" w:hAnsi="Times New Roman" w:cs="Times New Roman"/>
          <w:color w:val="000000" w:themeColor="text1"/>
          <w:sz w:val="28"/>
          <w:szCs w:val="28"/>
        </w:rPr>
        <w:t>&gt;</w:t>
      </w:r>
      <w:r w:rsidRPr="00CE0A20">
        <w:rPr>
          <w:rFonts w:ascii="Times New Roman" w:hAnsi="Times New Roman" w:cs="Times New Roman"/>
          <w:color w:val="000000" w:themeColor="text1"/>
          <w:sz w:val="28"/>
          <w:szCs w:val="28"/>
          <w:lang w:val="uk-UA"/>
        </w:rPr>
        <w:t xml:space="preserve"> 0,0</w:t>
      </w:r>
      <w:r w:rsidRPr="00CE0A20">
        <w:rPr>
          <w:rFonts w:ascii="Times New Roman" w:hAnsi="Times New Roman" w:cs="Times New Roman"/>
          <w:color w:val="000000" w:themeColor="text1"/>
          <w:sz w:val="28"/>
          <w:szCs w:val="28"/>
        </w:rPr>
        <w:t>5</w:t>
      </w:r>
      <w:r w:rsidRPr="00CE0A20">
        <w:rPr>
          <w:rFonts w:ascii="Times New Roman" w:hAnsi="Times New Roman" w:cs="Times New Roman"/>
          <w:color w:val="000000" w:themeColor="text1"/>
          <w:sz w:val="28"/>
          <w:szCs w:val="28"/>
          <w:lang w:val="uk-UA"/>
        </w:rPr>
        <w:t xml:space="preserve">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 усіх порівняннях) (рис. 4.35).</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Активність каталази в сироватці крові тварин, яким вводили КСКМ в одне яєчко на 28-у добу після введення становила в середньому (875,3±61,2) у.о./мл, (859,0±55,4) у.о./мл та (849,7±49,5) у.о./мл відповідно в 3а, 3б та 3в групах, що значно перевищувало аналогічний показник здорових тварин (1-а група) – (465,5±67,3) у.о./мл  (р &lt; 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 усіх порівняннях) та не відрізнялась від тварин з ЕАД (2-а група) – (888,5±68,7) у.о./мл  (р &gt;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 усіх порівняннях) (рис. 4.36). </w:t>
      </w:r>
    </w:p>
    <w:p w:rsidR="00C01D33" w:rsidRPr="00CE0A20" w:rsidRDefault="00C01D33"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EB82418" wp14:editId="094D8BA8">
            <wp:extent cx="5923280" cy="4162425"/>
            <wp:effectExtent l="0" t="0" r="1270" b="9525"/>
            <wp:docPr id="150" name="Рисунок 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6"/>
                    <pic:cNvPicPr>
                      <a:picLocks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923280" cy="4162425"/>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4.36. Активність каталази та СОД у сироватці крові експериментальних тварин 1, 2 та 3а-в груп (в у.о./мл)</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Активність СОД в 3а, 3б та 3в групах дорівнювала відповідно (561,9±54,7) у.о./мл, (545,4±53,6) у.о./мл та (494,3±52,3) у.о./мл. Це також було значно вищим, ніж у тварин контрольної групи – (268,3±63,8) у.о./мл (р=0,001, р=0,002 та р=0,009 відповідно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та також не відрізнялося від аналогічного показника в групі тварин з ЕАД – (605,8±59,3) у.о./мл (р &gt; 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 усіх порівняннях) (рис. 4.36).</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Більш відчутну  динаміку виявлено при аналізі аналогічних показників у тварин після введення КСКМ в обидва яєчка по 80 тис. клітин (4а група), 100 тис. клітин (4б група) та 200 тис. клітин (4в група). Вміст АЛТ у цих групах на 28-у добу після введення КСКМ становив – (0,87±0,06) Од/л, (0,69±0,07) Од/л та (0,46±0,06) Од/л відповідно (рис. 4.37).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7EF364D3" wp14:editId="5A6FE6B7">
            <wp:extent cx="5950585" cy="3930650"/>
            <wp:effectExtent l="0" t="0" r="0" b="0"/>
            <wp:docPr id="151" name="Рисунок 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2"/>
                    <pic:cNvPicPr>
                      <a:picLocks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950585" cy="3930650"/>
                    </a:xfrm>
                    <a:prstGeom prst="rect">
                      <a:avLst/>
                    </a:prstGeom>
                    <a:noFill/>
                    <a:ln>
                      <a:noFill/>
                    </a:ln>
                  </pic:spPr>
                </pic:pic>
              </a:graphicData>
            </a:graphic>
          </wp:inline>
        </w:drawing>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4.37. Вміст АЛТ та АСТ у сироватці крові експериментальних тварин 1, 2 та 4а-в груп (в Од/л)</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Ці результати були більшими, ніж в 1 групі (здорові тварини) – (0,38±0,07) Од/л, але якщо в 4а та 4б групах це збільшення було статистично достовірним (р&lt;0,001 та р=0,003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відповідно), то в 4в групі достовірної різниці не виявлено (р=0,391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відповідно). У зіставленні з тваринами 2-ї групи (0,89±0,09) Од/л в 4а та 4б групах різниця статистично не достовірна (р</w:t>
      </w:r>
      <w:r w:rsidRPr="00CE0A20">
        <w:rPr>
          <w:rFonts w:ascii="Times New Roman" w:hAnsi="Times New Roman" w:cs="Times New Roman"/>
          <w:color w:val="000000" w:themeColor="text1"/>
          <w:sz w:val="28"/>
          <w:szCs w:val="28"/>
        </w:rPr>
        <w:t>&gt;</w:t>
      </w:r>
      <w:r w:rsidRPr="00CE0A20">
        <w:rPr>
          <w:rFonts w:ascii="Times New Roman" w:hAnsi="Times New Roman" w:cs="Times New Roman"/>
          <w:color w:val="000000" w:themeColor="text1"/>
          <w:sz w:val="28"/>
          <w:szCs w:val="28"/>
          <w:lang w:val="uk-UA"/>
        </w:rPr>
        <w:t xml:space="preserve">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з 4в групою цей показник був достовірно меншим (р &lt; 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(рис. 4.37). Вміст АСТ у сироватці крові експериментальних тварин 4а, 4б та 4 в груп станвоив (0,99±0,16) Од/л (р=0,075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1-ою групою), (0,90±0,10) Од/л (р=0,067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1-ою групою) та  (0,79±0,11) Од/л (р=0,363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порівняно з 1-ою групою) відповідно. Суттєвих відмінностей з 2-ою групою не виявлено  (р</w:t>
      </w:r>
      <w:r w:rsidRPr="00CE0A20">
        <w:rPr>
          <w:rFonts w:ascii="Times New Roman" w:hAnsi="Times New Roman" w:cs="Times New Roman"/>
          <w:color w:val="000000" w:themeColor="text1"/>
          <w:sz w:val="28"/>
          <w:szCs w:val="28"/>
        </w:rPr>
        <w:t>&gt;</w:t>
      </w:r>
      <w:r w:rsidRPr="00CE0A20">
        <w:rPr>
          <w:rFonts w:ascii="Times New Roman" w:hAnsi="Times New Roman" w:cs="Times New Roman"/>
          <w:color w:val="000000" w:themeColor="text1"/>
          <w:sz w:val="28"/>
          <w:szCs w:val="28"/>
          <w:lang w:val="uk-UA"/>
        </w:rPr>
        <w:t xml:space="preserve">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для всіх груп) (4.37).</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Активність каталази та СОД в 4а-в групах була  більшою, ніж у здорових тварин: каталази – (941,2±66,0) у.о./мл (р &lt; 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1-ою групою), (676,9±48,3)  у.о./мл (р=0,015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1-ою групою) та (569,5±52,5) у.о./мл  (р=0,0,231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1-ою групою) (рис. 4.38).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Причому порівняно з 2-ою групою у тварин 4б та 4в груп цей показник був достовірно меншим (р=0,016 та р&lt;0,001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відповідно). Активність в 4а групі становила ( 472,3±59,6) у.о./мл (р=0,025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1-ою групою), у 4б групі – (380,2±68,8) у.о./мл (р=0,240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1-ою групою), у 4-ій в групі – (351,1±73,0) у.о./мл (р=0,398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1-ою групою). У 4б та 4в  групах цей показник був достовірно меншим, ніж у 2-ій групі (р=0,018 та р=0,010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відповідно) (рис. 4.38).</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11F2E242" wp14:editId="2DDEC768">
            <wp:extent cx="5575343" cy="3562350"/>
            <wp:effectExtent l="0" t="0" r="6350" b="0"/>
            <wp:docPr id="152" name="Рисунок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3"/>
                    <pic:cNvPicPr>
                      <a:picLocks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578874" cy="3564606"/>
                    </a:xfrm>
                    <a:prstGeom prst="rect">
                      <a:avLst/>
                    </a:prstGeom>
                    <a:noFill/>
                    <a:ln>
                      <a:noFill/>
                    </a:ln>
                  </pic:spPr>
                </pic:pic>
              </a:graphicData>
            </a:graphic>
          </wp:inline>
        </w:drawing>
      </w:r>
    </w:p>
    <w:p w:rsidR="00C01D33" w:rsidRPr="00CE0A20" w:rsidRDefault="00C01D33"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4.38. Активність каталази та СОД у сироватці крові експериментальних тварин 1, 2 та 4а-в груп (в у.о./мл)</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введення КСКМ в одне яєчко не спричиняє нормалізації показників загальнотоксичної дії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 спостерігається лише тенденція до зменшення вмісту АЛТ та АСТ  і до зменшення активності каталази та СОД, яка стає більш виразною зі збільшенням кількості введених КСКМ.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Після введення КСКМ в обидва яєчка простежується більш значне зниження показників загальнотоксичної дії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починаючи з дози 100 тис. клітин в кожне яєчко та особливо після введення 200 тис. клітин статистично значущої різниці всіх показників з контрольною групою здорових тварин вже немає, та, навпаки, виявляють статистично значуще зменшення рівня цих показників порівняно з тваринами з ЕАД.</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Ці результати підтверджують вищевикладений висновок про оптимальну дозу КСКМ для лікування ЕАД – 200 тис. клітин у кожне яєчко.</w:t>
      </w:r>
    </w:p>
    <w:p w:rsidR="00C01D33" w:rsidRPr="00CE0A20" w:rsidRDefault="00C01D33" w:rsidP="001C43D0">
      <w:pPr>
        <w:spacing w:line="360" w:lineRule="auto"/>
        <w:ind w:firstLine="709"/>
        <w:jc w:val="both"/>
        <w:rPr>
          <w:rFonts w:ascii="Times New Roman" w:hAnsi="Times New Roman" w:cs="Times New Roman"/>
          <w:b/>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4.4. Вплив інтратестикулярного введення КСКМ на копулятивну поведінку експериментальних тварин</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Як було зазначено вище (див. розд. 3.),  на тлі  андрогенного дефіциту внаслідок гонадотоксичної дії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в експериментальних тварин спостерігалися зміни копулятивної поведінки порівняно з групою інтактних тварин. Інтратестикулярне введення КСКМ призвело до певних змін показників копулятивної поведінки залежно від дози КСКМ та методу їх введення.</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Визначено, що КС до першої еякуляції, після однобічного введення КСКМ, практично не змінилось, становлячи (8,8±1,0) (95% ДІ 8,4 – 9,3), (9,0±1,0) (95% ДІ 8,6–9,5) та (9,1±1,) (95% ДІ 8,7–9,6) після введення 80 тис., 100 тис. та 200 тис. КСКМ відповідно, що не мало достовірних розбіжностей з ІІ групою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&gt;0,05 за критерієм Манна-Уїтні в усіх порівняннях) – (8,8±1,0) та було достовірно більше ніж І групі – (2,6±0,7)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&lt;0,001 за критерієм Манна-Уїтні в усіх порівняннях) (рис. 4.43).</w:t>
      </w: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5694BAEB" wp14:editId="22D3B6EB">
            <wp:extent cx="4797009" cy="3886200"/>
            <wp:effectExtent l="0" t="0" r="381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807078" cy="3894357"/>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4.43. Величина КС до першої еякуляції при однобічному введенні  КСКМ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Не виявлено суттєвих змін й при аналізі кількості садок, що закінчились інтромісією (КІ): (13,2±2,6) (95% ДІ 12,0–14,4) в 3а групі, (13,0±2,8) (95% ДІ 11,7–14,3) у 3 б групі та (13,0±1,0) (95% ДІ 11,7–14,3) в 3в групі. Це також було достовірно більше, ніж у контрольній групі – (8,7±0,4)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&lt;0,001 за критерієм Манна-Уїтні в усіх порівняннях), але не відрізнялось від середнього значення в групі порівняння – (13,3±2,7) (95% ДІ 12,1–14,6)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&gt;0,05 за критерієм Манна-Уїтні в усіх порівняннях) (рис. 4.44).</w:t>
      </w: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2F1D1E47" wp14:editId="0B1F5985">
            <wp:extent cx="4926514" cy="3966720"/>
            <wp:effectExtent l="0" t="0" r="762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926765" cy="3966922"/>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4.44. Величина КІ при однобічному введенні  КСКМ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Тривалість ЛПЕ в 3а групі становила (555,0±87,7) сек. (95% ДІ 513,3 сек – 596,1 сек)., у 3б групі – (549,6±81,4) сек. (95% ДІ 511,5 сек. – 587,7 сек.), у 3в групі – (545,2±74,8) сек. (95% ДІ 510,2 сек. – 580,2 сек.). Ці значення практично не відрізнялись від аналогічного показника в групі порівняння – (545,9±87,5) сек.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&gt;0,05 за критерієм Манна-Уїтні в усіх порівняннях), та були трохи більшими, ніж у І групі (р=0,049, р=0,060 та р=0,127 за критерієм Манна-Уїтні порівняно з 3а, 3б та 3 в групами відповідно) (рис. 4.45).</w:t>
      </w: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CBA00FB" wp14:editId="16C489D5">
            <wp:extent cx="5052977" cy="3981450"/>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046830" cy="3976606"/>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4.45. Величина ЛПЕ при однобічному введенні  КСКМ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Копулятивна ефективність (КЕ) в 3а групі становила (59,4±5,8) (95% ДІ 56,7 – 62,1), у 3б групі – (58,4±5,1) (95% ДІ 56,1 – 60,9), у 3в групі – (58,2±5,4) (95% ДІ 55,6 – 60,7), що майже не відрізнялось від групи порів</w:t>
      </w:r>
      <w:r w:rsidRPr="00CE0A20">
        <w:rPr>
          <w:rFonts w:ascii="Times New Roman" w:hAnsi="Times New Roman" w:cs="Times New Roman"/>
          <w:color w:val="000000" w:themeColor="text1"/>
          <w:sz w:val="28"/>
          <w:szCs w:val="28"/>
          <w:lang w:val="uk-UA"/>
        </w:rPr>
        <w:softHyphen/>
        <w:t>няння – (59,9±6,7) (95% ДІ 56,7 – 63,1)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&gt;0,05 за критерієм Манна-Уїтні в усіх порівняннях) та було менше, ніж у контрольній групі – (77,0±5,0) (95% ДІ 74,7–79,4)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&lt;0,001 за критерієм Манна-Уїтні в усіх порівняннях) (рис. 4.46).</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Величина МКІ в 3а групі дорівнювала (43,5±10,4) сек. (95% ДІ 38,7 сек. – 48,4 сек.), у 3б групі – (45,1±15,1) сек. (95% ДІ 38,0 сек. – 52,2 сек.), у 3в групі – (43,5±9,4) сек. (95% ДІ 39,0 сек. – 47,9 сек.), що не відрізнялось від аналогічного показника в групі порівняння – (42,6±11,5) сек. (95% 37,2 сек. – 48,1 сек.)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&gt;0,05 за </w:t>
      </w:r>
      <w:r w:rsidRPr="00CE0A20">
        <w:rPr>
          <w:rFonts w:ascii="Times New Roman" w:hAnsi="Times New Roman" w:cs="Times New Roman"/>
          <w:color w:val="000000" w:themeColor="text1"/>
          <w:sz w:val="28"/>
          <w:szCs w:val="28"/>
          <w:lang w:val="uk-UA"/>
        </w:rPr>
        <w:t>критерієм Мана-Уітні в усіх порівняннях) та було менше ніж в контрольній групі – (53,6±15,2) сек. (95% ДІ 46,5 сек. – 60,7 сек.) (р=0,030, р=0,108 та р=0,028 за критерієм Манна-Уїтні порівняно з 3а, 3б та 3в групами відповідно) (рис. 4.47).</w:t>
      </w: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0CE87265" wp14:editId="4C794124">
            <wp:extent cx="4957243" cy="3981450"/>
            <wp:effectExtent l="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959476" cy="3983243"/>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4.46. Величина КЕ при однобічному введенні  КСКМ</w:t>
      </w:r>
    </w:p>
    <w:p w:rsidR="001C43D0" w:rsidRPr="00CE0A20" w:rsidRDefault="001C43D0" w:rsidP="001C43D0">
      <w:pPr>
        <w:rPr>
          <w:rFonts w:ascii="Times New Roman" w:hAnsi="Times New Roman" w:cs="Times New Roman"/>
          <w:color w:val="000000" w:themeColor="text1"/>
          <w:sz w:val="28"/>
          <w:szCs w:val="28"/>
          <w:lang w:val="uk-UA"/>
        </w:rPr>
      </w:pP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62C4E19C" wp14:editId="36100E37">
            <wp:extent cx="5019879" cy="3959447"/>
            <wp:effectExtent l="0" t="0" r="0" b="317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027809" cy="3965702"/>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4.47. Величина МКІ при однобічному введенні  КСМ</w:t>
      </w:r>
    </w:p>
    <w:p w:rsidR="001C43D0" w:rsidRPr="00CE0A20" w:rsidRDefault="001C43D0" w:rsidP="00C01D33">
      <w:pPr>
        <w:spacing w:line="460" w:lineRule="exact"/>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Таким чином, однобічне введення КСКМ незалежно від дози введених клітин практично не впливали на показники копулятивної поведінки експериментальних тварин. </w:t>
      </w:r>
    </w:p>
    <w:p w:rsidR="001C43D0" w:rsidRPr="00CE0A20" w:rsidRDefault="001C43D0" w:rsidP="00C01D33">
      <w:pPr>
        <w:spacing w:line="460" w:lineRule="exact"/>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Більший вплив на копулятивну поведінку щурів мало двобічне введення КСКМ (рис. 4.48–4.52). Встановлено, що після введення по 80 тис. КСКМ в обидва яєчка (4а група) КС до першої еякуляції становила (8,6±0,9) (95% ДІ 8,2–9,0)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&gt;0,05 за критерієм Манна-Уїтні порівняно з 2-ою групою та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&lt;0,001 за критерієм Манна-Уїтні порівняно з  1-ою групою), КІ – (11,5±2,0) (5% ДІ 10,6–12,4)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=0,030 за критерієм Манна-Уїтні порівняно з 2-ою групою та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&lt;0,001 за критерієм Манна-Уїтні порівняно з  1-ою групою), ЛПЕ – (498,7±78,0) сек. (95% ДІ 462,3 сек. – 535,2 сек.)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&gt;0,05 за критерієм Манна-Уїтні порівняно з 2-ою групою та 1-ою групою), КЕ – (56,9±5,8)% (95% ДІ 54,2% – 59,6%)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=0,165 порівняно з 2-ою групою та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&lt;0,001 у порів</w:t>
      </w:r>
      <w:r w:rsidRPr="00CE0A20">
        <w:rPr>
          <w:rFonts w:ascii="Times New Roman" w:hAnsi="Times New Roman" w:cs="Times New Roman"/>
          <w:color w:val="000000" w:themeColor="text1"/>
          <w:sz w:val="28"/>
          <w:szCs w:val="28"/>
          <w:lang w:val="uk-UA"/>
        </w:rPr>
        <w:softHyphen/>
        <w:t>нянні з  1-ою групою за критерієм Манна-Уїтні); МКІ – (44,5±9,9) сек. (95% ДІ 39,9 сек. – 39,1 сек.)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&gt;0,05 порівняно з 2-ою групою та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=0,049 порівняно з  1-ою групою за критерієм Манна-Уїтні). Тобто вже після введення 80 тис. КСКМ в обидва яєчка окремі показники наблизились до показників контрольної групи.</w:t>
      </w:r>
    </w:p>
    <w:p w:rsidR="001C43D0" w:rsidRPr="00CE0A20" w:rsidRDefault="001C43D0" w:rsidP="00C01D33">
      <w:pPr>
        <w:spacing w:line="460" w:lineRule="exact"/>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4б групі (після введення по 100 тис. КСКМ в обидва яєчка) КС становила (6,2±1,3) (95% ДІ 5,7 – 6,8)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&lt;0,001 порівняно з  1-ою та з 2-ою групами за критерієм Манна-Уїтні); КІ – (9,4±1,3) (95% ДІ 8,8–10,0)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&gt;0,05 порівняно з 1-ою та з 2-ою групами за критерієм Манна-Уїтні), ЛПЕ – (412,5±70,0) сек. (95% ДІ 379,7 сек. – 445,3 сек.)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&gt;0,05 порівняно з 1-ою та з 2-ою групами за критерієм Манна-Уїтні); КЕ – (60,1±6,1)% (95% ДІ 57,3% – 63,0%)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&lt;0,001 порівняно з  1-ою групою та р&gt;0,05 порівняно з 2-ою групою за критерієм Манна-Уїтні); МКІ – (44,5±8,5) сек. (95% ДІ 40,5 сек. – 48,4 сек.)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=0,049 порівняно з  1-ою групою та р&gt;0,05 порівняно з 2-ою групою за критерієм Манна-Уїтні) (рис. 4.48–4.52). Це свідчить, що після введення цієї дози КСКМ більшість показників копулятивної поведінки поліпшилися порівняно з тваринами з моделлю андрогенного дефіциту та наблизились до аналогічних показників у контрольній групі інтактних щурів.</w:t>
      </w: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20FE2714" wp14:editId="512DEE99">
            <wp:extent cx="4790440" cy="3834765"/>
            <wp:effectExtent l="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4790440" cy="3834765"/>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4.48. Величина КС при двобічному введенні  КСКМ</w:t>
      </w:r>
    </w:p>
    <w:p w:rsidR="00C01D33" w:rsidRPr="00CE0A20" w:rsidRDefault="00C01D33" w:rsidP="001C43D0">
      <w:pPr>
        <w:spacing w:line="360" w:lineRule="auto"/>
        <w:ind w:firstLine="851"/>
        <w:jc w:val="both"/>
        <w:rPr>
          <w:rFonts w:ascii="Times New Roman" w:hAnsi="Times New Roman" w:cs="Times New Roman"/>
          <w:color w:val="000000" w:themeColor="text1"/>
          <w:sz w:val="28"/>
          <w:szCs w:val="28"/>
          <w:lang w:val="uk-UA"/>
        </w:rPr>
      </w:pP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6A275698" wp14:editId="0231FE75">
            <wp:extent cx="4912995" cy="3889375"/>
            <wp:effectExtent l="0" t="0" r="1905"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912995" cy="3889375"/>
                    </a:xfrm>
                    <a:prstGeom prst="rect">
                      <a:avLst/>
                    </a:prstGeom>
                    <a:noFill/>
                    <a:ln>
                      <a:noFill/>
                    </a:ln>
                  </pic:spPr>
                </pic:pic>
              </a:graphicData>
            </a:graphic>
          </wp:inline>
        </w:drawing>
      </w:r>
    </w:p>
    <w:p w:rsidR="00C01D33" w:rsidRPr="00CE0A20" w:rsidRDefault="00C01D33" w:rsidP="001C43D0">
      <w:pPr>
        <w:spacing w:line="360" w:lineRule="auto"/>
        <w:ind w:firstLine="851"/>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4.49. Величина КІ при двобічному введенні  КСКМ</w:t>
      </w:r>
    </w:p>
    <w:p w:rsidR="001C43D0" w:rsidRPr="00CE0A20" w:rsidRDefault="001C43D0" w:rsidP="001C43D0">
      <w:pPr>
        <w:rPr>
          <w:rFonts w:ascii="Times New Roman" w:hAnsi="Times New Roman" w:cs="Times New Roman"/>
          <w:color w:val="000000" w:themeColor="text1"/>
          <w:sz w:val="28"/>
          <w:szCs w:val="28"/>
          <w:lang w:val="uk-UA"/>
        </w:rPr>
      </w:pP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52FB7DEF" wp14:editId="151B12D8">
            <wp:extent cx="4981575" cy="3930650"/>
            <wp:effectExtent l="0" t="0" r="9525"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4981575" cy="3930650"/>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4.50. Величина ЛПЕ при двобічному введенні  КСКМ</w:t>
      </w:r>
    </w:p>
    <w:p w:rsidR="001C43D0" w:rsidRPr="00CE0A20" w:rsidRDefault="001C43D0" w:rsidP="001C43D0">
      <w:pPr>
        <w:rPr>
          <w:rFonts w:ascii="Times New Roman" w:hAnsi="Times New Roman" w:cs="Times New Roman"/>
          <w:color w:val="000000" w:themeColor="text1"/>
          <w:sz w:val="28"/>
          <w:szCs w:val="28"/>
          <w:lang w:val="uk-UA"/>
        </w:rPr>
      </w:pP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AAEAADB" wp14:editId="29DD6ADA">
            <wp:extent cx="5104130" cy="4025900"/>
            <wp:effectExtent l="0" t="0" r="127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104130" cy="4025900"/>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4.51. Величина КЕ при двобічному введенні  КСКМ</w:t>
      </w:r>
    </w:p>
    <w:p w:rsidR="001C43D0" w:rsidRPr="00CE0A20" w:rsidRDefault="001C43D0" w:rsidP="001C43D0">
      <w:pPr>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2E58F820" wp14:editId="2633AFAE">
            <wp:extent cx="5279597" cy="4231384"/>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276616" cy="4228995"/>
                    </a:xfrm>
                    <a:prstGeom prst="rect">
                      <a:avLst/>
                    </a:prstGeom>
                    <a:noFill/>
                    <a:ln>
                      <a:noFill/>
                    </a:ln>
                  </pic:spPr>
                </pic:pic>
              </a:graphicData>
            </a:graphic>
          </wp:inline>
        </w:drawing>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4.52. Величина МКІ при двобічному введенні  КСКМ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4в групі (після введення по 200 тис. КСКМ в обидва яєчка) КС досягла (2,6±0,9) (95% ДІ 2,1–3,0); КІ – (8,8±0,9) (95% ДІ 8,5–9,1); ЛПЕ – (424,0±99,6) сек. (95% ДІ 377,4 сек. – 470,6 сек.); КЕ – (78,1±6,5)% (95% ДІ 75,0% – 81,1%);. МКІ – (48,5±12,1) сек (95% ДІ 42,9 сек. – 54,2 сек.) (р</w:t>
      </w:r>
      <w:r w:rsidRPr="00CE0A20">
        <w:rPr>
          <w:rFonts w:ascii="Times New Roman" w:hAnsi="Times New Roman" w:cs="Times New Roman"/>
          <w:color w:val="000000" w:themeColor="text1"/>
          <w:sz w:val="28"/>
          <w:szCs w:val="28"/>
        </w:rPr>
        <w:t>&gt;0,05</w:t>
      </w:r>
      <w:r w:rsidRPr="00CE0A20">
        <w:rPr>
          <w:rFonts w:ascii="Times New Roman" w:hAnsi="Times New Roman" w:cs="Times New Roman"/>
          <w:color w:val="000000" w:themeColor="text1"/>
          <w:sz w:val="28"/>
          <w:szCs w:val="28"/>
          <w:lang w:val="uk-UA"/>
        </w:rPr>
        <w:t xml:space="preserve"> порівняно з  1-ою групою за всіма показниками за критерієм Манна-Уїтні;  р</w:t>
      </w:r>
      <w:r w:rsidRPr="00CE0A20">
        <w:rPr>
          <w:rFonts w:ascii="Times New Roman" w:hAnsi="Times New Roman" w:cs="Times New Roman"/>
          <w:color w:val="000000" w:themeColor="text1"/>
          <w:sz w:val="28"/>
          <w:szCs w:val="28"/>
        </w:rPr>
        <w:t xml:space="preserve">&lt;0,001 </w:t>
      </w:r>
      <w:r w:rsidRPr="00CE0A20">
        <w:rPr>
          <w:rFonts w:ascii="Times New Roman" w:hAnsi="Times New Roman" w:cs="Times New Roman"/>
          <w:color w:val="000000" w:themeColor="text1"/>
          <w:sz w:val="28"/>
          <w:szCs w:val="28"/>
          <w:lang w:val="uk-UA"/>
        </w:rPr>
        <w:t>для КС, КІ та КЕ, р=0,001 для ЛПЕ та р=0,076 для МКІ за критерієм Манна-Уїтні). Тобто після введення по 200 тис. КСКМ в обидва яєчка всі показники практично не відрізнялися від показників інтактних тварин та практично всі достовірно покращилися порівняно з 2-ою групою (рис. 4.48–4.52).</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результати вивчення копулятивної поведінки експери</w:t>
      </w:r>
      <w:r w:rsidRPr="00CE0A20">
        <w:rPr>
          <w:rFonts w:ascii="Times New Roman" w:hAnsi="Times New Roman" w:cs="Times New Roman"/>
          <w:color w:val="000000" w:themeColor="text1"/>
          <w:sz w:val="28"/>
          <w:szCs w:val="28"/>
          <w:lang w:val="uk-UA"/>
        </w:rPr>
        <w:softHyphen/>
        <w:t xml:space="preserve">ментальних тварин підтверджують висновок про найбільшу ефективність інтратестикулярного введення 200 тис. КСКМ в обидва яєчка. </w:t>
      </w:r>
    </w:p>
    <w:p w:rsidR="001C43D0" w:rsidRPr="00CE0A20" w:rsidRDefault="001C43D0" w:rsidP="001C43D0">
      <w:pPr>
        <w:keepNext/>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4.5. Трекінг КСКМ після їх інтратестикулярної  імплантації</w:t>
      </w:r>
    </w:p>
    <w:p w:rsidR="00C01D33" w:rsidRPr="00CE0A20" w:rsidRDefault="00C01D33"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Позитивний ефект інтратестикулярного введення КСКМ на гормональний фон та копулятивну поведінку тварин з ЕАД має безперечні перспективи подальшого клінічного застосування. Але виникає питання про механізм цього відновлювального ефекту, зокрема, про розподіл стромальних клітин після їх введення у  тестикули.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При застосуванні будь-якого типу стовбурових клітин для регенерації тканин успіх терапії залежить не тільки від проліферативного та диференціаційного потенціалу клітин, але й від їх здатності до міграції в органи або тканини, які цього потребують. Тому важливим є з’ясування питання, чи досягають КСКМ місця призначення після введення, як довго вони зберігають життєздатність та проліферують вони чи ні.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Ураховуючи відсутність досвіду інтратестикулярної трансплантації КСКМ з </w:t>
      </w:r>
      <w:r w:rsidRPr="00CE0A20">
        <w:rPr>
          <w:rFonts w:ascii="Times New Roman" w:hAnsi="Times New Roman" w:cs="Times New Roman"/>
          <w:color w:val="000000" w:themeColor="text1"/>
          <w:sz w:val="28"/>
          <w:szCs w:val="28"/>
          <w:lang w:val="en-US"/>
        </w:rPr>
        <w:t>GFP</w:t>
      </w:r>
      <w:r w:rsidRPr="00CE0A20">
        <w:rPr>
          <w:rFonts w:ascii="Times New Roman" w:hAnsi="Times New Roman" w:cs="Times New Roman"/>
          <w:color w:val="000000" w:themeColor="text1"/>
          <w:sz w:val="28"/>
          <w:szCs w:val="28"/>
          <w:lang w:val="uk-UA"/>
        </w:rPr>
        <w:t xml:space="preserve">, перш за все, на інтактних тваринах був проведений експеримент </w:t>
      </w:r>
      <w:r w:rsidRPr="00CE0A20">
        <w:rPr>
          <w:rFonts w:ascii="Times New Roman" w:hAnsi="Times New Roman" w:cs="Times New Roman"/>
          <w:color w:val="000000" w:themeColor="text1"/>
          <w:sz w:val="28"/>
          <w:szCs w:val="28"/>
          <w:lang w:val="en-US"/>
        </w:rPr>
        <w:t>ex</w:t>
      </w:r>
      <w:r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en-US"/>
        </w:rPr>
        <w:t>vivo</w:t>
      </w:r>
      <w:r w:rsidRPr="00CE0A20">
        <w:rPr>
          <w:rFonts w:ascii="Times New Roman" w:hAnsi="Times New Roman" w:cs="Times New Roman"/>
          <w:color w:val="000000" w:themeColor="text1"/>
          <w:sz w:val="28"/>
          <w:szCs w:val="28"/>
          <w:lang w:val="uk-UA"/>
        </w:rPr>
        <w:t xml:space="preserve">. Методику виконували на видаленому яєчку тварини, а потім на тваринах з ЕАД </w:t>
      </w:r>
      <w:r w:rsidRPr="00CE0A20">
        <w:rPr>
          <w:rFonts w:ascii="Times New Roman" w:hAnsi="Times New Roman" w:cs="Times New Roman"/>
          <w:color w:val="000000" w:themeColor="text1"/>
          <w:sz w:val="28"/>
          <w:szCs w:val="28"/>
          <w:lang w:val="en-US"/>
        </w:rPr>
        <w:t>in</w:t>
      </w:r>
      <w:r w:rsidRPr="00CE0A20">
        <w:rPr>
          <w:rFonts w:ascii="Times New Roman" w:hAnsi="Times New Roman" w:cs="Times New Roman"/>
          <w:color w:val="000000" w:themeColor="text1"/>
          <w:sz w:val="28"/>
          <w:szCs w:val="28"/>
          <w:lang w:val="uk-UA"/>
        </w:rPr>
        <w:t xml:space="preserve"> </w:t>
      </w:r>
      <w:r w:rsidRPr="00CE0A20">
        <w:rPr>
          <w:rFonts w:ascii="Times New Roman" w:hAnsi="Times New Roman" w:cs="Times New Roman"/>
          <w:color w:val="000000" w:themeColor="text1"/>
          <w:sz w:val="28"/>
          <w:szCs w:val="28"/>
          <w:lang w:val="en-US"/>
        </w:rPr>
        <w:t>vivo</w:t>
      </w:r>
      <w:r w:rsidRPr="00CE0A20">
        <w:rPr>
          <w:rFonts w:ascii="Times New Roman" w:hAnsi="Times New Roman" w:cs="Times New Roman"/>
          <w:color w:val="000000" w:themeColor="text1"/>
          <w:sz w:val="28"/>
          <w:szCs w:val="28"/>
          <w:lang w:val="uk-UA"/>
        </w:rPr>
        <w:t xml:space="preserve"> – через 1-у добу, 14 та 28 діб після трансплантації КСКМ, що мали ген </w:t>
      </w:r>
      <w:r w:rsidRPr="00CE0A20">
        <w:rPr>
          <w:rFonts w:ascii="Times New Roman" w:hAnsi="Times New Roman" w:cs="Times New Roman"/>
          <w:color w:val="000000" w:themeColor="text1"/>
          <w:sz w:val="28"/>
          <w:szCs w:val="28"/>
          <w:lang w:val="en-US"/>
        </w:rPr>
        <w:t>GFP</w:t>
      </w:r>
      <w:r w:rsidRPr="00CE0A20">
        <w:rPr>
          <w:rFonts w:ascii="Times New Roman" w:hAnsi="Times New Roman" w:cs="Times New Roman"/>
          <w:color w:val="000000" w:themeColor="text1"/>
          <w:sz w:val="28"/>
          <w:szCs w:val="28"/>
          <w:lang w:val="uk-UA"/>
        </w:rPr>
        <w:t>. Для цього після інтратестикулярного введення КСКМ (уздовж довгої осі яєчка з трьох</w:t>
      </w:r>
      <w:r w:rsidRPr="00CE0A20">
        <w:rPr>
          <w:rFonts w:ascii="Times New Roman" w:hAnsi="Times New Roman" w:cs="Times New Roman"/>
          <w:color w:val="000000" w:themeColor="text1"/>
          <w:sz w:val="28"/>
          <w:szCs w:val="28"/>
          <w:lang w:val="uk-UA"/>
        </w:rPr>
        <w:softHyphen/>
        <w:t xml:space="preserve">кратною інокуляцією при зворотному ході голки) тварину виводили з експерименту, вилучали та заморожували яєчка у відповідний термін після введення КСКМ, що постійно експресують </w:t>
      </w:r>
      <w:r w:rsidRPr="00CE0A20">
        <w:rPr>
          <w:rFonts w:ascii="Times New Roman" w:hAnsi="Times New Roman" w:cs="Times New Roman"/>
          <w:color w:val="000000" w:themeColor="text1"/>
          <w:sz w:val="28"/>
          <w:szCs w:val="28"/>
          <w:lang w:val="en-US"/>
        </w:rPr>
        <w:t>GFP</w:t>
      </w:r>
      <w:r w:rsidRPr="00CE0A20">
        <w:rPr>
          <w:rFonts w:ascii="Times New Roman" w:hAnsi="Times New Roman" w:cs="Times New Roman"/>
          <w:color w:val="000000" w:themeColor="text1"/>
          <w:sz w:val="28"/>
          <w:szCs w:val="28"/>
          <w:lang w:val="uk-UA"/>
        </w:rPr>
        <w: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Перш за все вивчено розподіл клітин при введенні КСКМ у виділене яєчко (ex vivo). Відразу після введення в тестикули клітини КСКМ виявляються в міжканальцевому просторі яєчок у великій кількості: виявлено яскраве світіння вздовж ранового каналу (місця ін’єкції), клітини скупчилися у глибки поблизу осі проведення голки, тобто у місцях інокуляції. Клітини розподіляються в тій частині інтратестикулярного простору, яка необхідна для їх подальшої діяльності по відновленню сперматогенезу. Даний результат є свідченням того, що клітини знаходяться в потрібному місці безпосередньо після їх введення, тобто ми вперше побачили саме розподіл в тканині яєчка та їхнє характерне світіння (рис. 4.39).</w:t>
      </w:r>
    </w:p>
    <w:p w:rsidR="001C43D0" w:rsidRPr="00CE0A20" w:rsidRDefault="00C01D33" w:rsidP="00C01D33">
      <w:pPr>
        <w:spacing w:line="360" w:lineRule="auto"/>
        <w:jc w:val="both"/>
        <w:rPr>
          <w:rFonts w:ascii="Times New Roman" w:hAnsi="Times New Roman" w:cs="Times New Roman"/>
          <w:color w:val="000000" w:themeColor="text1"/>
          <w:sz w:val="28"/>
          <w:szCs w:val="28"/>
          <w:lang w:val="uk-UA"/>
        </w:rPr>
      </w:pPr>
      <w:r w:rsidRPr="00CE0A20">
        <w:rPr>
          <w:rFonts w:ascii="Times New Roman" w:hAnsi="Times New Roman" w:cs="Times New Roman"/>
          <w:noProof/>
          <w:sz w:val="28"/>
          <w:szCs w:val="28"/>
        </w:rPr>
        <w:drawing>
          <wp:anchor distT="0" distB="0" distL="114300" distR="114300" simplePos="0" relativeHeight="251705344" behindDoc="0" locked="0" layoutInCell="1" allowOverlap="1" wp14:anchorId="27E767B3" wp14:editId="73820E6C">
            <wp:simplePos x="0" y="0"/>
            <wp:positionH relativeFrom="column">
              <wp:posOffset>1080135</wp:posOffset>
            </wp:positionH>
            <wp:positionV relativeFrom="paragraph">
              <wp:align>top</wp:align>
            </wp:positionV>
            <wp:extent cx="3840000" cy="2880000"/>
            <wp:effectExtent l="0" t="0" r="8255" b="0"/>
            <wp:wrapSquare wrapText="bothSides"/>
            <wp:docPr id="227" name="Рисунок 227" descr="EX V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 VIVO"/>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3840000" cy="288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C43D0" w:rsidRPr="00CE0A20" w:rsidRDefault="001C43D0" w:rsidP="001C43D0">
      <w:pPr>
        <w:spacing w:line="360" w:lineRule="auto"/>
        <w:ind w:firstLine="709"/>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br w:type="textWrapping" w:clear="all"/>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Рис. 4.39. Розподіл мічених КСКМ після їх інтратестикулярного введення ex vivo </w:t>
      </w:r>
      <w:r w:rsidR="00090096">
        <w:rPr>
          <w:rFonts w:ascii="Times New Roman" w:hAnsi="Times New Roman" w:cs="Times New Roman"/>
          <w:color w:val="000000" w:themeColor="text1"/>
          <w:sz w:val="28"/>
          <w:szCs w:val="28"/>
          <w:lang w:val="uk-UA"/>
        </w:rPr>
        <w:t>(з</w:t>
      </w:r>
      <w:r w:rsidRPr="00CE0A20">
        <w:rPr>
          <w:rFonts w:ascii="Times New Roman" w:hAnsi="Times New Roman" w:cs="Times New Roman"/>
          <w:color w:val="000000" w:themeColor="text1"/>
          <w:sz w:val="28"/>
          <w:szCs w:val="28"/>
          <w:lang w:val="uk-UA"/>
        </w:rPr>
        <w:t>б.х40</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Через добу після введення КСКМ, як і раніше, присутні в міжканальцевому просторі яєчок. Розподіл забарвлення свідчить про те, що і самі клітини розподілилися в цьому просторі більш рівномірно (рис. 4.40).</w:t>
      </w:r>
    </w:p>
    <w:p w:rsidR="001C43D0" w:rsidRPr="00CE0A20" w:rsidRDefault="001C43D0" w:rsidP="00C01D33">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sz w:val="28"/>
          <w:szCs w:val="28"/>
        </w:rPr>
        <w:drawing>
          <wp:inline distT="0" distB="0" distL="0" distR="0" wp14:anchorId="5F70419D" wp14:editId="709211F4">
            <wp:extent cx="3844232" cy="2880000"/>
            <wp:effectExtent l="0" t="0" r="4445" b="0"/>
            <wp:docPr id="228" name="Рисунок 228" descr="1ЫЕ СУТ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ЫЕ СУТКИ"/>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844232" cy="2880000"/>
                    </a:xfrm>
                    <a:prstGeom prst="rect">
                      <a:avLst/>
                    </a:prstGeom>
                    <a:noFill/>
                    <a:ln>
                      <a:noFill/>
                    </a:ln>
                  </pic:spPr>
                </pic:pic>
              </a:graphicData>
            </a:graphic>
          </wp:inline>
        </w:drawing>
      </w:r>
    </w:p>
    <w:p w:rsidR="001C43D0" w:rsidRPr="00CE0A20" w:rsidRDefault="001C43D0" w:rsidP="001C43D0">
      <w:pPr>
        <w:autoSpaceDE w:val="0"/>
        <w:autoSpaceDN w:val="0"/>
        <w:adjustRightInd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Рис. 4.40. Розподіл клітин КСКМ, мічених за GFP, на 1-у добу після інтратестикулярного введення </w:t>
      </w:r>
      <w:r w:rsidR="00090096">
        <w:rPr>
          <w:rFonts w:ascii="Times New Roman" w:hAnsi="Times New Roman" w:cs="Times New Roman"/>
          <w:color w:val="000000" w:themeColor="text1"/>
          <w:sz w:val="28"/>
          <w:szCs w:val="28"/>
          <w:lang w:val="uk-UA"/>
        </w:rPr>
        <w:t>(з</w:t>
      </w:r>
      <w:r w:rsidRPr="00CE0A20">
        <w:rPr>
          <w:rFonts w:ascii="Times New Roman" w:hAnsi="Times New Roman" w:cs="Times New Roman"/>
          <w:color w:val="000000" w:themeColor="text1"/>
          <w:sz w:val="28"/>
          <w:szCs w:val="28"/>
          <w:lang w:val="uk-UA"/>
        </w:rPr>
        <w:t>б.х40</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 цьому вже через добу рановий канал не виявлявся, а світіння спостерігається по всій площині поперечного зрізу, тобто на відстані від місця інокуляції.</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14-у та на 28-у добу також спостерігається флуоресцентне світіння, хоча й не настільки інтенсивне, як безпосередньо після введення КСКМ і на другу добу після нього (рис. 4.41 та рис. 4.42).</w:t>
      </w:r>
    </w:p>
    <w:p w:rsidR="00C01D33" w:rsidRPr="00CE0A20" w:rsidRDefault="00C01D33"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sz w:val="28"/>
          <w:szCs w:val="28"/>
        </w:rPr>
        <w:drawing>
          <wp:inline distT="0" distB="0" distL="0" distR="0" wp14:anchorId="2EC7A964" wp14:editId="3CBA1C72">
            <wp:extent cx="3820504" cy="2880000"/>
            <wp:effectExtent l="0" t="0" r="8890" b="0"/>
            <wp:docPr id="229" name="Рисунок 229" descr="14 СУТ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4 СУТОК"/>
                    <pic:cNvPicPr>
                      <a:picLocks noChangeAspect="1" noChangeArrowheads="1"/>
                    </pic:cNvPicPr>
                  </pic:nvPicPr>
                  <pic:blipFill>
                    <a:blip r:embed="rId119" cstate="print">
                      <a:lum bright="20000" contrast="40000"/>
                      <a:extLst>
                        <a:ext uri="{28A0092B-C50C-407E-A947-70E740481C1C}">
                          <a14:useLocalDpi xmlns:a14="http://schemas.microsoft.com/office/drawing/2010/main" val="0"/>
                        </a:ext>
                      </a:extLst>
                    </a:blip>
                    <a:srcRect/>
                    <a:stretch>
                      <a:fillRect/>
                    </a:stretch>
                  </pic:blipFill>
                  <pic:spPr bwMode="auto">
                    <a:xfrm>
                      <a:off x="0" y="0"/>
                      <a:ext cx="3820504" cy="2880000"/>
                    </a:xfrm>
                    <a:prstGeom prst="rect">
                      <a:avLst/>
                    </a:prstGeom>
                    <a:noFill/>
                    <a:ln>
                      <a:noFill/>
                    </a:ln>
                  </pic:spPr>
                </pic:pic>
              </a:graphicData>
            </a:graphic>
          </wp:inline>
        </w:drawing>
      </w:r>
    </w:p>
    <w:p w:rsidR="001C43D0" w:rsidRPr="00CE0A20" w:rsidRDefault="001C43D0" w:rsidP="001C43D0">
      <w:pPr>
        <w:autoSpaceDE w:val="0"/>
        <w:autoSpaceDN w:val="0"/>
        <w:adjustRightInd w:val="0"/>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Рис. 4.41. Розподіл клітин КСКМ, мічених за GFP, на 28-у добу після інтратестикулярного введення КСКМ </w:t>
      </w:r>
      <w:r w:rsidR="00090096">
        <w:rPr>
          <w:rFonts w:ascii="Times New Roman" w:hAnsi="Times New Roman" w:cs="Times New Roman"/>
          <w:color w:val="000000" w:themeColor="text1"/>
          <w:sz w:val="28"/>
          <w:szCs w:val="28"/>
          <w:lang w:val="uk-UA"/>
        </w:rPr>
        <w:t>(з</w:t>
      </w:r>
      <w:r w:rsidRPr="00CE0A20">
        <w:rPr>
          <w:rFonts w:ascii="Times New Roman" w:hAnsi="Times New Roman" w:cs="Times New Roman"/>
          <w:color w:val="000000" w:themeColor="text1"/>
          <w:sz w:val="28"/>
          <w:szCs w:val="28"/>
          <w:lang w:val="uk-UA"/>
        </w:rPr>
        <w:t>б. х40</w:t>
      </w:r>
      <w:r w:rsidR="00090096">
        <w:rPr>
          <w:rFonts w:ascii="Times New Roman" w:hAnsi="Times New Roman" w:cs="Times New Roman"/>
          <w:color w:val="000000" w:themeColor="text1"/>
          <w:sz w:val="28"/>
          <w:szCs w:val="28"/>
          <w:lang w:val="uk-UA"/>
        </w:rPr>
        <w:t>)</w:t>
      </w:r>
    </w:p>
    <w:p w:rsidR="00C01D33" w:rsidRPr="00CE0A20" w:rsidRDefault="00C01D33" w:rsidP="001C43D0">
      <w:pPr>
        <w:autoSpaceDE w:val="0"/>
        <w:autoSpaceDN w:val="0"/>
        <w:adjustRightInd w:val="0"/>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sz w:val="28"/>
          <w:szCs w:val="28"/>
        </w:rPr>
        <w:drawing>
          <wp:inline distT="0" distB="0" distL="0" distR="0" wp14:anchorId="4AE22751" wp14:editId="610B2976">
            <wp:extent cx="3840000" cy="2880000"/>
            <wp:effectExtent l="0" t="0" r="8255" b="0"/>
            <wp:docPr id="230" name="Рисунок 230" descr="28 ДН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8 ДНЕЙ"/>
                    <pic:cNvPicPr>
                      <a:picLocks noChangeAspect="1" noChangeArrowheads="1"/>
                    </pic:cNvPicPr>
                  </pic:nvPicPr>
                  <pic:blipFill>
                    <a:blip r:embed="rId120" cstate="print">
                      <a:lum contrast="60000"/>
                      <a:extLst>
                        <a:ext uri="{28A0092B-C50C-407E-A947-70E740481C1C}">
                          <a14:useLocalDpi xmlns:a14="http://schemas.microsoft.com/office/drawing/2010/main" val="0"/>
                        </a:ext>
                      </a:extLst>
                    </a:blip>
                    <a:srcRect/>
                    <a:stretch>
                      <a:fillRect/>
                    </a:stretch>
                  </pic:blipFill>
                  <pic:spPr bwMode="auto">
                    <a:xfrm>
                      <a:off x="0" y="0"/>
                      <a:ext cx="3840000" cy="2880000"/>
                    </a:xfrm>
                    <a:prstGeom prst="rect">
                      <a:avLst/>
                    </a:prstGeom>
                    <a:noFill/>
                    <a:ln>
                      <a:noFill/>
                    </a:ln>
                  </pic:spPr>
                </pic:pic>
              </a:graphicData>
            </a:graphic>
          </wp:inline>
        </w:drawing>
      </w:r>
    </w:p>
    <w:p w:rsidR="001C43D0" w:rsidRPr="00CE0A20" w:rsidRDefault="001C43D0" w:rsidP="001C43D0">
      <w:pPr>
        <w:autoSpaceDE w:val="0"/>
        <w:autoSpaceDN w:val="0"/>
        <w:adjustRightInd w:val="0"/>
        <w:spacing w:line="276"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Рис. 4.42. Розподіл клітин КСКМ, мічених за GFP, на 28-у добу після інтратестикулярного введення КСКМ </w:t>
      </w:r>
      <w:r w:rsidR="00090096">
        <w:rPr>
          <w:rFonts w:ascii="Times New Roman" w:hAnsi="Times New Roman" w:cs="Times New Roman"/>
          <w:color w:val="000000" w:themeColor="text1"/>
          <w:sz w:val="28"/>
          <w:szCs w:val="28"/>
          <w:lang w:val="uk-UA"/>
        </w:rPr>
        <w:t>(з</w:t>
      </w:r>
      <w:r w:rsidRPr="00CE0A20">
        <w:rPr>
          <w:rFonts w:ascii="Times New Roman" w:hAnsi="Times New Roman" w:cs="Times New Roman"/>
          <w:color w:val="000000" w:themeColor="text1"/>
          <w:sz w:val="28"/>
          <w:szCs w:val="28"/>
          <w:lang w:val="uk-UA"/>
        </w:rPr>
        <w:t>б. х40</w:t>
      </w:r>
      <w:r w:rsidR="00090096">
        <w:rPr>
          <w:rFonts w:ascii="Times New Roman" w:hAnsi="Times New Roman" w:cs="Times New Roman"/>
          <w:color w:val="000000" w:themeColor="text1"/>
          <w:sz w:val="28"/>
          <w:szCs w:val="28"/>
          <w:lang w:val="uk-UA"/>
        </w:rPr>
        <w:t>)</w:t>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Це свідчить про те, що введені клітини, присутні в міжканальцевому просторі яєчок, проявляють специфічну активність і можуть стимулювати життєдіяльність клітин у тестикулах. Їх розподіл в паренхімі яєчок відповідає розподілу  клітин Лейдіга в нормальних умовах в міжканальцевому  просторі.</w:t>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851"/>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 xml:space="preserve">4.6. Віддалені результати інстратестикулярної трансплантації КСКМ експериментальним тваринам </w:t>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Результати застосування КСКМ з метою лікування ЕАД виявились досить позитивними та свідчили про ефективність цього методу для лікування та відновлення лабораторних показників і морфологічної структури сім’яників експериментальних тварин. </w:t>
      </w:r>
    </w:p>
    <w:p w:rsidR="001C43D0" w:rsidRPr="00CE0A20" w:rsidRDefault="001C43D0" w:rsidP="001C43D0">
      <w:pPr>
        <w:tabs>
          <w:tab w:val="left" w:pos="7020"/>
        </w:tabs>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Для вивчення подальшої динаміки морфоструктури статевих залоз та з метою вивчення відділених результатів інстратестикулярної трансплантації КСКМ експериметальним тваринам здійснено гістологічне дослідження яєчок та передміхурової залози у тварин, що померли природним шляхом з порівнянням у двох групах тварин – в інтактних тварин та після моделювання ЕАД та інстратестикулярного введення 200 000 КСКМ. </w:t>
      </w:r>
    </w:p>
    <w:p w:rsidR="001C43D0" w:rsidRPr="00CE0A20" w:rsidRDefault="001C43D0" w:rsidP="001C43D0">
      <w:pPr>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color w:val="000000" w:themeColor="text1"/>
          <w:sz w:val="28"/>
          <w:szCs w:val="28"/>
          <w:lang w:val="uk-UA" w:eastAsia="en-US"/>
        </w:rPr>
        <w:t xml:space="preserve">Дослідження тестикул інтактних щурів межового похилого періоду життя (33–36 місяців) показало, що у більшості тварин на тлі сім'яних канальців з візуально непомітними змінами в стані сперматогенного епітелію відмічені канальці з "прогалинами" у стрічці та зменшенням рядів статевих клітин, збільшення канальців з відсутністю зрілих сперматозоїдів. </w:t>
      </w:r>
      <w:r w:rsidRPr="00CE0A20">
        <w:rPr>
          <w:rFonts w:ascii="Times New Roman" w:eastAsiaTheme="minorHAnsi" w:hAnsi="Times New Roman" w:cs="Times New Roman"/>
          <w:color w:val="000000" w:themeColor="text1"/>
          <w:sz w:val="28"/>
          <w:szCs w:val="28"/>
          <w:lang w:eastAsia="en-US"/>
        </w:rPr>
        <w:t xml:space="preserve">Крім того, помічено розширення міжканальцевих просторів, особливо у внутрішніх </w:t>
      </w:r>
      <w:r w:rsidRPr="00CE0A20">
        <w:rPr>
          <w:rFonts w:ascii="Times New Roman" w:eastAsiaTheme="minorHAnsi" w:hAnsi="Times New Roman" w:cs="Times New Roman"/>
          <w:color w:val="000000" w:themeColor="text1"/>
          <w:sz w:val="28"/>
          <w:szCs w:val="28"/>
          <w:lang w:val="uk-UA" w:eastAsia="en-US"/>
        </w:rPr>
        <w:t xml:space="preserve">ділянках </w:t>
      </w:r>
      <w:r w:rsidRPr="00CE0A20">
        <w:rPr>
          <w:rFonts w:ascii="Times New Roman" w:eastAsiaTheme="minorHAnsi" w:hAnsi="Times New Roman" w:cs="Times New Roman"/>
          <w:color w:val="000000" w:themeColor="text1"/>
          <w:sz w:val="28"/>
          <w:szCs w:val="28"/>
          <w:lang w:eastAsia="en-US"/>
        </w:rPr>
        <w:t xml:space="preserve">яєчка. </w:t>
      </w:r>
      <w:r w:rsidRPr="00CE0A20">
        <w:rPr>
          <w:rFonts w:ascii="Times New Roman" w:eastAsiaTheme="minorHAnsi" w:hAnsi="Times New Roman" w:cs="Times New Roman"/>
          <w:color w:val="000000" w:themeColor="text1"/>
          <w:sz w:val="28"/>
          <w:szCs w:val="28"/>
          <w:lang w:val="uk-UA" w:eastAsia="en-US"/>
        </w:rPr>
        <w:t>У</w:t>
      </w:r>
      <w:r w:rsidRPr="00CE0A20">
        <w:rPr>
          <w:rFonts w:ascii="Times New Roman" w:eastAsiaTheme="minorHAnsi" w:hAnsi="Times New Roman" w:cs="Times New Roman"/>
          <w:color w:val="000000" w:themeColor="text1"/>
          <w:sz w:val="28"/>
          <w:szCs w:val="28"/>
          <w:lang w:eastAsia="en-US"/>
        </w:rPr>
        <w:t xml:space="preserve"> частин</w:t>
      </w:r>
      <w:r w:rsidRPr="00CE0A20">
        <w:rPr>
          <w:rFonts w:ascii="Times New Roman" w:eastAsiaTheme="minorHAnsi" w:hAnsi="Times New Roman" w:cs="Times New Roman"/>
          <w:color w:val="000000" w:themeColor="text1"/>
          <w:sz w:val="28"/>
          <w:szCs w:val="28"/>
          <w:lang w:val="uk-UA" w:eastAsia="en-US"/>
        </w:rPr>
        <w:t>и</w:t>
      </w:r>
      <w:r w:rsidRPr="00CE0A20">
        <w:rPr>
          <w:rFonts w:ascii="Times New Roman" w:eastAsiaTheme="minorHAnsi" w:hAnsi="Times New Roman" w:cs="Times New Roman"/>
          <w:color w:val="000000" w:themeColor="text1"/>
          <w:sz w:val="28"/>
          <w:szCs w:val="28"/>
          <w:lang w:eastAsia="en-US"/>
        </w:rPr>
        <w:t xml:space="preserve"> канальців звертало на себе увагу вогнищеве відшарування статевих клітин від базальної мембрани, виявлялися канальці з</w:t>
      </w:r>
      <w:r w:rsidRPr="00CE0A20">
        <w:rPr>
          <w:rFonts w:ascii="Times New Roman" w:eastAsiaTheme="minorHAnsi" w:hAnsi="Times New Roman" w:cs="Times New Roman"/>
          <w:color w:val="000000" w:themeColor="text1"/>
          <w:sz w:val="28"/>
          <w:szCs w:val="28"/>
          <w:lang w:val="uk-UA" w:eastAsia="en-US"/>
        </w:rPr>
        <w:t>і</w:t>
      </w:r>
      <w:r w:rsidRPr="00CE0A20">
        <w:rPr>
          <w:rFonts w:ascii="Times New Roman" w:eastAsiaTheme="minorHAnsi" w:hAnsi="Times New Roman" w:cs="Times New Roman"/>
          <w:color w:val="000000" w:themeColor="text1"/>
          <w:sz w:val="28"/>
          <w:szCs w:val="28"/>
          <w:lang w:eastAsia="en-US"/>
        </w:rPr>
        <w:t xml:space="preserve"> злущенням статевих клітин у просвіт</w:t>
      </w:r>
      <w:r w:rsidRPr="00CE0A20">
        <w:rPr>
          <w:rFonts w:ascii="Times New Roman" w:eastAsiaTheme="minorHAnsi" w:hAnsi="Times New Roman" w:cs="Times New Roman"/>
          <w:color w:val="000000" w:themeColor="text1"/>
          <w:sz w:val="28"/>
          <w:szCs w:val="28"/>
          <w:lang w:val="uk-UA" w:eastAsia="en-US"/>
        </w:rPr>
        <w:t xml:space="preserve"> (рис. 4.43, 4.44)</w:t>
      </w:r>
      <w:r w:rsidRPr="00CE0A20">
        <w:rPr>
          <w:rFonts w:ascii="Times New Roman" w:eastAsiaTheme="minorHAnsi" w:hAnsi="Times New Roman" w:cs="Times New Roman"/>
          <w:color w:val="000000" w:themeColor="text1"/>
          <w:sz w:val="28"/>
          <w:szCs w:val="28"/>
          <w:lang w:eastAsia="en-US"/>
        </w:rPr>
        <w:t xml:space="preserve">. </w:t>
      </w: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widowControl w:val="0"/>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0442884F" wp14:editId="0773FC85">
            <wp:extent cx="3443895" cy="3247697"/>
            <wp:effectExtent l="0" t="0" r="4445"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444183" cy="3247969"/>
                    </a:xfrm>
                    <a:prstGeom prst="rect">
                      <a:avLst/>
                    </a:prstGeom>
                    <a:noFill/>
                    <a:ln>
                      <a:noFill/>
                    </a:ln>
                  </pic:spPr>
                </pic:pic>
              </a:graphicData>
            </a:graphic>
          </wp:inline>
        </w:drawing>
      </w:r>
    </w:p>
    <w:p w:rsidR="001C43D0" w:rsidRPr="00CE0A20" w:rsidRDefault="001C43D0" w:rsidP="001C43D0">
      <w:pPr>
        <w:autoSpaceDE w:val="0"/>
        <w:autoSpaceDN w:val="0"/>
        <w:adjustRightInd w:val="0"/>
        <w:spacing w:line="360" w:lineRule="auto"/>
        <w:ind w:firstLine="709"/>
        <w:rPr>
          <w:rFonts w:ascii="Times New Roman" w:eastAsiaTheme="minorHAnsi" w:hAnsi="Times New Roman" w:cs="Times New Roman"/>
          <w:bCs/>
          <w:color w:val="000000" w:themeColor="text1"/>
          <w:sz w:val="28"/>
          <w:szCs w:val="28"/>
          <w:lang w:val="uk-UA" w:eastAsia="en-US"/>
        </w:rPr>
      </w:pPr>
    </w:p>
    <w:p w:rsidR="001C43D0" w:rsidRPr="00090096" w:rsidRDefault="001C43D0" w:rsidP="001C43D0">
      <w:pPr>
        <w:autoSpaceDE w:val="0"/>
        <w:autoSpaceDN w:val="0"/>
        <w:adjustRightInd w:val="0"/>
        <w:spacing w:line="360" w:lineRule="auto"/>
        <w:ind w:firstLine="709"/>
        <w:rPr>
          <w:rFonts w:ascii="Times New Roman" w:hAnsi="Times New Roman" w:cs="Times New Roman"/>
          <w:color w:val="000000" w:themeColor="text1"/>
          <w:sz w:val="28"/>
          <w:szCs w:val="28"/>
          <w:lang w:val="uk-UA"/>
        </w:rPr>
      </w:pPr>
      <w:r w:rsidRPr="00CE0A20">
        <w:rPr>
          <w:rFonts w:ascii="Times New Roman" w:eastAsiaTheme="minorHAnsi" w:hAnsi="Times New Roman" w:cs="Times New Roman"/>
          <w:bCs/>
          <w:color w:val="000000" w:themeColor="text1"/>
          <w:sz w:val="28"/>
          <w:szCs w:val="28"/>
          <w:lang w:eastAsia="en-US"/>
        </w:rPr>
        <w:t xml:space="preserve">Рис. </w:t>
      </w:r>
      <w:r w:rsidRPr="00CE0A20">
        <w:rPr>
          <w:rFonts w:ascii="Times New Roman" w:eastAsiaTheme="minorHAnsi" w:hAnsi="Times New Roman" w:cs="Times New Roman"/>
          <w:bCs/>
          <w:color w:val="000000" w:themeColor="text1"/>
          <w:sz w:val="28"/>
          <w:szCs w:val="28"/>
          <w:lang w:val="uk-UA" w:eastAsia="en-US"/>
        </w:rPr>
        <w:t>4.43</w:t>
      </w:r>
      <w:r w:rsidRPr="00CE0A20">
        <w:rPr>
          <w:rFonts w:ascii="Times New Roman" w:eastAsiaTheme="minorHAnsi" w:hAnsi="Times New Roman" w:cs="Times New Roman"/>
          <w:bCs/>
          <w:color w:val="000000" w:themeColor="text1"/>
          <w:sz w:val="28"/>
          <w:szCs w:val="28"/>
          <w:lang w:eastAsia="en-US"/>
        </w:rPr>
        <w:t xml:space="preserve">. </w:t>
      </w:r>
      <w:r w:rsidRPr="00CE0A20">
        <w:rPr>
          <w:rFonts w:ascii="Times New Roman" w:eastAsiaTheme="minorHAnsi" w:hAnsi="Times New Roman" w:cs="Times New Roman"/>
          <w:color w:val="000000" w:themeColor="text1"/>
          <w:sz w:val="28"/>
          <w:szCs w:val="28"/>
          <w:lang w:eastAsia="en-US"/>
        </w:rPr>
        <w:t xml:space="preserve">Яєчко </w:t>
      </w:r>
      <w:r w:rsidRPr="00CE0A20">
        <w:rPr>
          <w:rFonts w:ascii="Times New Roman" w:eastAsiaTheme="minorHAnsi" w:hAnsi="Times New Roman" w:cs="Times New Roman"/>
          <w:color w:val="000000" w:themeColor="text1"/>
          <w:sz w:val="28"/>
          <w:szCs w:val="28"/>
          <w:lang w:val="uk-UA" w:eastAsia="en-US"/>
        </w:rPr>
        <w:t xml:space="preserve">інтактного </w:t>
      </w:r>
      <w:r w:rsidRPr="00CE0A20">
        <w:rPr>
          <w:rFonts w:ascii="Times New Roman" w:eastAsiaTheme="minorHAnsi" w:hAnsi="Times New Roman" w:cs="Times New Roman"/>
          <w:color w:val="000000" w:themeColor="text1"/>
          <w:sz w:val="28"/>
          <w:szCs w:val="28"/>
          <w:lang w:eastAsia="en-US"/>
        </w:rPr>
        <w:t>щура</w:t>
      </w:r>
      <w:r w:rsidRPr="00CE0A20">
        <w:rPr>
          <w:rFonts w:ascii="Times New Roman" w:eastAsiaTheme="minorHAnsi" w:hAnsi="Times New Roman" w:cs="Times New Roman"/>
          <w:color w:val="000000" w:themeColor="text1"/>
          <w:sz w:val="28"/>
          <w:szCs w:val="28"/>
          <w:lang w:val="uk-UA" w:eastAsia="en-US"/>
        </w:rPr>
        <w:t xml:space="preserve"> після смерті природним шляхом</w:t>
      </w:r>
      <w:r w:rsidRPr="00CE0A20">
        <w:rPr>
          <w:rFonts w:ascii="Times New Roman" w:eastAsiaTheme="minorHAnsi" w:hAnsi="Times New Roman" w:cs="Times New Roman"/>
          <w:color w:val="000000" w:themeColor="text1"/>
          <w:sz w:val="28"/>
          <w:szCs w:val="28"/>
          <w:lang w:eastAsia="en-US"/>
        </w:rPr>
        <w:t>: нормальний стан сім’яних канальців (</w:t>
      </w:r>
      <w:r w:rsidR="00090096">
        <w:rPr>
          <w:rFonts w:ascii="Times New Roman" w:eastAsiaTheme="minorHAnsi" w:hAnsi="Times New Roman" w:cs="Times New Roman"/>
          <w:color w:val="000000" w:themeColor="text1"/>
          <w:sz w:val="28"/>
          <w:szCs w:val="28"/>
          <w:lang w:val="uk-UA" w:eastAsia="en-US"/>
        </w:rPr>
        <w:t>зб.</w:t>
      </w:r>
      <w:r w:rsidRPr="00CE0A20">
        <w:rPr>
          <w:rFonts w:ascii="Times New Roman" w:eastAsiaTheme="minorHAnsi" w:hAnsi="Times New Roman" w:cs="Times New Roman"/>
          <w:color w:val="000000" w:themeColor="text1"/>
          <w:sz w:val="28"/>
          <w:szCs w:val="28"/>
          <w:lang w:eastAsia="en-US"/>
        </w:rPr>
        <w:t>х100)</w:t>
      </w:r>
      <w:r w:rsidR="00090096">
        <w:rPr>
          <w:rFonts w:ascii="Times New Roman" w:eastAsiaTheme="minorHAnsi" w:hAnsi="Times New Roman" w:cs="Times New Roman"/>
          <w:color w:val="000000" w:themeColor="text1"/>
          <w:sz w:val="28"/>
          <w:szCs w:val="28"/>
          <w:lang w:val="uk-UA" w:eastAsia="en-US"/>
        </w:rPr>
        <w:t>.</w:t>
      </w:r>
      <w:r w:rsidRPr="00CE0A20">
        <w:rPr>
          <w:rFonts w:ascii="Times New Roman" w:eastAsiaTheme="minorHAnsi" w:hAnsi="Times New Roman" w:cs="Times New Roman"/>
          <w:color w:val="000000" w:themeColor="text1"/>
          <w:sz w:val="28"/>
          <w:szCs w:val="28"/>
          <w:lang w:val="uk-UA" w:eastAsia="en-US"/>
        </w:rPr>
        <w:t xml:space="preserve"> </w:t>
      </w:r>
      <w:r w:rsidR="00090096">
        <w:rPr>
          <w:rFonts w:ascii="Times New Roman" w:eastAsiaTheme="minorHAnsi" w:hAnsi="Times New Roman" w:cs="Times New Roman"/>
          <w:color w:val="000000" w:themeColor="text1"/>
          <w:sz w:val="28"/>
          <w:szCs w:val="28"/>
          <w:lang w:val="uk-UA" w:eastAsia="en-US"/>
        </w:rPr>
        <w:t>Г</w:t>
      </w:r>
      <w:r w:rsidRPr="00CE0A20">
        <w:rPr>
          <w:rFonts w:ascii="Times New Roman" w:eastAsiaTheme="minorHAnsi" w:hAnsi="Times New Roman" w:cs="Times New Roman"/>
          <w:color w:val="000000" w:themeColor="text1"/>
          <w:sz w:val="28"/>
          <w:szCs w:val="28"/>
          <w:lang w:eastAsia="en-US"/>
        </w:rPr>
        <w:t>ематоксилін-еозин</w:t>
      </w:r>
      <w:r w:rsidR="00090096">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widowControl w:val="0"/>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07AB282D" wp14:editId="4C31001E">
            <wp:extent cx="3537857" cy="3216166"/>
            <wp:effectExtent l="0" t="0" r="5715" b="381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538028" cy="3216321"/>
                    </a:xfrm>
                    <a:prstGeom prst="rect">
                      <a:avLst/>
                    </a:prstGeom>
                    <a:noFill/>
                    <a:ln>
                      <a:noFill/>
                    </a:ln>
                  </pic:spPr>
                </pic:pic>
              </a:graphicData>
            </a:graphic>
          </wp:inline>
        </w:drawing>
      </w:r>
    </w:p>
    <w:p w:rsidR="001C43D0" w:rsidRPr="004C1F95" w:rsidRDefault="001C43D0" w:rsidP="001C43D0">
      <w:pPr>
        <w:autoSpaceDE w:val="0"/>
        <w:autoSpaceDN w:val="0"/>
        <w:adjustRightInd w:val="0"/>
        <w:spacing w:line="360" w:lineRule="auto"/>
        <w:ind w:firstLine="709"/>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bCs/>
          <w:color w:val="000000" w:themeColor="text1"/>
          <w:sz w:val="28"/>
          <w:szCs w:val="28"/>
          <w:lang w:val="uk-UA" w:eastAsia="en-US"/>
        </w:rPr>
        <w:t xml:space="preserve">Рис. 4.44. </w:t>
      </w:r>
      <w:r w:rsidRPr="00CE0A20">
        <w:rPr>
          <w:rFonts w:ascii="Times New Roman" w:eastAsiaTheme="minorHAnsi" w:hAnsi="Times New Roman" w:cs="Times New Roman"/>
          <w:color w:val="000000" w:themeColor="text1"/>
          <w:sz w:val="28"/>
          <w:szCs w:val="28"/>
          <w:lang w:val="uk-UA" w:eastAsia="en-US"/>
        </w:rPr>
        <w:t>Яєчко інтактного щура після смерті природним шляхом:  ”прогалини” у стрічці сперматогенного епітелію та зменшення рядів статевих клітин (</w:t>
      </w:r>
      <w:r w:rsidR="004C1F95">
        <w:rPr>
          <w:rFonts w:ascii="Times New Roman" w:eastAsiaTheme="minorHAnsi" w:hAnsi="Times New Roman" w:cs="Times New Roman"/>
          <w:color w:val="000000" w:themeColor="text1"/>
          <w:sz w:val="28"/>
          <w:szCs w:val="28"/>
          <w:lang w:val="uk-UA" w:eastAsia="en-US"/>
        </w:rPr>
        <w:t>зб.</w:t>
      </w:r>
      <w:r w:rsidRPr="00CE0A20">
        <w:rPr>
          <w:rFonts w:ascii="Times New Roman" w:eastAsiaTheme="minorHAnsi" w:hAnsi="Times New Roman" w:cs="Times New Roman"/>
          <w:color w:val="000000" w:themeColor="text1"/>
          <w:sz w:val="28"/>
          <w:szCs w:val="28"/>
          <w:lang w:val="uk-UA" w:eastAsia="en-US"/>
        </w:rPr>
        <w:t xml:space="preserve">х200). </w:t>
      </w:r>
      <w:r w:rsidRPr="00CE0A20">
        <w:rPr>
          <w:rFonts w:ascii="Times New Roman" w:eastAsiaTheme="minorHAnsi" w:hAnsi="Times New Roman" w:cs="Times New Roman"/>
          <w:color w:val="000000" w:themeColor="text1"/>
          <w:sz w:val="28"/>
          <w:szCs w:val="28"/>
          <w:lang w:eastAsia="en-US"/>
        </w:rPr>
        <w:t>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widowControl w:val="0"/>
        <w:spacing w:line="360" w:lineRule="auto"/>
        <w:jc w:val="center"/>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color w:val="000000" w:themeColor="text1"/>
          <w:sz w:val="28"/>
          <w:szCs w:val="28"/>
          <w:lang w:eastAsia="en-US"/>
        </w:rPr>
        <w:t xml:space="preserve">Клітини Лейдіга у міжканальцевих локусах </w:t>
      </w:r>
      <w:r w:rsidRPr="00CE0A20">
        <w:rPr>
          <w:rFonts w:ascii="Times New Roman" w:eastAsiaTheme="minorHAnsi" w:hAnsi="Times New Roman" w:cs="Times New Roman"/>
          <w:color w:val="000000" w:themeColor="text1"/>
          <w:sz w:val="28"/>
          <w:szCs w:val="28"/>
          <w:lang w:val="uk-UA" w:eastAsia="en-US"/>
        </w:rPr>
        <w:t>переважно</w:t>
      </w:r>
      <w:r w:rsidRPr="00CE0A20">
        <w:rPr>
          <w:rFonts w:ascii="Times New Roman" w:eastAsiaTheme="minorHAnsi" w:hAnsi="Times New Roman" w:cs="Times New Roman"/>
          <w:color w:val="000000" w:themeColor="text1"/>
          <w:sz w:val="28"/>
          <w:szCs w:val="28"/>
          <w:lang w:eastAsia="en-US"/>
        </w:rPr>
        <w:t xml:space="preserve"> нечисленні, в</w:t>
      </w:r>
      <w:r w:rsidRPr="00CE0A20">
        <w:rPr>
          <w:rFonts w:ascii="Times New Roman" w:eastAsiaTheme="minorHAnsi" w:hAnsi="Times New Roman" w:cs="Times New Roman"/>
          <w:color w:val="000000" w:themeColor="text1"/>
          <w:sz w:val="28"/>
          <w:szCs w:val="28"/>
          <w:lang w:val="uk-UA" w:eastAsia="en-US"/>
        </w:rPr>
        <w:t>одно</w:t>
      </w:r>
      <w:r w:rsidRPr="00CE0A20">
        <w:rPr>
          <w:rFonts w:ascii="Times New Roman" w:eastAsiaTheme="minorHAnsi" w:hAnsi="Times New Roman" w:cs="Times New Roman"/>
          <w:color w:val="000000" w:themeColor="text1"/>
          <w:sz w:val="28"/>
          <w:szCs w:val="28"/>
          <w:lang w:eastAsia="en-US"/>
        </w:rPr>
        <w:t>час виразно видно гіпертрофію частини з них, що, можливо</w:t>
      </w:r>
      <w:r w:rsidRPr="00CE0A20">
        <w:rPr>
          <w:rFonts w:ascii="Times New Roman" w:eastAsiaTheme="minorHAnsi" w:hAnsi="Times New Roman" w:cs="Times New Roman"/>
          <w:color w:val="000000" w:themeColor="text1"/>
          <w:sz w:val="28"/>
          <w:szCs w:val="28"/>
          <w:lang w:val="uk-UA" w:eastAsia="en-US"/>
        </w:rPr>
        <w:t>,</w:t>
      </w:r>
      <w:r w:rsidRPr="00CE0A20">
        <w:rPr>
          <w:rFonts w:ascii="Times New Roman" w:eastAsiaTheme="minorHAnsi" w:hAnsi="Times New Roman" w:cs="Times New Roman"/>
          <w:color w:val="000000" w:themeColor="text1"/>
          <w:sz w:val="28"/>
          <w:szCs w:val="28"/>
          <w:lang w:eastAsia="en-US"/>
        </w:rPr>
        <w:t xml:space="preserve"> свідчить про напружений стан їх (рис. </w:t>
      </w:r>
      <w:r w:rsidRPr="00CE0A20">
        <w:rPr>
          <w:rFonts w:ascii="Times New Roman" w:eastAsiaTheme="minorHAnsi" w:hAnsi="Times New Roman" w:cs="Times New Roman"/>
          <w:color w:val="000000" w:themeColor="text1"/>
          <w:sz w:val="28"/>
          <w:szCs w:val="28"/>
          <w:lang w:val="uk-UA" w:eastAsia="en-US"/>
        </w:rPr>
        <w:t>4.45</w:t>
      </w:r>
      <w:r w:rsidRPr="00CE0A20">
        <w:rPr>
          <w:rFonts w:ascii="Times New Roman" w:eastAsiaTheme="minorHAnsi" w:hAnsi="Times New Roman" w:cs="Times New Roman"/>
          <w:color w:val="000000" w:themeColor="text1"/>
          <w:sz w:val="28"/>
          <w:szCs w:val="28"/>
          <w:lang w:eastAsia="en-US"/>
        </w:rPr>
        <w:t xml:space="preserve">). </w:t>
      </w:r>
    </w:p>
    <w:p w:rsidR="001C43D0" w:rsidRPr="00CE0A20" w:rsidRDefault="001C43D0" w:rsidP="001C43D0">
      <w:pPr>
        <w:widowControl w:val="0"/>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702272" behindDoc="0" locked="0" layoutInCell="1" allowOverlap="1" wp14:anchorId="0EDE5A77" wp14:editId="0341395D">
                <wp:simplePos x="0" y="0"/>
                <wp:positionH relativeFrom="column">
                  <wp:posOffset>2728595</wp:posOffset>
                </wp:positionH>
                <wp:positionV relativeFrom="paragraph">
                  <wp:posOffset>796290</wp:posOffset>
                </wp:positionV>
                <wp:extent cx="393700" cy="78740"/>
                <wp:effectExtent l="19050" t="95250" r="0" b="73660"/>
                <wp:wrapNone/>
                <wp:docPr id="201" name="Прямая со стрелкой 201"/>
                <wp:cNvGraphicFramePr/>
                <a:graphic xmlns:a="http://schemas.openxmlformats.org/drawingml/2006/main">
                  <a:graphicData uri="http://schemas.microsoft.com/office/word/2010/wordprocessingShape">
                    <wps:wsp>
                      <wps:cNvCnPr/>
                      <wps:spPr>
                        <a:xfrm flipV="1">
                          <a:off x="0" y="0"/>
                          <a:ext cx="393700" cy="78740"/>
                        </a:xfrm>
                        <a:prstGeom prst="straightConnector1">
                          <a:avLst/>
                        </a:prstGeom>
                        <a:noFill/>
                        <a:ln w="38100"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201" o:spid="_x0000_s1026" type="#_x0000_t32" style="position:absolute;margin-left:214.85pt;margin-top:62.7pt;width:31pt;height:6.2pt;flip:y;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" strokeweight="3pt">
                <v:stroke endarrow="open"/>
              </v:shape>
            </w:pict>
          </mc:Fallback>
        </mc:AlternateContent>
      </w: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701248" behindDoc="0" locked="0" layoutInCell="1" allowOverlap="1" wp14:anchorId="784245C0" wp14:editId="217AD3F6">
                <wp:simplePos x="0" y="0"/>
                <wp:positionH relativeFrom="column">
                  <wp:posOffset>1741170</wp:posOffset>
                </wp:positionH>
                <wp:positionV relativeFrom="paragraph">
                  <wp:posOffset>1495425</wp:posOffset>
                </wp:positionV>
                <wp:extent cx="393700" cy="78740"/>
                <wp:effectExtent l="19050" t="95250" r="0" b="73660"/>
                <wp:wrapNone/>
                <wp:docPr id="202" name="Прямая со стрелкой 202"/>
                <wp:cNvGraphicFramePr/>
                <a:graphic xmlns:a="http://schemas.openxmlformats.org/drawingml/2006/main">
                  <a:graphicData uri="http://schemas.microsoft.com/office/word/2010/wordprocessingShape">
                    <wps:wsp>
                      <wps:cNvCnPr/>
                      <wps:spPr>
                        <a:xfrm flipV="1">
                          <a:off x="0" y="0"/>
                          <a:ext cx="393700" cy="78740"/>
                        </a:xfrm>
                        <a:prstGeom prst="straightConnector1">
                          <a:avLst/>
                        </a:prstGeom>
                        <a:noFill/>
                        <a:ln w="38100"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202" o:spid="_x0000_s1026" type="#_x0000_t32" style="position:absolute;margin-left:137.1pt;margin-top:117.75pt;width:31pt;height:6.2pt;flip:y;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" strokeweight="3pt">
                <v:stroke endarrow="open"/>
              </v:shape>
            </w:pict>
          </mc:Fallback>
        </mc:AlternateContent>
      </w:r>
      <w:r w:rsidRPr="00CE0A20">
        <w:rPr>
          <w:rFonts w:ascii="Times New Roman" w:hAnsi="Times New Roman" w:cs="Times New Roman"/>
          <w:noProof/>
          <w:color w:val="000000" w:themeColor="text1"/>
          <w:sz w:val="28"/>
          <w:szCs w:val="28"/>
        </w:rPr>
        <w:drawing>
          <wp:inline distT="0" distB="0" distL="0" distR="0" wp14:anchorId="00223C7E" wp14:editId="3C77631F">
            <wp:extent cx="3925896" cy="3137338"/>
            <wp:effectExtent l="0" t="0" r="0" b="635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926129" cy="3137524"/>
                    </a:xfrm>
                    <a:prstGeom prst="rect">
                      <a:avLst/>
                    </a:prstGeom>
                    <a:noFill/>
                    <a:ln>
                      <a:noFill/>
                    </a:ln>
                  </pic:spPr>
                </pic:pic>
              </a:graphicData>
            </a:graphic>
          </wp:inline>
        </w:drawing>
      </w:r>
    </w:p>
    <w:p w:rsidR="001C43D0" w:rsidRPr="00CE0A20" w:rsidRDefault="001C43D0" w:rsidP="001C43D0">
      <w:pPr>
        <w:autoSpaceDE w:val="0"/>
        <w:autoSpaceDN w:val="0"/>
        <w:adjustRightInd w:val="0"/>
        <w:ind w:firstLine="708"/>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bCs/>
          <w:color w:val="000000" w:themeColor="text1"/>
          <w:sz w:val="28"/>
          <w:szCs w:val="28"/>
          <w:lang w:val="uk-UA" w:eastAsia="en-US"/>
        </w:rPr>
        <w:t xml:space="preserve">Рис. 4.45. </w:t>
      </w:r>
      <w:r w:rsidRPr="00CE0A20">
        <w:rPr>
          <w:rFonts w:ascii="Times New Roman" w:eastAsiaTheme="minorHAnsi" w:hAnsi="Times New Roman" w:cs="Times New Roman"/>
          <w:color w:val="000000" w:themeColor="text1"/>
          <w:sz w:val="28"/>
          <w:szCs w:val="28"/>
          <w:lang w:val="uk-UA" w:eastAsia="en-US"/>
        </w:rPr>
        <w:t>Яєчко інтактного щура після смерті природним шляхом: гіпертрофія клітин Лейдіга (</w:t>
      </w:r>
      <w:r w:rsidR="004C1F95">
        <w:rPr>
          <w:rFonts w:ascii="Times New Roman" w:eastAsiaTheme="minorHAnsi" w:hAnsi="Times New Roman" w:cs="Times New Roman"/>
          <w:color w:val="000000" w:themeColor="text1"/>
          <w:sz w:val="28"/>
          <w:szCs w:val="28"/>
          <w:lang w:val="uk-UA" w:eastAsia="en-US"/>
        </w:rPr>
        <w:t>зб.</w:t>
      </w:r>
      <w:r w:rsidRPr="00CE0A20">
        <w:rPr>
          <w:rFonts w:ascii="Times New Roman" w:eastAsiaTheme="minorHAnsi" w:hAnsi="Times New Roman" w:cs="Times New Roman"/>
          <w:color w:val="000000" w:themeColor="text1"/>
          <w:sz w:val="28"/>
          <w:szCs w:val="28"/>
          <w:lang w:val="uk-UA" w:eastAsia="en-US"/>
        </w:rPr>
        <w:t>х400).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spacing w:line="360" w:lineRule="auto"/>
        <w:ind w:firstLine="851"/>
        <w:jc w:val="both"/>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color w:val="000000" w:themeColor="text1"/>
          <w:sz w:val="28"/>
          <w:szCs w:val="28"/>
          <w:lang w:val="uk-UA" w:eastAsia="en-US"/>
        </w:rPr>
        <w:t xml:space="preserve">Слід відмітити, що серед інтактних щурів похилого віку виявлено й поодинокі випадки вогнищевого (рис. 4.46) або дифузного асперматогенезу (рис. 4.47). </w:t>
      </w:r>
    </w:p>
    <w:p w:rsidR="001C43D0" w:rsidRPr="00CE0A20" w:rsidRDefault="001C43D0" w:rsidP="001C43D0">
      <w:pPr>
        <w:spacing w:line="360" w:lineRule="auto"/>
        <w:jc w:val="center"/>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noProof/>
          <w:color w:val="000000" w:themeColor="text1"/>
          <w:sz w:val="28"/>
          <w:szCs w:val="28"/>
        </w:rPr>
        <w:drawing>
          <wp:inline distT="0" distB="0" distL="0" distR="0" wp14:anchorId="4B2282B1" wp14:editId="05FC8DC8">
            <wp:extent cx="3303205" cy="2583276"/>
            <wp:effectExtent l="0" t="0" r="0" b="762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310684" cy="2589125"/>
                    </a:xfrm>
                    <a:prstGeom prst="rect">
                      <a:avLst/>
                    </a:prstGeom>
                    <a:noFill/>
                    <a:ln>
                      <a:noFill/>
                    </a:ln>
                  </pic:spPr>
                </pic:pic>
              </a:graphicData>
            </a:graphic>
          </wp:inline>
        </w:drawing>
      </w:r>
    </w:p>
    <w:p w:rsidR="001C43D0" w:rsidRPr="004C1F95" w:rsidRDefault="001C43D0" w:rsidP="001C43D0">
      <w:pPr>
        <w:autoSpaceDE w:val="0"/>
        <w:autoSpaceDN w:val="0"/>
        <w:adjustRightInd w:val="0"/>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bCs/>
          <w:color w:val="000000" w:themeColor="text1"/>
          <w:sz w:val="28"/>
          <w:szCs w:val="28"/>
          <w:lang w:eastAsia="en-US"/>
        </w:rPr>
        <w:t xml:space="preserve">Рис. </w:t>
      </w:r>
      <w:r w:rsidRPr="00CE0A20">
        <w:rPr>
          <w:rFonts w:ascii="Times New Roman" w:eastAsiaTheme="minorHAnsi" w:hAnsi="Times New Roman" w:cs="Times New Roman"/>
          <w:bCs/>
          <w:color w:val="000000" w:themeColor="text1"/>
          <w:sz w:val="28"/>
          <w:szCs w:val="28"/>
          <w:lang w:val="uk-UA" w:eastAsia="en-US"/>
        </w:rPr>
        <w:t>4.46.</w:t>
      </w:r>
      <w:r w:rsidRPr="00CE0A20">
        <w:rPr>
          <w:rFonts w:ascii="Times New Roman" w:eastAsiaTheme="minorHAnsi" w:hAnsi="Times New Roman" w:cs="Times New Roman"/>
          <w:color w:val="000000" w:themeColor="text1"/>
          <w:sz w:val="28"/>
          <w:szCs w:val="28"/>
          <w:lang w:eastAsia="en-US"/>
        </w:rPr>
        <w:t xml:space="preserve"> Яєчко </w:t>
      </w:r>
      <w:r w:rsidRPr="00CE0A20">
        <w:rPr>
          <w:rFonts w:ascii="Times New Roman" w:eastAsiaTheme="minorHAnsi" w:hAnsi="Times New Roman" w:cs="Times New Roman"/>
          <w:color w:val="000000" w:themeColor="text1"/>
          <w:sz w:val="28"/>
          <w:szCs w:val="28"/>
          <w:lang w:val="uk-UA" w:eastAsia="en-US"/>
        </w:rPr>
        <w:t xml:space="preserve">інтактного </w:t>
      </w:r>
      <w:r w:rsidRPr="00CE0A20">
        <w:rPr>
          <w:rFonts w:ascii="Times New Roman" w:eastAsiaTheme="minorHAnsi" w:hAnsi="Times New Roman" w:cs="Times New Roman"/>
          <w:color w:val="000000" w:themeColor="text1"/>
          <w:sz w:val="28"/>
          <w:szCs w:val="28"/>
          <w:lang w:eastAsia="en-US"/>
        </w:rPr>
        <w:t>щура</w:t>
      </w:r>
      <w:r w:rsidRPr="00CE0A20">
        <w:rPr>
          <w:rFonts w:ascii="Times New Roman" w:eastAsiaTheme="minorHAnsi" w:hAnsi="Times New Roman" w:cs="Times New Roman"/>
          <w:color w:val="000000" w:themeColor="text1"/>
          <w:sz w:val="28"/>
          <w:szCs w:val="28"/>
          <w:lang w:val="uk-UA" w:eastAsia="en-US"/>
        </w:rPr>
        <w:t xml:space="preserve"> після смерті природним шляхом:</w:t>
      </w:r>
      <w:r w:rsidRPr="00CE0A20">
        <w:rPr>
          <w:rFonts w:ascii="Times New Roman" w:eastAsiaTheme="minorHAnsi" w:hAnsi="Times New Roman" w:cs="Times New Roman"/>
          <w:color w:val="000000" w:themeColor="text1"/>
          <w:sz w:val="28"/>
          <w:szCs w:val="28"/>
          <w:lang w:eastAsia="en-US"/>
        </w:rPr>
        <w:t xml:space="preserve"> </w:t>
      </w:r>
      <w:r w:rsidRPr="00CE0A20">
        <w:rPr>
          <w:rFonts w:ascii="Times New Roman" w:eastAsiaTheme="minorHAnsi" w:hAnsi="Times New Roman" w:cs="Times New Roman"/>
          <w:color w:val="000000" w:themeColor="text1"/>
          <w:sz w:val="28"/>
          <w:szCs w:val="28"/>
          <w:lang w:val="uk-UA" w:eastAsia="en-US"/>
        </w:rPr>
        <w:t xml:space="preserve"> </w:t>
      </w:r>
      <w:r w:rsidRPr="00CE0A20">
        <w:rPr>
          <w:rFonts w:ascii="Times New Roman" w:eastAsiaTheme="minorHAnsi" w:hAnsi="Times New Roman" w:cs="Times New Roman"/>
          <w:color w:val="000000" w:themeColor="text1"/>
          <w:sz w:val="28"/>
          <w:szCs w:val="28"/>
          <w:lang w:eastAsia="en-US"/>
        </w:rPr>
        <w:t>вогнищевий асперматогенез (</w:t>
      </w:r>
      <w:r w:rsidR="004C1F95">
        <w:rPr>
          <w:rFonts w:ascii="Times New Roman" w:eastAsiaTheme="minorHAnsi" w:hAnsi="Times New Roman" w:cs="Times New Roman"/>
          <w:color w:val="000000" w:themeColor="text1"/>
          <w:sz w:val="28"/>
          <w:szCs w:val="28"/>
          <w:lang w:val="uk-UA" w:eastAsia="en-US"/>
        </w:rPr>
        <w:t>зб.</w:t>
      </w:r>
      <w:r w:rsidRPr="00CE0A20">
        <w:rPr>
          <w:rFonts w:ascii="Times New Roman" w:eastAsiaTheme="minorHAnsi" w:hAnsi="Times New Roman" w:cs="Times New Roman"/>
          <w:color w:val="000000" w:themeColor="text1"/>
          <w:sz w:val="28"/>
          <w:szCs w:val="28"/>
          <w:lang w:eastAsia="en-US"/>
        </w:rPr>
        <w:t>х200).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spacing w:line="360" w:lineRule="auto"/>
        <w:ind w:firstLine="851"/>
        <w:jc w:val="both"/>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autoSpaceDE w:val="0"/>
        <w:autoSpaceDN w:val="0"/>
        <w:adjustRightInd w:val="0"/>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4D7DE17" wp14:editId="286FE72F">
            <wp:extent cx="3081562" cy="3501022"/>
            <wp:effectExtent l="0" t="0" r="5080" b="4445"/>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084890" cy="3504803"/>
                    </a:xfrm>
                    <a:prstGeom prst="rect">
                      <a:avLst/>
                    </a:prstGeom>
                    <a:noFill/>
                    <a:ln>
                      <a:noFill/>
                    </a:ln>
                  </pic:spPr>
                </pic:pic>
              </a:graphicData>
            </a:graphic>
          </wp:inline>
        </w:drawing>
      </w:r>
    </w:p>
    <w:p w:rsidR="001C43D0" w:rsidRPr="00CE0A20" w:rsidRDefault="001C43D0" w:rsidP="001C43D0">
      <w:pPr>
        <w:autoSpaceDE w:val="0"/>
        <w:autoSpaceDN w:val="0"/>
        <w:adjustRightInd w:val="0"/>
        <w:ind w:firstLine="851"/>
        <w:jc w:val="both"/>
        <w:rPr>
          <w:rFonts w:ascii="Times New Roman" w:eastAsiaTheme="minorHAnsi" w:hAnsi="Times New Roman" w:cs="Times New Roman"/>
          <w:bCs/>
          <w:color w:val="000000" w:themeColor="text1"/>
          <w:sz w:val="28"/>
          <w:szCs w:val="28"/>
          <w:lang w:val="uk-UA" w:eastAsia="en-US"/>
        </w:rPr>
      </w:pPr>
    </w:p>
    <w:p w:rsidR="001C43D0" w:rsidRPr="00CE0A20" w:rsidRDefault="001C43D0" w:rsidP="004C1F95">
      <w:pPr>
        <w:autoSpaceDE w:val="0"/>
        <w:autoSpaceDN w:val="0"/>
        <w:adjustRightInd w:val="0"/>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bCs/>
          <w:color w:val="000000" w:themeColor="text1"/>
          <w:sz w:val="28"/>
          <w:szCs w:val="28"/>
          <w:lang w:eastAsia="en-US"/>
        </w:rPr>
        <w:t xml:space="preserve">Рис. </w:t>
      </w:r>
      <w:r w:rsidRPr="00CE0A20">
        <w:rPr>
          <w:rFonts w:ascii="Times New Roman" w:eastAsiaTheme="minorHAnsi" w:hAnsi="Times New Roman" w:cs="Times New Roman"/>
          <w:bCs/>
          <w:color w:val="000000" w:themeColor="text1"/>
          <w:sz w:val="28"/>
          <w:szCs w:val="28"/>
          <w:lang w:val="uk-UA" w:eastAsia="en-US"/>
        </w:rPr>
        <w:t>4.47.</w:t>
      </w:r>
      <w:r w:rsidRPr="00CE0A20">
        <w:rPr>
          <w:rFonts w:ascii="Times New Roman" w:eastAsiaTheme="minorHAnsi" w:hAnsi="Times New Roman" w:cs="Times New Roman"/>
          <w:color w:val="000000" w:themeColor="text1"/>
          <w:sz w:val="28"/>
          <w:szCs w:val="28"/>
          <w:lang w:eastAsia="en-US"/>
        </w:rPr>
        <w:t xml:space="preserve"> Яєчко </w:t>
      </w:r>
      <w:r w:rsidRPr="00CE0A20">
        <w:rPr>
          <w:rFonts w:ascii="Times New Roman" w:eastAsiaTheme="minorHAnsi" w:hAnsi="Times New Roman" w:cs="Times New Roman"/>
          <w:color w:val="000000" w:themeColor="text1"/>
          <w:sz w:val="28"/>
          <w:szCs w:val="28"/>
          <w:lang w:val="uk-UA" w:eastAsia="en-US"/>
        </w:rPr>
        <w:t xml:space="preserve">інтактного </w:t>
      </w:r>
      <w:r w:rsidRPr="00CE0A20">
        <w:rPr>
          <w:rFonts w:ascii="Times New Roman" w:eastAsiaTheme="minorHAnsi" w:hAnsi="Times New Roman" w:cs="Times New Roman"/>
          <w:color w:val="000000" w:themeColor="text1"/>
          <w:sz w:val="28"/>
          <w:szCs w:val="28"/>
          <w:lang w:eastAsia="en-US"/>
        </w:rPr>
        <w:t>щура</w:t>
      </w:r>
      <w:r w:rsidRPr="00CE0A20">
        <w:rPr>
          <w:rFonts w:ascii="Times New Roman" w:eastAsiaTheme="minorHAnsi" w:hAnsi="Times New Roman" w:cs="Times New Roman"/>
          <w:color w:val="000000" w:themeColor="text1"/>
          <w:sz w:val="28"/>
          <w:szCs w:val="28"/>
          <w:lang w:val="uk-UA" w:eastAsia="en-US"/>
        </w:rPr>
        <w:t xml:space="preserve"> після смерті природним шляхом:</w:t>
      </w:r>
      <w:r w:rsidRPr="00CE0A20">
        <w:rPr>
          <w:rFonts w:ascii="Times New Roman" w:eastAsiaTheme="minorHAnsi" w:hAnsi="Times New Roman" w:cs="Times New Roman"/>
          <w:color w:val="000000" w:themeColor="text1"/>
          <w:sz w:val="28"/>
          <w:szCs w:val="28"/>
          <w:lang w:eastAsia="en-US"/>
        </w:rPr>
        <w:t xml:space="preserve"> </w:t>
      </w:r>
      <w:r w:rsidRPr="00CE0A20">
        <w:rPr>
          <w:rFonts w:ascii="Times New Roman" w:eastAsiaTheme="minorHAnsi" w:hAnsi="Times New Roman" w:cs="Times New Roman"/>
          <w:color w:val="000000" w:themeColor="text1"/>
          <w:sz w:val="28"/>
          <w:szCs w:val="28"/>
          <w:lang w:val="uk-UA" w:eastAsia="en-US"/>
        </w:rPr>
        <w:t xml:space="preserve"> </w:t>
      </w:r>
      <w:r w:rsidRPr="00CE0A20">
        <w:rPr>
          <w:rFonts w:ascii="Times New Roman" w:eastAsiaTheme="minorHAnsi" w:hAnsi="Times New Roman" w:cs="Times New Roman"/>
          <w:color w:val="000000" w:themeColor="text1"/>
          <w:sz w:val="28"/>
          <w:szCs w:val="28"/>
          <w:lang w:eastAsia="en-US"/>
        </w:rPr>
        <w:t>дифузний асперматогене</w:t>
      </w:r>
      <w:r w:rsidR="004C1F95">
        <w:rPr>
          <w:rFonts w:ascii="Times New Roman" w:eastAsiaTheme="minorHAnsi" w:hAnsi="Times New Roman" w:cs="Times New Roman"/>
          <w:color w:val="000000" w:themeColor="text1"/>
          <w:sz w:val="28"/>
          <w:szCs w:val="28"/>
          <w:lang w:eastAsia="en-US"/>
        </w:rPr>
        <w:t xml:space="preserve">з, оболонки канальців зморщені </w:t>
      </w:r>
      <w:r w:rsidR="004C1F95" w:rsidRPr="00CE0A20">
        <w:rPr>
          <w:rFonts w:ascii="Times New Roman" w:eastAsiaTheme="minorHAnsi" w:hAnsi="Times New Roman" w:cs="Times New Roman"/>
          <w:color w:val="000000" w:themeColor="text1"/>
          <w:sz w:val="28"/>
          <w:szCs w:val="28"/>
          <w:lang w:eastAsia="en-US"/>
        </w:rPr>
        <w:t>(</w:t>
      </w:r>
      <w:r w:rsidR="004C1F95">
        <w:rPr>
          <w:rFonts w:ascii="Times New Roman" w:eastAsiaTheme="minorHAnsi" w:hAnsi="Times New Roman" w:cs="Times New Roman"/>
          <w:color w:val="000000" w:themeColor="text1"/>
          <w:sz w:val="28"/>
          <w:szCs w:val="28"/>
          <w:lang w:val="uk-UA" w:eastAsia="en-US"/>
        </w:rPr>
        <w:t>зб.</w:t>
      </w:r>
      <w:r w:rsidR="004C1F95" w:rsidRPr="00CE0A20">
        <w:rPr>
          <w:rFonts w:ascii="Times New Roman" w:eastAsiaTheme="minorHAnsi" w:hAnsi="Times New Roman" w:cs="Times New Roman"/>
          <w:color w:val="000000" w:themeColor="text1"/>
          <w:sz w:val="28"/>
          <w:szCs w:val="28"/>
          <w:lang w:eastAsia="en-US"/>
        </w:rPr>
        <w:t>х</w:t>
      </w:r>
      <w:r w:rsidR="004C1F95">
        <w:rPr>
          <w:rFonts w:ascii="Times New Roman" w:eastAsiaTheme="minorHAnsi" w:hAnsi="Times New Roman" w:cs="Times New Roman"/>
          <w:color w:val="000000" w:themeColor="text1"/>
          <w:sz w:val="28"/>
          <w:szCs w:val="28"/>
          <w:lang w:val="uk-UA" w:eastAsia="en-US"/>
        </w:rPr>
        <w:t>1</w:t>
      </w:r>
      <w:r w:rsidR="004C1F95" w:rsidRPr="00CE0A20">
        <w:rPr>
          <w:rFonts w:ascii="Times New Roman" w:eastAsiaTheme="minorHAnsi" w:hAnsi="Times New Roman" w:cs="Times New Roman"/>
          <w:color w:val="000000" w:themeColor="text1"/>
          <w:sz w:val="28"/>
          <w:szCs w:val="28"/>
          <w:lang w:eastAsia="en-US"/>
        </w:rPr>
        <w:t>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spacing w:line="360" w:lineRule="auto"/>
        <w:ind w:firstLine="851"/>
        <w:jc w:val="both"/>
        <w:rPr>
          <w:rFonts w:ascii="Times New Roman" w:eastAsiaTheme="minorHAnsi" w:hAnsi="Times New Roman" w:cs="Times New Roman"/>
          <w:color w:val="000000" w:themeColor="text1"/>
          <w:sz w:val="28"/>
          <w:szCs w:val="28"/>
          <w:lang w:eastAsia="en-US"/>
        </w:rPr>
      </w:pPr>
      <w:r w:rsidRPr="00CE0A20">
        <w:rPr>
          <w:rFonts w:ascii="Times New Roman" w:eastAsiaTheme="minorHAnsi" w:hAnsi="Times New Roman" w:cs="Times New Roman"/>
          <w:color w:val="000000" w:themeColor="text1"/>
          <w:sz w:val="28"/>
          <w:szCs w:val="28"/>
          <w:lang w:eastAsia="en-US"/>
        </w:rPr>
        <w:t xml:space="preserve">Перелічені вище ознаки свідчать про появу </w:t>
      </w:r>
      <w:r w:rsidRPr="00CE0A20">
        <w:rPr>
          <w:rFonts w:ascii="Times New Roman" w:eastAsiaTheme="minorHAnsi" w:hAnsi="Times New Roman" w:cs="Times New Roman"/>
          <w:color w:val="000000" w:themeColor="text1"/>
          <w:sz w:val="28"/>
          <w:szCs w:val="28"/>
          <w:lang w:val="uk-UA" w:eastAsia="en-US"/>
        </w:rPr>
        <w:t xml:space="preserve">в </w:t>
      </w:r>
      <w:r w:rsidRPr="00CE0A20">
        <w:rPr>
          <w:rFonts w:ascii="Times New Roman" w:eastAsiaTheme="minorHAnsi" w:hAnsi="Times New Roman" w:cs="Times New Roman"/>
          <w:color w:val="000000" w:themeColor="text1"/>
          <w:sz w:val="28"/>
          <w:szCs w:val="28"/>
          <w:lang w:eastAsia="en-US"/>
        </w:rPr>
        <w:t>щурів межового похилого віку ознак певного пригнічення, а в поодиноких випадках повного припинення сперматогенезу. Ознак пухлинних процесів не виявлено.</w:t>
      </w: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rPr>
        <w:t>У паренхімі ВЧПЗ інтактних щурів цього віку спостерігали виразне коливання розміру ацинусів простатичних залоз, часто звивистість їх контурів, сплощення епітеліальних клітин. Секрет у просвіті частини ацинусів був потужно пофарбований, у просвіті окремих ацинусів виявлен</w:t>
      </w:r>
      <w:r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rPr>
        <w:t xml:space="preserve"> конкременти — згустки секрету з т</w:t>
      </w:r>
      <w:r w:rsidRPr="00CE0A20">
        <w:rPr>
          <w:rFonts w:ascii="Times New Roman" w:hAnsi="Times New Roman" w:cs="Times New Roman"/>
          <w:color w:val="000000" w:themeColor="text1"/>
          <w:sz w:val="28"/>
          <w:szCs w:val="28"/>
          <w:lang w:val="uk-UA"/>
        </w:rPr>
        <w:t>им</w:t>
      </w:r>
      <w:r w:rsidRPr="00CE0A20">
        <w:rPr>
          <w:rFonts w:ascii="Times New Roman" w:hAnsi="Times New Roman" w:cs="Times New Roman"/>
          <w:color w:val="000000" w:themeColor="text1"/>
          <w:sz w:val="28"/>
          <w:szCs w:val="28"/>
        </w:rPr>
        <w:t xml:space="preserve"> чи </w:t>
      </w:r>
      <w:r w:rsidRPr="00CE0A20">
        <w:rPr>
          <w:rFonts w:ascii="Times New Roman" w:hAnsi="Times New Roman" w:cs="Times New Roman"/>
          <w:color w:val="000000" w:themeColor="text1"/>
          <w:sz w:val="28"/>
          <w:szCs w:val="28"/>
          <w:lang w:val="uk-UA"/>
        </w:rPr>
        <w:t xml:space="preserve">іншим </w:t>
      </w:r>
      <w:r w:rsidRPr="00CE0A20">
        <w:rPr>
          <w:rFonts w:ascii="Times New Roman" w:hAnsi="Times New Roman" w:cs="Times New Roman"/>
          <w:color w:val="000000" w:themeColor="text1"/>
          <w:sz w:val="28"/>
          <w:szCs w:val="28"/>
        </w:rPr>
        <w:t>ступен</w:t>
      </w:r>
      <w:r w:rsidRPr="00CE0A20">
        <w:rPr>
          <w:rFonts w:ascii="Times New Roman" w:hAnsi="Times New Roman" w:cs="Times New Roman"/>
          <w:color w:val="000000" w:themeColor="text1"/>
          <w:sz w:val="28"/>
          <w:szCs w:val="28"/>
          <w:lang w:val="uk-UA"/>
        </w:rPr>
        <w:t>ем</w:t>
      </w:r>
      <w:r w:rsidRPr="00CE0A20">
        <w:rPr>
          <w:rFonts w:ascii="Times New Roman" w:hAnsi="Times New Roman" w:cs="Times New Roman"/>
          <w:color w:val="000000" w:themeColor="text1"/>
          <w:sz w:val="28"/>
          <w:szCs w:val="28"/>
        </w:rPr>
        <w:t xml:space="preserve"> просякання мінеральними солями. Збільшення міжацинарної строми залози не спостерігали (рис. </w:t>
      </w:r>
      <w:r w:rsidRPr="00CE0A20">
        <w:rPr>
          <w:rFonts w:ascii="Times New Roman" w:hAnsi="Times New Roman" w:cs="Times New Roman"/>
          <w:color w:val="000000" w:themeColor="text1"/>
          <w:sz w:val="28"/>
          <w:szCs w:val="28"/>
          <w:lang w:val="uk-UA"/>
        </w:rPr>
        <w:t>4. 48, 4.49</w:t>
      </w:r>
      <w:r w:rsidRPr="00CE0A20">
        <w:rPr>
          <w:rFonts w:ascii="Times New Roman" w:hAnsi="Times New Roman" w:cs="Times New Roman"/>
          <w:color w:val="000000" w:themeColor="text1"/>
          <w:sz w:val="28"/>
          <w:szCs w:val="28"/>
        </w:rPr>
        <w:t xml:space="preserve">). </w:t>
      </w:r>
    </w:p>
    <w:p w:rsidR="001C43D0" w:rsidRPr="00CE0A20" w:rsidRDefault="001C43D0" w:rsidP="001C43D0">
      <w:pPr>
        <w:spacing w:line="360" w:lineRule="auto"/>
        <w:ind w:firstLine="851"/>
        <w:jc w:val="both"/>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autoSpaceDE w:val="0"/>
        <w:autoSpaceDN w:val="0"/>
        <w:adjustRightInd w:val="0"/>
        <w:ind w:firstLine="851"/>
        <w:rPr>
          <w:rFonts w:ascii="Times New Roman" w:hAnsi="Times New Roman" w:cs="Times New Roman"/>
          <w:color w:val="000000" w:themeColor="text1"/>
          <w:sz w:val="28"/>
          <w:szCs w:val="28"/>
          <w:lang w:val="uk-UA"/>
        </w:rPr>
      </w:pPr>
    </w:p>
    <w:p w:rsidR="001C43D0" w:rsidRPr="00CE0A20" w:rsidRDefault="001C43D0" w:rsidP="001C43D0">
      <w:pPr>
        <w:autoSpaceDE w:val="0"/>
        <w:autoSpaceDN w:val="0"/>
        <w:adjustRightInd w:val="0"/>
        <w:ind w:firstLine="851"/>
        <w:jc w:val="both"/>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autoSpaceDE w:val="0"/>
        <w:autoSpaceDN w:val="0"/>
        <w:adjustRightInd w:val="0"/>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6804ACD8" wp14:editId="1667D235">
            <wp:extent cx="3689350" cy="2616835"/>
            <wp:effectExtent l="0" t="0" r="635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689350" cy="2616835"/>
                    </a:xfrm>
                    <a:prstGeom prst="rect">
                      <a:avLst/>
                    </a:prstGeom>
                    <a:noFill/>
                    <a:ln>
                      <a:noFill/>
                    </a:ln>
                  </pic:spPr>
                </pic:pic>
              </a:graphicData>
            </a:graphic>
          </wp:inline>
        </w:drawing>
      </w:r>
    </w:p>
    <w:p w:rsidR="001C43D0" w:rsidRPr="00CE0A20" w:rsidRDefault="001C43D0" w:rsidP="001C43D0">
      <w:pPr>
        <w:autoSpaceDE w:val="0"/>
        <w:autoSpaceDN w:val="0"/>
        <w:adjustRightInd w:val="0"/>
        <w:ind w:firstLine="709"/>
        <w:jc w:val="both"/>
        <w:rPr>
          <w:rFonts w:ascii="Times New Roman" w:eastAsiaTheme="minorHAnsi" w:hAnsi="Times New Roman" w:cs="Times New Roman"/>
          <w:bCs/>
          <w:color w:val="000000" w:themeColor="text1"/>
          <w:sz w:val="28"/>
          <w:szCs w:val="28"/>
          <w:lang w:val="uk-UA" w:eastAsia="en-US"/>
        </w:rPr>
      </w:pPr>
    </w:p>
    <w:p w:rsidR="004C1F95" w:rsidRPr="00CE0A20" w:rsidRDefault="001C43D0" w:rsidP="004C1F95">
      <w:pPr>
        <w:autoSpaceDE w:val="0"/>
        <w:autoSpaceDN w:val="0"/>
        <w:adjustRightInd w:val="0"/>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bCs/>
          <w:color w:val="000000" w:themeColor="text1"/>
          <w:sz w:val="28"/>
          <w:szCs w:val="28"/>
          <w:lang w:eastAsia="en-US"/>
        </w:rPr>
        <w:t xml:space="preserve">Рис. </w:t>
      </w:r>
      <w:r w:rsidRPr="00CE0A20">
        <w:rPr>
          <w:rFonts w:ascii="Times New Roman" w:eastAsiaTheme="minorHAnsi" w:hAnsi="Times New Roman" w:cs="Times New Roman"/>
          <w:bCs/>
          <w:color w:val="000000" w:themeColor="text1"/>
          <w:sz w:val="28"/>
          <w:szCs w:val="28"/>
          <w:lang w:val="uk-UA" w:eastAsia="en-US"/>
        </w:rPr>
        <w:t>4.48</w:t>
      </w:r>
      <w:r w:rsidRPr="00CE0A20">
        <w:rPr>
          <w:rFonts w:ascii="Times New Roman" w:eastAsiaTheme="minorHAnsi" w:hAnsi="Times New Roman" w:cs="Times New Roman"/>
          <w:bCs/>
          <w:color w:val="000000" w:themeColor="text1"/>
          <w:sz w:val="28"/>
          <w:szCs w:val="28"/>
          <w:lang w:eastAsia="en-US"/>
        </w:rPr>
        <w:t xml:space="preserve">. </w:t>
      </w:r>
      <w:r w:rsidRPr="00CE0A20">
        <w:rPr>
          <w:rFonts w:ascii="Times New Roman" w:eastAsiaTheme="minorHAnsi" w:hAnsi="Times New Roman" w:cs="Times New Roman"/>
          <w:color w:val="000000" w:themeColor="text1"/>
          <w:sz w:val="28"/>
          <w:szCs w:val="28"/>
          <w:lang w:eastAsia="en-US"/>
        </w:rPr>
        <w:t xml:space="preserve">ВЧПЗ </w:t>
      </w:r>
      <w:r w:rsidRPr="00CE0A20">
        <w:rPr>
          <w:rFonts w:ascii="Times New Roman" w:eastAsiaTheme="minorHAnsi" w:hAnsi="Times New Roman" w:cs="Times New Roman"/>
          <w:color w:val="000000" w:themeColor="text1"/>
          <w:sz w:val="28"/>
          <w:szCs w:val="28"/>
          <w:lang w:val="uk-UA" w:eastAsia="en-US"/>
        </w:rPr>
        <w:t xml:space="preserve">інтактного </w:t>
      </w:r>
      <w:r w:rsidRPr="00CE0A20">
        <w:rPr>
          <w:rFonts w:ascii="Times New Roman" w:eastAsiaTheme="minorHAnsi" w:hAnsi="Times New Roman" w:cs="Times New Roman"/>
          <w:color w:val="000000" w:themeColor="text1"/>
          <w:sz w:val="28"/>
          <w:szCs w:val="28"/>
          <w:lang w:eastAsia="en-US"/>
        </w:rPr>
        <w:t>щура</w:t>
      </w:r>
      <w:r w:rsidRPr="00CE0A20">
        <w:rPr>
          <w:rFonts w:ascii="Times New Roman" w:eastAsiaTheme="minorHAnsi" w:hAnsi="Times New Roman" w:cs="Times New Roman"/>
          <w:color w:val="000000" w:themeColor="text1"/>
          <w:sz w:val="28"/>
          <w:szCs w:val="28"/>
          <w:lang w:val="uk-UA" w:eastAsia="en-US"/>
        </w:rPr>
        <w:t xml:space="preserve"> після смерті природним шляхом:</w:t>
      </w:r>
      <w:r w:rsidRPr="00CE0A20">
        <w:rPr>
          <w:rFonts w:ascii="Times New Roman" w:eastAsiaTheme="minorHAnsi" w:hAnsi="Times New Roman" w:cs="Times New Roman"/>
          <w:color w:val="000000" w:themeColor="text1"/>
          <w:sz w:val="28"/>
          <w:szCs w:val="28"/>
          <w:lang w:eastAsia="en-US"/>
        </w:rPr>
        <w:t xml:space="preserve"> коливання розміру ацинусів простатичних залозок. </w:t>
      </w:r>
      <w:r w:rsidR="004C1F95" w:rsidRPr="00CE0A20">
        <w:rPr>
          <w:rFonts w:ascii="Times New Roman" w:eastAsiaTheme="minorHAnsi" w:hAnsi="Times New Roman" w:cs="Times New Roman"/>
          <w:color w:val="000000" w:themeColor="text1"/>
          <w:sz w:val="28"/>
          <w:szCs w:val="28"/>
          <w:lang w:eastAsia="en-US"/>
        </w:rPr>
        <w:t>(</w:t>
      </w:r>
      <w:r w:rsidR="004C1F95">
        <w:rPr>
          <w:rFonts w:ascii="Times New Roman" w:eastAsiaTheme="minorHAnsi" w:hAnsi="Times New Roman" w:cs="Times New Roman"/>
          <w:color w:val="000000" w:themeColor="text1"/>
          <w:sz w:val="28"/>
          <w:szCs w:val="28"/>
          <w:lang w:val="uk-UA" w:eastAsia="en-US"/>
        </w:rPr>
        <w:t>зб.</w:t>
      </w:r>
      <w:r w:rsidR="004C1F95" w:rsidRPr="00CE0A20">
        <w:rPr>
          <w:rFonts w:ascii="Times New Roman" w:eastAsiaTheme="minorHAnsi" w:hAnsi="Times New Roman" w:cs="Times New Roman"/>
          <w:color w:val="000000" w:themeColor="text1"/>
          <w:sz w:val="28"/>
          <w:szCs w:val="28"/>
          <w:lang w:eastAsia="en-US"/>
        </w:rPr>
        <w:t>х</w:t>
      </w:r>
      <w:r w:rsidR="004C1F95">
        <w:rPr>
          <w:rFonts w:ascii="Times New Roman" w:eastAsiaTheme="minorHAnsi" w:hAnsi="Times New Roman" w:cs="Times New Roman"/>
          <w:color w:val="000000" w:themeColor="text1"/>
          <w:sz w:val="28"/>
          <w:szCs w:val="28"/>
          <w:lang w:val="uk-UA" w:eastAsia="en-US"/>
        </w:rPr>
        <w:t>1</w:t>
      </w:r>
      <w:r w:rsidR="004C1F95" w:rsidRPr="00CE0A20">
        <w:rPr>
          <w:rFonts w:ascii="Times New Roman" w:eastAsiaTheme="minorHAnsi" w:hAnsi="Times New Roman" w:cs="Times New Roman"/>
          <w:color w:val="000000" w:themeColor="text1"/>
          <w:sz w:val="28"/>
          <w:szCs w:val="28"/>
          <w:lang w:eastAsia="en-US"/>
        </w:rPr>
        <w:t>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4C1F95">
      <w:pPr>
        <w:autoSpaceDE w:val="0"/>
        <w:autoSpaceDN w:val="0"/>
        <w:adjustRightInd w:val="0"/>
        <w:spacing w:line="360" w:lineRule="auto"/>
        <w:ind w:firstLine="709"/>
        <w:jc w:val="both"/>
        <w:rPr>
          <w:rFonts w:ascii="Times New Roman" w:hAnsi="Times New Roman" w:cs="Times New Roman"/>
          <w:noProof/>
          <w:color w:val="000000" w:themeColor="text1"/>
          <w:sz w:val="28"/>
          <w:szCs w:val="28"/>
          <w:lang w:val="uk-UA"/>
        </w:rPr>
      </w:pPr>
    </w:p>
    <w:p w:rsidR="001C43D0" w:rsidRPr="00CE0A20" w:rsidRDefault="001C43D0" w:rsidP="001C43D0">
      <w:pPr>
        <w:autoSpaceDE w:val="0"/>
        <w:autoSpaceDN w:val="0"/>
        <w:adjustRightInd w:val="0"/>
        <w:jc w:val="center"/>
        <w:rPr>
          <w:rFonts w:ascii="Times New Roman" w:hAnsi="Times New Roman" w:cs="Times New Roman"/>
          <w:noProof/>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27F7F8C6" wp14:editId="6F0F7C46">
            <wp:extent cx="3214631" cy="3594538"/>
            <wp:effectExtent l="0" t="0" r="5080" b="635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214686" cy="3594599"/>
                    </a:xfrm>
                    <a:prstGeom prst="rect">
                      <a:avLst/>
                    </a:prstGeom>
                    <a:noFill/>
                    <a:ln>
                      <a:noFill/>
                    </a:ln>
                  </pic:spPr>
                </pic:pic>
              </a:graphicData>
            </a:graphic>
          </wp:inline>
        </w:drawing>
      </w:r>
    </w:p>
    <w:p w:rsidR="001C43D0" w:rsidRPr="00CE0A20" w:rsidRDefault="001C43D0" w:rsidP="001C43D0">
      <w:pPr>
        <w:autoSpaceDE w:val="0"/>
        <w:autoSpaceDN w:val="0"/>
        <w:adjustRightInd w:val="0"/>
        <w:ind w:firstLine="708"/>
        <w:jc w:val="both"/>
        <w:rPr>
          <w:rFonts w:ascii="Times New Roman" w:eastAsiaTheme="minorHAnsi" w:hAnsi="Times New Roman" w:cs="Times New Roman"/>
          <w:bCs/>
          <w:color w:val="000000" w:themeColor="text1"/>
          <w:sz w:val="28"/>
          <w:szCs w:val="28"/>
          <w:lang w:val="uk-UA" w:eastAsia="en-US"/>
        </w:rPr>
      </w:pPr>
    </w:p>
    <w:p w:rsidR="004C1F95" w:rsidRPr="00CE0A20" w:rsidRDefault="001C43D0" w:rsidP="004C1F95">
      <w:pPr>
        <w:autoSpaceDE w:val="0"/>
        <w:autoSpaceDN w:val="0"/>
        <w:adjustRightInd w:val="0"/>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bCs/>
          <w:color w:val="000000" w:themeColor="text1"/>
          <w:sz w:val="28"/>
          <w:szCs w:val="28"/>
          <w:lang w:eastAsia="en-US"/>
        </w:rPr>
        <w:t xml:space="preserve">Рис. </w:t>
      </w:r>
      <w:r w:rsidRPr="00CE0A20">
        <w:rPr>
          <w:rFonts w:ascii="Times New Roman" w:eastAsiaTheme="minorHAnsi" w:hAnsi="Times New Roman" w:cs="Times New Roman"/>
          <w:bCs/>
          <w:color w:val="000000" w:themeColor="text1"/>
          <w:sz w:val="28"/>
          <w:szCs w:val="28"/>
          <w:lang w:val="uk-UA" w:eastAsia="en-US"/>
        </w:rPr>
        <w:t>4.4</w:t>
      </w:r>
      <w:r w:rsidRPr="00CE0A20">
        <w:rPr>
          <w:rFonts w:ascii="Times New Roman" w:eastAsiaTheme="minorHAnsi" w:hAnsi="Times New Roman" w:cs="Times New Roman"/>
          <w:bCs/>
          <w:color w:val="000000" w:themeColor="text1"/>
          <w:sz w:val="28"/>
          <w:szCs w:val="28"/>
          <w:lang w:eastAsia="en-US"/>
        </w:rPr>
        <w:t xml:space="preserve">9. </w:t>
      </w:r>
      <w:r w:rsidRPr="00CE0A20">
        <w:rPr>
          <w:rFonts w:ascii="Times New Roman" w:eastAsiaTheme="minorHAnsi" w:hAnsi="Times New Roman" w:cs="Times New Roman"/>
          <w:color w:val="000000" w:themeColor="text1"/>
          <w:sz w:val="28"/>
          <w:szCs w:val="28"/>
          <w:lang w:eastAsia="en-US"/>
        </w:rPr>
        <w:t xml:space="preserve">ВЧПЗ </w:t>
      </w:r>
      <w:r w:rsidRPr="00CE0A20">
        <w:rPr>
          <w:rFonts w:ascii="Times New Roman" w:eastAsiaTheme="minorHAnsi" w:hAnsi="Times New Roman" w:cs="Times New Roman"/>
          <w:color w:val="000000" w:themeColor="text1"/>
          <w:sz w:val="28"/>
          <w:szCs w:val="28"/>
          <w:lang w:val="uk-UA" w:eastAsia="en-US"/>
        </w:rPr>
        <w:t xml:space="preserve">інтактного </w:t>
      </w:r>
      <w:r w:rsidRPr="00CE0A20">
        <w:rPr>
          <w:rFonts w:ascii="Times New Roman" w:eastAsiaTheme="minorHAnsi" w:hAnsi="Times New Roman" w:cs="Times New Roman"/>
          <w:color w:val="000000" w:themeColor="text1"/>
          <w:sz w:val="28"/>
          <w:szCs w:val="28"/>
          <w:lang w:eastAsia="en-US"/>
        </w:rPr>
        <w:t>щура</w:t>
      </w:r>
      <w:r w:rsidRPr="00CE0A20">
        <w:rPr>
          <w:rFonts w:ascii="Times New Roman" w:eastAsiaTheme="minorHAnsi" w:hAnsi="Times New Roman" w:cs="Times New Roman"/>
          <w:color w:val="000000" w:themeColor="text1"/>
          <w:sz w:val="28"/>
          <w:szCs w:val="28"/>
          <w:lang w:val="uk-UA" w:eastAsia="en-US"/>
        </w:rPr>
        <w:t xml:space="preserve"> після смерті природним шляхом:</w:t>
      </w:r>
      <w:r w:rsidRPr="00CE0A20">
        <w:rPr>
          <w:rFonts w:ascii="Times New Roman" w:eastAsiaTheme="minorHAnsi" w:hAnsi="Times New Roman" w:cs="Times New Roman"/>
          <w:color w:val="000000" w:themeColor="text1"/>
          <w:sz w:val="28"/>
          <w:szCs w:val="28"/>
          <w:lang w:eastAsia="en-US"/>
        </w:rPr>
        <w:t xml:space="preserve"> конкременти в просвіті ацинусів, потужне еозинофільне </w:t>
      </w:r>
      <w:r w:rsidRPr="00CE0A20">
        <w:rPr>
          <w:rFonts w:ascii="Times New Roman" w:eastAsiaTheme="minorHAnsi" w:hAnsi="Times New Roman" w:cs="Times New Roman"/>
          <w:color w:val="000000" w:themeColor="text1"/>
          <w:sz w:val="28"/>
          <w:szCs w:val="28"/>
          <w:lang w:val="uk-UA" w:eastAsia="en-US"/>
        </w:rPr>
        <w:t>забарвле</w:t>
      </w:r>
      <w:r w:rsidRPr="00CE0A20">
        <w:rPr>
          <w:rFonts w:ascii="Times New Roman" w:eastAsiaTheme="minorHAnsi" w:hAnsi="Times New Roman" w:cs="Times New Roman"/>
          <w:color w:val="000000" w:themeColor="text1"/>
          <w:sz w:val="28"/>
          <w:szCs w:val="28"/>
          <w:lang w:eastAsia="en-US"/>
        </w:rPr>
        <w:t xml:space="preserve">ння секрету. </w:t>
      </w:r>
      <w:r w:rsidR="004C1F95" w:rsidRPr="00CE0A20">
        <w:rPr>
          <w:rFonts w:ascii="Times New Roman" w:eastAsiaTheme="minorHAnsi" w:hAnsi="Times New Roman" w:cs="Times New Roman"/>
          <w:color w:val="000000" w:themeColor="text1"/>
          <w:sz w:val="28"/>
          <w:szCs w:val="28"/>
          <w:lang w:eastAsia="en-US"/>
        </w:rPr>
        <w:t>(</w:t>
      </w:r>
      <w:r w:rsidR="004C1F95">
        <w:rPr>
          <w:rFonts w:ascii="Times New Roman" w:eastAsiaTheme="minorHAnsi" w:hAnsi="Times New Roman" w:cs="Times New Roman"/>
          <w:color w:val="000000" w:themeColor="text1"/>
          <w:sz w:val="28"/>
          <w:szCs w:val="28"/>
          <w:lang w:val="uk-UA" w:eastAsia="en-US"/>
        </w:rPr>
        <w:t>зб.</w:t>
      </w:r>
      <w:r w:rsidR="004C1F95" w:rsidRPr="00CE0A20">
        <w:rPr>
          <w:rFonts w:ascii="Times New Roman" w:eastAsiaTheme="minorHAnsi" w:hAnsi="Times New Roman" w:cs="Times New Roman"/>
          <w:color w:val="000000" w:themeColor="text1"/>
          <w:sz w:val="28"/>
          <w:szCs w:val="28"/>
          <w:lang w:eastAsia="en-US"/>
        </w:rPr>
        <w:t>х</w:t>
      </w:r>
      <w:r w:rsidR="004C1F95">
        <w:rPr>
          <w:rFonts w:ascii="Times New Roman" w:eastAsiaTheme="minorHAnsi" w:hAnsi="Times New Roman" w:cs="Times New Roman"/>
          <w:color w:val="000000" w:themeColor="text1"/>
          <w:sz w:val="28"/>
          <w:szCs w:val="28"/>
          <w:lang w:val="uk-UA" w:eastAsia="en-US"/>
        </w:rPr>
        <w:t>1</w:t>
      </w:r>
      <w:r w:rsidR="004C1F95" w:rsidRPr="00CE0A20">
        <w:rPr>
          <w:rFonts w:ascii="Times New Roman" w:eastAsiaTheme="minorHAnsi" w:hAnsi="Times New Roman" w:cs="Times New Roman"/>
          <w:color w:val="000000" w:themeColor="text1"/>
          <w:sz w:val="28"/>
          <w:szCs w:val="28"/>
          <w:lang w:eastAsia="en-US"/>
        </w:rPr>
        <w:t>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4C1F95">
      <w:pPr>
        <w:autoSpaceDE w:val="0"/>
        <w:autoSpaceDN w:val="0"/>
        <w:adjustRightInd w:val="0"/>
        <w:spacing w:line="360" w:lineRule="auto"/>
        <w:ind w:firstLine="708"/>
        <w:jc w:val="both"/>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autoSpaceDE w:val="0"/>
        <w:autoSpaceDN w:val="0"/>
        <w:adjustRightInd w:val="0"/>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spacing w:line="360" w:lineRule="auto"/>
        <w:ind w:firstLine="851"/>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Описаний вище стан простатичних залозок свідчить про зниження функціональної активності секреторних одиниць, пов'язане, очевидно, з постарінням організму, розвиток компенсаторних проявів (збільшення звивистості контурів ацинусів, щоб збільшити площу залоз і кількість функціонуючих клітин).</w:t>
      </w: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При вивченні морфоструктури сім'яників щурів, які у віці 20-22 тижні на тлі ураження </w:t>
      </w:r>
      <w:r w:rsidRPr="00CE0A20">
        <w:rPr>
          <w:rFonts w:ascii="Times New Roman" w:hAnsi="Times New Roman" w:cs="Times New Roman"/>
          <w:color w:val="000000" w:themeColor="text1"/>
          <w:sz w:val="28"/>
          <w:szCs w:val="28"/>
          <w:lang w:val="en-US"/>
        </w:rPr>
        <w:t>CdCl</w:t>
      </w:r>
      <w:r w:rsidRPr="00CE0A20">
        <w:rPr>
          <w:rFonts w:ascii="Times New Roman" w:hAnsi="Times New Roman" w:cs="Times New Roman"/>
          <w:color w:val="000000" w:themeColor="text1"/>
          <w:sz w:val="28"/>
          <w:szCs w:val="28"/>
          <w:lang w:val="uk-UA"/>
        </w:rPr>
        <w:t xml:space="preserve">2 отримали КСКМ укількості по 200000 в кожне яєчко та померли природною смертю у 33-36-ти місячному віці, не виявлено суттєвих відмінностей у стані їх паренхіми порівняно з інтактними тваринами відповідного віку. </w:t>
      </w:r>
      <w:r w:rsidRPr="00CE0A20">
        <w:rPr>
          <w:rFonts w:ascii="Times New Roman" w:hAnsi="Times New Roman" w:cs="Times New Roman"/>
          <w:color w:val="000000" w:themeColor="text1"/>
          <w:sz w:val="28"/>
          <w:szCs w:val="28"/>
        </w:rPr>
        <w:t xml:space="preserve">І </w:t>
      </w:r>
      <w:r w:rsidRPr="00CE0A20">
        <w:rPr>
          <w:rFonts w:ascii="Times New Roman" w:hAnsi="Times New Roman" w:cs="Times New Roman"/>
          <w:color w:val="000000" w:themeColor="text1"/>
          <w:sz w:val="28"/>
          <w:szCs w:val="28"/>
          <w:lang w:val="uk-UA"/>
        </w:rPr>
        <w:t>в</w:t>
      </w:r>
      <w:r w:rsidRPr="00CE0A20">
        <w:rPr>
          <w:rFonts w:ascii="Times New Roman" w:hAnsi="Times New Roman" w:cs="Times New Roman"/>
          <w:color w:val="000000" w:themeColor="text1"/>
          <w:sz w:val="28"/>
          <w:szCs w:val="28"/>
        </w:rPr>
        <w:t xml:space="preserve"> цих тварин видн</w:t>
      </w:r>
      <w:r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rPr>
        <w:t xml:space="preserve"> бул</w:t>
      </w:r>
      <w:r w:rsidRPr="00CE0A20">
        <w:rPr>
          <w:rFonts w:ascii="Times New Roman" w:hAnsi="Times New Roman" w:cs="Times New Roman"/>
          <w:color w:val="000000" w:themeColor="text1"/>
          <w:sz w:val="28"/>
          <w:szCs w:val="28"/>
          <w:lang w:val="uk-UA"/>
        </w:rPr>
        <w:t>о</w:t>
      </w:r>
      <w:r w:rsidRPr="00CE0A20">
        <w:rPr>
          <w:rFonts w:ascii="Times New Roman" w:hAnsi="Times New Roman" w:cs="Times New Roman"/>
          <w:color w:val="000000" w:themeColor="text1"/>
          <w:sz w:val="28"/>
          <w:szCs w:val="28"/>
        </w:rPr>
        <w:t xml:space="preserve"> гіпертрофі</w:t>
      </w:r>
      <w:r w:rsidRPr="00CE0A20">
        <w:rPr>
          <w:rFonts w:ascii="Times New Roman" w:hAnsi="Times New Roman" w:cs="Times New Roman"/>
          <w:color w:val="000000" w:themeColor="text1"/>
          <w:sz w:val="28"/>
          <w:szCs w:val="28"/>
          <w:lang w:val="uk-UA"/>
        </w:rPr>
        <w:t>ю</w:t>
      </w:r>
      <w:r w:rsidRPr="00CE0A20">
        <w:rPr>
          <w:rFonts w:ascii="Times New Roman" w:hAnsi="Times New Roman" w:cs="Times New Roman"/>
          <w:color w:val="000000" w:themeColor="text1"/>
          <w:sz w:val="28"/>
          <w:szCs w:val="28"/>
        </w:rPr>
        <w:t xml:space="preserve"> частини клітин Лейдіга </w:t>
      </w:r>
      <w:r w:rsidRPr="00CE0A20">
        <w:rPr>
          <w:rFonts w:ascii="Times New Roman" w:hAnsi="Times New Roman" w:cs="Times New Roman"/>
          <w:color w:val="000000" w:themeColor="text1"/>
          <w:sz w:val="28"/>
          <w:szCs w:val="28"/>
          <w:lang w:val="uk-UA"/>
        </w:rPr>
        <w:t xml:space="preserve">в </w:t>
      </w:r>
      <w:r w:rsidRPr="00CE0A20">
        <w:rPr>
          <w:rFonts w:ascii="Times New Roman" w:hAnsi="Times New Roman" w:cs="Times New Roman"/>
          <w:color w:val="000000" w:themeColor="text1"/>
          <w:sz w:val="28"/>
          <w:szCs w:val="28"/>
        </w:rPr>
        <w:t xml:space="preserve">міжканальцевих локусах (рис. </w:t>
      </w:r>
      <w:r w:rsidRPr="00CE0A20">
        <w:rPr>
          <w:rFonts w:ascii="Times New Roman" w:hAnsi="Times New Roman" w:cs="Times New Roman"/>
          <w:color w:val="000000" w:themeColor="text1"/>
          <w:sz w:val="28"/>
          <w:szCs w:val="28"/>
          <w:lang w:val="uk-UA"/>
        </w:rPr>
        <w:t>4.50-4.52</w:t>
      </w:r>
      <w:r w:rsidRPr="00CE0A20">
        <w:rPr>
          <w:rFonts w:ascii="Times New Roman" w:hAnsi="Times New Roman" w:cs="Times New Roman"/>
          <w:color w:val="000000" w:themeColor="text1"/>
          <w:sz w:val="28"/>
          <w:szCs w:val="28"/>
        </w:rPr>
        <w:t xml:space="preserve">). </w:t>
      </w: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autoSpaceDE w:val="0"/>
        <w:autoSpaceDN w:val="0"/>
        <w:adjustRightInd w:val="0"/>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401F7A0C" wp14:editId="1299F880">
            <wp:extent cx="3428176" cy="3534770"/>
            <wp:effectExtent l="0" t="0" r="1270" b="889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432145" cy="3538862"/>
                    </a:xfrm>
                    <a:prstGeom prst="rect">
                      <a:avLst/>
                    </a:prstGeom>
                    <a:noFill/>
                    <a:ln>
                      <a:noFill/>
                    </a:ln>
                  </pic:spPr>
                </pic:pic>
              </a:graphicData>
            </a:graphic>
          </wp:inline>
        </w:drawing>
      </w:r>
    </w:p>
    <w:p w:rsidR="001C43D0" w:rsidRPr="00CE0A20" w:rsidRDefault="001C43D0" w:rsidP="001C43D0">
      <w:pPr>
        <w:autoSpaceDE w:val="0"/>
        <w:autoSpaceDN w:val="0"/>
        <w:adjustRightInd w:val="0"/>
        <w:rPr>
          <w:rFonts w:ascii="Times New Roman" w:hAnsi="Times New Roman" w:cs="Times New Roman"/>
          <w:color w:val="000000" w:themeColor="text1"/>
          <w:sz w:val="28"/>
          <w:szCs w:val="28"/>
          <w:lang w:val="uk-UA"/>
        </w:rPr>
      </w:pPr>
    </w:p>
    <w:p w:rsidR="001C43D0" w:rsidRPr="00CE0A20" w:rsidRDefault="001C43D0" w:rsidP="001C43D0">
      <w:pPr>
        <w:autoSpaceDE w:val="0"/>
        <w:autoSpaceDN w:val="0"/>
        <w:adjustRightInd w:val="0"/>
        <w:spacing w:line="360" w:lineRule="auto"/>
        <w:ind w:firstLine="708"/>
        <w:jc w:val="both"/>
        <w:rPr>
          <w:rFonts w:ascii="Times New Roman" w:eastAsiaTheme="minorHAnsi" w:hAnsi="Times New Roman" w:cs="Times New Roman"/>
          <w:bCs/>
          <w:color w:val="000000" w:themeColor="text1"/>
          <w:sz w:val="28"/>
          <w:szCs w:val="28"/>
          <w:lang w:val="uk-UA" w:eastAsia="en-US"/>
        </w:rPr>
      </w:pPr>
    </w:p>
    <w:p w:rsidR="004C1F95" w:rsidRPr="00CE0A20" w:rsidRDefault="001C43D0" w:rsidP="004C1F95">
      <w:pPr>
        <w:autoSpaceDE w:val="0"/>
        <w:autoSpaceDN w:val="0"/>
        <w:adjustRightInd w:val="0"/>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bCs/>
          <w:color w:val="000000" w:themeColor="text1"/>
          <w:sz w:val="28"/>
          <w:szCs w:val="28"/>
          <w:lang w:val="uk-UA" w:eastAsia="en-US"/>
        </w:rPr>
        <w:t xml:space="preserve">Рис. 10. </w:t>
      </w:r>
      <w:r w:rsidRPr="00CE0A20">
        <w:rPr>
          <w:rFonts w:ascii="Times New Roman" w:eastAsiaTheme="minorHAnsi" w:hAnsi="Times New Roman" w:cs="Times New Roman"/>
          <w:color w:val="000000" w:themeColor="text1"/>
          <w:sz w:val="28"/>
          <w:szCs w:val="28"/>
          <w:lang w:val="uk-UA" w:eastAsia="en-US"/>
        </w:rPr>
        <w:t xml:space="preserve">Яєчки щурів, яким на тлі ураження </w:t>
      </w:r>
      <w:r w:rsidRPr="00CE0A20">
        <w:rPr>
          <w:rFonts w:ascii="Times New Roman" w:eastAsiaTheme="minorHAnsi" w:hAnsi="Times New Roman" w:cs="Times New Roman"/>
          <w:color w:val="000000" w:themeColor="text1"/>
          <w:sz w:val="28"/>
          <w:szCs w:val="28"/>
          <w:lang w:eastAsia="en-US"/>
        </w:rPr>
        <w:t>CdCl</w:t>
      </w:r>
      <w:r w:rsidRPr="00CE0A20">
        <w:rPr>
          <w:rFonts w:ascii="Times New Roman" w:eastAsiaTheme="minorHAnsi" w:hAnsi="Times New Roman" w:cs="Times New Roman"/>
          <w:color w:val="000000" w:themeColor="text1"/>
          <w:sz w:val="28"/>
          <w:szCs w:val="28"/>
          <w:lang w:val="uk-UA" w:eastAsia="en-US"/>
        </w:rPr>
        <w:t xml:space="preserve">2 трансплантовано КСКМ у кількості по 200000 клітин в кожне яєчко: сім'яні канальці з повноцінним сперматогенезом </w:t>
      </w:r>
      <w:r w:rsidR="004C1F95" w:rsidRPr="004C1F95">
        <w:rPr>
          <w:rFonts w:ascii="Times New Roman" w:eastAsiaTheme="minorHAnsi" w:hAnsi="Times New Roman" w:cs="Times New Roman"/>
          <w:color w:val="000000" w:themeColor="text1"/>
          <w:sz w:val="28"/>
          <w:szCs w:val="28"/>
          <w:lang w:val="uk-UA" w:eastAsia="en-US"/>
        </w:rPr>
        <w:t>(</w:t>
      </w:r>
      <w:r w:rsidR="004C1F95">
        <w:rPr>
          <w:rFonts w:ascii="Times New Roman" w:eastAsiaTheme="minorHAnsi" w:hAnsi="Times New Roman" w:cs="Times New Roman"/>
          <w:color w:val="000000" w:themeColor="text1"/>
          <w:sz w:val="28"/>
          <w:szCs w:val="28"/>
          <w:lang w:val="uk-UA" w:eastAsia="en-US"/>
        </w:rPr>
        <w:t>зб.</w:t>
      </w:r>
      <w:r w:rsidR="004C1F95" w:rsidRPr="004C1F95">
        <w:rPr>
          <w:rFonts w:ascii="Times New Roman" w:eastAsiaTheme="minorHAnsi" w:hAnsi="Times New Roman" w:cs="Times New Roman"/>
          <w:color w:val="000000" w:themeColor="text1"/>
          <w:sz w:val="28"/>
          <w:szCs w:val="28"/>
          <w:lang w:val="uk-UA" w:eastAsia="en-US"/>
        </w:rPr>
        <w:t>х</w:t>
      </w:r>
      <w:r w:rsidR="004C1F95">
        <w:rPr>
          <w:rFonts w:ascii="Times New Roman" w:eastAsiaTheme="minorHAnsi" w:hAnsi="Times New Roman" w:cs="Times New Roman"/>
          <w:color w:val="000000" w:themeColor="text1"/>
          <w:sz w:val="28"/>
          <w:szCs w:val="28"/>
          <w:lang w:val="uk-UA" w:eastAsia="en-US"/>
        </w:rPr>
        <w:t>2</w:t>
      </w:r>
      <w:r w:rsidR="004C1F95" w:rsidRPr="004C1F95">
        <w:rPr>
          <w:rFonts w:ascii="Times New Roman" w:eastAsiaTheme="minorHAnsi" w:hAnsi="Times New Roman" w:cs="Times New Roman"/>
          <w:color w:val="000000" w:themeColor="text1"/>
          <w:sz w:val="28"/>
          <w:szCs w:val="28"/>
          <w:lang w:val="uk-UA" w:eastAsia="en-US"/>
        </w:rPr>
        <w:t>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autoSpaceDE w:val="0"/>
        <w:autoSpaceDN w:val="0"/>
        <w:adjustRightInd w:val="0"/>
        <w:spacing w:line="360" w:lineRule="auto"/>
        <w:ind w:firstLine="708"/>
        <w:jc w:val="both"/>
        <w:rPr>
          <w:rFonts w:ascii="Times New Roman" w:hAnsi="Times New Roman" w:cs="Times New Roman"/>
          <w:color w:val="000000" w:themeColor="text1"/>
          <w:sz w:val="28"/>
          <w:szCs w:val="28"/>
          <w:lang w:val="uk-UA"/>
        </w:rPr>
      </w:pPr>
    </w:p>
    <w:p w:rsidR="001C43D0" w:rsidRPr="00CE0A20" w:rsidRDefault="001C43D0" w:rsidP="001C43D0">
      <w:pPr>
        <w:autoSpaceDE w:val="0"/>
        <w:autoSpaceDN w:val="0"/>
        <w:adjustRightInd w:val="0"/>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37DF0DAF" wp14:editId="031CBB7C">
            <wp:extent cx="2998572" cy="3140967"/>
            <wp:effectExtent l="0" t="0" r="0" b="254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002068" cy="3144629"/>
                    </a:xfrm>
                    <a:prstGeom prst="rect">
                      <a:avLst/>
                    </a:prstGeom>
                    <a:noFill/>
                    <a:ln>
                      <a:noFill/>
                    </a:ln>
                  </pic:spPr>
                </pic:pic>
              </a:graphicData>
            </a:graphic>
          </wp:inline>
        </w:drawing>
      </w:r>
    </w:p>
    <w:p w:rsidR="001C43D0" w:rsidRPr="00CE0A20" w:rsidRDefault="001C43D0" w:rsidP="001C43D0">
      <w:pPr>
        <w:autoSpaceDE w:val="0"/>
        <w:autoSpaceDN w:val="0"/>
        <w:adjustRightInd w:val="0"/>
        <w:rPr>
          <w:rFonts w:ascii="Times New Roman" w:hAnsi="Times New Roman" w:cs="Times New Roman"/>
          <w:color w:val="000000" w:themeColor="text1"/>
          <w:sz w:val="28"/>
          <w:szCs w:val="28"/>
          <w:lang w:val="uk-UA"/>
        </w:rPr>
      </w:pPr>
    </w:p>
    <w:p w:rsidR="001C43D0" w:rsidRPr="00CE0A20" w:rsidRDefault="001C43D0" w:rsidP="004C1F95">
      <w:pPr>
        <w:autoSpaceDE w:val="0"/>
        <w:autoSpaceDN w:val="0"/>
        <w:adjustRightInd w:val="0"/>
        <w:spacing w:line="276" w:lineRule="auto"/>
        <w:ind w:firstLine="708"/>
        <w:jc w:val="both"/>
        <w:rPr>
          <w:rFonts w:ascii="Times New Roman" w:hAnsi="Times New Roman" w:cs="Times New Roman"/>
          <w:color w:val="000000" w:themeColor="text1"/>
          <w:sz w:val="28"/>
          <w:szCs w:val="28"/>
          <w:lang w:val="uk-UA"/>
        </w:rPr>
      </w:pPr>
      <w:r w:rsidRPr="00CE0A20">
        <w:rPr>
          <w:rFonts w:ascii="Times New Roman" w:eastAsiaTheme="minorHAnsi" w:hAnsi="Times New Roman" w:cs="Times New Roman"/>
          <w:bCs/>
          <w:color w:val="000000" w:themeColor="text1"/>
          <w:sz w:val="28"/>
          <w:szCs w:val="28"/>
          <w:lang w:val="uk-UA" w:eastAsia="en-US"/>
        </w:rPr>
        <w:t xml:space="preserve">Рис. 4.52. </w:t>
      </w:r>
      <w:r w:rsidRPr="00CE0A20">
        <w:rPr>
          <w:rFonts w:ascii="Times New Roman" w:eastAsiaTheme="minorHAnsi" w:hAnsi="Times New Roman" w:cs="Times New Roman"/>
          <w:color w:val="000000" w:themeColor="text1"/>
          <w:sz w:val="28"/>
          <w:szCs w:val="28"/>
          <w:lang w:val="uk-UA" w:eastAsia="en-US"/>
        </w:rPr>
        <w:t xml:space="preserve">Яєчки щурів, яким на тлі ураження </w:t>
      </w:r>
      <w:r w:rsidRPr="00CE0A20">
        <w:rPr>
          <w:rFonts w:ascii="Times New Roman" w:eastAsiaTheme="minorHAnsi" w:hAnsi="Times New Roman" w:cs="Times New Roman"/>
          <w:color w:val="000000" w:themeColor="text1"/>
          <w:sz w:val="28"/>
          <w:szCs w:val="28"/>
          <w:lang w:eastAsia="en-US"/>
        </w:rPr>
        <w:t>CdCl</w:t>
      </w:r>
      <w:r w:rsidRPr="00CE0A20">
        <w:rPr>
          <w:rFonts w:ascii="Times New Roman" w:eastAsiaTheme="minorHAnsi" w:hAnsi="Times New Roman" w:cs="Times New Roman"/>
          <w:color w:val="000000" w:themeColor="text1"/>
          <w:sz w:val="28"/>
          <w:szCs w:val="28"/>
          <w:lang w:val="uk-UA" w:eastAsia="en-US"/>
        </w:rPr>
        <w:t>2 трансплантовані КСКМ в кількості по 200000 клітин в кожне яєчко: зменшення рядів статевих клітин у ряді канальців, спустошення поодиноких канальців (</w:t>
      </w:r>
      <w:r w:rsidR="004C1F95">
        <w:rPr>
          <w:rFonts w:ascii="Times New Roman" w:eastAsiaTheme="minorHAnsi" w:hAnsi="Times New Roman" w:cs="Times New Roman"/>
          <w:color w:val="000000" w:themeColor="text1"/>
          <w:sz w:val="28"/>
          <w:szCs w:val="28"/>
          <w:lang w:val="uk-UA" w:eastAsia="en-US"/>
        </w:rPr>
        <w:t>зб.</w:t>
      </w:r>
      <w:r w:rsidRPr="00CE0A20">
        <w:rPr>
          <w:rFonts w:ascii="Times New Roman" w:eastAsiaTheme="minorHAnsi" w:hAnsi="Times New Roman" w:cs="Times New Roman"/>
          <w:color w:val="000000" w:themeColor="text1"/>
          <w:sz w:val="28"/>
          <w:szCs w:val="28"/>
          <w:lang w:val="uk-UA" w:eastAsia="en-US"/>
        </w:rPr>
        <w:t>х100).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autoSpaceDE w:val="0"/>
        <w:autoSpaceDN w:val="0"/>
        <w:adjustRightInd w:val="0"/>
        <w:rPr>
          <w:rFonts w:ascii="Times New Roman" w:hAnsi="Times New Roman" w:cs="Times New Roman"/>
          <w:color w:val="000000" w:themeColor="text1"/>
          <w:sz w:val="28"/>
          <w:szCs w:val="28"/>
          <w:lang w:val="uk-UA"/>
        </w:rPr>
      </w:pPr>
    </w:p>
    <w:p w:rsidR="001C43D0" w:rsidRPr="00CE0A20" w:rsidRDefault="001C43D0" w:rsidP="001C43D0">
      <w:pPr>
        <w:autoSpaceDE w:val="0"/>
        <w:autoSpaceDN w:val="0"/>
        <w:adjustRightInd w:val="0"/>
        <w:rPr>
          <w:rFonts w:ascii="Times New Roman" w:hAnsi="Times New Roman" w:cs="Times New Roman"/>
          <w:color w:val="000000" w:themeColor="text1"/>
          <w:sz w:val="28"/>
          <w:szCs w:val="28"/>
          <w:lang w:val="uk-UA"/>
        </w:rPr>
      </w:pPr>
    </w:p>
    <w:p w:rsidR="001C43D0" w:rsidRPr="00CE0A20" w:rsidRDefault="001C43D0" w:rsidP="001C43D0">
      <w:pPr>
        <w:autoSpaceDE w:val="0"/>
        <w:autoSpaceDN w:val="0"/>
        <w:adjustRightInd w:val="0"/>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mc:AlternateContent>
          <mc:Choice Requires="wps">
            <w:drawing>
              <wp:anchor distT="0" distB="0" distL="114300" distR="114300" simplePos="0" relativeHeight="251700224" behindDoc="0" locked="0" layoutInCell="1" allowOverlap="1" wp14:anchorId="00512D69" wp14:editId="4547D2D0">
                <wp:simplePos x="0" y="0"/>
                <wp:positionH relativeFrom="column">
                  <wp:posOffset>1690361</wp:posOffset>
                </wp:positionH>
                <wp:positionV relativeFrom="paragraph">
                  <wp:posOffset>1130954</wp:posOffset>
                </wp:positionV>
                <wp:extent cx="268014" cy="409903"/>
                <wp:effectExtent l="19050" t="38100" r="55880" b="28575"/>
                <wp:wrapNone/>
                <wp:docPr id="203" name="Прямая со стрелкой 203"/>
                <wp:cNvGraphicFramePr/>
                <a:graphic xmlns:a="http://schemas.openxmlformats.org/drawingml/2006/main">
                  <a:graphicData uri="http://schemas.microsoft.com/office/word/2010/wordprocessingShape">
                    <wps:wsp>
                      <wps:cNvCnPr/>
                      <wps:spPr>
                        <a:xfrm flipV="1">
                          <a:off x="0" y="0"/>
                          <a:ext cx="268014" cy="409903"/>
                        </a:xfrm>
                        <a:prstGeom prst="straightConnector1">
                          <a:avLst/>
                        </a:prstGeom>
                        <a:noFill/>
                        <a:ln w="38100" cap="flat" cmpd="sng" algn="ctr">
                          <a:solidFill>
                            <a:sysClr val="windowText" lastClr="000000">
                              <a:shade val="95000"/>
                              <a:satMod val="105000"/>
                            </a:sysClr>
                          </a:solidFill>
                          <a:prstDash val="solid"/>
                          <a:tailEnd type="arrow"/>
                        </a:ln>
                        <a:effectLst/>
                      </wps:spPr>
                      <wps:bodyPr/>
                    </wps:wsp>
                  </a:graphicData>
                </a:graphic>
              </wp:anchor>
            </w:drawing>
          </mc:Choice>
          <mc:Fallback>
            <w:pict>
              <v:shape id="Прямая со стрелкой 203" o:spid="_x0000_s1026" type="#_x0000_t32" style="position:absolute;margin-left:133.1pt;margin-top:89.05pt;width:21.1pt;height:32.3pt;flip:y;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" strokeweight="3pt">
                <v:stroke endarrow="open"/>
              </v:shape>
            </w:pict>
          </mc:Fallback>
        </mc:AlternateContent>
      </w:r>
      <w:r w:rsidRPr="00CE0A20">
        <w:rPr>
          <w:rFonts w:ascii="Times New Roman" w:hAnsi="Times New Roman" w:cs="Times New Roman"/>
          <w:noProof/>
          <w:color w:val="000000" w:themeColor="text1"/>
          <w:sz w:val="28"/>
          <w:szCs w:val="28"/>
        </w:rPr>
        <w:drawing>
          <wp:inline distT="0" distB="0" distL="0" distR="0" wp14:anchorId="6F6F52D7" wp14:editId="1CC9F785">
            <wp:extent cx="3657600" cy="2468341"/>
            <wp:effectExtent l="0" t="0" r="0" b="8255"/>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3663984" cy="2472649"/>
                    </a:xfrm>
                    <a:prstGeom prst="rect">
                      <a:avLst/>
                    </a:prstGeom>
                    <a:noFill/>
                    <a:ln>
                      <a:noFill/>
                    </a:ln>
                  </pic:spPr>
                </pic:pic>
              </a:graphicData>
            </a:graphic>
          </wp:inline>
        </w:drawing>
      </w:r>
    </w:p>
    <w:p w:rsidR="004C1F95" w:rsidRPr="00CE0A20" w:rsidRDefault="001C43D0" w:rsidP="004C1F95">
      <w:pPr>
        <w:autoSpaceDE w:val="0"/>
        <w:autoSpaceDN w:val="0"/>
        <w:adjustRightInd w:val="0"/>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Theme="minorHAnsi" w:hAnsi="Times New Roman" w:cs="Times New Roman"/>
          <w:bCs/>
          <w:color w:val="000000" w:themeColor="text1"/>
          <w:sz w:val="28"/>
          <w:szCs w:val="28"/>
          <w:lang w:val="uk-UA" w:eastAsia="en-US"/>
        </w:rPr>
        <w:t xml:space="preserve">Рис. 4.53. </w:t>
      </w:r>
      <w:r w:rsidRPr="00CE0A20">
        <w:rPr>
          <w:rFonts w:ascii="Times New Roman" w:eastAsiaTheme="minorHAnsi" w:hAnsi="Times New Roman" w:cs="Times New Roman"/>
          <w:color w:val="000000" w:themeColor="text1"/>
          <w:sz w:val="28"/>
          <w:szCs w:val="28"/>
          <w:lang w:val="uk-UA" w:eastAsia="en-US"/>
        </w:rPr>
        <w:t xml:space="preserve">Яєчки щурів, яким на тлі ураження </w:t>
      </w:r>
      <w:r w:rsidRPr="00CE0A20">
        <w:rPr>
          <w:rFonts w:ascii="Times New Roman" w:eastAsiaTheme="minorHAnsi" w:hAnsi="Times New Roman" w:cs="Times New Roman"/>
          <w:color w:val="000000" w:themeColor="text1"/>
          <w:sz w:val="28"/>
          <w:szCs w:val="28"/>
          <w:lang w:eastAsia="en-US"/>
        </w:rPr>
        <w:t>CdCl</w:t>
      </w:r>
      <w:r w:rsidRPr="00CE0A20">
        <w:rPr>
          <w:rFonts w:ascii="Times New Roman" w:eastAsiaTheme="minorHAnsi" w:hAnsi="Times New Roman" w:cs="Times New Roman"/>
          <w:color w:val="000000" w:themeColor="text1"/>
          <w:sz w:val="28"/>
          <w:szCs w:val="28"/>
          <w:lang w:val="uk-UA" w:eastAsia="en-US"/>
        </w:rPr>
        <w:t xml:space="preserve">2 трансплантовані КСКМ в кількості по 200000 клітин в кожне яєчко: поява гіпертрофованих клітин Лейдіга у міжканальцевому локусі </w:t>
      </w:r>
      <w:r w:rsidR="004C1F95" w:rsidRPr="004C1F95">
        <w:rPr>
          <w:rFonts w:ascii="Times New Roman" w:eastAsiaTheme="minorHAnsi" w:hAnsi="Times New Roman" w:cs="Times New Roman"/>
          <w:color w:val="000000" w:themeColor="text1"/>
          <w:sz w:val="28"/>
          <w:szCs w:val="28"/>
          <w:lang w:val="uk-UA" w:eastAsia="en-US"/>
        </w:rPr>
        <w:t>(</w:t>
      </w:r>
      <w:r w:rsidR="004C1F95">
        <w:rPr>
          <w:rFonts w:ascii="Times New Roman" w:eastAsiaTheme="minorHAnsi" w:hAnsi="Times New Roman" w:cs="Times New Roman"/>
          <w:color w:val="000000" w:themeColor="text1"/>
          <w:sz w:val="28"/>
          <w:szCs w:val="28"/>
          <w:lang w:val="uk-UA" w:eastAsia="en-US"/>
        </w:rPr>
        <w:t>зб.</w:t>
      </w:r>
      <w:r w:rsidR="004C1F95" w:rsidRPr="004C1F95">
        <w:rPr>
          <w:rFonts w:ascii="Times New Roman" w:eastAsiaTheme="minorHAnsi" w:hAnsi="Times New Roman" w:cs="Times New Roman"/>
          <w:color w:val="000000" w:themeColor="text1"/>
          <w:sz w:val="28"/>
          <w:szCs w:val="28"/>
          <w:lang w:val="uk-UA" w:eastAsia="en-US"/>
        </w:rPr>
        <w:t>х</w:t>
      </w:r>
      <w:r w:rsidR="004C1F95">
        <w:rPr>
          <w:rFonts w:ascii="Times New Roman" w:eastAsiaTheme="minorHAnsi" w:hAnsi="Times New Roman" w:cs="Times New Roman"/>
          <w:color w:val="000000" w:themeColor="text1"/>
          <w:sz w:val="28"/>
          <w:szCs w:val="28"/>
          <w:lang w:val="uk-UA" w:eastAsia="en-US"/>
        </w:rPr>
        <w:t>4</w:t>
      </w:r>
      <w:r w:rsidR="004C1F95" w:rsidRPr="004C1F95">
        <w:rPr>
          <w:rFonts w:ascii="Times New Roman" w:eastAsiaTheme="minorHAnsi" w:hAnsi="Times New Roman" w:cs="Times New Roman"/>
          <w:color w:val="000000" w:themeColor="text1"/>
          <w:sz w:val="28"/>
          <w:szCs w:val="28"/>
          <w:lang w:val="uk-UA" w:eastAsia="en-US"/>
        </w:rPr>
        <w:t>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autoSpaceDE w:val="0"/>
        <w:autoSpaceDN w:val="0"/>
        <w:adjustRightInd w:val="0"/>
        <w:ind w:firstLine="708"/>
        <w:jc w:val="both"/>
        <w:rPr>
          <w:rFonts w:ascii="Times New Roman" w:eastAsiaTheme="minorHAnsi" w:hAnsi="Times New Roman" w:cs="Times New Roman"/>
          <w:color w:val="000000" w:themeColor="text1"/>
          <w:sz w:val="28"/>
          <w:szCs w:val="28"/>
          <w:lang w:val="uk-UA" w:eastAsia="en-US"/>
        </w:rPr>
      </w:pPr>
    </w:p>
    <w:p w:rsidR="001C43D0" w:rsidRPr="00CE0A20" w:rsidRDefault="001C43D0" w:rsidP="001C43D0">
      <w:pPr>
        <w:autoSpaceDE w:val="0"/>
        <w:autoSpaceDN w:val="0"/>
        <w:adjustRightInd w:val="0"/>
        <w:jc w:val="both"/>
        <w:rPr>
          <w:rFonts w:ascii="Times New Roman" w:eastAsiaTheme="minorHAnsi" w:hAnsi="Times New Roman" w:cs="Times New Roman"/>
          <w:color w:val="000000" w:themeColor="text1"/>
          <w:sz w:val="28"/>
          <w:szCs w:val="28"/>
          <w:lang w:val="uk-UA" w:eastAsia="en-US"/>
        </w:rPr>
      </w:pPr>
    </w:p>
    <w:p w:rsidR="004C1F95" w:rsidRDefault="004C1F95" w:rsidP="001C43D0">
      <w:pPr>
        <w:widowControl w:val="0"/>
        <w:spacing w:line="360" w:lineRule="auto"/>
        <w:ind w:firstLine="709"/>
        <w:jc w:val="both"/>
        <w:rPr>
          <w:rFonts w:ascii="Times New Roman" w:hAnsi="Times New Roman" w:cs="Times New Roman"/>
          <w:color w:val="000000" w:themeColor="text1"/>
          <w:sz w:val="28"/>
          <w:szCs w:val="28"/>
          <w:lang w:val="uk-UA"/>
        </w:rPr>
      </w:pPr>
    </w:p>
    <w:p w:rsidR="004C1F95" w:rsidRDefault="004C1F95" w:rsidP="001C43D0">
      <w:pPr>
        <w:widowControl w:val="0"/>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rPr>
        <w:t>Жодних ознак пухлинного росту не помічено.</w:t>
      </w:r>
    </w:p>
    <w:p w:rsidR="001C43D0" w:rsidRPr="00CE0A20" w:rsidRDefault="001C43D0" w:rsidP="001C43D0">
      <w:pPr>
        <w:widowControl w:val="0"/>
        <w:spacing w:line="360" w:lineRule="auto"/>
        <w:ind w:firstLine="709"/>
        <w:jc w:val="both"/>
        <w:rPr>
          <w:rFonts w:ascii="Times New Roman" w:eastAsiaTheme="minorHAnsi" w:hAnsi="Times New Roman" w:cs="Times New Roman"/>
          <w:color w:val="000000" w:themeColor="text1"/>
          <w:sz w:val="28"/>
          <w:szCs w:val="28"/>
          <w:lang w:eastAsia="en-US"/>
        </w:rPr>
      </w:pPr>
      <w:r w:rsidRPr="00CE0A20">
        <w:rPr>
          <w:rFonts w:ascii="Times New Roman" w:eastAsiaTheme="minorHAnsi" w:hAnsi="Times New Roman" w:cs="Times New Roman"/>
          <w:color w:val="000000" w:themeColor="text1"/>
          <w:sz w:val="28"/>
          <w:szCs w:val="28"/>
          <w:lang w:eastAsia="en-US"/>
        </w:rPr>
        <w:t xml:space="preserve">Стан простатичних залозок ВЧПЗ таких щурів також практично відповідав інтактному контролю (рис. </w:t>
      </w:r>
      <w:r w:rsidRPr="00CE0A20">
        <w:rPr>
          <w:rFonts w:ascii="Times New Roman" w:eastAsiaTheme="minorHAnsi" w:hAnsi="Times New Roman" w:cs="Times New Roman"/>
          <w:color w:val="000000" w:themeColor="text1"/>
          <w:sz w:val="28"/>
          <w:szCs w:val="28"/>
          <w:lang w:val="uk-UA" w:eastAsia="en-US"/>
        </w:rPr>
        <w:t>4.54</w:t>
      </w:r>
      <w:r w:rsidRPr="00CE0A20">
        <w:rPr>
          <w:rFonts w:ascii="Times New Roman" w:eastAsiaTheme="minorHAnsi" w:hAnsi="Times New Roman" w:cs="Times New Roman"/>
          <w:color w:val="000000" w:themeColor="text1"/>
          <w:sz w:val="28"/>
          <w:szCs w:val="28"/>
          <w:lang w:eastAsia="en-US"/>
        </w:rPr>
        <w:t>).</w:t>
      </w:r>
    </w:p>
    <w:p w:rsidR="001C43D0" w:rsidRPr="00CE0A20" w:rsidRDefault="001C43D0" w:rsidP="001C43D0">
      <w:pPr>
        <w:autoSpaceDE w:val="0"/>
        <w:autoSpaceDN w:val="0"/>
        <w:adjustRightInd w:val="0"/>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0B297513" wp14:editId="507CFF84">
            <wp:extent cx="3773613" cy="2811439"/>
            <wp:effectExtent l="0" t="0" r="0" b="8255"/>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774110" cy="2811809"/>
                    </a:xfrm>
                    <a:prstGeom prst="rect">
                      <a:avLst/>
                    </a:prstGeom>
                    <a:noFill/>
                    <a:ln>
                      <a:noFill/>
                    </a:ln>
                  </pic:spPr>
                </pic:pic>
              </a:graphicData>
            </a:graphic>
          </wp:inline>
        </w:drawing>
      </w:r>
    </w:p>
    <w:p w:rsidR="001C43D0" w:rsidRPr="00CE0A20" w:rsidRDefault="001C43D0" w:rsidP="001C43D0">
      <w:pPr>
        <w:autoSpaceDE w:val="0"/>
        <w:autoSpaceDN w:val="0"/>
        <w:adjustRightInd w:val="0"/>
        <w:spacing w:line="360" w:lineRule="auto"/>
        <w:ind w:firstLine="709"/>
        <w:jc w:val="both"/>
        <w:rPr>
          <w:rFonts w:ascii="Times New Roman" w:eastAsia="Garamond" w:hAnsi="Times New Roman" w:cs="Times New Roman"/>
          <w:bCs/>
          <w:color w:val="000000" w:themeColor="text1"/>
          <w:sz w:val="28"/>
          <w:szCs w:val="28"/>
          <w:shd w:val="clear" w:color="auto" w:fill="FFFFFF"/>
          <w:lang w:val="uk-UA"/>
        </w:rPr>
      </w:pPr>
    </w:p>
    <w:p w:rsidR="004C1F95" w:rsidRPr="00CE0A20" w:rsidRDefault="001C43D0" w:rsidP="004C1F95">
      <w:pPr>
        <w:autoSpaceDE w:val="0"/>
        <w:autoSpaceDN w:val="0"/>
        <w:adjustRightInd w:val="0"/>
        <w:spacing w:line="360" w:lineRule="auto"/>
        <w:ind w:firstLine="851"/>
        <w:jc w:val="both"/>
        <w:rPr>
          <w:rFonts w:ascii="Times New Roman" w:eastAsiaTheme="minorHAnsi" w:hAnsi="Times New Roman" w:cs="Times New Roman"/>
          <w:color w:val="000000" w:themeColor="text1"/>
          <w:sz w:val="28"/>
          <w:szCs w:val="28"/>
          <w:lang w:val="uk-UA" w:eastAsia="en-US"/>
        </w:rPr>
      </w:pPr>
      <w:r w:rsidRPr="00CE0A20">
        <w:rPr>
          <w:rFonts w:ascii="Times New Roman" w:eastAsia="Garamond" w:hAnsi="Times New Roman" w:cs="Times New Roman"/>
          <w:bCs/>
          <w:color w:val="000000" w:themeColor="text1"/>
          <w:sz w:val="28"/>
          <w:szCs w:val="28"/>
          <w:shd w:val="clear" w:color="auto" w:fill="FFFFFF"/>
        </w:rPr>
        <w:t xml:space="preserve">Рис. </w:t>
      </w:r>
      <w:r w:rsidRPr="00CE0A20">
        <w:rPr>
          <w:rFonts w:ascii="Times New Roman" w:eastAsia="Garamond" w:hAnsi="Times New Roman" w:cs="Times New Roman"/>
          <w:bCs/>
          <w:color w:val="000000" w:themeColor="text1"/>
          <w:sz w:val="28"/>
          <w:szCs w:val="28"/>
          <w:shd w:val="clear" w:color="auto" w:fill="FFFFFF"/>
          <w:lang w:val="uk-UA"/>
        </w:rPr>
        <w:t>4.54</w:t>
      </w:r>
      <w:r w:rsidRPr="00CE0A20">
        <w:rPr>
          <w:rFonts w:ascii="Times New Roman" w:eastAsia="Garamond" w:hAnsi="Times New Roman" w:cs="Times New Roman"/>
          <w:bCs/>
          <w:color w:val="000000" w:themeColor="text1"/>
          <w:sz w:val="28"/>
          <w:szCs w:val="28"/>
          <w:shd w:val="clear" w:color="auto" w:fill="FFFFFF"/>
        </w:rPr>
        <w:t>.</w:t>
      </w:r>
      <w:r w:rsidRPr="00CE0A20">
        <w:rPr>
          <w:rFonts w:ascii="Times New Roman" w:hAnsi="Times New Roman" w:cs="Times New Roman"/>
          <w:color w:val="000000" w:themeColor="text1"/>
          <w:sz w:val="28"/>
          <w:szCs w:val="28"/>
        </w:rPr>
        <w:t xml:space="preserve"> ВЧПЗ щура, який на тлі ураження </w:t>
      </w:r>
      <w:r w:rsidRPr="00CE0A20">
        <w:rPr>
          <w:rFonts w:ascii="Times New Roman" w:eastAsia="Garamond" w:hAnsi="Times New Roman" w:cs="Times New Roman"/>
          <w:color w:val="000000" w:themeColor="text1"/>
          <w:sz w:val="28"/>
          <w:szCs w:val="28"/>
          <w:shd w:val="clear" w:color="auto" w:fill="FFFFFF"/>
          <w:lang w:val="en-US"/>
        </w:rPr>
        <w:t>CdCl</w:t>
      </w:r>
      <w:r w:rsidRPr="00CE0A20">
        <w:rPr>
          <w:rFonts w:ascii="Times New Roman" w:hAnsi="Times New Roman" w:cs="Times New Roman"/>
          <w:color w:val="000000" w:themeColor="text1"/>
          <w:sz w:val="28"/>
          <w:szCs w:val="28"/>
        </w:rPr>
        <w:t>2 отримав КСКМ в кількості по</w:t>
      </w:r>
      <w:r w:rsidRPr="00CE0A20">
        <w:rPr>
          <w:rFonts w:ascii="Times New Roman" w:eastAsia="Garamond" w:hAnsi="Times New Roman" w:cs="Times New Roman"/>
          <w:color w:val="000000" w:themeColor="text1"/>
          <w:sz w:val="28"/>
          <w:szCs w:val="28"/>
          <w:shd w:val="clear" w:color="auto" w:fill="FFFFFF"/>
        </w:rPr>
        <w:t xml:space="preserve"> 200000</w:t>
      </w:r>
      <w:r w:rsidRPr="00CE0A20">
        <w:rPr>
          <w:rFonts w:ascii="Times New Roman" w:hAnsi="Times New Roman" w:cs="Times New Roman"/>
          <w:color w:val="000000" w:themeColor="text1"/>
          <w:sz w:val="28"/>
          <w:szCs w:val="28"/>
        </w:rPr>
        <w:t xml:space="preserve"> клітин в кожне яєчко. Збільшення розміру, звивистість контуру ацинусів простатичних залозок, конкременти </w:t>
      </w:r>
      <w:r w:rsidRPr="00CE0A20">
        <w:rPr>
          <w:rFonts w:ascii="Times New Roman" w:hAnsi="Times New Roman" w:cs="Times New Roman"/>
          <w:color w:val="000000" w:themeColor="text1"/>
          <w:sz w:val="28"/>
          <w:szCs w:val="28"/>
          <w:lang w:val="uk-UA"/>
        </w:rPr>
        <w:t xml:space="preserve">в </w:t>
      </w:r>
      <w:r w:rsidRPr="00CE0A20">
        <w:rPr>
          <w:rFonts w:ascii="Times New Roman" w:hAnsi="Times New Roman" w:cs="Times New Roman"/>
          <w:color w:val="000000" w:themeColor="text1"/>
          <w:sz w:val="28"/>
          <w:szCs w:val="28"/>
        </w:rPr>
        <w:t>частин</w:t>
      </w:r>
      <w:r w:rsidRPr="00CE0A20">
        <w:rPr>
          <w:rFonts w:ascii="Times New Roman" w:hAnsi="Times New Roman" w:cs="Times New Roman"/>
          <w:color w:val="000000" w:themeColor="text1"/>
          <w:sz w:val="28"/>
          <w:szCs w:val="28"/>
          <w:lang w:val="uk-UA"/>
        </w:rPr>
        <w:t>и</w:t>
      </w:r>
      <w:r w:rsidRPr="00CE0A20">
        <w:rPr>
          <w:rFonts w:ascii="Times New Roman" w:hAnsi="Times New Roman" w:cs="Times New Roman"/>
          <w:color w:val="000000" w:themeColor="text1"/>
          <w:sz w:val="28"/>
          <w:szCs w:val="28"/>
        </w:rPr>
        <w:t xml:space="preserve"> ацинусів. </w:t>
      </w:r>
      <w:r w:rsidR="004C1F95" w:rsidRPr="00CE0A20">
        <w:rPr>
          <w:rFonts w:ascii="Times New Roman" w:eastAsiaTheme="minorHAnsi" w:hAnsi="Times New Roman" w:cs="Times New Roman"/>
          <w:color w:val="000000" w:themeColor="text1"/>
          <w:sz w:val="28"/>
          <w:szCs w:val="28"/>
          <w:lang w:eastAsia="en-US"/>
        </w:rPr>
        <w:t>(</w:t>
      </w:r>
      <w:r w:rsidR="004C1F95">
        <w:rPr>
          <w:rFonts w:ascii="Times New Roman" w:eastAsiaTheme="minorHAnsi" w:hAnsi="Times New Roman" w:cs="Times New Roman"/>
          <w:color w:val="000000" w:themeColor="text1"/>
          <w:sz w:val="28"/>
          <w:szCs w:val="28"/>
          <w:lang w:val="uk-UA" w:eastAsia="en-US"/>
        </w:rPr>
        <w:t>зб.</w:t>
      </w:r>
      <w:r w:rsidR="004C1F95" w:rsidRPr="00CE0A20">
        <w:rPr>
          <w:rFonts w:ascii="Times New Roman" w:eastAsiaTheme="minorHAnsi" w:hAnsi="Times New Roman" w:cs="Times New Roman"/>
          <w:color w:val="000000" w:themeColor="text1"/>
          <w:sz w:val="28"/>
          <w:szCs w:val="28"/>
          <w:lang w:eastAsia="en-US"/>
        </w:rPr>
        <w:t>х</w:t>
      </w:r>
      <w:r w:rsidR="004C1F95">
        <w:rPr>
          <w:rFonts w:ascii="Times New Roman" w:eastAsiaTheme="minorHAnsi" w:hAnsi="Times New Roman" w:cs="Times New Roman"/>
          <w:color w:val="000000" w:themeColor="text1"/>
          <w:sz w:val="28"/>
          <w:szCs w:val="28"/>
          <w:lang w:val="uk-UA" w:eastAsia="en-US"/>
        </w:rPr>
        <w:t>1</w:t>
      </w:r>
      <w:r w:rsidR="004C1F95" w:rsidRPr="00CE0A20">
        <w:rPr>
          <w:rFonts w:ascii="Times New Roman" w:eastAsiaTheme="minorHAnsi" w:hAnsi="Times New Roman" w:cs="Times New Roman"/>
          <w:color w:val="000000" w:themeColor="text1"/>
          <w:sz w:val="28"/>
          <w:szCs w:val="28"/>
          <w:lang w:eastAsia="en-US"/>
        </w:rPr>
        <w:t>00). Гематоксилін-еозин</w:t>
      </w:r>
      <w:r w:rsidR="004C1F95">
        <w:rPr>
          <w:rFonts w:ascii="Times New Roman" w:eastAsiaTheme="minorHAnsi" w:hAnsi="Times New Roman" w:cs="Times New Roman"/>
          <w:color w:val="000000" w:themeColor="text1"/>
          <w:sz w:val="28"/>
          <w:szCs w:val="28"/>
          <w:lang w:val="uk-UA" w:eastAsia="en-US"/>
        </w:rPr>
        <w:t>.</w:t>
      </w: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Таким чином, вивчення гістологічне дослідження статевих органів (яєчок та вентральної частини передміхурової залози) в експериментальних тварин, що померли природним шляхом,  не виявило відмінностей між інтактними тваринами та тваринами після інтратестикулярного введення КСКМ з метою лікування ЕАД. </w:t>
      </w: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 іншого боку, результати гістологічних досліджень свідчать, що позитивні зміни в сім’яниках тварин після введення КСКМ тривалі та незворотні.  Ознак злоякісного росту не виявлено. Це є додатковим доказом перспективності методу для застосування в клінічній практиці.</w:t>
      </w:r>
    </w:p>
    <w:p w:rsidR="001C43D0" w:rsidRPr="00CE0A20" w:rsidRDefault="001C43D0" w:rsidP="001C43D0">
      <w:pPr>
        <w:autoSpaceDE w:val="0"/>
        <w:autoSpaceDN w:val="0"/>
        <w:adjustRightInd w:val="0"/>
        <w:jc w:val="both"/>
        <w:rPr>
          <w:rFonts w:ascii="Times New Roman" w:hAnsi="Times New Roman" w:cs="Times New Roman"/>
          <w:color w:val="000000" w:themeColor="text1"/>
          <w:sz w:val="28"/>
          <w:szCs w:val="28"/>
          <w:lang w:val="uk-UA"/>
        </w:rPr>
      </w:pPr>
    </w:p>
    <w:p w:rsidR="004C1F95" w:rsidRDefault="004C1F95">
      <w:pPr>
        <w:spacing w:after="200" w:line="276" w:lineRule="auto"/>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1C43D0" w:rsidRPr="00CE0A20" w:rsidRDefault="001C43D0" w:rsidP="00C01D33">
      <w:pPr>
        <w:tabs>
          <w:tab w:val="left" w:pos="7020"/>
        </w:tabs>
        <w:spacing w:line="360" w:lineRule="auto"/>
        <w:jc w:val="center"/>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Резюме</w:t>
      </w:r>
    </w:p>
    <w:p w:rsidR="001C43D0" w:rsidRPr="00CE0A20" w:rsidRDefault="001C43D0" w:rsidP="001C43D0">
      <w:pPr>
        <w:tabs>
          <w:tab w:val="left" w:pos="7020"/>
        </w:tabs>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за результатами другої серії експерименту з вивчення лікувального впливу інтратестикулярного введення КСКМ тваринам з ЕАД (після введення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150 мкг/100 г ваги тварини) з</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ясовано, що оптимальною є методика введення 200 тис. КСКМ у кожне яєчко. Такий метод на 28-у добу експерименту призводить до нормалізації рівня статевих гормонів та до покращення структурно-морфологічних характеристик статевих органів. При цьому спостерігається покращення показників, що характеризують загальнотоксичну дію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що свідчить про позитивний локальний та системний ефект застосування КСКМ. На цьому фоні відмічено значне поліпшення показників копулятивної поведиінки експериментальних тварин.</w:t>
      </w:r>
    </w:p>
    <w:p w:rsidR="001C43D0" w:rsidRPr="00CE0A20" w:rsidRDefault="001C43D0" w:rsidP="001C43D0">
      <w:pPr>
        <w:tabs>
          <w:tab w:val="left" w:pos="7020"/>
        </w:tabs>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Дослідження розподілу трансплантованих КСКМ за допомогою флюоресцентного трекінгу дозволило підтвердити, що одразу після інокуляції КСКМ знаходяться у вигляді глибок вздовж довгої осі яєчка, а через добу після введення вже рівномірно розподіляються по зрізу яєчка та зберігаються у міжканальцевому просторі на 14-у та на 28-у добу експерименту. Це свідчить про збереження клітин та їх функціональну активність. </w:t>
      </w:r>
    </w:p>
    <w:p w:rsidR="001C43D0" w:rsidRPr="00CE0A20" w:rsidRDefault="001C43D0" w:rsidP="001C43D0">
      <w:pPr>
        <w:tabs>
          <w:tab w:val="left" w:pos="7020"/>
        </w:tabs>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Гістологічні дослідження статевих органів у віддаленому періоді після введення КСКМ дозволили виявити незворотні тривалі позитивні зміни за відсутності ознак злоякісних новоутворень.</w:t>
      </w:r>
    </w:p>
    <w:p w:rsidR="001C43D0" w:rsidRPr="00CE0A20" w:rsidRDefault="001C43D0" w:rsidP="001C43D0">
      <w:pPr>
        <w:tabs>
          <w:tab w:val="left" w:pos="7020"/>
        </w:tabs>
        <w:spacing w:line="360" w:lineRule="auto"/>
        <w:ind w:firstLine="90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Отримані дані свідчать про перспективу застосування КСКМ з метою лікування андрогенного дефіциту та еректильної дисфункції в чоловіків, що стало підставою для проведення клінічного дослідження. </w:t>
      </w:r>
    </w:p>
    <w:p w:rsidR="001C43D0" w:rsidRPr="00CE0A20" w:rsidRDefault="001C43D0" w:rsidP="001C43D0">
      <w:pPr>
        <w:ind w:firstLine="680"/>
        <w:rPr>
          <w:rFonts w:ascii="Times New Roman" w:hAnsi="Times New Roman" w:cs="Times New Roman"/>
          <w:color w:val="000000" w:themeColor="text1"/>
          <w:sz w:val="28"/>
          <w:szCs w:val="28"/>
          <w:lang w:val="uk-UA"/>
        </w:rPr>
      </w:pPr>
    </w:p>
    <w:p w:rsidR="004C1F95" w:rsidRDefault="004C1F95">
      <w:pPr>
        <w:spacing w:after="200" w:line="276" w:lineRule="auto"/>
        <w:rPr>
          <w:rFonts w:ascii="Times New Roman" w:eastAsia="SimSun" w:hAnsi="Times New Roman" w:cs="Times New Roman"/>
          <w:b/>
          <w:bCs/>
          <w:color w:val="auto"/>
          <w:kern w:val="1"/>
          <w:sz w:val="28"/>
          <w:szCs w:val="28"/>
          <w:lang w:eastAsia="hi-IN" w:bidi="hi-IN"/>
        </w:rPr>
      </w:pPr>
      <w:r>
        <w:rPr>
          <w:b/>
          <w:bCs/>
        </w:rPr>
        <w:br w:type="page"/>
      </w:r>
    </w:p>
    <w:p w:rsidR="00C01D33" w:rsidRPr="00CE0A20" w:rsidRDefault="00C01D33" w:rsidP="00C01D33">
      <w:pPr>
        <w:pStyle w:val="af5"/>
        <w:tabs>
          <w:tab w:val="left" w:pos="1180"/>
          <w:tab w:val="center" w:pos="5039"/>
        </w:tabs>
        <w:ind w:left="1069" w:right="-5" w:firstLine="0"/>
        <w:rPr>
          <w:b/>
          <w:bCs/>
          <w:lang w:val="uk-UA"/>
        </w:rPr>
      </w:pPr>
      <w:r w:rsidRPr="00CE0A20">
        <w:rPr>
          <w:b/>
          <w:bCs/>
        </w:rPr>
        <w:t>Список праць, опублікованих за темою розд</w:t>
      </w:r>
      <w:r w:rsidRPr="00CE0A20">
        <w:rPr>
          <w:b/>
          <w:bCs/>
          <w:lang w:val="uk-UA"/>
        </w:rPr>
        <w:t>і</w:t>
      </w:r>
      <w:r w:rsidRPr="00CE0A20">
        <w:rPr>
          <w:b/>
          <w:bCs/>
        </w:rPr>
        <w:t>лу дисертації</w:t>
      </w:r>
      <w:r w:rsidRPr="00CE0A20">
        <w:rPr>
          <w:b/>
          <w:bCs/>
          <w:lang w:val="uk-UA"/>
        </w:rPr>
        <w:t>:</w:t>
      </w:r>
    </w:p>
    <w:p w:rsidR="001C43D0" w:rsidRPr="00CE0A20" w:rsidRDefault="001C43D0" w:rsidP="001C43D0">
      <w:pPr>
        <w:rPr>
          <w:rFonts w:ascii="Times New Roman" w:hAnsi="Times New Roman" w:cs="Times New Roman"/>
          <w:color w:val="000000" w:themeColor="text1"/>
          <w:sz w:val="28"/>
          <w:szCs w:val="28"/>
          <w:lang w:val="uk-UA"/>
        </w:rPr>
      </w:pP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Антонян ІМ. Визначення ефективної кількості стовбурових клітин та методу введення для корекції гормональної дисфункції в експерименті на самцях щурів. Проблеми сучасної медичної науки та освіти. 2010;  4:74-76.</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Антонян ІМ. Використання культури стовбурових клітин для корекції андрогенного дефіциту в щурів. Проблеми безперервної медичної освіти та науки. 2011;1: 57-59.</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Антонян ІМ. Вивчення впливу інтратестікулярного введення культури стовбурових клітин на стан піддослідних щурів на тлі їх ураження двохлористим кадмієм. Світ медицини та біології.  2012;1: 114-119.  </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Антонян ІМ. Зміни сперматогенного епітелію при застосуванні стовбурових клітин на моделі експериментального гіпогонадизму. Вісник проблем біології і медицини. 2012;1(91):88-90</w:t>
      </w:r>
      <w:r w:rsidRPr="00CE0A20">
        <w:rPr>
          <w:rFonts w:ascii="Times New Roman" w:eastAsia="Times New Roman" w:hAnsi="Times New Roman" w:cs="Times New Roman"/>
          <w:i/>
          <w:color w:val="000000" w:themeColor="text1"/>
          <w:sz w:val="28"/>
          <w:szCs w:val="28"/>
          <w:lang w:val="uk-UA"/>
        </w:rPr>
        <w:t xml:space="preserve"> </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Антонян ІМ. Вивчення впливу інтратестикулярного введення культури стовбурових клітин на стан піддослідних щурів на тлі їх ураження двохлористим кадмієм. Вісник проблем біології і медицини. 2012; 1(3): 125-130. </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Антонян ІМ. Віддалені результати інтратестикулярного введення клітин строми кісткового мозку щурам з експериментальним гіпогонадизмом. Укр. морфол. альманах. 2012; 10( 2): 82-87.</w:t>
      </w:r>
      <w:r w:rsidRPr="00CE0A20">
        <w:rPr>
          <w:rFonts w:ascii="Times New Roman" w:eastAsia="Times New Roman" w:hAnsi="Times New Roman" w:cs="Times New Roman"/>
          <w:i/>
          <w:color w:val="000000" w:themeColor="text1"/>
          <w:sz w:val="28"/>
          <w:szCs w:val="28"/>
          <w:lang w:val="uk-UA"/>
        </w:rPr>
        <w:t xml:space="preserve"> </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Антонян ІМ. Дослідження морфоструктури тестикул самців щурів після введення клітин строми кісткового мозку на тлі ураження тварин токсином. Укр. мед. альманах. 2012; 15(4):  30-33.</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Franklin Gothic Heavy" w:hAnsi="Times New Roman" w:cs="Times New Roman"/>
          <w:iCs/>
          <w:color w:val="000000" w:themeColor="text1"/>
          <w:sz w:val="28"/>
          <w:szCs w:val="28"/>
          <w:shd w:val="clear" w:color="auto" w:fill="FFFFFF"/>
          <w:lang w:val="uk-UA"/>
        </w:rPr>
        <w:t xml:space="preserve">Антонян ИМ. </w:t>
      </w:r>
      <w:r w:rsidRPr="00CE0A20">
        <w:rPr>
          <w:rFonts w:ascii="Times New Roman" w:eastAsia="Times New Roman" w:hAnsi="Times New Roman" w:cs="Times New Roman"/>
          <w:color w:val="000000" w:themeColor="text1"/>
          <w:sz w:val="28"/>
          <w:szCs w:val="28"/>
          <w:lang w:val="uk-UA"/>
        </w:rPr>
        <w:t xml:space="preserve">Возможности применения стволовых клеток для коррекции вторичного андрогенного дефицита у крыс. Вісник проблем біології і медицини. 2013;2 (100): 112-115. </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Антонян ИМ. Роль стромальных стволовых клеток при лечении экспериментального гипогонадизма. Урологія. 2015; 19( 3): 311-314.</w:t>
      </w:r>
    </w:p>
    <w:p w:rsidR="001C43D0" w:rsidRPr="00CE0A20" w:rsidRDefault="001C43D0" w:rsidP="001C43D0">
      <w:pPr>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Лесовой ВН, Андоньева НМ, Антонян ИМ, Ларъяновская ЮБ, Кешишян  СА. Применение стромальных стволовых клеток при эксперимен</w:t>
      </w:r>
      <w:r w:rsidRPr="00CE0A20">
        <w:rPr>
          <w:rFonts w:ascii="Times New Roman" w:eastAsia="Times New Roman" w:hAnsi="Times New Roman" w:cs="Times New Roman"/>
          <w:color w:val="000000" w:themeColor="text1"/>
          <w:sz w:val="28"/>
          <w:szCs w:val="28"/>
          <w:lang w:val="uk-UA"/>
        </w:rPr>
        <w:softHyphen/>
        <w:t>тальном гипогонадизме. Медицина сьогодні і завтра. 2011; 1-2 (50-51): 132-140</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Лісовий ВМ, Антонян ІМ. Визначення шляхів введення культури стовбурових клітин і їх кількості для лікування вторинного андрогенного дефіциту у самців щурів. Експерим. і клініч. медицина. 2011;3 (52):26-29. </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Лісовий ВМ, Антонян ІМ, Микулінський ЮЮ. Вплив різної кількості стовбурових клітин на гормональний статус самців щурів і стан їх антиоксидантного захисту на моделі андрогенного дефіциту. Експерим. і клініч. медицина. 2011; 4: 31-34</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Антонян ІМ, Волчік ІВ, Лар’яновська ЮБ. Вивчення морфоструктури сім’яників щурів під впливом стовбурових клітин на моделі вторинного андрогенного дефіциту. Український медичний альманах. 2012;15 (3): 18-23. </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Arial" w:hAnsi="Times New Roman" w:cs="Times New Roman"/>
          <w:iCs/>
          <w:color w:val="000000" w:themeColor="text1"/>
          <w:sz w:val="28"/>
          <w:szCs w:val="28"/>
          <w:lang w:val="uk-UA"/>
        </w:rPr>
        <w:t xml:space="preserve">Лесовой ВН, Антонян ИМ, Ларьяновская ЮБ. </w:t>
      </w:r>
      <w:r w:rsidRPr="00CE0A20">
        <w:rPr>
          <w:rFonts w:ascii="Times New Roman" w:eastAsia="Arial" w:hAnsi="Times New Roman" w:cs="Times New Roman"/>
          <w:color w:val="000000" w:themeColor="text1"/>
          <w:sz w:val="28"/>
          <w:szCs w:val="28"/>
          <w:lang w:val="uk-UA"/>
        </w:rPr>
        <w:t xml:space="preserve">Изменения гормонального статуса и морфометрических показателей под действием культуры стромальных клеток при экспериментальном гипогонадизме. Експериментальна і клінічна медицина.  2012; 4 (57):6-12. </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Лісовий ВМ, Антонян ІМ, Волчік ІВ, Лар'яновська ЮБ.  Вплив одно- та двобічного інтратестикулярного введення різної кількості стовбурових клітин на стан щурів з експериментальною моделлю вторинного андрогенного дефіциту. Медицина сьогодні і завтра. 2013;  1: 5-15 </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Антонян ИМ, Омельченко ЕА, Забирняк ИС. Изменения гормонального статуса животных в условиях андрогенного дефицита под влиянием сингенной культуры стволовых клеток. Трекинг и флуоресцентный имиджинг клеток EX VIVO/IN VIVO. Український журнал медицини, біології та спорту.  2017; 2 (4):7-15. </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shd w:val="clear" w:color="auto" w:fill="FFFFFF"/>
          <w:lang w:val="uk-UA"/>
        </w:rPr>
        <w:t xml:space="preserve">Лесовой ВН, Андоньева НМ, Антонян ИМ, Ларьяновская  ЮБ, Кешишян СА.  Применение стромальных стволовых клеток при экспериментальном андрогенном дефиците. В зб.: Мат. V </w:t>
      </w:r>
      <w:r w:rsidRPr="00CE0A20">
        <w:rPr>
          <w:rFonts w:ascii="Times New Roman" w:eastAsia="Times New Roman" w:hAnsi="Times New Roman" w:cs="Times New Roman"/>
          <w:bCs/>
          <w:iCs/>
          <w:color w:val="000000" w:themeColor="text1"/>
          <w:sz w:val="28"/>
          <w:szCs w:val="28"/>
          <w:shd w:val="clear" w:color="auto" w:fill="FFFFFF"/>
          <w:lang w:val="uk-UA"/>
        </w:rPr>
        <w:t>съезда трансплантологов Украины</w:t>
      </w:r>
      <w:r w:rsidRPr="00CE0A20">
        <w:rPr>
          <w:rFonts w:ascii="Times New Roman" w:eastAsia="Times New Roman" w:hAnsi="Times New Roman" w:cs="Times New Roman"/>
          <w:color w:val="000000" w:themeColor="text1"/>
          <w:sz w:val="28"/>
          <w:szCs w:val="28"/>
          <w:shd w:val="clear" w:color="auto" w:fill="FFFFFF"/>
          <w:lang w:val="uk-UA"/>
        </w:rPr>
        <w:t xml:space="preserve">. Харьков, 2011. </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Визначення шляхів введення клітини строми кісткового мозку та підтвердження їх трекінгу на моделі вторинного андрогенного дефіциту у щурів. В Зб.: Урологія, андрологія, нефрологія – 2016: мат. науч.-практ. конф. </w:t>
      </w:r>
      <w:r w:rsidRPr="00CE0A20">
        <w:rPr>
          <w:rFonts w:ascii="Times New Roman" w:eastAsia="Times New Roman" w:hAnsi="Times New Roman" w:cs="Times New Roman"/>
          <w:iCs/>
          <w:color w:val="000000" w:themeColor="text1"/>
          <w:sz w:val="28"/>
          <w:szCs w:val="28"/>
          <w:lang w:val="uk-UA"/>
        </w:rPr>
        <w:t xml:space="preserve">Под ред. В.Н.Лесового, И.М.Антоняна и др. – Харьков, 2016. </w:t>
      </w:r>
      <w:r w:rsidRPr="00CE0A20">
        <w:rPr>
          <w:rFonts w:ascii="Times New Roman" w:eastAsia="Times New Roman" w:hAnsi="Times New Roman" w:cs="Times New Roman"/>
          <w:bCs/>
          <w:color w:val="000000" w:themeColor="text1"/>
          <w:sz w:val="28"/>
          <w:szCs w:val="28"/>
          <w:lang w:val="uk-UA"/>
        </w:rPr>
        <w:t xml:space="preserve">280-281 </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iCs/>
          <w:color w:val="000000" w:themeColor="text1"/>
          <w:sz w:val="28"/>
          <w:szCs w:val="28"/>
          <w:lang w:val="uk-UA"/>
        </w:rPr>
        <w:t>Антонян ИМ, Лесовой ВН.</w:t>
      </w:r>
      <w:r w:rsidRPr="00CE0A20">
        <w:rPr>
          <w:rFonts w:ascii="Times New Roman" w:eastAsia="Times New Roman" w:hAnsi="Times New Roman" w:cs="Times New Roman"/>
          <w:i/>
          <w:iCs/>
          <w:color w:val="000000" w:themeColor="text1"/>
          <w:sz w:val="28"/>
          <w:szCs w:val="28"/>
          <w:lang w:val="uk-UA"/>
        </w:rPr>
        <w:t xml:space="preserve">  </w:t>
      </w:r>
      <w:r w:rsidRPr="00CE0A20">
        <w:rPr>
          <w:rFonts w:ascii="Times New Roman" w:eastAsia="Times New Roman" w:hAnsi="Times New Roman" w:cs="Times New Roman"/>
          <w:color w:val="000000" w:themeColor="text1"/>
          <w:sz w:val="28"/>
          <w:szCs w:val="28"/>
          <w:lang w:val="uk-UA"/>
        </w:rPr>
        <w:t>Эффективность и безопасность использо</w:t>
      </w:r>
      <w:r w:rsidRPr="00CE0A20">
        <w:rPr>
          <w:rFonts w:ascii="Times New Roman" w:eastAsia="Times New Roman" w:hAnsi="Times New Roman" w:cs="Times New Roman"/>
          <w:color w:val="000000" w:themeColor="text1"/>
          <w:sz w:val="28"/>
          <w:szCs w:val="28"/>
          <w:lang w:val="uk-UA"/>
        </w:rPr>
        <w:softHyphen/>
        <w:t>ва</w:t>
      </w:r>
      <w:r w:rsidRPr="00CE0A20">
        <w:rPr>
          <w:rFonts w:ascii="Times New Roman" w:eastAsia="Times New Roman" w:hAnsi="Times New Roman" w:cs="Times New Roman"/>
          <w:color w:val="000000" w:themeColor="text1"/>
          <w:sz w:val="28"/>
          <w:szCs w:val="28"/>
          <w:lang w:val="uk-UA"/>
        </w:rPr>
        <w:softHyphen/>
        <w:t>ния клеток стромы костного мозга для коррекции андрогенного дефицита у больных сахарным диабетом.</w:t>
      </w:r>
      <w:r w:rsidRPr="00CE0A20">
        <w:rPr>
          <w:rFonts w:ascii="Times New Roman" w:eastAsia="Times New Roman" w:hAnsi="Times New Roman" w:cs="Times New Roman"/>
          <w:b/>
          <w:color w:val="000000" w:themeColor="text1"/>
          <w:sz w:val="28"/>
          <w:szCs w:val="28"/>
          <w:lang w:val="uk-UA"/>
        </w:rPr>
        <w:t xml:space="preserve"> </w:t>
      </w:r>
      <w:r w:rsidRPr="00CE0A20">
        <w:rPr>
          <w:rFonts w:ascii="Times New Roman" w:eastAsia="Times New Roman" w:hAnsi="Times New Roman" w:cs="Times New Roman"/>
          <w:color w:val="000000" w:themeColor="text1"/>
          <w:sz w:val="28"/>
          <w:szCs w:val="28"/>
          <w:lang w:val="uk-UA"/>
        </w:rPr>
        <w:t>В зб.:</w:t>
      </w:r>
      <w:r w:rsidRPr="00CE0A20">
        <w:rPr>
          <w:rFonts w:ascii="Times New Roman" w:eastAsia="Times New Roman" w:hAnsi="Times New Roman" w:cs="Times New Roman"/>
          <w:b/>
          <w:color w:val="000000" w:themeColor="text1"/>
          <w:sz w:val="28"/>
          <w:szCs w:val="28"/>
          <w:lang w:val="uk-UA"/>
        </w:rPr>
        <w:t xml:space="preserve"> </w:t>
      </w:r>
      <w:r w:rsidRPr="00CE0A20">
        <w:rPr>
          <w:rFonts w:ascii="Times New Roman" w:eastAsia="Times New Roman" w:hAnsi="Times New Roman" w:cs="Times New Roman"/>
          <w:color w:val="000000" w:themeColor="text1"/>
          <w:sz w:val="28"/>
          <w:szCs w:val="28"/>
          <w:lang w:val="uk-UA"/>
        </w:rPr>
        <w:t>Урологія, андрологія, нефрологія – 2017: мат. науч.-практ. конф. Під ред. В.М.Лісового, І.М.Антоняна та ін. Харків, 2017. 67-70</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Антонян ІМ, Мікулінський ЮЮ, Омельченко ОА, Забірник АП, Панібратцева СГ. Технології трекінгу клітин строми кісткового мозку щурів при інтратестікулярній трансплантації: методичні рекомендації.  Харків, 2017. 17 с. </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Боровий ІА, Малюкін ЮВ, Семиноженко ВП, Щегельська ОА, Микулинський ЮЮ, Хвисюк ОМ, Дьомін ЮА, П’ятикоп ВО, Антонян ІМ. Спосіб одержання суправітально забарвлених клітин різних типів біологічних тканин. Деклараційний патент на корисну модель  №13724 Опубл.: Бюл. № 4 від 17.04.2006</w:t>
      </w:r>
    </w:p>
    <w:p w:rsidR="001C43D0" w:rsidRPr="00CE0A20" w:rsidRDefault="001C43D0" w:rsidP="001C43D0">
      <w:pPr>
        <w:keepLines/>
        <w:numPr>
          <w:ilvl w:val="0"/>
          <w:numId w:val="27"/>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Мікулинський ЮЮ, Хвисюк ОМ, Забірник АС, Панібратцева СГ, Кульшин ВЕ, Омельченко ОА, Антонян ІМ. Спосіб отримання клітин нервової тканини із мезенхімальних клітин тканини ссавців. </w:t>
      </w:r>
      <w:r w:rsidRPr="00CE0A20">
        <w:rPr>
          <w:rFonts w:ascii="Times New Roman" w:eastAsia="Times New Roman" w:hAnsi="Times New Roman" w:cs="Times New Roman"/>
          <w:bCs/>
          <w:color w:val="000000" w:themeColor="text1"/>
          <w:sz w:val="28"/>
          <w:szCs w:val="28"/>
          <w:lang w:val="uk-UA"/>
        </w:rPr>
        <w:t xml:space="preserve">Деклараційний патент на корисну модель №48553 . Опубл.: </w:t>
      </w:r>
      <w:r w:rsidRPr="00CE0A20">
        <w:rPr>
          <w:rFonts w:ascii="Times New Roman" w:eastAsia="Times New Roman" w:hAnsi="Times New Roman" w:cs="Times New Roman"/>
          <w:color w:val="000000" w:themeColor="text1"/>
          <w:sz w:val="28"/>
          <w:szCs w:val="28"/>
          <w:lang w:val="uk-UA"/>
        </w:rPr>
        <w:t xml:space="preserve"> Бюл.№ 6 від 25.03.10 р. </w:t>
      </w:r>
    </w:p>
    <w:p w:rsidR="001C43D0" w:rsidRPr="00CE0A20" w:rsidRDefault="001C43D0" w:rsidP="001C43D0">
      <w:pPr>
        <w:keepLines/>
        <w:numPr>
          <w:ilvl w:val="0"/>
          <w:numId w:val="27"/>
        </w:numPr>
        <w:tabs>
          <w:tab w:val="left" w:pos="1134"/>
          <w:tab w:val="left" w:pos="1276"/>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eastAsia="Times New Roman" w:hAnsi="Times New Roman" w:cs="Times New Roman"/>
          <w:color w:val="000000" w:themeColor="text1"/>
          <w:sz w:val="28"/>
          <w:szCs w:val="28"/>
          <w:lang w:val="uk-UA" w:eastAsia="en-US"/>
        </w:rPr>
        <w:t xml:space="preserve">Антонян ІМ. Спосіб лікування андрогенного дефіциту у щурів. </w:t>
      </w:r>
      <w:r w:rsidRPr="00CE0A20">
        <w:rPr>
          <w:rFonts w:ascii="Times New Roman" w:eastAsia="Times New Roman" w:hAnsi="Times New Roman" w:cs="Times New Roman"/>
          <w:bCs/>
          <w:color w:val="000000" w:themeColor="text1"/>
          <w:sz w:val="28"/>
          <w:szCs w:val="28"/>
          <w:lang w:val="uk-UA" w:eastAsia="en-US"/>
        </w:rPr>
        <w:t>Деклараційний патент на корисну модель №62911. Опубл.:</w:t>
      </w:r>
      <w:r w:rsidRPr="00CE0A20">
        <w:rPr>
          <w:rFonts w:ascii="Times New Roman" w:eastAsia="Times New Roman" w:hAnsi="Times New Roman" w:cs="Times New Roman"/>
          <w:color w:val="000000" w:themeColor="text1"/>
          <w:sz w:val="28"/>
          <w:szCs w:val="28"/>
          <w:lang w:val="uk-UA" w:eastAsia="en-US"/>
        </w:rPr>
        <w:t xml:space="preserve"> Бюл.№ 18 від 26.09.2011.</w:t>
      </w:r>
      <w:r w:rsidRPr="00CE0A20">
        <w:rPr>
          <w:rFonts w:ascii="Times New Roman" w:hAnsi="Times New Roman" w:cs="Times New Roman"/>
          <w:color w:val="000000" w:themeColor="text1"/>
          <w:sz w:val="28"/>
          <w:szCs w:val="28"/>
          <w:lang w:val="uk-UA" w:eastAsia="en-US"/>
        </w:rPr>
        <w:t xml:space="preserve"> </w:t>
      </w:r>
    </w:p>
    <w:p w:rsidR="001C43D0" w:rsidRPr="00CE0A20" w:rsidRDefault="001C43D0" w:rsidP="001C43D0">
      <w:pPr>
        <w:rPr>
          <w:rFonts w:ascii="Times New Roman" w:hAnsi="Times New Roman" w:cs="Times New Roman"/>
          <w:sz w:val="28"/>
          <w:szCs w:val="28"/>
        </w:rPr>
      </w:pPr>
      <w:r w:rsidRPr="00CE0A20">
        <w:rPr>
          <w:rFonts w:ascii="Times New Roman" w:hAnsi="Times New Roman" w:cs="Times New Roman"/>
          <w:bCs/>
          <w:color w:val="000000" w:themeColor="text1"/>
          <w:sz w:val="28"/>
          <w:szCs w:val="28"/>
          <w:lang w:val="uk-UA" w:eastAsia="en-US"/>
        </w:rPr>
        <w:br w:type="page"/>
      </w:r>
    </w:p>
    <w:p w:rsidR="001C43D0" w:rsidRPr="00CE0A20" w:rsidRDefault="00C01D33" w:rsidP="001C43D0">
      <w:pPr>
        <w:spacing w:after="200" w:line="276" w:lineRule="auto"/>
        <w:jc w:val="center"/>
        <w:rPr>
          <w:rFonts w:ascii="Times New Roman" w:hAnsi="Times New Roman" w:cs="Times New Roman"/>
          <w:b/>
          <w:color w:val="000000" w:themeColor="text1"/>
          <w:sz w:val="28"/>
          <w:szCs w:val="28"/>
        </w:rPr>
      </w:pPr>
      <w:r w:rsidRPr="00CE0A20">
        <w:rPr>
          <w:rFonts w:ascii="Times New Roman" w:hAnsi="Times New Roman" w:cs="Times New Roman"/>
          <w:b/>
          <w:color w:val="000000" w:themeColor="text1"/>
          <w:sz w:val="28"/>
          <w:szCs w:val="28"/>
          <w:lang w:val="uk-UA"/>
        </w:rPr>
        <w:t>Розділ 5</w:t>
      </w:r>
    </w:p>
    <w:p w:rsidR="001C43D0" w:rsidRPr="00CE0A20" w:rsidRDefault="001C43D0" w:rsidP="001C43D0">
      <w:pPr>
        <w:spacing w:line="360" w:lineRule="auto"/>
        <w:jc w:val="center"/>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 xml:space="preserve">ЗАСТОСУВАННЯ КЛІТИН СТРОМИ КІСТКОВОГО МОЗКУ ДЛЯ ЛІКУВАННЯ АНДРОГЕННОГО ДЕФІЦИТУ В ЧОЛОВІКІВ З ЦУКРОВИМ ДІАБЕТОМ </w:t>
      </w:r>
    </w:p>
    <w:p w:rsidR="001C43D0" w:rsidRPr="00CE0A20" w:rsidRDefault="001C43D0" w:rsidP="001C43D0">
      <w:pPr>
        <w:spacing w:line="360" w:lineRule="auto"/>
        <w:jc w:val="center"/>
        <w:rPr>
          <w:rFonts w:ascii="Times New Roman" w:hAnsi="Times New Roman" w:cs="Times New Roman"/>
          <w:b/>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цей час відомо, що ЦД є однією з провідних причин розвитку гіпогонадизму в чоловіків, наслідком якого є ЕД. Як свідчать дані клінічних досліджень, ЕД турбує майже 50% чоловіків з ЦД, причому корекція андрогенного дефіциту шляхом ГЗТ тестостероном призводить не тільки до відновлення еректильної функції, але й має позитивний вплив на перебіг ЦД. З іншого боку, ГЗТ тестостероном має окремі обмеження та протипоказання та потребує дотримання  певних умов та застережень. Тому пошук можливостей корекції дефіциту тестостерону не припиняється і одним з перспективних напрямків у цьому аспекті є регенерація клітин Лейдіга для відновлення гормон-продукуючої функції тестикул.</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цей час регенераційна терапія із застосуванням стромальних клітин використовується для корекції багатьох патологічних станів, однак цей метод ще не знайшов значного поширення в клінічний практиці, що й було підставою для здійснення експерименту на самцях білих щурів зі створення ЕАД з подальшою його корекцією за допомогою КСКМ. За результатами цих досліджень визначено, що трансплантація КСКМ по 200 000 клітин в кожне яєчко призводить до значного покращення гормонального статусу та сприяє нормалізації показників загальнотоксичного впливу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Отримані результати були підставою для здійснення клінічних досліджень ефективності та безпечності лікування ЕД на тлі андрогенного дефіциту в чоловіків з ЦД, але для запобігання потенційних небезпечних ефектів трансплантації алогенних клітин, у клінічних дослідженнях були використані аутологічні КСКМ, отримані згідно з розробленою методикою від самого пацієнта. </w:t>
      </w:r>
    </w:p>
    <w:p w:rsidR="001C43D0" w:rsidRPr="00CE0A20" w:rsidRDefault="001C43D0" w:rsidP="001C43D0">
      <w:pPr>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5.1. Характеристика стану чоловіків на початку дослідження</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Еректильна дисфункція в чоловіків основної групи виникала на тлі  значних змін гормонального фону (табл. 5.1).</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Таблиця 5.1 – Вміст статевих гормонів у сироватці крові чоловіків основної та контрольної груп</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2126"/>
        <w:gridCol w:w="2127"/>
        <w:gridCol w:w="2231"/>
      </w:tblGrid>
      <w:tr w:rsidR="001C43D0" w:rsidRPr="00CE0A20" w:rsidTr="001C43D0">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484" w:type="dxa"/>
            <w:gridSpan w:val="3"/>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 група (основна)  (n=20)</w:t>
            </w:r>
          </w:p>
        </w:tc>
        <w:tc>
          <w:tcPr>
            <w:tcW w:w="2231"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ІІ група (контроль</w:t>
            </w:r>
            <w:r w:rsidRPr="00CE0A20">
              <w:rPr>
                <w:rFonts w:ascii="Times New Roman" w:hAnsi="Times New Roman" w:cs="Times New Roman"/>
                <w:color w:val="000000" w:themeColor="text1"/>
                <w:sz w:val="28"/>
                <w:szCs w:val="28"/>
                <w:lang w:val="uk-UA" w:eastAsia="en-US"/>
              </w:rPr>
              <w:softHyphen/>
              <w:t>на) (n=20)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Іб підгрупа (порівняння) (n=10)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Загальний тестостерон (нмоль/мл)</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3,9±1,2</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4,1±1,3</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16,7±6,3</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Естрадіол (пг/мл)</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32,6±11,1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31,6±13,3</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24,7±13,8</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Індекс Т/Е</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0,13±0,06</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0,17±0,11</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1,07±0,88</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ГЗСГ (нмоль/л)</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108,9±24,2</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128,8±29,5</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55,5±20,2</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АІ</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3,7±1,4</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3,5±1,8</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37,3±25,9</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ФСГ (мЕд/мл)</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5,7±2,3</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6,4±2,1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7,4±3,8</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ЛГ   (мЕд/мл)</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6,4±2,3</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6,2±2,1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5,5±2,6</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ПРЛ (МкМЕ/мл)</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177,5±83,3</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201,9±91,6</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201,6±90,0</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p>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w:t>
      </w:r>
      <w:r w:rsidRPr="00CE0A20">
        <w:rPr>
          <w:rFonts w:ascii="Times New Roman" w:hAnsi="Times New Roman" w:cs="Times New Roman"/>
          <w:color w:val="000000" w:themeColor="text1"/>
          <w:sz w:val="28"/>
          <w:szCs w:val="28"/>
        </w:rPr>
        <w:t>01</w:t>
      </w:r>
      <w:r w:rsidRPr="00CE0A20">
        <w:rPr>
          <w:rFonts w:ascii="Times New Roman" w:hAnsi="Times New Roman" w:cs="Times New Roman"/>
          <w:color w:val="000000" w:themeColor="text1"/>
          <w:sz w:val="28"/>
          <w:szCs w:val="28"/>
          <w:lang w:val="uk-UA"/>
        </w:rPr>
        <w:t xml:space="preserve"> порівняно з контрольною групою за t-критерієм.</w:t>
      </w:r>
    </w:p>
    <w:p w:rsidR="001C43D0" w:rsidRPr="00CE0A20" w:rsidRDefault="001C43D0" w:rsidP="001C43D0">
      <w:pPr>
        <w:spacing w:line="360" w:lineRule="auto"/>
        <w:ind w:firstLine="709"/>
        <w:jc w:val="right"/>
        <w:rPr>
          <w:rFonts w:ascii="Times New Roman" w:hAnsi="Times New Roman" w:cs="Times New Roman"/>
          <w:i/>
          <w:iCs/>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Найбільші відхилення в обох підгрупах виявлено в концентрації загального тестостерону, яка була достовірно меншою, ніж у контрольній групі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без суттєвих відмінностей між підгрупами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 цьому, рівень естрадіолу в обох підгрупах підвищився незначно порівняно з контрольною групою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між підгрупами та між підгрупами та контрольною групою). Відповідно були значно знижені індекс Т/Е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&gt;0,05 між підгрупами та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між підгрупами та контрольною групою).</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Концентрація ГЗСГ в обох підгрупах  була значно підвищена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між підгрупами та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між Іа та Іб з ІІ групою). Відповідно АІ був знижений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між підгрупами та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між Іа та Іб з ІІ групою).</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Рівень інших статевих гормонів гіпофізарного походження значно не відрізнявся від аналогічних показників контрольної групи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Тобто в чоловіків з ЦД та  ЕД наявні лабораторні ознаки андрогенного дефіциту зі значним зниженням концентрації тестостерону та індексу Т/Е на фоні підвищення концентрації ГЗСГ та зниження АІ.</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Ці гормональні порушення виникали на тлі змін антропометричних та лабораторних показників (табл. 5.2).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Середній зріст пацієнтів основної та контрольної груп не відрізнявся, становлячи (1,75±0,06) м, (1,78±0,14) м та (1,74±0,12) м відповідно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водночас як середня вага в Іа підгрупі сягала (119,8±19,2) кг, у Іб підгрупі – (102,0±14,2) кг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між Іа та Іб підгрупами), що було більше, ніж у контрольній групі – (82,4±13,5) кг (р&lt;0,001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з Іа та Іб підгрупами). Відповідно в основній групі був збільшеним ІМТ, дорівнюючи в Іа підгрупі (39,2±7,0), у Іб підгрупі (32,6±5,7)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між Іа та Іб підгрупами), що було більше, ніж у контрольній групі – (27,2±3,2)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Це свідчить про наявність схильності до ожиріння у хворих з ЕД на тлі  ЦД 2-го типу.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У пацієнтів основної групи внаслідок ЦД спостерігалася гіперглікемія з підвищенням концентрації глюкози у середньому до (10,7±2,4) ммоль/л в Іа підгрупі та до (10,6±2,7) ммоль/л в Іб підгрупі; рівня </w:t>
      </w:r>
      <w:r w:rsidRPr="00CE0A20">
        <w:rPr>
          <w:rFonts w:ascii="Times New Roman" w:hAnsi="Times New Roman" w:cs="Times New Roman"/>
          <w:color w:val="000000" w:themeColor="text1"/>
          <w:sz w:val="28"/>
          <w:szCs w:val="28"/>
          <w:lang w:val="en-US"/>
        </w:rPr>
        <w:t>HbA</w:t>
      </w:r>
      <w:r w:rsidRPr="00CE0A20">
        <w:rPr>
          <w:rFonts w:ascii="Times New Roman" w:hAnsi="Times New Roman" w:cs="Times New Roman"/>
          <w:color w:val="000000" w:themeColor="text1"/>
          <w:sz w:val="28"/>
          <w:szCs w:val="28"/>
          <w:lang w:val="uk-UA"/>
        </w:rPr>
        <w:t>1</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xml:space="preserve">  до (12,2±3,9)% в Іа підгрупі та до (12,4±3,6)% в Іб підгрупі(р&gt;0,05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між підгрупами).  У контрольній групі ці показники становили (5,1±0,7) ммоль/л та (5,2±0,4)% відповідно (р</w:t>
      </w:r>
      <w:r w:rsidRPr="00CE0A20">
        <w:rPr>
          <w:rFonts w:ascii="Times New Roman" w:hAnsi="Times New Roman" w:cs="Times New Roman"/>
          <w:color w:val="000000" w:themeColor="text1"/>
          <w:sz w:val="28"/>
          <w:szCs w:val="28"/>
        </w:rPr>
        <w:t>&lt;0,001</w:t>
      </w:r>
      <w:r w:rsidRPr="00CE0A20">
        <w:rPr>
          <w:rFonts w:ascii="Times New Roman" w:hAnsi="Times New Roman" w:cs="Times New Roman"/>
          <w:color w:val="000000" w:themeColor="text1"/>
          <w:sz w:val="28"/>
          <w:szCs w:val="28"/>
          <w:lang w:val="uk-UA"/>
        </w:rPr>
        <w:t xml:space="preserve">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критерієм з Іа та Іб підгрупами).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Таблиця 5.2 – Антропометричні та лабораторні показники чоловіків основної та контрольної груп</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10"/>
        <w:gridCol w:w="1914"/>
        <w:gridCol w:w="2055"/>
        <w:gridCol w:w="1985"/>
      </w:tblGrid>
      <w:tr w:rsidR="001C43D0" w:rsidRPr="00CE0A20" w:rsidTr="001C43D0">
        <w:tc>
          <w:tcPr>
            <w:tcW w:w="3510"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5954" w:type="dxa"/>
            <w:gridSpan w:val="3"/>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3969"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 група (основна)  (n=20)</w:t>
            </w: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ІІ група (контроль</w:t>
            </w:r>
            <w:r w:rsidRPr="00CE0A20">
              <w:rPr>
                <w:rFonts w:ascii="Times New Roman" w:hAnsi="Times New Roman" w:cs="Times New Roman"/>
                <w:color w:val="000000" w:themeColor="text1"/>
                <w:sz w:val="28"/>
                <w:szCs w:val="28"/>
                <w:lang w:val="uk-UA" w:eastAsia="en-US"/>
              </w:rPr>
              <w:softHyphen/>
              <w:t>на) (n=20)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120" w:after="12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(n=20)</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120" w:after="12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 б підгрупа (порівняння) (n=20)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Зріст, м</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1,75±0,06</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1,78±0,14</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1,74±0,12</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Вага, кг</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en-US" w:eastAsia="en-US"/>
              </w:rPr>
            </w:pPr>
            <w:r w:rsidRPr="00CE0A20">
              <w:rPr>
                <w:rFonts w:ascii="Times New Roman" w:hAnsi="Times New Roman" w:cs="Times New Roman"/>
                <w:color w:val="000000" w:themeColor="text1"/>
                <w:sz w:val="28"/>
                <w:szCs w:val="28"/>
                <w:lang w:val="uk-UA" w:eastAsia="en-US"/>
              </w:rPr>
              <w:t>119,8±19,2</w:t>
            </w:r>
            <w:r w:rsidRPr="00CE0A20">
              <w:rPr>
                <w:rFonts w:ascii="Times New Roman" w:hAnsi="Times New Roman" w:cs="Times New Roman"/>
                <w:color w:val="000000" w:themeColor="text1"/>
                <w:sz w:val="28"/>
                <w:szCs w:val="28"/>
                <w:vertAlign w:val="superscript"/>
                <w:lang w:val="uk-UA" w:eastAsia="en-US"/>
              </w:rPr>
              <w:t>1,2</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102,0±14,2</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82,4±13,5</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ІМТ</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39,2±7,0</w:t>
            </w:r>
            <w:r w:rsidRPr="00CE0A20">
              <w:rPr>
                <w:rFonts w:ascii="Times New Roman" w:hAnsi="Times New Roman" w:cs="Times New Roman"/>
                <w:color w:val="000000" w:themeColor="text1"/>
                <w:sz w:val="28"/>
                <w:szCs w:val="28"/>
                <w:vertAlign w:val="superscript"/>
                <w:lang w:val="uk-UA" w:eastAsia="en-US"/>
              </w:rPr>
              <w:t>1,2</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32,6±5,7</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27,2±3,2</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Глюкоза, ммоль/л</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10,7±2,4</w:t>
            </w:r>
            <w:r w:rsidRPr="00CE0A20">
              <w:rPr>
                <w:rFonts w:ascii="Times New Roman" w:hAnsi="Times New Roman" w:cs="Times New Roman"/>
                <w:color w:val="000000" w:themeColor="text1"/>
                <w:sz w:val="28"/>
                <w:szCs w:val="28"/>
                <w:vertAlign w:val="superscript"/>
                <w:lang w:val="uk-UA" w:eastAsia="en-US"/>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10,6±2,7</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5,1±0,7</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en-US" w:eastAsia="en-US"/>
              </w:rPr>
              <w:t>HbA1c</w:t>
            </w:r>
            <w:r w:rsidRPr="00CE0A20">
              <w:rPr>
                <w:rFonts w:ascii="Times New Roman" w:hAnsi="Times New Roman" w:cs="Times New Roman"/>
                <w:color w:val="000000" w:themeColor="text1"/>
                <w:sz w:val="28"/>
                <w:szCs w:val="28"/>
                <w:lang w:val="uk-UA" w:eastAsia="en-US"/>
              </w:rPr>
              <w:t xml:space="preserve"> , %</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12,2±3,9</w:t>
            </w:r>
            <w:r w:rsidRPr="00CE0A20">
              <w:rPr>
                <w:rFonts w:ascii="Times New Roman" w:hAnsi="Times New Roman" w:cs="Times New Roman"/>
                <w:color w:val="000000" w:themeColor="text1"/>
                <w:sz w:val="28"/>
                <w:szCs w:val="28"/>
                <w:vertAlign w:val="superscript"/>
                <w:lang w:val="uk-UA" w:eastAsia="en-US"/>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12,4±3,6</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5,2±0,4</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АЛТ, Од/л</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65,8±17,5</w:t>
            </w:r>
            <w:r w:rsidRPr="00CE0A20">
              <w:rPr>
                <w:rFonts w:ascii="Times New Roman" w:hAnsi="Times New Roman" w:cs="Times New Roman"/>
                <w:color w:val="000000" w:themeColor="text1"/>
                <w:sz w:val="28"/>
                <w:szCs w:val="28"/>
                <w:vertAlign w:val="superscript"/>
                <w:lang w:val="uk-UA" w:eastAsia="en-US"/>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71,5±16,5</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43,8±16,4</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АСТ, мкмоль/с·л</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70,7±16,5</w:t>
            </w:r>
            <w:r w:rsidRPr="00CE0A20">
              <w:rPr>
                <w:rFonts w:ascii="Times New Roman" w:hAnsi="Times New Roman" w:cs="Times New Roman"/>
                <w:color w:val="000000" w:themeColor="text1"/>
                <w:sz w:val="28"/>
                <w:szCs w:val="28"/>
                <w:vertAlign w:val="superscript"/>
                <w:lang w:val="uk-UA" w:eastAsia="en-US"/>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73,1±16,5</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47,6±18,7</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Загальний холестерин, ммоль/мл</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8,0±1,0</w:t>
            </w:r>
            <w:r w:rsidRPr="00CE0A20">
              <w:rPr>
                <w:rFonts w:ascii="Times New Roman" w:hAnsi="Times New Roman" w:cs="Times New Roman"/>
                <w:color w:val="000000" w:themeColor="text1"/>
                <w:sz w:val="28"/>
                <w:szCs w:val="28"/>
                <w:vertAlign w:val="superscript"/>
                <w:lang w:val="uk-UA" w:eastAsia="en-US"/>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8,0±0,9</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5,0±1,2</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ЛПНЩ, ммоль/мл</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4,6±0,9</w:t>
            </w:r>
            <w:r w:rsidRPr="00CE0A20">
              <w:rPr>
                <w:rFonts w:ascii="Times New Roman" w:hAnsi="Times New Roman" w:cs="Times New Roman"/>
                <w:color w:val="000000" w:themeColor="text1"/>
                <w:sz w:val="28"/>
                <w:szCs w:val="28"/>
                <w:vertAlign w:val="superscript"/>
                <w:lang w:val="uk-UA" w:eastAsia="en-US"/>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4,6±1,0</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1,9±0,7</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ЛПВЩ, ммоль/мл</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1,0±0,4</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0,8±0,3</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1,2±0,3</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Тригліцериди, ммоль/мл</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3,0±0,5</w:t>
            </w:r>
            <w:r w:rsidRPr="00CE0A20">
              <w:rPr>
                <w:rFonts w:ascii="Times New Roman" w:hAnsi="Times New Roman" w:cs="Times New Roman"/>
                <w:color w:val="000000" w:themeColor="text1"/>
                <w:sz w:val="28"/>
                <w:szCs w:val="28"/>
                <w:vertAlign w:val="superscript"/>
                <w:lang w:val="uk-UA" w:eastAsia="en-US"/>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3,1±0,6</w:t>
            </w:r>
            <w:r w:rsidRPr="00CE0A20">
              <w:rPr>
                <w:rFonts w:ascii="Times New Roman" w:hAnsi="Times New Roman" w:cs="Times New Roman"/>
                <w:color w:val="000000" w:themeColor="text1"/>
                <w:sz w:val="28"/>
                <w:szCs w:val="28"/>
                <w:vertAlign w:val="superscript"/>
                <w:lang w:val="uk-UA" w:eastAsia="en-US"/>
              </w:rPr>
              <w:t>1</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1,2±0,3</w:t>
            </w:r>
          </w:p>
        </w:tc>
      </w:tr>
      <w:tr w:rsidR="001C43D0" w:rsidRPr="00CE0A20" w:rsidTr="001C43D0">
        <w:tc>
          <w:tcPr>
            <w:tcW w:w="3510"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ПСА, нг/мл</w:t>
            </w:r>
          </w:p>
        </w:tc>
        <w:tc>
          <w:tcPr>
            <w:tcW w:w="1914"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1,8±0,9</w:t>
            </w:r>
          </w:p>
        </w:tc>
        <w:tc>
          <w:tcPr>
            <w:tcW w:w="205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2,0±0,6</w:t>
            </w:r>
          </w:p>
        </w:tc>
        <w:tc>
          <w:tcPr>
            <w:tcW w:w="19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1,5±0,7</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контрольною групою за t-критерієм.</w:t>
      </w:r>
    </w:p>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2 –  р &lt; 0,05 порівняно з Іб підгрупою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Крім цього, у пацієнтів основної групи відмічали ознаки печінкової дисфункції з підвищенням рівня АЛТ до (65,8±17,5) Од/л в Іа підгрупі та (71,5±16,5) Од/л в Іб підгрупі; АСТ до (70,7±16,5) Од/л в Іа підгрупі та (73,1±16,5) Од/л в Іб підгрупі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між підгрупами). В контрольній групі (43,8±16,4) Од/л та (47,6±18,7) Од/л відповідно (р</w:t>
      </w:r>
      <w:r w:rsidRPr="00CE0A20">
        <w:rPr>
          <w:rFonts w:ascii="Times New Roman" w:hAnsi="Times New Roman" w:cs="Times New Roman"/>
          <w:color w:val="000000" w:themeColor="text1"/>
          <w:sz w:val="28"/>
          <w:szCs w:val="28"/>
        </w:rPr>
        <w:t>&lt;0,001</w:t>
      </w:r>
      <w:r w:rsidRPr="00CE0A20">
        <w:rPr>
          <w:rFonts w:ascii="Times New Roman" w:hAnsi="Times New Roman" w:cs="Times New Roman"/>
          <w:color w:val="000000" w:themeColor="text1"/>
          <w:sz w:val="28"/>
          <w:szCs w:val="28"/>
          <w:lang w:val="uk-UA"/>
        </w:rPr>
        <w:t xml:space="preserve">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uk-UA"/>
        </w:rPr>
        <w:t xml:space="preserve">критерієм з Іа та Іб підгрупами).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Показники жирового обміну в цілому відповідали референтним віковим нормам, однак у хворих Іа та Іб груп відмічено збільшення концентрації загального холестерину до (8,0±1,0)  ммоль/л та до (8,0±0,9) ммоль/л відповідно, ЛПНЩ до (4,6±0,9) ммоль/л та до (4,6±1,0) ммоль/л відповідно; тригліцеридів до (3,0±0,5) ммоль/л та до (3,1±0,6) ммоль/л відповідно. У контрольній групі – (5,0±1,2) ммоль/л (р&lt;0,001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з ІА та Іб підгрупами), (1,9±0,7) ммоль/л (р&lt;0,001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з ІА та Іб підгрупами) та (1,2±0,3) ммоль/л (р&lt;0,001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з ІА та Іб підгрупами), відповідно. Концентрація ЛПВЩ, навпаки, була меншою, ніж у контрольній групі (0,9±0,4) ммоль/л проти (1,0±0,4) ммоль/л і Іа підгрупі та (0,8±0,3) в Іб підгрупі  (р=0,095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з Іа підгрупою та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з Іб підгрупою). Різниці між Іа та Іб підгрупами за цими показниками не виявлено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&gt;0,05</w:t>
      </w:r>
      <w:r w:rsidRPr="00CE0A20">
        <w:rPr>
          <w:rFonts w:ascii="Times New Roman" w:hAnsi="Times New Roman" w:cs="Times New Roman"/>
          <w:color w:val="000000" w:themeColor="text1"/>
          <w:sz w:val="28"/>
          <w:szCs w:val="28"/>
          <w:lang w:val="uk-UA"/>
        </w:rPr>
        <w:t xml:space="preserve">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Рівень ПСА в обох групах знаходився в нормальних межах з недостовірною схильністю до підвищення в Іа підгрупі – (1,8±0,9) нг/мл та (2,0±0,6) нг/мл в Іб підгрупі проти (1,5±0,7) нг/мл в контрольній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з Іа та Іб підгрупами та між підгрупами).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стан основної та контрольної групи пацієнтів на початку дослідження відрізнявся, перш за все, наявністю ЕД з ознаками андрогенної недостатності зі зменшенням рівня тестостерону, індексу Т/Е та АІ. Крім цього, виявлялися порушення обміну вуглеводів, ознаки печінкової дисфункції та схильності до порушень жирового обміну, що пояснюється основним захворюванням, при цьому суттєвих відмінностей між Іа підгрупою (яким для лікування еректильної дисфункції та андрогенного дефіциту застосовано КСКМ) та Іб підгрупою (яким застосовано ГЗТ) не виявлено, що дає підставу для порівняння результатів лікування.</w:t>
      </w:r>
    </w:p>
    <w:p w:rsidR="00C01D33" w:rsidRPr="00CE0A20" w:rsidRDefault="00C01D33">
      <w:pPr>
        <w:spacing w:after="200" w:line="276" w:lineRule="auto"/>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br w:type="page"/>
      </w:r>
    </w:p>
    <w:p w:rsidR="001C43D0" w:rsidRPr="00CE0A20" w:rsidRDefault="001C43D0" w:rsidP="001C43D0">
      <w:pPr>
        <w:keepNext/>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5.2. Динаміка досліджуваних показників під впливом лікування</w:t>
      </w:r>
    </w:p>
    <w:p w:rsidR="00C01D33" w:rsidRPr="00CE0A20" w:rsidRDefault="00C01D33"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Дослідження концентрації статевих гормонів через 4 тижні від початку лікування виявило таке (табл. 5.3).</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5.3 – Вміст статевих гормонів у сироватці крові чоловіків основної групи через 4 тижні від початку лікування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lang w:val="uk-UA"/>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1621"/>
        <w:gridCol w:w="1621"/>
        <w:gridCol w:w="1621"/>
        <w:gridCol w:w="1621"/>
      </w:tblGrid>
      <w:tr w:rsidR="001C43D0" w:rsidRPr="00CE0A20" w:rsidTr="001C43D0">
        <w:trPr>
          <w:trHeight w:val="654"/>
        </w:trPr>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484"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3242"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3242"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en-US" w:eastAsia="en-US"/>
              </w:rPr>
            </w:pPr>
            <w:r w:rsidRPr="00CE0A20">
              <w:rPr>
                <w:rFonts w:ascii="Times New Roman" w:hAnsi="Times New Roman" w:cs="Times New Roman"/>
                <w:color w:val="000000" w:themeColor="text1"/>
                <w:sz w:val="28"/>
                <w:szCs w:val="28"/>
                <w:lang w:val="uk-UA" w:eastAsia="en-US"/>
              </w:rPr>
              <w:t>Іб підгрупа (порівняння) (n=10)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 лік-ня</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 лік-ня</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Загальний тестостерон (нмоль/мл)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3,9±1,2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9,9±2,5</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4,1±1,3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9,9±2,1</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Естрадіол (пг/мл)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32,6±11,1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32,1±11,2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31,6±13,3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30,7±12,4</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Індекс Т/Е</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0,13±0,06</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0,36±0,20</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0,17±0,11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0,38±0,21</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ГЗСГ (нмоль/л)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108,9±24,2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85,7±20,2</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128,8±29,5</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87,2±18,0</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АІ</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3,7±1,4</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12,7±5,9</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3,5±1,8</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11,8±3,8</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ФСГ (мЕд/мл)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5,7±2,3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5,6±2,1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6,4±2,1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6,5±2,0</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ЛГ   (мЕд/мл)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6,4±2,3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6,3±2,5</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6,2±2,1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6,2±2,4</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ПРЛ (МкМЕ/мл)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177,5±83,3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175,4±76,4</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201,9±91,6</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194,0±90,0</w:t>
            </w:r>
          </w:p>
        </w:tc>
      </w:tr>
    </w:tbl>
    <w:p w:rsidR="001C43D0" w:rsidRPr="00CE0A20" w:rsidRDefault="001C43D0" w:rsidP="001C43D0">
      <w:pPr>
        <w:spacing w:line="360" w:lineRule="auto"/>
        <w:ind w:firstLine="709"/>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вихідним значенням  за парним t-критерієм. 2 – р &lt; 0,05 порівняно з контрольною групою за t-критерієм.</w:t>
      </w:r>
    </w:p>
    <w:p w:rsidR="005748D9" w:rsidRPr="00CE0A20" w:rsidRDefault="005748D9" w:rsidP="001C43D0">
      <w:pPr>
        <w:spacing w:line="360" w:lineRule="auto"/>
        <w:ind w:firstLine="709"/>
        <w:jc w:val="both"/>
        <w:rPr>
          <w:rFonts w:ascii="Times New Roman" w:hAnsi="Times New Roman" w:cs="Times New Roman"/>
          <w:color w:val="000000" w:themeColor="text1"/>
          <w:sz w:val="28"/>
          <w:szCs w:val="28"/>
          <w:lang w:val="uk-UA"/>
        </w:rPr>
      </w:pPr>
    </w:p>
    <w:p w:rsidR="005748D9" w:rsidRPr="00CE0A20" w:rsidRDefault="005748D9" w:rsidP="005748D9">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В обох підгрупах через 4 тижні від початку лікування відмічено достовірне збільшення порівняно з вихідними даними концентрації загального тестостерону до (9,9±2,5) нмоль/мл в Іа підгрупі та до (9,9±2,1) нмоль/ в Іб підгрупі (р&lt;0,001за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 обох підгрупах), без суттєвої різниці за середніми значеннями між підгрупами, але достовірно менше порівняно з контрольною групою – (16,7±6,3) нмоль/л (р&lt;0,01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Концентрація естрадіолу в обох підгрупах суттєво не змінилася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&gt;0,05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а індекс Т/Е через 4 тижні лікування достовірно зріс до (0,36±0,20) в Іа підгрупі та до (0,38±0,21) (р&lt;0,001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 обох підгрупах), але не досяг величини аналогічного показника в контрольній групі (1,07±0,88) (р&lt;0,05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з Іа та з Іб підгрупами).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Концентрація ГЗСТ  протягом 4 тижнів лікування достовірно знизилась: в Іа підгрупі до (85,7±20,2) нмоль/л, у Іб підгрупі до (87,2±18,0) нмоль/л (р&lt;0,001за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 обох підгрупах), але не досягла рівня показника в контрольній групі  (55,7±20,2) нмоль/л (р=0,001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порівняно з Іа та з Іб підгрупами). Відповідно зросла величина АІ: в Іа підгрупі до (12,7±5,9), у Іб підгрупі (11,8±3,8) (р</w:t>
      </w:r>
      <w:r w:rsidRPr="00CE0A20">
        <w:rPr>
          <w:rFonts w:ascii="Times New Roman" w:hAnsi="Times New Roman" w:cs="Times New Roman"/>
          <w:color w:val="000000" w:themeColor="text1"/>
          <w:sz w:val="28"/>
          <w:szCs w:val="28"/>
        </w:rPr>
        <w:t xml:space="preserve">&lt;0,001за </w:t>
      </w:r>
      <w:r w:rsidRPr="00CE0A20">
        <w:rPr>
          <w:rFonts w:ascii="Times New Roman" w:hAnsi="Times New Roman" w:cs="Times New Roman"/>
          <w:color w:val="000000" w:themeColor="text1"/>
          <w:sz w:val="28"/>
          <w:szCs w:val="28"/>
          <w:lang w:val="uk-UA"/>
        </w:rPr>
        <w:t xml:space="preserve">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 обох підгрупах). Величина АІ через 4 тижні лікування все ще була меншою, ніж у ІІ групі – (37,3±25,9) (р=0,006 та р=0,005 відповідно порівняно з Іа та з Іб підгрупами).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Концентрація інших статевих гормонів гіпофізарного походження через 4 тижні суттєво не змінилась (р&gt;0,05 за парним t-критерієм в обох підгрупах) та без суттєвої різниці порівняно з контрольною групою (р&gt;0,05 за t-критерієм з Іа та з Іб підгрупами).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Також зазнали достовірних змін інші до</w:t>
      </w:r>
      <w:r w:rsidR="005748D9" w:rsidRPr="00CE0A20">
        <w:rPr>
          <w:rFonts w:ascii="Times New Roman" w:hAnsi="Times New Roman" w:cs="Times New Roman"/>
          <w:color w:val="000000" w:themeColor="text1"/>
          <w:sz w:val="28"/>
          <w:szCs w:val="28"/>
          <w:lang w:val="uk-UA"/>
        </w:rPr>
        <w:t>сліджувані показники</w:t>
      </w:r>
      <w:r w:rsidRPr="00CE0A20">
        <w:rPr>
          <w:rFonts w:ascii="Times New Roman" w:hAnsi="Times New Roman" w:cs="Times New Roman"/>
          <w:color w:val="000000" w:themeColor="text1"/>
          <w:sz w:val="28"/>
          <w:szCs w:val="28"/>
          <w:lang w:val="uk-UA"/>
        </w:rPr>
        <w:t>. Слід зазначити, що зміни цих показників можна пояснити не тільки початком нормалізації гормонального фону, але й більш ретельною терапією основного захворювання після включення в дослідження.</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У Іа групі відмічено достовірне зменшення маси тіла та ІМТ до (110,0±17,3) кг та до (36,0±6,6) відповідно, зниження концентрації глюкози та рівня </w:t>
      </w:r>
      <w:r w:rsidRPr="00CE0A20">
        <w:rPr>
          <w:rFonts w:ascii="Times New Roman" w:hAnsi="Times New Roman" w:cs="Times New Roman"/>
          <w:color w:val="000000" w:themeColor="text1"/>
          <w:sz w:val="28"/>
          <w:szCs w:val="28"/>
          <w:lang w:val="en-US"/>
        </w:rPr>
        <w:t>HbA</w:t>
      </w:r>
      <w:r w:rsidRPr="00CE0A20">
        <w:rPr>
          <w:rFonts w:ascii="Times New Roman" w:hAnsi="Times New Roman" w:cs="Times New Roman"/>
          <w:color w:val="000000" w:themeColor="text1"/>
          <w:sz w:val="28"/>
          <w:szCs w:val="28"/>
          <w:lang w:val="uk-UA"/>
        </w:rPr>
        <w:t>1</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xml:space="preserve"> до (9,1±1,5) ммоль/л та (9,6±2,8)% відповідно, зниження рівня АЛТ та АСТ до (59,7±14,2) Од/л та (64,8±13,5) Од/л, зниження концентрації загального холестерину до (7,3±0,8) ммоль/мл, ЛПНЩ до (3,9±0,8) ммоль/л та тригліцеридів до 2,4±0,5 ммоль/мл та підвищення рівня ЛПВЩ до (1,4±0,4) ммоль/мл (р&lt;0,05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за всіма показниками). Рівень ПСА суттєво не змінився, становлячи (1,7±0,5) нг/мл (р&gt;0,05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порівняно з вихідним значенням) (табл. 5.4).</w:t>
      </w:r>
    </w:p>
    <w:p w:rsidR="009B0C97" w:rsidRDefault="009B0C97"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5.4 – Антропометричні  та лабораторні показники чоловіків основної групи через 4 тижні лікування</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43"/>
        <w:gridCol w:w="1763"/>
        <w:gridCol w:w="1622"/>
        <w:gridCol w:w="1621"/>
        <w:gridCol w:w="1622"/>
      </w:tblGrid>
      <w:tr w:rsidR="001C43D0" w:rsidRPr="00CE0A20" w:rsidTr="001C43D0">
        <w:trPr>
          <w:trHeight w:val="455"/>
        </w:trPr>
        <w:tc>
          <w:tcPr>
            <w:tcW w:w="2943"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628"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2943" w:type="dxa"/>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3385"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3243"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Іб підгрупа (порівняння) (n=10)</w:t>
            </w:r>
          </w:p>
        </w:tc>
      </w:tr>
      <w:tr w:rsidR="001C43D0" w:rsidRPr="00CE0A20" w:rsidTr="001C43D0">
        <w:tc>
          <w:tcPr>
            <w:tcW w:w="2943" w:type="dxa"/>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 лік-ня</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 лік-ня</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Вага, кг</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vertAlign w:val="superscript"/>
                <w:lang w:val="en-US" w:eastAsia="en-US"/>
              </w:rPr>
            </w:pPr>
            <w:r w:rsidRPr="00CE0A20">
              <w:rPr>
                <w:rFonts w:ascii="Times New Roman" w:hAnsi="Times New Roman" w:cs="Times New Roman"/>
                <w:color w:val="000000" w:themeColor="text1"/>
                <w:sz w:val="28"/>
                <w:szCs w:val="28"/>
                <w:lang w:val="uk-UA" w:eastAsia="en-US"/>
              </w:rPr>
              <w:t>119,8±19,2</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110,0±17,3</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102,0±14,2</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97,4±9,9</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ІМТ</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39,2±7,0</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36,0±6,6</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32,6±5,7</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31,4±4,5</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Глюкоза, ммоль/л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10,7±2,4</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9,1±1,5</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10,6±2,7</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8,2±1,3</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en-US" w:eastAsia="en-US"/>
              </w:rPr>
              <w:t>HbA1c</w:t>
            </w:r>
            <w:r w:rsidRPr="00CE0A20">
              <w:rPr>
                <w:rFonts w:ascii="Times New Roman" w:hAnsi="Times New Roman" w:cs="Times New Roman"/>
                <w:color w:val="000000" w:themeColor="text1"/>
                <w:sz w:val="28"/>
                <w:szCs w:val="28"/>
                <w:lang w:val="uk-UA" w:eastAsia="en-US"/>
              </w:rPr>
              <w:t xml:space="preserve"> , %</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12,2±3,9</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9,6±2,8</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12,4±3,6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9,5±2,8</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АЛТ, Од/л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65,8±17,5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59,7±14,2</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71,5±16,5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66,</w:t>
            </w:r>
            <w:r w:rsidRPr="00CE0A20">
              <w:rPr>
                <w:rFonts w:ascii="Times New Roman" w:hAnsi="Times New Roman" w:cs="Times New Roman"/>
                <w:color w:val="000000" w:themeColor="text1"/>
                <w:sz w:val="28"/>
                <w:szCs w:val="28"/>
                <w:lang w:val="en-US" w:eastAsia="en-US"/>
              </w:rPr>
              <w:t>1</w:t>
            </w:r>
            <w:r w:rsidRPr="00CE0A20">
              <w:rPr>
                <w:rFonts w:ascii="Times New Roman" w:hAnsi="Times New Roman" w:cs="Times New Roman"/>
                <w:color w:val="000000" w:themeColor="text1"/>
                <w:sz w:val="28"/>
                <w:szCs w:val="28"/>
                <w:lang w:val="uk-UA" w:eastAsia="en-US"/>
              </w:rPr>
              <w:t>±1</w:t>
            </w:r>
            <w:r w:rsidRPr="00CE0A20">
              <w:rPr>
                <w:rFonts w:ascii="Times New Roman" w:hAnsi="Times New Roman" w:cs="Times New Roman"/>
                <w:color w:val="000000" w:themeColor="text1"/>
                <w:sz w:val="28"/>
                <w:szCs w:val="28"/>
                <w:lang w:val="en-US" w:eastAsia="en-US"/>
              </w:rPr>
              <w:t>4</w:t>
            </w:r>
            <w:r w:rsidRPr="00CE0A20">
              <w:rPr>
                <w:rFonts w:ascii="Times New Roman" w:hAnsi="Times New Roman" w:cs="Times New Roman"/>
                <w:color w:val="000000" w:themeColor="text1"/>
                <w:sz w:val="28"/>
                <w:szCs w:val="28"/>
                <w:lang w:val="uk-UA" w:eastAsia="en-US"/>
              </w:rPr>
              <w:t>,</w:t>
            </w:r>
            <w:r w:rsidRPr="00CE0A20">
              <w:rPr>
                <w:rFonts w:ascii="Times New Roman" w:hAnsi="Times New Roman" w:cs="Times New Roman"/>
                <w:color w:val="000000" w:themeColor="text1"/>
                <w:sz w:val="28"/>
                <w:szCs w:val="28"/>
                <w:lang w:val="en-US" w:eastAsia="en-US"/>
              </w:rPr>
              <w:t>1</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АСТ, Од/л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70,7±16,5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w:t>
            </w:r>
            <w:r w:rsidRPr="00CE0A20">
              <w:rPr>
                <w:rFonts w:ascii="Times New Roman" w:hAnsi="Times New Roman" w:cs="Times New Roman"/>
                <w:color w:val="000000" w:themeColor="text1"/>
                <w:sz w:val="28"/>
                <w:szCs w:val="28"/>
                <w:lang w:val="en-US" w:eastAsia="en-US"/>
              </w:rPr>
              <w:t>4</w:t>
            </w:r>
            <w:r w:rsidRPr="00CE0A20">
              <w:rPr>
                <w:rFonts w:ascii="Times New Roman" w:hAnsi="Times New Roman" w:cs="Times New Roman"/>
                <w:color w:val="000000" w:themeColor="text1"/>
                <w:sz w:val="28"/>
                <w:szCs w:val="28"/>
                <w:lang w:val="uk-UA" w:eastAsia="en-US"/>
              </w:rPr>
              <w:t>,</w:t>
            </w:r>
            <w:r w:rsidRPr="00CE0A20">
              <w:rPr>
                <w:rFonts w:ascii="Times New Roman" w:hAnsi="Times New Roman" w:cs="Times New Roman"/>
                <w:color w:val="000000" w:themeColor="text1"/>
                <w:sz w:val="28"/>
                <w:szCs w:val="28"/>
                <w:lang w:val="en-US" w:eastAsia="en-US"/>
              </w:rPr>
              <w:t>8</w:t>
            </w:r>
            <w:r w:rsidRPr="00CE0A20">
              <w:rPr>
                <w:rFonts w:ascii="Times New Roman" w:hAnsi="Times New Roman" w:cs="Times New Roman"/>
                <w:color w:val="000000" w:themeColor="text1"/>
                <w:sz w:val="28"/>
                <w:szCs w:val="28"/>
                <w:lang w:val="uk-UA" w:eastAsia="en-US"/>
              </w:rPr>
              <w:t>±1</w:t>
            </w:r>
            <w:r w:rsidRPr="00CE0A20">
              <w:rPr>
                <w:rFonts w:ascii="Times New Roman" w:hAnsi="Times New Roman" w:cs="Times New Roman"/>
                <w:color w:val="000000" w:themeColor="text1"/>
                <w:sz w:val="28"/>
                <w:szCs w:val="28"/>
                <w:lang w:val="en-US" w:eastAsia="en-US"/>
              </w:rPr>
              <w:t>3</w:t>
            </w:r>
            <w:r w:rsidRPr="00CE0A20">
              <w:rPr>
                <w:rFonts w:ascii="Times New Roman" w:hAnsi="Times New Roman" w:cs="Times New Roman"/>
                <w:color w:val="000000" w:themeColor="text1"/>
                <w:sz w:val="28"/>
                <w:szCs w:val="28"/>
                <w:lang w:val="uk-UA" w:eastAsia="en-US"/>
              </w:rPr>
              <w:t>,</w:t>
            </w:r>
            <w:r w:rsidRPr="00CE0A20">
              <w:rPr>
                <w:rFonts w:ascii="Times New Roman" w:hAnsi="Times New Roman" w:cs="Times New Roman"/>
                <w:color w:val="000000" w:themeColor="text1"/>
                <w:sz w:val="28"/>
                <w:szCs w:val="28"/>
                <w:lang w:val="en-US" w:eastAsia="en-US"/>
              </w:rPr>
              <w:t>5</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73,1±16,5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w:t>
            </w:r>
            <w:r w:rsidRPr="00CE0A20">
              <w:rPr>
                <w:rFonts w:ascii="Times New Roman" w:hAnsi="Times New Roman" w:cs="Times New Roman"/>
                <w:color w:val="000000" w:themeColor="text1"/>
                <w:sz w:val="28"/>
                <w:szCs w:val="28"/>
                <w:lang w:val="en-US" w:eastAsia="en-US"/>
              </w:rPr>
              <w:t>3</w:t>
            </w:r>
            <w:r w:rsidRPr="00CE0A20">
              <w:rPr>
                <w:rFonts w:ascii="Times New Roman" w:hAnsi="Times New Roman" w:cs="Times New Roman"/>
                <w:color w:val="000000" w:themeColor="text1"/>
                <w:sz w:val="28"/>
                <w:szCs w:val="28"/>
                <w:lang w:val="uk-UA" w:eastAsia="en-US"/>
              </w:rPr>
              <w:t>,8±1</w:t>
            </w:r>
            <w:r w:rsidRPr="00CE0A20">
              <w:rPr>
                <w:rFonts w:ascii="Times New Roman" w:hAnsi="Times New Roman" w:cs="Times New Roman"/>
                <w:color w:val="000000" w:themeColor="text1"/>
                <w:sz w:val="28"/>
                <w:szCs w:val="28"/>
                <w:lang w:val="en-US" w:eastAsia="en-US"/>
              </w:rPr>
              <w:t>2</w:t>
            </w:r>
            <w:r w:rsidRPr="00CE0A20">
              <w:rPr>
                <w:rFonts w:ascii="Times New Roman" w:hAnsi="Times New Roman" w:cs="Times New Roman"/>
                <w:color w:val="000000" w:themeColor="text1"/>
                <w:sz w:val="28"/>
                <w:szCs w:val="28"/>
                <w:lang w:val="uk-UA" w:eastAsia="en-US"/>
              </w:rPr>
              <w:t>,5</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Загальний холесте</w:t>
            </w:r>
            <w:r w:rsidRPr="00CE0A20">
              <w:rPr>
                <w:rFonts w:ascii="Times New Roman" w:hAnsi="Times New Roman" w:cs="Times New Roman"/>
                <w:color w:val="000000" w:themeColor="text1"/>
                <w:sz w:val="28"/>
                <w:szCs w:val="28"/>
                <w:lang w:val="uk-UA" w:eastAsia="en-US"/>
              </w:rPr>
              <w:softHyphen/>
              <w:t>рин,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8,0±1,0</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7,3±0,8</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8,0±0,9</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7,2±0,8</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ЛПНЩ,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4,6±0,9</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3,9±0,8</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4,6±1,0</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3,9±1,0</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ЛПВЩ,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1,0±0,4</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1,4±0,4</w:t>
            </w:r>
            <w:r w:rsidRPr="00CE0A20">
              <w:rPr>
                <w:rFonts w:ascii="Times New Roman" w:hAnsi="Times New Roman" w:cs="Times New Roman"/>
                <w:color w:val="000000" w:themeColor="text1"/>
                <w:sz w:val="28"/>
                <w:szCs w:val="28"/>
                <w:vertAlign w:val="superscript"/>
                <w:lang w:val="uk-UA" w:eastAsia="en-US"/>
              </w:rPr>
              <w:t>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0,8±0,3</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1,3±0,3</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Тригліцериди,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3,0±0,5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2,4±0,5</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3,1±0,6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2,6±0,5</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ПСА, нг/мл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1,8±0,9</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1,7±0,5</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2,0±0,6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1,8±0,5</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контрольною групою за t-критерієм.</w:t>
      </w:r>
    </w:p>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ab/>
      </w:r>
      <w:r w:rsidRPr="00CE0A20">
        <w:rPr>
          <w:rFonts w:ascii="Times New Roman" w:hAnsi="Times New Roman" w:cs="Times New Roman"/>
          <w:color w:val="000000" w:themeColor="text1"/>
          <w:sz w:val="28"/>
          <w:szCs w:val="28"/>
          <w:lang w:val="uk-UA"/>
        </w:rPr>
        <w:tab/>
        <w:t>2 –  р &lt; 0,05 порівняно з Іб підгрупою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Аналогічні зміни спостерігалися в Іб підгрупі: вага зменшилася до (97,4±9,9) кг, ІМТ до (31,4±4,5), концентрація глюкози до (8,2±1,3) ммоль/л, </w:t>
      </w:r>
      <w:r w:rsidRPr="00CE0A20">
        <w:rPr>
          <w:rFonts w:ascii="Times New Roman" w:hAnsi="Times New Roman" w:cs="Times New Roman"/>
          <w:color w:val="000000" w:themeColor="text1"/>
          <w:sz w:val="28"/>
          <w:szCs w:val="28"/>
          <w:lang w:val="en-US"/>
        </w:rPr>
        <w:t>HbA</w:t>
      </w:r>
      <w:r w:rsidRPr="00CE0A20">
        <w:rPr>
          <w:rFonts w:ascii="Times New Roman" w:hAnsi="Times New Roman" w:cs="Times New Roman"/>
          <w:color w:val="000000" w:themeColor="text1"/>
          <w:sz w:val="28"/>
          <w:szCs w:val="28"/>
          <w:lang w:val="uk-UA"/>
        </w:rPr>
        <w:t>1</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xml:space="preserve"> до (9,5±2,8)%, АЛТ до (66,1±14,1) Од/л, АСТ до (63,8±12,5) Од/л, загального холестерину до (7,2±0,8) ммоль/мл, ЛПНЩ до (3,9±1,0) ммоль/мл та тригліцеридів до (2,6±0,5) ммоль/мл, концентрація ЛПВЩ зросла до (1,3±0,3) ммоль/мл (р&lt;0,05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за всіма показниками). Рівень ПСА також практично не змінився – (1,8±0,5) нг/мл (р</w:t>
      </w:r>
      <w:r w:rsidRPr="00CE0A20">
        <w:rPr>
          <w:rFonts w:ascii="Times New Roman" w:hAnsi="Times New Roman" w:cs="Times New Roman"/>
          <w:color w:val="000000" w:themeColor="text1"/>
          <w:sz w:val="28"/>
          <w:szCs w:val="28"/>
        </w:rPr>
        <w:t xml:space="preserve">&gt;0,05 за </w:t>
      </w:r>
      <w:r w:rsidRPr="00CE0A20">
        <w:rPr>
          <w:rFonts w:ascii="Times New Roman" w:hAnsi="Times New Roman" w:cs="Times New Roman"/>
          <w:color w:val="000000" w:themeColor="text1"/>
          <w:sz w:val="28"/>
          <w:szCs w:val="28"/>
          <w:lang w:val="uk-UA"/>
        </w:rPr>
        <w:t xml:space="preserve">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вихідним значенням). Більшість показників, крім концентрації ЛПВЩ та ПСА, достовірно відрізнялися від аналогічних показників у контрольній групі (р&lt;0,05 за t-критерієм з Іа </w:t>
      </w:r>
      <w:r w:rsidR="005748D9" w:rsidRPr="00CE0A20">
        <w:rPr>
          <w:rFonts w:ascii="Times New Roman" w:hAnsi="Times New Roman" w:cs="Times New Roman"/>
          <w:color w:val="000000" w:themeColor="text1"/>
          <w:sz w:val="28"/>
          <w:szCs w:val="28"/>
          <w:lang w:val="uk-UA"/>
        </w:rPr>
        <w:t>та з Іб підгрупами).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Ці зміни супроводжувалися збільшенням концентрації загального тестостерону та індексу Т/Е, а також зменшенням концентрації ГЗСГ та АІ, хоча ці показники не досягли рівня контрольних значень. Спостерігалося й поліпшення показ</w:t>
      </w:r>
      <w:r w:rsidRPr="00CE0A20">
        <w:rPr>
          <w:rFonts w:ascii="Times New Roman" w:hAnsi="Times New Roman" w:cs="Times New Roman"/>
          <w:color w:val="000000" w:themeColor="text1"/>
          <w:sz w:val="28"/>
          <w:szCs w:val="28"/>
          <w:lang w:val="uk-UA"/>
        </w:rPr>
        <w:softHyphen/>
        <w:t>ників вуглеводного та жирового обміну, які теж у більшості не досягли рівня контрольної групи. Збільшення рівня ПСА як маркеру несприятливого впливу збільшення рівня тестостерону не  виявлено.</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Через 12 тижнів лікування відмічено подальшу зміну показників, що аналізувалися. Рівень загального тестостерону в Іа підгрупі зріс порівняно з попередні терміном з (9,9±2,5) нмоль/мл до (13,4±2,3) нмоль/мл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у Іб підгрупі – з (9,9±2,1) нмоль/мл до (15,9±3,1) нмоль/мл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(р=0,053 між підгрупами на 12-му тижні лікування). В обох підгрупах концентрація тестостерону у цей термін не мала відмінності від показника в ІІ групі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rPr>
        <w:t xml:space="preserve">&gt;0,05 </w:t>
      </w:r>
      <w:r w:rsidRPr="00CE0A20">
        <w:rPr>
          <w:rFonts w:ascii="Times New Roman" w:hAnsi="Times New Roman" w:cs="Times New Roman"/>
          <w:color w:val="000000" w:themeColor="text1"/>
          <w:sz w:val="28"/>
          <w:szCs w:val="28"/>
          <w:lang w:val="uk-UA"/>
        </w:rPr>
        <w:t xml:space="preserve">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з Іа та з Іб підгрупами). Рівень естрадіолу в обох підгрупах залишався стабільним, а індекс Т/Е в Іа підгрупі зріс до (0,47±0,20) в Іб підгрупі до (0,59±0,28)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 обох підгрупах порівняно з попереднім терміном)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у порівнянні з ІІ групою) (табл. 5.5).</w:t>
      </w:r>
    </w:p>
    <w:p w:rsidR="005748D9" w:rsidRPr="00CE0A20" w:rsidRDefault="005748D9"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5.5 – Вміст статевих гормонів у сироватці крові чоловіків основної групи через 12 тижні від початку лікування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lang w:val="uk-UA"/>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1621"/>
        <w:gridCol w:w="1621"/>
        <w:gridCol w:w="1621"/>
        <w:gridCol w:w="1621"/>
      </w:tblGrid>
      <w:tr w:rsidR="001C43D0" w:rsidRPr="00CE0A20" w:rsidTr="001C43D0">
        <w:trPr>
          <w:trHeight w:val="498"/>
        </w:trPr>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484"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3242"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3242"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en-US" w:eastAsia="en-US"/>
              </w:rPr>
            </w:pPr>
            <w:r w:rsidRPr="00CE0A20">
              <w:rPr>
                <w:rFonts w:ascii="Times New Roman" w:hAnsi="Times New Roman" w:cs="Times New Roman"/>
                <w:color w:val="000000" w:themeColor="text1"/>
                <w:sz w:val="28"/>
                <w:szCs w:val="28"/>
                <w:lang w:val="uk-UA" w:eastAsia="en-US"/>
              </w:rPr>
              <w:t>Іб підгрупа (порівняння) (n=10)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12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12 тиж</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Загальний тестостерон (нмоль/мл)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9,9±2,5</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13,4±2,3</w:t>
            </w:r>
            <w:r w:rsidRPr="00CE0A20">
              <w:rPr>
                <w:rFonts w:ascii="Times New Roman" w:hAnsi="Times New Roman" w:cs="Times New Roman"/>
                <w:color w:val="000000" w:themeColor="text1"/>
                <w:sz w:val="28"/>
                <w:szCs w:val="28"/>
                <w:vertAlign w:val="superscript"/>
                <w:lang w:val="uk-UA" w:eastAsia="en-US"/>
              </w:rPr>
              <w:t>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9,9±2,1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15,9±3,1</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Естрадіол (пг/мл)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32,1±11,2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31,5±10,1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30,7±12,4</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31,4±12,8</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Індекс Т/Е</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0,36±0,20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0,47±0,20</w:t>
            </w:r>
            <w:r w:rsidRPr="00CE0A20">
              <w:rPr>
                <w:rFonts w:ascii="Times New Roman" w:hAnsi="Times New Roman" w:cs="Times New Roman"/>
                <w:color w:val="000000" w:themeColor="text1"/>
                <w:sz w:val="28"/>
                <w:szCs w:val="28"/>
                <w:vertAlign w:val="superscript"/>
                <w:lang w:val="uk-UA" w:eastAsia="en-US"/>
              </w:rPr>
              <w:t>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0,38±0,21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0,6±0,3</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ГЗСГ (нмоль/л)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85,7±20,2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78,2±19,1</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87,2±18,0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70,7±18,3</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АІ</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12,7±5,9</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18,5±6,9</w:t>
            </w:r>
            <w:r w:rsidRPr="00CE0A20">
              <w:rPr>
                <w:rFonts w:ascii="Times New Roman" w:hAnsi="Times New Roman" w:cs="Times New Roman"/>
                <w:color w:val="000000" w:themeColor="text1"/>
                <w:sz w:val="28"/>
                <w:szCs w:val="28"/>
                <w:vertAlign w:val="superscript"/>
                <w:lang w:val="uk-UA" w:eastAsia="en-US"/>
              </w:rPr>
              <w:t>1,2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11,8±3,8</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24,0±8,2</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ФСГ (мЕд/мл)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5,6±2,1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5,7±2,0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6,5±2,0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6,6±2,1</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ЛГ   (мЕд/мл)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6,3±2,5</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6,6±2,1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6,2±2,4</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6,1±2,4</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ПРЛ (МкМЕ/мл)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175,4±76,4</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176,4±76,0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194,0±90,0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196,7±76,7</w:t>
            </w:r>
          </w:p>
        </w:tc>
      </w:tr>
    </w:tbl>
    <w:p w:rsidR="001C43D0" w:rsidRPr="00CE0A20" w:rsidRDefault="001C43D0" w:rsidP="001C43D0">
      <w:pPr>
        <w:spacing w:line="360" w:lineRule="auto"/>
        <w:ind w:firstLine="709"/>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вихідним значенням  за парним t-критерієм. 2 – р &lt; 0,05 порівняно з контрольною групою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9B0C97" w:rsidRPr="00CE0A20" w:rsidRDefault="009B0C97" w:rsidP="009B0C97">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Також спостерігається подальше зниження концентрації ГЗСТ: у Іа підгрупі до (78,2±19,1) нмоль/л (р=0,003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попереднім терміном); у Іб підгрупі до (70,7±18,3) нмоль/л (р=0,002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попереднім терміном). У Іа підгрупі середній показник цього гормону був достовірно більшим, ніж у ІІ групі, у Іб підгрупі достовірної різниці не виявлено (р&lt;0,05 порівняно з Іа підгрупою та р=0,051 з Іб підгрупою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Величина АІ в Іа підгрупі зросла до (18,5±6,9)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=0,001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порівняно з попереднім терміном); у Іб підгрупі до (24,0±8,2)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=0,001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порівняно з попереднім терміном). Різниця між підгрупами не достовірна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Величина АІ була достовірно меншою в Іа підгрупі та недостовірно меншою в Іб підгрупі порівняно з контрольною групою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&lt;0,043 порівняно з Іа  підгрупою та р=0,136 з Іб підгрупою за </w:t>
      </w:r>
      <w:r w:rsidRPr="00CE0A20">
        <w:rPr>
          <w:rFonts w:ascii="Times New Roman" w:hAnsi="Times New Roman" w:cs="Times New Roman"/>
          <w:color w:val="000000" w:themeColor="text1"/>
          <w:sz w:val="28"/>
          <w:szCs w:val="28"/>
          <w:lang w:val="en-US"/>
        </w:rPr>
        <w:t>t</w:t>
      </w:r>
      <w:r w:rsidR="00C01D33" w:rsidRPr="00CE0A20">
        <w:rPr>
          <w:rFonts w:ascii="Times New Roman" w:hAnsi="Times New Roman" w:cs="Times New Roman"/>
          <w:color w:val="000000" w:themeColor="text1"/>
          <w:sz w:val="28"/>
          <w:szCs w:val="28"/>
          <w:lang w:val="uk-UA"/>
        </w:rPr>
        <w:t>-критерієм)</w:t>
      </w:r>
      <w:r w:rsidRPr="00CE0A20">
        <w:rPr>
          <w:rFonts w:ascii="Times New Roman" w:hAnsi="Times New Roman" w:cs="Times New Roman"/>
          <w:color w:val="000000" w:themeColor="text1"/>
          <w:sz w:val="28"/>
          <w:szCs w:val="28"/>
          <w:lang w:val="uk-UA"/>
        </w:rPr>
        <w:t>. Рівень ФСГ, ЛГ та ПРЛ в обох підгрупах залишався стабільним без суттєвих розбіжностей порівняно з попереднім терміном та порівняно з ІІ групою (</w:t>
      </w:r>
      <w:r w:rsidRPr="00CE0A20">
        <w:rPr>
          <w:rFonts w:ascii="Times New Roman" w:hAnsi="Times New Roman" w:cs="Times New Roman"/>
          <w:color w:val="000000" w:themeColor="text1"/>
          <w:sz w:val="28"/>
          <w:szCs w:val="28"/>
          <w:lang w:val="en-US"/>
        </w:rPr>
        <w:t>p</w:t>
      </w:r>
      <w:r w:rsidRPr="00CE0A20">
        <w:rPr>
          <w:rFonts w:ascii="Times New Roman" w:hAnsi="Times New Roman" w:cs="Times New Roman"/>
          <w:color w:val="000000" w:themeColor="text1"/>
          <w:sz w:val="28"/>
          <w:szCs w:val="28"/>
          <w:lang w:val="uk-UA"/>
        </w:rPr>
        <w:t xml:space="preserve">&gt;0,05 за </w:t>
      </w:r>
      <w:r w:rsidRPr="00CE0A20">
        <w:rPr>
          <w:rFonts w:ascii="Times New Roman" w:hAnsi="Times New Roman" w:cs="Times New Roman"/>
          <w:color w:val="000000" w:themeColor="text1"/>
          <w:sz w:val="28"/>
          <w:szCs w:val="28"/>
          <w:lang w:val="en-US"/>
        </w:rPr>
        <w:t>t</w:t>
      </w:r>
      <w:r w:rsidR="005748D9" w:rsidRPr="00CE0A20">
        <w:rPr>
          <w:rFonts w:ascii="Times New Roman" w:hAnsi="Times New Roman" w:cs="Times New Roman"/>
          <w:color w:val="000000" w:themeColor="text1"/>
          <w:sz w:val="28"/>
          <w:szCs w:val="28"/>
          <w:lang w:val="uk-UA"/>
        </w:rPr>
        <w: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Аналіз інших показників, що аналізувалися, також виявив позитивну динаміку через 12 тижні лікування (табл. 5.6).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5.6 – Антропометричні та лабораторні показники чоловіків основної групи через 12 тижні лікування</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43"/>
        <w:gridCol w:w="1763"/>
        <w:gridCol w:w="1622"/>
        <w:gridCol w:w="1621"/>
        <w:gridCol w:w="1622"/>
      </w:tblGrid>
      <w:tr w:rsidR="001C43D0" w:rsidRPr="00CE0A20" w:rsidTr="001C43D0">
        <w:trPr>
          <w:trHeight w:val="617"/>
        </w:trPr>
        <w:tc>
          <w:tcPr>
            <w:tcW w:w="2943"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628"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9B0C97">
        <w:trPr>
          <w:trHeight w:val="324"/>
        </w:trPr>
        <w:tc>
          <w:tcPr>
            <w:tcW w:w="2943" w:type="dxa"/>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rPr>
                <w:rFonts w:ascii="Times New Roman" w:hAnsi="Times New Roman" w:cs="Times New Roman"/>
                <w:color w:val="000000" w:themeColor="text1"/>
                <w:sz w:val="28"/>
                <w:szCs w:val="28"/>
                <w:lang w:val="uk-UA" w:eastAsia="en-US"/>
              </w:rPr>
            </w:pPr>
          </w:p>
        </w:tc>
        <w:tc>
          <w:tcPr>
            <w:tcW w:w="3385"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120" w:after="12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3243"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120" w:after="12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Іб підгрупа (порівняння) (n=10)</w:t>
            </w:r>
          </w:p>
        </w:tc>
      </w:tr>
      <w:tr w:rsidR="001C43D0" w:rsidRPr="00CE0A20" w:rsidTr="001C43D0">
        <w:tc>
          <w:tcPr>
            <w:tcW w:w="2943" w:type="dxa"/>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rPr>
                <w:rFonts w:ascii="Times New Roman" w:hAnsi="Times New Roman" w:cs="Times New Roman"/>
                <w:color w:val="000000" w:themeColor="text1"/>
                <w:sz w:val="28"/>
                <w:szCs w:val="28"/>
                <w:lang w:val="uk-UA" w:eastAsia="en-US"/>
              </w:rPr>
            </w:pP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12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12 тиж</w:t>
            </w:r>
          </w:p>
        </w:tc>
      </w:tr>
      <w:tr w:rsidR="001C43D0" w:rsidRPr="00CE0A20" w:rsidTr="001C43D0">
        <w:trPr>
          <w:trHeight w:val="566"/>
        </w:trPr>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Вага, кг</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110,0±17,3</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vertAlign w:val="superscript"/>
                <w:lang w:val="en-US" w:eastAsia="en-US"/>
              </w:rPr>
            </w:pPr>
            <w:r w:rsidRPr="00CE0A20">
              <w:rPr>
                <w:rFonts w:ascii="Times New Roman" w:hAnsi="Times New Roman" w:cs="Times New Roman"/>
                <w:color w:val="000000" w:themeColor="text1"/>
                <w:sz w:val="28"/>
                <w:szCs w:val="28"/>
                <w:lang w:val="uk-UA" w:eastAsia="en-US"/>
              </w:rPr>
              <w:t>98,9±17,1</w:t>
            </w:r>
            <w:r w:rsidRPr="00CE0A20">
              <w:rPr>
                <w:rFonts w:ascii="Times New Roman" w:hAnsi="Times New Roman" w:cs="Times New Roman"/>
                <w:color w:val="000000" w:themeColor="text1"/>
                <w:sz w:val="28"/>
                <w:szCs w:val="28"/>
                <w:vertAlign w:val="superscript"/>
                <w:lang w:val="en-US" w:eastAsia="en-US"/>
              </w:rPr>
              <w:t>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97,4±9,9</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92,2±9,6</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rPr>
          <w:trHeight w:val="450"/>
        </w:trPr>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ІМТ</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36,0±6,6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32,4±6,4</w:t>
            </w:r>
            <w:r w:rsidRPr="00CE0A20">
              <w:rPr>
                <w:rFonts w:ascii="Times New Roman" w:hAnsi="Times New Roman" w:cs="Times New Roman"/>
                <w:color w:val="000000" w:themeColor="text1"/>
                <w:sz w:val="28"/>
                <w:szCs w:val="28"/>
                <w:vertAlign w:val="superscript"/>
                <w:lang w:val="en-US" w:eastAsia="en-US"/>
              </w:rPr>
              <w:t>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31,4±4,5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30,6±7,4</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Глюкоза, ммоль/л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9,1±1,5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8,4±1,3</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8,2±1,3</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7,4±1,2</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en-US" w:eastAsia="en-US"/>
              </w:rPr>
              <w:t>HbA1c</w:t>
            </w:r>
            <w:r w:rsidRPr="00CE0A20">
              <w:rPr>
                <w:rFonts w:ascii="Times New Roman" w:hAnsi="Times New Roman" w:cs="Times New Roman"/>
                <w:color w:val="000000" w:themeColor="text1"/>
                <w:sz w:val="28"/>
                <w:szCs w:val="28"/>
                <w:lang w:val="uk-UA" w:eastAsia="en-US"/>
              </w:rPr>
              <w:t xml:space="preserve"> , %</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9,6±2,8</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8,1±1,8</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9,5±2,8</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8,2±1,9</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АЛТ, Од/л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59,7±14,2</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59,3±11,2</w:t>
            </w:r>
            <w:r w:rsidRPr="00CE0A20">
              <w:rPr>
                <w:rFonts w:ascii="Times New Roman" w:hAnsi="Times New Roman" w:cs="Times New Roman"/>
                <w:color w:val="000000" w:themeColor="text1"/>
                <w:sz w:val="28"/>
                <w:szCs w:val="28"/>
                <w:vertAlign w:val="superscript"/>
                <w:lang w:val="uk-UA" w:eastAsia="en-US"/>
              </w:rPr>
              <w:t>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66,1±14,1</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62,3±12,7</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АСТ, Од/л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en-US" w:eastAsia="en-US"/>
              </w:rPr>
            </w:pPr>
            <w:r w:rsidRPr="00CE0A20">
              <w:rPr>
                <w:rFonts w:ascii="Times New Roman" w:hAnsi="Times New Roman" w:cs="Times New Roman"/>
                <w:color w:val="000000" w:themeColor="text1"/>
                <w:sz w:val="28"/>
                <w:szCs w:val="28"/>
                <w:lang w:val="uk-UA" w:eastAsia="en-US"/>
              </w:rPr>
              <w:t>6</w:t>
            </w:r>
            <w:r w:rsidRPr="00CE0A20">
              <w:rPr>
                <w:rFonts w:ascii="Times New Roman" w:hAnsi="Times New Roman" w:cs="Times New Roman"/>
                <w:color w:val="000000" w:themeColor="text1"/>
                <w:sz w:val="28"/>
                <w:szCs w:val="28"/>
                <w:lang w:val="en-US" w:eastAsia="en-US"/>
              </w:rPr>
              <w:t>4</w:t>
            </w:r>
            <w:r w:rsidRPr="00CE0A20">
              <w:rPr>
                <w:rFonts w:ascii="Times New Roman" w:hAnsi="Times New Roman" w:cs="Times New Roman"/>
                <w:color w:val="000000" w:themeColor="text1"/>
                <w:sz w:val="28"/>
                <w:szCs w:val="28"/>
                <w:lang w:val="uk-UA" w:eastAsia="en-US"/>
              </w:rPr>
              <w:t>,</w:t>
            </w:r>
            <w:r w:rsidRPr="00CE0A20">
              <w:rPr>
                <w:rFonts w:ascii="Times New Roman" w:hAnsi="Times New Roman" w:cs="Times New Roman"/>
                <w:color w:val="000000" w:themeColor="text1"/>
                <w:sz w:val="28"/>
                <w:szCs w:val="28"/>
                <w:lang w:val="en-US" w:eastAsia="en-US"/>
              </w:rPr>
              <w:t>8</w:t>
            </w:r>
            <w:r w:rsidRPr="00CE0A20">
              <w:rPr>
                <w:rFonts w:ascii="Times New Roman" w:hAnsi="Times New Roman" w:cs="Times New Roman"/>
                <w:color w:val="000000" w:themeColor="text1"/>
                <w:sz w:val="28"/>
                <w:szCs w:val="28"/>
                <w:lang w:val="uk-UA" w:eastAsia="en-US"/>
              </w:rPr>
              <w:t>±1</w:t>
            </w:r>
            <w:r w:rsidRPr="00CE0A20">
              <w:rPr>
                <w:rFonts w:ascii="Times New Roman" w:hAnsi="Times New Roman" w:cs="Times New Roman"/>
                <w:color w:val="000000" w:themeColor="text1"/>
                <w:sz w:val="28"/>
                <w:szCs w:val="28"/>
                <w:lang w:val="en-US" w:eastAsia="en-US"/>
              </w:rPr>
              <w:t>3</w:t>
            </w:r>
            <w:r w:rsidRPr="00CE0A20">
              <w:rPr>
                <w:rFonts w:ascii="Times New Roman" w:hAnsi="Times New Roman" w:cs="Times New Roman"/>
                <w:color w:val="000000" w:themeColor="text1"/>
                <w:sz w:val="28"/>
                <w:szCs w:val="28"/>
                <w:lang w:val="uk-UA" w:eastAsia="en-US"/>
              </w:rPr>
              <w:t>,</w:t>
            </w:r>
            <w:r w:rsidRPr="00CE0A20">
              <w:rPr>
                <w:rFonts w:ascii="Times New Roman" w:hAnsi="Times New Roman" w:cs="Times New Roman"/>
                <w:color w:val="000000" w:themeColor="text1"/>
                <w:sz w:val="28"/>
                <w:szCs w:val="28"/>
                <w:lang w:val="en-US" w:eastAsia="en-US"/>
              </w:rPr>
              <w:t>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60,1±13,9</w:t>
            </w:r>
            <w:r w:rsidRPr="00CE0A20">
              <w:rPr>
                <w:rFonts w:ascii="Times New Roman" w:hAnsi="Times New Roman" w:cs="Times New Roman"/>
                <w:color w:val="000000" w:themeColor="text1"/>
                <w:sz w:val="28"/>
                <w:szCs w:val="28"/>
                <w:vertAlign w:val="superscript"/>
                <w:lang w:val="en-US" w:eastAsia="en-US"/>
              </w:rPr>
              <w:t>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en-US" w:eastAsia="en-US"/>
              </w:rPr>
            </w:pPr>
            <w:r w:rsidRPr="00CE0A20">
              <w:rPr>
                <w:rFonts w:ascii="Times New Roman" w:hAnsi="Times New Roman" w:cs="Times New Roman"/>
                <w:color w:val="000000" w:themeColor="text1"/>
                <w:sz w:val="28"/>
                <w:szCs w:val="28"/>
                <w:lang w:val="uk-UA" w:eastAsia="en-US"/>
              </w:rPr>
              <w:t>66,8±15,</w:t>
            </w:r>
            <w:r w:rsidRPr="00CE0A20">
              <w:rPr>
                <w:rFonts w:ascii="Times New Roman" w:hAnsi="Times New Roman" w:cs="Times New Roman"/>
                <w:color w:val="000000" w:themeColor="text1"/>
                <w:sz w:val="28"/>
                <w:szCs w:val="28"/>
                <w:lang w:val="en-US" w:eastAsia="en-US"/>
              </w:rPr>
              <w:t>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63,8±12,6</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rPr>
          <w:trHeight w:val="750"/>
        </w:trPr>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Загальний холесте</w:t>
            </w:r>
            <w:r w:rsidRPr="00CE0A20">
              <w:rPr>
                <w:rFonts w:ascii="Times New Roman" w:hAnsi="Times New Roman" w:cs="Times New Roman"/>
                <w:color w:val="000000" w:themeColor="text1"/>
                <w:sz w:val="28"/>
                <w:szCs w:val="28"/>
                <w:lang w:val="uk-UA" w:eastAsia="en-US"/>
              </w:rPr>
              <w:softHyphen/>
              <w:t>рин,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7,3±0,8</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6,7±0,8</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7,2±0,8</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6,8±0,6</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ЛПНЩ,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3,9±0,8</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3,4±0,8</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3,9±1,0</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3,4±1,0</w:t>
            </w:r>
            <w:r w:rsidRPr="00CE0A20">
              <w:rPr>
                <w:rFonts w:ascii="Times New Roman" w:hAnsi="Times New Roman" w:cs="Times New Roman"/>
                <w:color w:val="000000" w:themeColor="text1"/>
                <w:sz w:val="28"/>
                <w:szCs w:val="28"/>
                <w:vertAlign w:val="superscript"/>
                <w:lang w:val="uk-UA" w:eastAsia="en-US"/>
              </w:rPr>
              <w:t>1,2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ЛПВЩ,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1,4±0,4</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1,9±0,4</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1,3±0,3</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1,9±0,4</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Тригліцериди,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2,4±0,5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1,9±0,6</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2,6±0,5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2,1±0,5</w:t>
            </w:r>
            <w:r w:rsidRPr="00CE0A20">
              <w:rPr>
                <w:rFonts w:ascii="Times New Roman" w:hAnsi="Times New Roman" w:cs="Times New Roman"/>
                <w:color w:val="000000" w:themeColor="text1"/>
                <w:sz w:val="28"/>
                <w:szCs w:val="28"/>
                <w:vertAlign w:val="superscript"/>
                <w:lang w:val="en-US" w:eastAsia="en-US"/>
              </w:rPr>
              <w:t>1</w:t>
            </w:r>
            <w:r w:rsidRPr="00CE0A20">
              <w:rPr>
                <w:rFonts w:ascii="Times New Roman" w:hAnsi="Times New Roman" w:cs="Times New Roman"/>
                <w:color w:val="000000" w:themeColor="text1"/>
                <w:sz w:val="28"/>
                <w:szCs w:val="28"/>
                <w:vertAlign w:val="superscript"/>
                <w:lang w:val="uk-UA" w:eastAsia="en-US"/>
              </w:rPr>
              <w:t>,2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ПСА, нг/мл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1,7±0,5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1,7±0,5</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1,8±0,5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9B0C97">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1,8±0,5</w:t>
            </w:r>
          </w:p>
        </w:tc>
      </w:tr>
    </w:tbl>
    <w:p w:rsidR="001C43D0" w:rsidRPr="00CE0A20" w:rsidRDefault="001C43D0" w:rsidP="001C43D0">
      <w:pPr>
        <w:spacing w:line="360" w:lineRule="auto"/>
        <w:ind w:firstLine="709"/>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вихідним значенням  за парним t-критерієм. 2 – р &lt; 0,05 порівняно з контрольною групою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9B0C97" w:rsidRPr="00CE0A20" w:rsidRDefault="009B0C97" w:rsidP="009B0C97">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Через 12 тижнів лікування в Іа підгрупі порівняно з попереднім терміном достовірно знизилась вага до (98,9±17,1) кг, ІМТ до (32,4±6,6), концентрація глюкози (до (8,4±1,3) ммоль/л, </w:t>
      </w:r>
      <w:r w:rsidRPr="00CE0A20">
        <w:rPr>
          <w:rFonts w:ascii="Times New Roman" w:hAnsi="Times New Roman" w:cs="Times New Roman"/>
          <w:color w:val="000000" w:themeColor="text1"/>
          <w:sz w:val="28"/>
          <w:szCs w:val="28"/>
          <w:lang w:val="en-US"/>
        </w:rPr>
        <w:t>HbA</w:t>
      </w:r>
      <w:r w:rsidRPr="00CE0A20">
        <w:rPr>
          <w:rFonts w:ascii="Times New Roman" w:hAnsi="Times New Roman" w:cs="Times New Roman"/>
          <w:color w:val="000000" w:themeColor="text1"/>
          <w:sz w:val="28"/>
          <w:szCs w:val="28"/>
          <w:lang w:val="uk-UA"/>
        </w:rPr>
        <w:t>1</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xml:space="preserve"> до (8,1±1,8)%,  АЛТ до (60,1±13,9) Од/л, загального холестерину до (6,7±0,8) ммоль/л, ЛПНЩ до (3,4±0,8) ммоль/л, тригліцеридів до (1,9±0,6) ммоль/л, збільшилась концентрація ЛПВЩ до (1,9±0,4) ммоль/л (p&lt;0,05 за парним t-критерієм). Більшість показників, крім концентрації АСТ та ПСА, достовірно відрізнялась від аналогічних показників контрольної групи (p&lt;0,05 за t-критерієм).</w:t>
      </w:r>
    </w:p>
    <w:p w:rsidR="009B0C97" w:rsidRPr="00CE0A20" w:rsidRDefault="009B0C97" w:rsidP="009B0C97">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Іб підгрупі відмічено аналогічні тенденції та більшість показників, що були досліджені, не відрізнялась від аналогічних показників Іа групи, крім достовірно меншої ваги – (92,2±9,6) кг (р=0,015 за t-критерієм), меншого ІМТ – (30,6±7,4), які все ж не досягли рівня в контрольній групі (p&lt;0,05 за t-критерієм).</w:t>
      </w:r>
    </w:p>
    <w:p w:rsidR="009B0C97" w:rsidRPr="00CE0A20" w:rsidRDefault="009B0C97" w:rsidP="009B0C97">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Тобто можна стверджувати, що через 12 тижнів лікування позитивний вплив лікування подовжується, як при застосуванні КСКМ, так й при ГЗТ тестостероном. При цьому у цей термін спостереження концентрація загального тестостерону майже не відрізнялася від аналогічного показника в контрольній групі, суттєво наблизились до нормального рівня індекси Т/Е, концентрація ГЗСТ та АІ. Відмічається й подальше поліпшення показників жирового та вуглеводного обміну. Слід відмітити, що термін лікувального ефекту після внутрішньо</w:t>
      </w:r>
      <w:r w:rsidRPr="00CE0A20">
        <w:rPr>
          <w:rFonts w:ascii="Times New Roman" w:hAnsi="Times New Roman" w:cs="Times New Roman"/>
          <w:color w:val="000000" w:themeColor="text1"/>
          <w:sz w:val="28"/>
          <w:szCs w:val="28"/>
          <w:lang w:val="uk-UA"/>
        </w:rPr>
        <w:softHyphen/>
        <w:t>м’язової ін’єкції тестостерону ундеконату згідно з інструкцією виробника становить 10–12 тижнів. Тому пацієнти Іб групи в цей термін отримували другу дозу препарату.</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кінці дослідження через 24 тижні від початку лікування практично всі аналізовані показники зали</w:t>
      </w:r>
      <w:r w:rsidR="00C01D33" w:rsidRPr="00CE0A20">
        <w:rPr>
          <w:rFonts w:ascii="Times New Roman" w:hAnsi="Times New Roman" w:cs="Times New Roman"/>
          <w:color w:val="000000" w:themeColor="text1"/>
          <w:sz w:val="28"/>
          <w:szCs w:val="28"/>
          <w:lang w:val="uk-UA"/>
        </w:rPr>
        <w:t>шалися стабільними.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При аналізі статевих гормонів  порівняноі з попереднім терміном дослідження достовірно зросла концентрація загального тестостерону до (14,0±1,9) нмоль/мл (р=0,001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незначно підвищилась величина Т/Е до (0,50±0,24), незначно знизилась концентрація ГЗСГ до (73,8±18,3) нмоль/л та підвищився АІ до 20,5±7,6) (р&gt;0,05 за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 xml:space="preserve">-критерієм в усіх порівняннях).  У Іб підгрупі також достовірно підвищилась концентрація загального тестостерону до (16,9±2,3) нмоль/мл, достовірно зріс АІ до (27,7±8,2), при цьому концентрація ГЗСГ зменшилась до (65,2±17,2) нмоль/л (р=0,084 за парним </w:t>
      </w:r>
      <w:r w:rsidRPr="00CE0A20">
        <w:rPr>
          <w:rFonts w:ascii="Times New Roman" w:hAnsi="Times New Roman" w:cs="Times New Roman"/>
          <w:color w:val="000000" w:themeColor="text1"/>
          <w:sz w:val="28"/>
          <w:szCs w:val="28"/>
          <w:lang w:val="en-US"/>
        </w:rPr>
        <w:t>t</w:t>
      </w:r>
      <w:r w:rsidRPr="00CE0A20">
        <w:rPr>
          <w:rFonts w:ascii="Times New Roman" w:hAnsi="Times New Roman" w:cs="Times New Roman"/>
          <w:color w:val="000000" w:themeColor="text1"/>
          <w:sz w:val="28"/>
          <w:szCs w:val="28"/>
          <w:lang w:val="uk-UA"/>
        </w:rPr>
        <w:t>-критерієм). Концентрація інших гормонів залишалась майже без змін (табл. 5.7).</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5.7 – Вміст статевих гормонів у сироватці крові чоловіків основної групи через 24 тижні від початку лікування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lang w:val="uk-UA"/>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1621"/>
        <w:gridCol w:w="1621"/>
        <w:gridCol w:w="1621"/>
        <w:gridCol w:w="1621"/>
      </w:tblGrid>
      <w:tr w:rsidR="001C43D0" w:rsidRPr="00CE0A20" w:rsidTr="001C43D0">
        <w:trPr>
          <w:trHeight w:val="498"/>
        </w:trPr>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484"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3242"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3242"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en-US" w:eastAsia="en-US"/>
              </w:rPr>
            </w:pPr>
            <w:r w:rsidRPr="00CE0A20">
              <w:rPr>
                <w:rFonts w:ascii="Times New Roman" w:hAnsi="Times New Roman" w:cs="Times New Roman"/>
                <w:color w:val="000000" w:themeColor="text1"/>
                <w:sz w:val="28"/>
                <w:szCs w:val="28"/>
                <w:lang w:val="uk-UA" w:eastAsia="en-US"/>
              </w:rPr>
              <w:t>Іб підгрупа (порівняння) (n=10)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12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24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12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24 тиж</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Загальний тестостерон (нмоль/мл)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13,4±2,3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14,0±1,9</w:t>
            </w:r>
            <w:r w:rsidRPr="00CE0A20">
              <w:rPr>
                <w:rFonts w:ascii="Times New Roman" w:hAnsi="Times New Roman" w:cs="Times New Roman"/>
                <w:color w:val="000000" w:themeColor="text1"/>
                <w:sz w:val="28"/>
                <w:szCs w:val="28"/>
                <w:vertAlign w:val="superscript"/>
                <w:lang w:val="uk-UA" w:eastAsia="en-US"/>
              </w:rPr>
              <w:t>1,2,3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15,9±3,1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16,9±2,3</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Естрадіол (пг/мл)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31,5±10,1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32,6±12,2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31,4±12,8</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31,5±12,8</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Індекс Т/Е</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0,47±0,20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0,50±0,24</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0,6±0,3</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0,6±0,3</w:t>
            </w:r>
            <w:r w:rsidRPr="00CE0A20">
              <w:rPr>
                <w:rFonts w:ascii="Times New Roman" w:hAnsi="Times New Roman" w:cs="Times New Roman"/>
                <w:color w:val="000000" w:themeColor="text1"/>
                <w:sz w:val="28"/>
                <w:szCs w:val="28"/>
                <w:vertAlign w:val="superscript"/>
                <w:lang w:val="uk-UA" w:eastAsia="en-US"/>
              </w:rPr>
              <w:t>3</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ГЗСГ (нмоль/л)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78,2±19,1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73,8±18,3</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70,7±18,3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65,2±17,2</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АІ</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18,5±6,9</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20,5±7,6</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24,0±8,2</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27,7±8,2</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ФСГ (мЕд/мл)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5,7±2,0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6,0±1,9</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6,6±2,1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6,6±2,1</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ЛГ   (мЕд/мл)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6,6±2,1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6,6±2,1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6,1±2,4</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6,1±2,2</w:t>
            </w:r>
          </w:p>
        </w:tc>
      </w:tr>
      <w:tr w:rsidR="001C43D0" w:rsidRPr="00CE0A20" w:rsidTr="001C43D0">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ПРЛ (МкМЕ/мл)</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176,4±76,0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176,6±83,0</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196,7±76,7</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195,7±75,5</w:t>
            </w:r>
          </w:p>
        </w:tc>
      </w:tr>
    </w:tbl>
    <w:p w:rsidR="001C43D0" w:rsidRPr="00CE0A20" w:rsidRDefault="001C43D0" w:rsidP="005748D9">
      <w:pPr>
        <w:spacing w:line="360" w:lineRule="auto"/>
        <w:ind w:firstLine="709"/>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вихідним значенням  за парним t-критерієм. 2 – р &lt; 0,05 порівняно з Іб підгрупою за t-критерієм; 3 – р &lt; 0,05  порівняно з контрольною групою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цей термін, як і в попередній концентрація загального тестостерону в Іа підгрупі була достовірно меншою, ніж у Іб підгрупі (р=0,005 за t-критерієм) та практично не відрізнялась від показника в контрольній групі (р=0,081 за t-критерієм), індекс Т/Е, концентрація ГЗСГ та АІ між в Іа та Іб підгрупах не мали різниці (р&gt;0,05 за t-критерієм в усіх порівняннях), порівняно з контрольною групою в Іа підгрупі концентрація ГЗСГ була достовірно більшою (р=0,023 за t–критерієм), величина Т/Е та АІ достовірно не відрізнялись (р&gt;0,05 за t–критерієм). У Іб підгрупі всі ці показники не відрізнялись від аналогічних показників контрольної групи (р&gt;0</w:t>
      </w:r>
      <w:r w:rsidR="00C01D33" w:rsidRPr="00CE0A20">
        <w:rPr>
          <w:rFonts w:ascii="Times New Roman" w:hAnsi="Times New Roman" w:cs="Times New Roman"/>
          <w:color w:val="000000" w:themeColor="text1"/>
          <w:sz w:val="28"/>
          <w:szCs w:val="28"/>
          <w:lang w:val="uk-UA"/>
        </w:rPr>
        <w:t>,05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Динаміка інших показників, що вивчалися, через 24 тижні лікування була незначною (табл. 5.8). </w:t>
      </w:r>
    </w:p>
    <w:p w:rsidR="005748D9" w:rsidRPr="00CE0A20" w:rsidRDefault="005748D9" w:rsidP="005748D9">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Іа підгрупі достовірно зменшилась вага до (93,3±15,6) кг, ІМТ до (30,5±5,3) та концентрація АСТ до (57,9±13,3) Од/л. Усі інші показники залишалися майже на попередньому рівні, причому більшість з них достовірно відрізнялася від аналогічних показників контрольної групи (р&lt;0,05 за t-критерієм) та не мала відмінностей порівняно з Іб підгрупою (р&gt;0,05 за t–критерієм) (табл. 5.8).</w:t>
      </w:r>
    </w:p>
    <w:p w:rsidR="005748D9" w:rsidRPr="00CE0A20" w:rsidRDefault="005748D9" w:rsidP="005748D9">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Таким чином, можна стверджувати, що застосування КСКМ для лікування ЕД у зв’язку з андрогенним дефіцитом на тлі  ЦД та ожиріння сприяє поліпшенню клінічних наслідків андрогенного дефіциту завдяки підвищенню концентрації тестостерону. При цьому збільшення його концентрації відбувається за рахунок відновлення клітин Лейдіга в тестикулах, про що свідчать результати експерименту. Позитивний ефект лікування із застосуванням КСКМ стає помітним уже через 4 тижні від його початку, збільшується на 12 тижні та зберігається на стабільному рівні через 24 тижні. Лікувальний ефект КСКМ наближається до такого від тестостерону ундеконату, але був дещо меншим, проте традиційне лікування потребує повторних ін’єкцій кожні 10-12 тижнів. </w:t>
      </w:r>
    </w:p>
    <w:p w:rsidR="009B0C97" w:rsidRDefault="009B0C97">
      <w:pPr>
        <w:spacing w:after="200"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1C43D0" w:rsidRPr="00CE0A20" w:rsidRDefault="001C43D0" w:rsidP="004C1F95">
      <w:pPr>
        <w:spacing w:after="200" w:line="276"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Таблиця 5.8 – Антропометричні та лабораторні показники чоловіків основної групи через 24 тижні лікування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lang w:val="uk-UA"/>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lang w:val="uk-UA"/>
        </w:rPr>
        <w:t>)</w:t>
      </w:r>
    </w:p>
    <w:p w:rsidR="005748D9" w:rsidRPr="00CE0A20" w:rsidRDefault="005748D9" w:rsidP="001C43D0">
      <w:pPr>
        <w:spacing w:line="360" w:lineRule="auto"/>
        <w:ind w:firstLine="709"/>
        <w:jc w:val="both"/>
        <w:rPr>
          <w:rFonts w:ascii="Times New Roman" w:hAnsi="Times New Roman" w:cs="Times New Roman"/>
          <w:color w:val="000000" w:themeColor="text1"/>
          <w:sz w:val="28"/>
          <w:szCs w:val="28"/>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43"/>
        <w:gridCol w:w="1763"/>
        <w:gridCol w:w="1622"/>
        <w:gridCol w:w="1621"/>
        <w:gridCol w:w="1622"/>
      </w:tblGrid>
      <w:tr w:rsidR="001C43D0" w:rsidRPr="00CE0A20" w:rsidTr="001C43D0">
        <w:trPr>
          <w:trHeight w:val="617"/>
        </w:trPr>
        <w:tc>
          <w:tcPr>
            <w:tcW w:w="2943"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628" w:type="dxa"/>
            <w:gridSpan w:val="4"/>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2943" w:type="dxa"/>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3385"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3243"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Іб підгрупа (порівняння) (n=10)</w:t>
            </w:r>
          </w:p>
        </w:tc>
      </w:tr>
      <w:tr w:rsidR="001C43D0" w:rsidRPr="00CE0A20" w:rsidTr="001C43D0">
        <w:tc>
          <w:tcPr>
            <w:tcW w:w="2943" w:type="dxa"/>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12 тиж</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4 тиж</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через 12 тиж</w:t>
            </w:r>
          </w:p>
        </w:tc>
      </w:tr>
      <w:tr w:rsidR="001C43D0" w:rsidRPr="00CE0A20" w:rsidTr="005748D9">
        <w:trPr>
          <w:trHeight w:val="616"/>
        </w:trPr>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Вага, кг</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en-US" w:eastAsia="en-US"/>
              </w:rPr>
            </w:pPr>
            <w:r w:rsidRPr="00CE0A20">
              <w:rPr>
                <w:rFonts w:ascii="Times New Roman" w:hAnsi="Times New Roman" w:cs="Times New Roman"/>
                <w:color w:val="000000" w:themeColor="text1"/>
                <w:sz w:val="28"/>
                <w:szCs w:val="28"/>
                <w:lang w:val="uk-UA" w:eastAsia="en-US"/>
              </w:rPr>
              <w:t>98,9±17,1</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93,3±15,6</w:t>
            </w:r>
            <w:r w:rsidRPr="00CE0A20">
              <w:rPr>
                <w:rFonts w:ascii="Times New Roman" w:hAnsi="Times New Roman" w:cs="Times New Roman"/>
                <w:color w:val="000000" w:themeColor="text1"/>
                <w:sz w:val="28"/>
                <w:szCs w:val="28"/>
                <w:vertAlign w:val="superscript"/>
                <w:lang w:val="uk-UA" w:eastAsia="en-US"/>
              </w:rPr>
              <w:t>1,2,3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92,2±9,6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90,4±8,7</w:t>
            </w:r>
          </w:p>
        </w:tc>
      </w:tr>
      <w:tr w:rsidR="001C43D0" w:rsidRPr="00CE0A20" w:rsidTr="005748D9">
        <w:trPr>
          <w:trHeight w:val="696"/>
        </w:trPr>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ІМТ</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32,4±6,4</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30,5±5,3</w:t>
            </w:r>
            <w:r w:rsidRPr="00CE0A20">
              <w:rPr>
                <w:rFonts w:ascii="Times New Roman" w:hAnsi="Times New Roman" w:cs="Times New Roman"/>
                <w:color w:val="000000" w:themeColor="text1"/>
                <w:sz w:val="28"/>
                <w:szCs w:val="28"/>
                <w:vertAlign w:val="superscript"/>
                <w:lang w:val="uk-UA" w:eastAsia="en-US"/>
              </w:rPr>
              <w:t>1,2,3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30,6±7,4</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29,4±6,2</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Глюкоза, ммоль/л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8,4±1,3</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8,2±1,0</w:t>
            </w:r>
            <w:r w:rsidRPr="00CE0A20">
              <w:rPr>
                <w:rFonts w:ascii="Times New Roman" w:hAnsi="Times New Roman" w:cs="Times New Roman"/>
                <w:color w:val="000000" w:themeColor="text1"/>
                <w:sz w:val="28"/>
                <w:szCs w:val="28"/>
                <w:vertAlign w:val="superscript"/>
                <w:lang w:val="uk-UA" w:eastAsia="en-US"/>
              </w:rPr>
              <w:t>2,3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7,4±1,2</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7,2±1,0</w:t>
            </w:r>
            <w:r w:rsidRPr="00CE0A20">
              <w:rPr>
                <w:rFonts w:ascii="Times New Roman" w:hAnsi="Times New Roman" w:cs="Times New Roman"/>
                <w:color w:val="000000" w:themeColor="text1"/>
                <w:sz w:val="28"/>
                <w:szCs w:val="28"/>
                <w:vertAlign w:val="superscript"/>
                <w:lang w:val="uk-UA" w:eastAsia="en-US"/>
              </w:rPr>
              <w:t>3</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en-US" w:eastAsia="en-US"/>
              </w:rPr>
              <w:t>HbA1c</w:t>
            </w:r>
            <w:r w:rsidRPr="00CE0A20">
              <w:rPr>
                <w:rFonts w:ascii="Times New Roman" w:hAnsi="Times New Roman" w:cs="Times New Roman"/>
                <w:color w:val="000000" w:themeColor="text1"/>
                <w:sz w:val="28"/>
                <w:szCs w:val="28"/>
                <w:lang w:val="uk-UA" w:eastAsia="en-US"/>
              </w:rPr>
              <w:t xml:space="preserve"> , %</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8,1±1,8</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7,9±1,5</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8,2±1,9</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7,7±1,4</w:t>
            </w:r>
            <w:r w:rsidRPr="00CE0A20">
              <w:rPr>
                <w:rFonts w:ascii="Times New Roman" w:hAnsi="Times New Roman" w:cs="Times New Roman"/>
                <w:color w:val="000000" w:themeColor="text1"/>
                <w:sz w:val="28"/>
                <w:szCs w:val="28"/>
                <w:vertAlign w:val="superscript"/>
                <w:lang w:val="uk-UA" w:eastAsia="en-US"/>
              </w:rPr>
              <w:t>3</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АЛТ, Од/л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59,3±11,2</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62,7±12,7</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62,3±12,7</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59,4±11,7</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АСТ, Од/л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60,1±13,9</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57,9±13,3</w:t>
            </w:r>
            <w:r w:rsidRPr="00CE0A20">
              <w:rPr>
                <w:rFonts w:ascii="Times New Roman" w:hAnsi="Times New Roman" w:cs="Times New Roman"/>
                <w:color w:val="000000" w:themeColor="text1"/>
                <w:sz w:val="28"/>
                <w:szCs w:val="28"/>
                <w:vertAlign w:val="superscript"/>
                <w:lang w:val="uk-UA" w:eastAsia="en-US"/>
              </w:rPr>
              <w:t>1</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63,8±12,6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60,6±10,5</w:t>
            </w:r>
            <w:r w:rsidRPr="00CE0A20">
              <w:rPr>
                <w:rFonts w:ascii="Times New Roman" w:hAnsi="Times New Roman" w:cs="Times New Roman"/>
                <w:color w:val="000000" w:themeColor="text1"/>
                <w:sz w:val="28"/>
                <w:szCs w:val="28"/>
                <w:vertAlign w:val="superscript"/>
                <w:lang w:val="uk-UA" w:eastAsia="en-US"/>
              </w:rPr>
              <w:t>1</w:t>
            </w:r>
          </w:p>
        </w:tc>
      </w:tr>
      <w:tr w:rsidR="001C43D0" w:rsidRPr="00CE0A20" w:rsidTr="001C43D0">
        <w:trPr>
          <w:trHeight w:val="750"/>
        </w:trPr>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Загальний холесте</w:t>
            </w:r>
            <w:r w:rsidRPr="00CE0A20">
              <w:rPr>
                <w:rFonts w:ascii="Times New Roman" w:hAnsi="Times New Roman" w:cs="Times New Roman"/>
                <w:color w:val="000000" w:themeColor="text1"/>
                <w:sz w:val="28"/>
                <w:szCs w:val="28"/>
                <w:lang w:val="uk-UA" w:eastAsia="en-US"/>
              </w:rPr>
              <w:softHyphen/>
              <w:t>рин,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6,7±0,8</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6,0±1,1</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6,8±0,6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6,4±0,6</w:t>
            </w:r>
            <w:r w:rsidRPr="00CE0A20">
              <w:rPr>
                <w:rFonts w:ascii="Times New Roman" w:hAnsi="Times New Roman" w:cs="Times New Roman"/>
                <w:color w:val="000000" w:themeColor="text1"/>
                <w:sz w:val="28"/>
                <w:szCs w:val="28"/>
                <w:vertAlign w:val="superscript"/>
                <w:lang w:val="uk-UA" w:eastAsia="en-US"/>
              </w:rPr>
              <w:t>3</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ЛПНЩ,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3,4±0,8</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3,0±0,6</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3,4±1,0</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2,9±0,9</w:t>
            </w:r>
            <w:r w:rsidRPr="00CE0A20">
              <w:rPr>
                <w:rFonts w:ascii="Times New Roman" w:hAnsi="Times New Roman" w:cs="Times New Roman"/>
                <w:color w:val="000000" w:themeColor="text1"/>
                <w:sz w:val="28"/>
                <w:szCs w:val="28"/>
                <w:vertAlign w:val="superscript"/>
                <w:lang w:val="uk-UA" w:eastAsia="en-US"/>
              </w:rPr>
              <w:t>3</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ЛПВЩ,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1,9±0,4</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2,3±0,5</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1,9±0,4</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2,3±0,5</w:t>
            </w:r>
            <w:r w:rsidRPr="00CE0A20">
              <w:rPr>
                <w:rFonts w:ascii="Times New Roman" w:hAnsi="Times New Roman" w:cs="Times New Roman"/>
                <w:color w:val="000000" w:themeColor="text1"/>
                <w:sz w:val="28"/>
                <w:szCs w:val="28"/>
                <w:vertAlign w:val="superscript"/>
                <w:lang w:val="uk-UA" w:eastAsia="en-US"/>
              </w:rPr>
              <w:t>3</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Тригліцериди, ммоль/мл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1,9±0,6</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1,6±0,5</w:t>
            </w:r>
            <w:r w:rsidRPr="00CE0A20">
              <w:rPr>
                <w:rFonts w:ascii="Times New Roman" w:hAnsi="Times New Roman" w:cs="Times New Roman"/>
                <w:color w:val="000000" w:themeColor="text1"/>
                <w:sz w:val="28"/>
                <w:szCs w:val="28"/>
                <w:vertAlign w:val="superscript"/>
                <w:lang w:val="uk-UA" w:eastAsia="en-US"/>
              </w:rPr>
              <w:t>3</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2,1±0,5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1,6±0,5</w:t>
            </w:r>
            <w:r w:rsidRPr="00CE0A20">
              <w:rPr>
                <w:rFonts w:ascii="Times New Roman" w:hAnsi="Times New Roman" w:cs="Times New Roman"/>
                <w:color w:val="000000" w:themeColor="text1"/>
                <w:sz w:val="28"/>
                <w:szCs w:val="28"/>
                <w:vertAlign w:val="superscript"/>
                <w:lang w:val="uk-UA" w:eastAsia="en-US"/>
              </w:rPr>
              <w:t>3</w:t>
            </w:r>
          </w:p>
        </w:tc>
      </w:tr>
      <w:tr w:rsidR="001C43D0" w:rsidRPr="00CE0A20" w:rsidTr="001C43D0">
        <w:tc>
          <w:tcPr>
            <w:tcW w:w="294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ПСА, нг/мл</w:t>
            </w:r>
          </w:p>
        </w:tc>
        <w:tc>
          <w:tcPr>
            <w:tcW w:w="1763"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1,7±0,5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1,6±0,4</w:t>
            </w:r>
          </w:p>
        </w:tc>
        <w:tc>
          <w:tcPr>
            <w:tcW w:w="162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1,8±0,5</w:t>
            </w:r>
          </w:p>
        </w:tc>
        <w:tc>
          <w:tcPr>
            <w:tcW w:w="1622"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Lines="40" w:before="96" w:afterLines="40" w:after="96"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1,6±0,4</w:t>
            </w:r>
          </w:p>
        </w:tc>
      </w:tr>
    </w:tbl>
    <w:p w:rsidR="001C43D0" w:rsidRPr="00CE0A20" w:rsidRDefault="001C43D0" w:rsidP="005748D9">
      <w:pPr>
        <w:widowControl w:val="0"/>
        <w:spacing w:line="360" w:lineRule="auto"/>
        <w:ind w:firstLine="709"/>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0,05 порівняно з вихідним значенням  за парним t-критерієм. 2 – р &lt; 0,05 порівняно з Іб підгрупою за t-критерієм; 3 – р &lt; 0,05 порівняно з контрольною групою за t-критерієм.</w:t>
      </w:r>
    </w:p>
    <w:p w:rsidR="005748D9" w:rsidRPr="00CE0A20" w:rsidRDefault="005748D9"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Іншим позитивним ефектом терапії андрогенного дефіциту за допомогою КСКМ та ГЗТ було поліпшення показників вуглеводного та жирового обміну, стану печінкової функції, зумовлених ЦД та ожирінням. Однак слід зазначити, що цьому сприяла не тільки ГЗТ або трансплантація КСКМ, але й дотримання відповідної дієти та інших заходів, спрямованих на компенсацію ЦД та надмірну вагу. Цей аспект одужання ретельно обговорювався з кожним пацієнтом, які протягом дослідження дотримувались наданих рекомендацій.</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highlight w:val="yellow"/>
          <w:lang w:val="uk-UA"/>
        </w:rPr>
      </w:pPr>
    </w:p>
    <w:p w:rsidR="001C43D0" w:rsidRPr="00CE0A20" w:rsidRDefault="001C43D0" w:rsidP="001C43D0">
      <w:pPr>
        <w:keepNext/>
        <w:spacing w:line="360" w:lineRule="auto"/>
        <w:ind w:firstLine="709"/>
        <w:jc w:val="both"/>
        <w:rPr>
          <w:rFonts w:ascii="Times New Roman" w:hAnsi="Times New Roman" w:cs="Times New Roman"/>
          <w:b/>
          <w:color w:val="000000" w:themeColor="text1"/>
          <w:sz w:val="28"/>
          <w:szCs w:val="28"/>
          <w:lang w:val="uk-UA"/>
        </w:rPr>
      </w:pPr>
      <w:r w:rsidRPr="00CE0A20">
        <w:rPr>
          <w:rFonts w:ascii="Times New Roman" w:hAnsi="Times New Roman" w:cs="Times New Roman"/>
          <w:b/>
          <w:color w:val="000000" w:themeColor="text1"/>
          <w:sz w:val="28"/>
          <w:szCs w:val="28"/>
          <w:lang w:val="uk-UA"/>
        </w:rPr>
        <w:t>5.3. Стан еректильної функції та його динаміка під впливом лікування</w:t>
      </w:r>
    </w:p>
    <w:p w:rsidR="005748D9" w:rsidRPr="00CE0A20" w:rsidRDefault="005748D9" w:rsidP="001C43D0">
      <w:pPr>
        <w:keepNext/>
        <w:spacing w:line="360" w:lineRule="auto"/>
        <w:ind w:firstLine="709"/>
        <w:jc w:val="both"/>
        <w:rPr>
          <w:rFonts w:ascii="Times New Roman" w:hAnsi="Times New Roman" w:cs="Times New Roman"/>
          <w:b/>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Основним приводом для звернення пацієнтів до уролога була ЕД, яку оцінювали за шкалою МІЕФ-5. Результати аналізу цієї шкали на початку дослідження протягом лікування дозволили встановити таке (табл. 5.9).</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Таблиця 5.9 – Оцінка за шкалою МІЕФ-5 на початку дослідження в чоловіків основної та контрольної груп</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2126"/>
        <w:gridCol w:w="2127"/>
        <w:gridCol w:w="2231"/>
      </w:tblGrid>
      <w:tr w:rsidR="001C43D0" w:rsidRPr="00CE0A20" w:rsidTr="001C43D0">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484" w:type="dxa"/>
            <w:gridSpan w:val="3"/>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5748D9">
        <w:trPr>
          <w:trHeight w:val="631"/>
        </w:trPr>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 група (основна)  (n=20)</w:t>
            </w:r>
          </w:p>
        </w:tc>
        <w:tc>
          <w:tcPr>
            <w:tcW w:w="2231"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ІІ група (контроль</w:t>
            </w:r>
            <w:r w:rsidRPr="00CE0A20">
              <w:rPr>
                <w:rFonts w:ascii="Times New Roman" w:hAnsi="Times New Roman" w:cs="Times New Roman"/>
                <w:color w:val="000000" w:themeColor="text1"/>
                <w:sz w:val="28"/>
                <w:szCs w:val="28"/>
                <w:lang w:val="uk-UA" w:eastAsia="en-US"/>
              </w:rPr>
              <w:softHyphen/>
              <w:t>на) (n=20)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Іб підгрупа (порівняння) (n=10)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r>
      <w:tr w:rsidR="001C43D0" w:rsidRPr="00CE0A20" w:rsidTr="005748D9">
        <w:trPr>
          <w:trHeight w:val="602"/>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2,1±0,7</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2,2±0,6</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02"/>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1,7±0,5</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2,0±0,7</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02"/>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3-є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1,6±0,8</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2,1±0,9</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02"/>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1,8±0,6</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2,1±0,9</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4,7±0,5</w:t>
            </w:r>
          </w:p>
        </w:tc>
      </w:tr>
      <w:tr w:rsidR="001C43D0" w:rsidRPr="00CE0A20" w:rsidTr="005748D9">
        <w:trPr>
          <w:trHeight w:val="602"/>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1,7±0,5</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2,0±0,8</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4,7±0,5</w:t>
            </w:r>
          </w:p>
        </w:tc>
      </w:tr>
      <w:tr w:rsidR="001C43D0" w:rsidRPr="00CE0A20" w:rsidTr="005748D9">
        <w:trPr>
          <w:trHeight w:val="602"/>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Загальна оцінка</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8,9±2,1</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10,4±2,6</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23,1±1,7</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w:t>
      </w:r>
      <w:r w:rsidRPr="00CE0A20">
        <w:rPr>
          <w:rFonts w:ascii="Times New Roman" w:hAnsi="Times New Roman" w:cs="Times New Roman"/>
          <w:color w:val="000000" w:themeColor="text1"/>
          <w:sz w:val="28"/>
          <w:szCs w:val="28"/>
        </w:rPr>
        <w:t>01</w:t>
      </w:r>
      <w:r w:rsidRPr="00CE0A20">
        <w:rPr>
          <w:rFonts w:ascii="Times New Roman" w:hAnsi="Times New Roman" w:cs="Times New Roman"/>
          <w:color w:val="000000" w:themeColor="text1"/>
          <w:sz w:val="28"/>
          <w:szCs w:val="28"/>
          <w:lang w:val="uk-UA"/>
        </w:rPr>
        <w:t xml:space="preserve"> у порівнянні з контрольною групою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5748D9"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Як видно з отриманих даних, на початку дослідження в обох підгрупах основної групи середня оцінка на всі питання анкети МІЕФ-5 була достовірно меншою (більш ніж удвічі), ніж у контрольній групі (р &lt; 0,0</w:t>
      </w:r>
      <w:r w:rsidRPr="00CE0A20">
        <w:rPr>
          <w:rFonts w:ascii="Times New Roman" w:hAnsi="Times New Roman" w:cs="Times New Roman"/>
          <w:color w:val="000000" w:themeColor="text1"/>
          <w:sz w:val="28"/>
          <w:szCs w:val="28"/>
        </w:rPr>
        <w:t>01</w:t>
      </w:r>
      <w:r w:rsidRPr="00CE0A20">
        <w:rPr>
          <w:rFonts w:ascii="Times New Roman" w:hAnsi="Times New Roman" w:cs="Times New Roman"/>
          <w:color w:val="000000" w:themeColor="text1"/>
          <w:sz w:val="28"/>
          <w:szCs w:val="28"/>
          <w:lang w:val="uk-UA"/>
        </w:rPr>
        <w:t xml:space="preserve"> за t-критерієм). На всі питання про частоту ерекції, її якість та збереження протягом статевого акту пацієнти основної групи найбільш часто відповідали «дуже складно або менш ніж у половині випадків» (2 бали), в окремих випадках – «складно або в половині випадків» (3 бали) та в поодиноких випадках «надзвичайно складно або майже ніколи» (1 бал).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 основній групі більшість хворих відповідали «не складно або майже завжди» (5 балів) та у 45% випадках – «не дуже складно або більш ніж у половині випадків». Відповідно і сумарний бал за шкалою МІЕФ-5  у пацієнтів основної групи був майже в 2,5 раза меншим, ніж у чоловіків контрольної групі: (8,9</w:t>
      </w:r>
      <w:r w:rsidRPr="00CE0A20">
        <w:rPr>
          <w:rFonts w:ascii="Times New Roman" w:hAnsi="Times New Roman" w:cs="Times New Roman"/>
          <w:color w:val="000000" w:themeColor="text1"/>
          <w:sz w:val="28"/>
          <w:szCs w:val="28"/>
          <w:lang w:val="uk-UA"/>
        </w:rPr>
        <w:fldChar w:fldCharType="begin"/>
      </w:r>
      <w:r w:rsidRPr="00CE0A20">
        <w:rPr>
          <w:rFonts w:ascii="Times New Roman" w:hAnsi="Times New Roman" w:cs="Times New Roman"/>
          <w:color w:val="000000" w:themeColor="text1"/>
          <w:sz w:val="28"/>
          <w:szCs w:val="28"/>
          <w:lang w:val="uk-UA"/>
        </w:rPr>
        <w:instrText xml:space="preserve"> QUOTE </w:instrText>
      </w:r>
      <w:r w:rsidRPr="00CE0A20">
        <w:rPr>
          <w:rFonts w:ascii="Times New Roman" w:hAnsi="Times New Roman" w:cs="Times New Roman"/>
          <w:noProof/>
          <w:color w:val="000000" w:themeColor="text1"/>
          <w:sz w:val="28"/>
          <w:szCs w:val="28"/>
        </w:rPr>
        <w:drawing>
          <wp:inline distT="0" distB="0" distL="0" distR="0" wp14:anchorId="66634BD5" wp14:editId="0A612544">
            <wp:extent cx="161925" cy="152400"/>
            <wp:effectExtent l="0" t="0" r="0" b="0"/>
            <wp:docPr id="242"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1"/>
                    <pic:cNvPicPr>
                      <a:picLocks noChangeAspect="1" noChangeArrowheads="1"/>
                    </pic:cNvPicPr>
                  </pic:nvPicPr>
                  <pic:blipFill>
                    <a:blip r:embed="rId13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152400"/>
                    </a:xfrm>
                    <a:prstGeom prst="rect">
                      <a:avLst/>
                    </a:prstGeom>
                    <a:noFill/>
                    <a:ln>
                      <a:noFill/>
                    </a:ln>
                  </pic:spPr>
                </pic:pic>
              </a:graphicData>
            </a:graphic>
          </wp:inline>
        </w:drawing>
      </w:r>
      <w:r w:rsidRPr="00CE0A20">
        <w:rPr>
          <w:rFonts w:ascii="Times New Roman" w:hAnsi="Times New Roman" w:cs="Times New Roman"/>
          <w:color w:val="000000" w:themeColor="text1"/>
          <w:sz w:val="28"/>
          <w:szCs w:val="28"/>
          <w:lang w:val="uk-UA"/>
        </w:rPr>
        <w:instrText xml:space="preserve"> </w:instrText>
      </w:r>
      <w:r w:rsidRPr="00CE0A20">
        <w:rPr>
          <w:rFonts w:ascii="Times New Roman" w:hAnsi="Times New Roman" w:cs="Times New Roman"/>
          <w:color w:val="000000" w:themeColor="text1"/>
          <w:sz w:val="28"/>
          <w:szCs w:val="28"/>
          <w:lang w:val="uk-UA"/>
        </w:rPr>
        <w:fldChar w:fldCharType="separate"/>
      </w:r>
      <w:r w:rsidRPr="00CE0A20">
        <w:rPr>
          <w:rFonts w:ascii="Times New Roman" w:hAnsi="Times New Roman" w:cs="Times New Roman"/>
          <w:noProof/>
          <w:color w:val="000000" w:themeColor="text1"/>
          <w:sz w:val="28"/>
          <w:szCs w:val="28"/>
        </w:rPr>
        <w:drawing>
          <wp:inline distT="0" distB="0" distL="0" distR="0" wp14:anchorId="4BDF50FC" wp14:editId="51329EA0">
            <wp:extent cx="161925" cy="152400"/>
            <wp:effectExtent l="0" t="0" r="0" b="0"/>
            <wp:docPr id="243"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pic:cNvPicPr>
                      <a:picLocks noChangeAspect="1" noChangeArrowheads="1"/>
                    </pic:cNvPicPr>
                  </pic:nvPicPr>
                  <pic:blipFill>
                    <a:blip r:embed="rId13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152400"/>
                    </a:xfrm>
                    <a:prstGeom prst="rect">
                      <a:avLst/>
                    </a:prstGeom>
                    <a:noFill/>
                    <a:ln>
                      <a:noFill/>
                    </a:ln>
                  </pic:spPr>
                </pic:pic>
              </a:graphicData>
            </a:graphic>
          </wp:inline>
        </w:drawing>
      </w:r>
      <w:r w:rsidRPr="00CE0A20">
        <w:rPr>
          <w:rFonts w:ascii="Times New Roman" w:hAnsi="Times New Roman" w:cs="Times New Roman"/>
          <w:color w:val="000000" w:themeColor="text1"/>
          <w:sz w:val="28"/>
          <w:szCs w:val="28"/>
          <w:lang w:val="uk-UA"/>
        </w:rPr>
        <w:fldChar w:fldCharType="end"/>
      </w:r>
      <w:r w:rsidRPr="00CE0A20">
        <w:rPr>
          <w:rFonts w:ascii="Times New Roman" w:hAnsi="Times New Roman" w:cs="Times New Roman"/>
          <w:color w:val="000000" w:themeColor="text1"/>
          <w:sz w:val="28"/>
          <w:szCs w:val="28"/>
          <w:lang w:val="uk-UA"/>
        </w:rPr>
        <w:t>2,1) у Іа підгрупі, (10,4±2,6) бала в Іб підгрупі  та  (23,1±1,7) – у контрольній групі (р&lt;0,005 за t-критерієм в обох порівняннях), без суттєвої різниці між підгрупами (p&gt;0,05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Протягом періоду лікування відбулася певна динаміка досліджуваних показників. На 4 тижні лікування відмічається зростання середнього значення відповідей на всі питання анкети МІЕФ-5 в обох підгрупах (табл. 5.10). </w:t>
      </w:r>
    </w:p>
    <w:p w:rsidR="005748D9" w:rsidRPr="00CE0A20" w:rsidRDefault="005748D9" w:rsidP="005748D9">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пацієнтів Іа підгрупи, які отримали клітинну терапію КСКМ, найбільш суттєво зросло середнє значення  відповіді на 1-е запитання (про частоту ерекції при сексуальній активності) до (3,1±0,7) бала (р &lt; 0,05 порівняно з вихідними даними за парним критерієм Стьюдента): 2 пацієнти оцінили цей показник на 2 бали, 5 пацієнтів – на 3 бали та 3 пацієнти – на 4 бали. У Іб підгрупі також відмічено достовірне зростання цього показника до (2,9±0,6) бала (р &lt; 0,05 порівняно з вихідними даними за парним критерієм Стьюдента): 2 пацієнти відповіли на це питання на рівні 2 балів, 7 пацієнтів – на 3 бали та 1 хворий – 4 бали. Різниця середньої оцінки між підгрупами не достовірна (р=0,506 за t-критерієм).</w:t>
      </w:r>
    </w:p>
    <w:p w:rsidR="001C43D0" w:rsidRPr="00CE0A20" w:rsidRDefault="005748D9"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Друге запитання (про частоту ерекції, достатньої для початку статевого акту) в Іа підгрупі 1 пацієнт відповів на 1 бал, 7 пацієнтів – на 2 бали та 2 пацієнти на – 3 бали (середнє значення – (2,1±0,6) балів – р &lt; 0,05 порівняно з вихідними даними за парним критерієм Стьюдента). </w:t>
      </w:r>
    </w:p>
    <w:p w:rsidR="009B0C97" w:rsidRDefault="009B0C97" w:rsidP="005748D9">
      <w:pPr>
        <w:spacing w:after="200" w:line="276" w:lineRule="auto"/>
        <w:rPr>
          <w:rFonts w:ascii="Times New Roman" w:hAnsi="Times New Roman" w:cs="Times New Roman"/>
          <w:color w:val="000000" w:themeColor="text1"/>
          <w:sz w:val="28"/>
          <w:szCs w:val="28"/>
          <w:lang w:val="uk-UA"/>
        </w:rPr>
      </w:pPr>
    </w:p>
    <w:p w:rsidR="001C43D0" w:rsidRPr="00CE0A20" w:rsidRDefault="001C43D0" w:rsidP="005748D9">
      <w:pPr>
        <w:spacing w:after="200" w:line="276" w:lineRule="auto"/>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Таблиця 5.10 – Оцінка за шкалою МІЕФ-5 через 4 тижні лікування в чоловіків основної та контрольної груп</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2126"/>
        <w:gridCol w:w="2127"/>
        <w:gridCol w:w="2231"/>
      </w:tblGrid>
      <w:tr w:rsidR="001C43D0" w:rsidRPr="00CE0A20" w:rsidTr="001C43D0">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484" w:type="dxa"/>
            <w:gridSpan w:val="3"/>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 група (основна)  (n=20)</w:t>
            </w:r>
          </w:p>
        </w:tc>
        <w:tc>
          <w:tcPr>
            <w:tcW w:w="2231"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ІІ група (контроль</w:t>
            </w:r>
            <w:r w:rsidRPr="00CE0A20">
              <w:rPr>
                <w:rFonts w:ascii="Times New Roman" w:hAnsi="Times New Roman" w:cs="Times New Roman"/>
                <w:color w:val="000000" w:themeColor="text1"/>
                <w:sz w:val="28"/>
                <w:szCs w:val="28"/>
                <w:lang w:val="uk-UA" w:eastAsia="en-US"/>
              </w:rPr>
              <w:softHyphen/>
              <w:t>на) (n=20)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Іб підгрупа (порівняння) (n=10)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r>
      <w:tr w:rsidR="001C43D0" w:rsidRPr="00CE0A20" w:rsidTr="005748D9">
        <w:trPr>
          <w:trHeight w:val="634"/>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3,1±0,7</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2,9±0,6</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34"/>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2,1±0,6</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2,6±0,8</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34"/>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3-є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1,9±0,7</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2,5±0,5</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34"/>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2,3±0,7</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2,5±0,5</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4,7±0,5</w:t>
            </w:r>
          </w:p>
        </w:tc>
      </w:tr>
      <w:tr w:rsidR="001C43D0" w:rsidRPr="00CE0A20" w:rsidTr="005748D9">
        <w:trPr>
          <w:trHeight w:val="634"/>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2,0±0,8</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2,3±0,7</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4,7±0,5</w:t>
            </w:r>
          </w:p>
        </w:tc>
      </w:tr>
      <w:tr w:rsidR="001C43D0" w:rsidRPr="00CE0A20" w:rsidTr="005748D9">
        <w:trPr>
          <w:trHeight w:val="634"/>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Загальна оцінка</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11,2±1,8</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12,8±1,8</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23,1±1,7</w:t>
            </w:r>
          </w:p>
        </w:tc>
      </w:tr>
    </w:tbl>
    <w:p w:rsidR="001C43D0" w:rsidRPr="00CE0A20" w:rsidRDefault="001C43D0" w:rsidP="001C43D0">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w:t>
      </w:r>
      <w:r w:rsidRPr="00CE0A20">
        <w:rPr>
          <w:rFonts w:ascii="Times New Roman" w:hAnsi="Times New Roman" w:cs="Times New Roman"/>
          <w:color w:val="000000" w:themeColor="text1"/>
          <w:sz w:val="28"/>
          <w:szCs w:val="28"/>
        </w:rPr>
        <w:t>01</w:t>
      </w:r>
      <w:r w:rsidRPr="00CE0A20">
        <w:rPr>
          <w:rFonts w:ascii="Times New Roman" w:hAnsi="Times New Roman" w:cs="Times New Roman"/>
          <w:color w:val="000000" w:themeColor="text1"/>
          <w:sz w:val="28"/>
          <w:szCs w:val="28"/>
          <w:lang w:val="uk-UA"/>
        </w:rPr>
        <w:t xml:space="preserve"> порівняно з контрольною групою за t-критерієм.</w:t>
      </w:r>
    </w:p>
    <w:p w:rsidR="001C43D0" w:rsidRPr="00CE0A20" w:rsidRDefault="001C43D0" w:rsidP="001C43D0">
      <w:pPr>
        <w:spacing w:line="360" w:lineRule="auto"/>
        <w:ind w:left="1843" w:hanging="1843"/>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                     2 – р &lt; 0,05 порівняно з вихідними даними за парним критерієм Стьюдента.</w:t>
      </w:r>
    </w:p>
    <w:p w:rsidR="005748D9" w:rsidRPr="00CE0A20" w:rsidRDefault="005748D9"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Іб підгрупі один хворий відповів на 1 бал, 3 – на 2 бали, 5 – на 3 бали та 1 – на 4 бали (середнє значення (2,6±0,8) бала – р &lt; 0,05 порівняно з вихідними даними за парним критерієм Стьюдента). Різниця середньої оцінки між підгрупами не достовірна (р=0,137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третє запитання (про частоту інтромісії) серед пацієнтів Іа підгрупи на рівні 1 бал – відповіли 3 пацієнти, 2 бали – 5 пацієнтів та 3 бали – 2 пацієнти. Середня оцінка недостовірно зросла до (1,9±0,7) бала (р&gt;0,05 за парним Критерієм Стьюдента). У Іб підгрупі по 5 пацієнтів відповіли на це запитання на рівні 2 та 3 бали – середнє значення (2,5±0,5) бали (р &lt; 0,05 порівняно з вихідними даними за парним критерієм Стьюдента). Різниця середньої оцінки між підгрупами близька до достовірної (р=0,051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четверте запитання (про збереження ерекції на початку статевого акту) в Іа групі на рівні 1 бала відповів 1 пацієнт, 2 бали – 5 пацієнтів, 3 бали – 4 пацієнти; у Іб підгрупі – по 5 пацієнтів відповіли на рівні 2 та 3 бали. Середнє значення в обох підгрупах достовірно зросло – у Іа підгрупі до (2,5±0,5) бала, у Іб підгрупі – до (2,3±0,7) бала (різниця між підгрупами не достовірна – р&gt;0,05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Оцінка п’ятого запитання (про збереження ерекції протягом статевого акту й до кінця статевого акту) в Іа підгрупі зросла найменше – до (2,0±0,8) бала (р=0,081 за парним критерієм Стьюдента): 2 пацієнти відповіли на 1 бал, 7 – на 2 бали та 1 – на 4 бали. У І б підгрупи оцінка зросла до (2,3±0,7) бала (р&lt;0,05 за t-критерієм): на рівні 1 бала відповів 1 пацієнт, 2 бали – 5 пацієнтів та 3 бали – 4 пацієнти). Різниця середньої оцінки між підгрупами близька до достовірної (р&gt;0,05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Загальна оцінка за шкалою МІЕФ-5 на 4 тижні лікування в Іа підгрупі зросла з (8,9±2,1) бала до (11,2±1,8) бала, а в Іб підгрупі з (10,4±2,6) бала до (12,8±1,7) бала (р&lt;0,001 за парним критерієм Стьюдента в обох підгрупах). Різниця між Іа та Іб підгрупами статистично не достовірна (р=0,060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через 4 тижні лікування в чоловіків, що були залучені до дослід</w:t>
      </w:r>
      <w:r w:rsidRPr="00CE0A20">
        <w:rPr>
          <w:rFonts w:ascii="Times New Roman" w:hAnsi="Times New Roman" w:cs="Times New Roman"/>
          <w:color w:val="000000" w:themeColor="text1"/>
          <w:sz w:val="28"/>
          <w:szCs w:val="28"/>
          <w:lang w:val="uk-UA"/>
        </w:rPr>
        <w:softHyphen/>
        <w:t>ження, спостерігалося поліпшення стану еректильної функції з достовірним збільшенням загальної оцінки за шкалою МІЕФ-5.</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Через 12 тижні лікування відмічено подальше поліпшення показників, що аналізувалися (табл. 5.11).</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На перше запитання всі пацієнти обох підгруп відповіли на 4 бали.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Друге запитання в Іа підгрупі 3 пацієнти оцінили в 2 бали та 7 – 3 бали; у Іб підгрупі – 2 пацієнти – 2 бали, 7 пацієнтів – 3 бали та 1 пацієнт – 1 бал. Середня оцінка відповіді на друге запитання в Іа підгрупі зросла до (2,7±0,5) бала (р&lt;0,05 порівняно з попереднім терміном за парним критерієм Стьюдента), у Іб підгрупі  до (2,9±0,6) бала (р&gt;0,05 порівняно з попереднім терміном та парним критерієм Стьюдента). Різниця між підгрупами достовірна та в обох підгрупах значення були нижчими, ніж у контрольній групі (р&lt;0,05 за t-критерієм в обох порівняннях).</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Таблиця 5.11 – Оцінка за шкалою МІЕФ-5 через 12 тижні лікування в чоловіків основної та контрольної груп</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2126"/>
        <w:gridCol w:w="2127"/>
        <w:gridCol w:w="2231"/>
      </w:tblGrid>
      <w:tr w:rsidR="001C43D0" w:rsidRPr="00CE0A20" w:rsidTr="001C43D0">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484" w:type="dxa"/>
            <w:gridSpan w:val="3"/>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 група (основна)  (n=20)</w:t>
            </w:r>
          </w:p>
        </w:tc>
        <w:tc>
          <w:tcPr>
            <w:tcW w:w="2231"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ІІ група (контроль</w:t>
            </w:r>
            <w:r w:rsidRPr="00CE0A20">
              <w:rPr>
                <w:rFonts w:ascii="Times New Roman" w:hAnsi="Times New Roman" w:cs="Times New Roman"/>
                <w:color w:val="000000" w:themeColor="text1"/>
                <w:sz w:val="28"/>
                <w:szCs w:val="28"/>
                <w:lang w:val="uk-UA" w:eastAsia="en-US"/>
              </w:rPr>
              <w:softHyphen/>
              <w:t>на) (n=20)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Іб підгрупа (порівняння) (n=10)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rPr>
                <w:rFonts w:ascii="Times New Roman" w:hAnsi="Times New Roman" w:cs="Times New Roman"/>
                <w:color w:val="000000" w:themeColor="text1"/>
                <w:sz w:val="28"/>
                <w:szCs w:val="28"/>
                <w:lang w:val="uk-UA" w:eastAsia="en-US"/>
              </w:rPr>
            </w:pPr>
          </w:p>
        </w:tc>
      </w:tr>
      <w:tr w:rsidR="001C43D0" w:rsidRPr="00CE0A20" w:rsidTr="005748D9">
        <w:trPr>
          <w:trHeight w:val="673"/>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4,0±0,0</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4,0±0,0</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73"/>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2,7±0,5</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2,9±0,6</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73"/>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3-є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2,4±0,5</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3,3±0,7</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73"/>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2,7±0,7</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3,3±0,5</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4,7±0,5</w:t>
            </w:r>
          </w:p>
        </w:tc>
      </w:tr>
      <w:tr w:rsidR="001C43D0" w:rsidRPr="00CE0A20" w:rsidTr="005748D9">
        <w:trPr>
          <w:trHeight w:val="673"/>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line="360"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2,2±0,4</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2,8±0,6</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4,7±0,5</w:t>
            </w:r>
          </w:p>
        </w:tc>
      </w:tr>
      <w:tr w:rsidR="001C43D0" w:rsidRPr="00CE0A20" w:rsidTr="005748D9">
        <w:trPr>
          <w:trHeight w:val="673"/>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Загальна оцінка</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14,0±1,6</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16,3±1,5</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1C43D0">
            <w:pPr>
              <w:spacing w:before="60" w:after="60" w:line="360"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23,1±1,7</w:t>
            </w:r>
          </w:p>
        </w:tc>
      </w:tr>
    </w:tbl>
    <w:p w:rsidR="001C43D0" w:rsidRPr="00CE0A20" w:rsidRDefault="001C43D0" w:rsidP="005748D9">
      <w:pPr>
        <w:spacing w:line="360"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w:t>
      </w:r>
      <w:r w:rsidRPr="00CE0A20">
        <w:rPr>
          <w:rFonts w:ascii="Times New Roman" w:hAnsi="Times New Roman" w:cs="Times New Roman"/>
          <w:color w:val="000000" w:themeColor="text1"/>
          <w:sz w:val="28"/>
          <w:szCs w:val="28"/>
        </w:rPr>
        <w:t>01</w:t>
      </w:r>
      <w:r w:rsidRPr="00CE0A20">
        <w:rPr>
          <w:rFonts w:ascii="Times New Roman" w:hAnsi="Times New Roman" w:cs="Times New Roman"/>
          <w:color w:val="000000" w:themeColor="text1"/>
          <w:sz w:val="28"/>
          <w:szCs w:val="28"/>
          <w:lang w:val="uk-UA"/>
        </w:rPr>
        <w:t xml:space="preserve"> порівняно з контрольною групою за t-критерієм.</w:t>
      </w:r>
    </w:p>
    <w:p w:rsidR="001C43D0" w:rsidRPr="00CE0A20" w:rsidRDefault="001C43D0" w:rsidP="005748D9">
      <w:pPr>
        <w:spacing w:line="360" w:lineRule="auto"/>
        <w:ind w:left="1843" w:hanging="1843"/>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                     2 – р &lt; 0,05 порівняно з вихідними даними за парним критерієм Стьюдента.</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5748D9" w:rsidRPr="00CE0A20" w:rsidRDefault="005748D9" w:rsidP="005748D9">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Середнє значення відповідей на третє запитання в Іа підгрупі на 12  тижні лікування порівняно з попереднім терміном достовірно зросло до (2,4±0,5) бала (р&lt;0,05 за парним критерієм Стьюдента): 6 пацієнтів відповіли на 2 бали та 4 пацієнти – на 3 бали. У Іб підгрупі цей показник зріс до (3,3±0,7) бала (р&lt;0,05 за парним критерієм Стьюдента порівняно з попереднім терміном): 1 пацієнт дав відповідь 1 бал, 5 – 3 бали та 4 – 4 бали. Середнє значення в Іб підгрупі було достовірно більшим, ніж у 1а підгрупі (р&lt;0,05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4 запитання в Іа підгрупі відповіли на рівні 2 балів – 4 пацієнти, 3  бали – 5 пацієнтів, 4 бали – 1 пацієнт; в Іб підгрупі – на 3 бали – 7 пацієнтів  та на 4 бали – 3 пацієнти. Середнє значення зросло в Іа підгрупі до (2,7±0,7) бали, у Іб підгрупі – до (3,3±0,5) балів (р&lt;0,05 за парним критерієм Стьюдента порівняно з попереднім терміном в обох порівняннях). Середнє значення на це питання в Іб підгрупі було достовірно більшим, ніж в 1а підгрупі (р&lt;0,05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Схожі результати отримано при порівнянні відповідей на 5-е запитання. У Іа підгрупі на 2 бали відповіли 8 пацієнтів, на 3 бали – 2 пацієнти; у Іб підгрупі – на 2 бали – 3 пацієнти, на 3 бали – 6 пацієнтів, на 4 бали – 1 пацієнт. Середнє значення в Іа підгрупі (2,2±0,4) бали, у Іб підгрупі – (2,8±0,6) бала (р&lt;0,05 за  t-критерієм та порівняно з контрольною групою в обох підгрупах).</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Сумарна оцінка за шкалою МІЕФ-5 на 12 тижнів в Іа підгрупі становила  (14,0±1,6) бала (95% ДІ 12,8–15,2 бала)  в Іб підгрупі (16,3±1,5) бала (95% ДІ 15,2–17,4 балів) на 4-му тижні лікування (11,2±1,8) бала та (12,8±1,7) бала (p&lt;0,001 за парним t-критерієм). У Іа підгрупі оцінка за шкалою МІЕФ була достовірно меншою, ніж у Іб підгрупі (р=0,004 за t-критерієм), а у підгрупах достовірно меншою, ніж у ІІ групі (p&lt;0,001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У кінці дослідження через 24 тижні від початку лікування практично всі показники, що аналізувались, залишалися стабільними (табл. 5.12). </w:t>
      </w:r>
    </w:p>
    <w:p w:rsidR="005748D9" w:rsidRPr="00CE0A20" w:rsidRDefault="005748D9" w:rsidP="005748D9">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Іа підгрупі на перше запитання відповіли на рівні 4 балів 8 пацієнтів, 5 балів – 2 пацієнти, у Іб підгрупі – усі на 4 бали. Середнє значення дорівнювало (4,2±0,4) в Іа підгрупі (р&gt;0,05 порівняно з попереднім терміном за парним критерієм Стьюдента та р=0,072 порівняно з контрольною групою за t-критерієм) та (4,0±0,0) в Іб підгрупі (р&lt;0,05 порівняно з попереднім терміном за парним критерієм Стьюдента та порівняно з контрольною групою за t-критерієм) без суттєвої різниці між підгрупами (р&gt;0,05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rPr>
      </w:pPr>
      <w:r w:rsidRPr="00CE0A20">
        <w:rPr>
          <w:rFonts w:ascii="Times New Roman" w:hAnsi="Times New Roman" w:cs="Times New Roman"/>
          <w:color w:val="000000" w:themeColor="text1"/>
          <w:sz w:val="28"/>
          <w:szCs w:val="28"/>
          <w:lang w:val="uk-UA"/>
        </w:rPr>
        <w:t>Таблиця 5.12 – Оцінка за шкалою МІЕФ-5 через 24 тижні лікування в чоловіків основної та контрольної груп</w:t>
      </w:r>
      <w:r w:rsidRPr="00CE0A20">
        <w:rPr>
          <w:rFonts w:ascii="Times New Roman" w:hAnsi="Times New Roman" w:cs="Times New Roman"/>
          <w:color w:val="000000" w:themeColor="text1"/>
          <w:sz w:val="28"/>
          <w:szCs w:val="28"/>
        </w:rPr>
        <w:t xml:space="preserve"> (</w:t>
      </w:r>
      <w:r w:rsidRPr="00CE0A20">
        <w:rPr>
          <w:rFonts w:ascii="Times New Roman" w:hAnsi="Times New Roman" w:cs="Times New Roman"/>
          <w:color w:val="000000" w:themeColor="text1"/>
          <w:sz w:val="28"/>
          <w:szCs w:val="28"/>
          <w:lang w:val="en-US"/>
        </w:rPr>
        <w:t>M</w:t>
      </w:r>
      <w:r w:rsidRPr="00CE0A20">
        <w:rPr>
          <w:rFonts w:ascii="Times New Roman" w:hAnsi="Times New Roman" w:cs="Times New Roman"/>
          <w:color w:val="000000" w:themeColor="text1"/>
          <w:sz w:val="28"/>
          <w:szCs w:val="28"/>
        </w:rPr>
        <w:t>±</w:t>
      </w:r>
      <w:r w:rsidRPr="00CE0A20">
        <w:rPr>
          <w:rFonts w:ascii="Times New Roman" w:hAnsi="Times New Roman" w:cs="Times New Roman"/>
          <w:color w:val="000000" w:themeColor="text1"/>
          <w:sz w:val="28"/>
          <w:szCs w:val="28"/>
          <w:lang w:val="en-US"/>
        </w:rPr>
        <w:t>SD</w:t>
      </w:r>
      <w:r w:rsidRPr="00CE0A20">
        <w:rPr>
          <w:rFonts w:ascii="Times New Roman" w:hAnsi="Times New Roman" w:cs="Times New Roman"/>
          <w:color w:val="000000" w:themeColor="text1"/>
          <w:sz w:val="28"/>
          <w:szCs w:val="28"/>
        </w:rPr>
        <w:t>)</w:t>
      </w:r>
    </w:p>
    <w:p w:rsidR="0039298F" w:rsidRPr="00CE0A20" w:rsidRDefault="0039298F" w:rsidP="001C43D0">
      <w:pPr>
        <w:spacing w:line="360" w:lineRule="auto"/>
        <w:ind w:firstLine="709"/>
        <w:jc w:val="both"/>
        <w:rPr>
          <w:rFonts w:ascii="Times New Roman" w:hAnsi="Times New Roman" w:cs="Times New Roman"/>
          <w:color w:val="000000" w:themeColor="text1"/>
          <w:sz w:val="28"/>
          <w:szCs w:val="28"/>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2126"/>
        <w:gridCol w:w="2127"/>
        <w:gridCol w:w="2231"/>
      </w:tblGrid>
      <w:tr w:rsidR="001C43D0" w:rsidRPr="00CE0A20" w:rsidTr="001C43D0">
        <w:tc>
          <w:tcPr>
            <w:tcW w:w="3085"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Показник</w:t>
            </w:r>
          </w:p>
        </w:tc>
        <w:tc>
          <w:tcPr>
            <w:tcW w:w="6484" w:type="dxa"/>
            <w:gridSpan w:val="3"/>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Досліджувана група чоловіків</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rPr>
                <w:rFonts w:ascii="Times New Roman" w:hAnsi="Times New Roman" w:cs="Times New Roman"/>
                <w:color w:val="000000" w:themeColor="text1"/>
                <w:sz w:val="28"/>
                <w:szCs w:val="28"/>
                <w:lang w:val="uk-UA" w:eastAsia="en-US"/>
              </w:rPr>
            </w:pP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 група (основна)  (n=20)</w:t>
            </w:r>
          </w:p>
        </w:tc>
        <w:tc>
          <w:tcPr>
            <w:tcW w:w="2231" w:type="dxa"/>
            <w:vMerge w:val="restart"/>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ІІ група (контроль</w:t>
            </w:r>
            <w:r w:rsidRPr="00CE0A20">
              <w:rPr>
                <w:rFonts w:ascii="Times New Roman" w:hAnsi="Times New Roman" w:cs="Times New Roman"/>
                <w:color w:val="000000" w:themeColor="text1"/>
                <w:sz w:val="28"/>
                <w:szCs w:val="28"/>
                <w:lang w:val="uk-UA" w:eastAsia="en-US"/>
              </w:rPr>
              <w:softHyphen/>
              <w:t>на) (n=20)</w:t>
            </w:r>
          </w:p>
        </w:tc>
      </w:tr>
      <w:tr w:rsidR="001C43D0" w:rsidRPr="00CE0A20" w:rsidTr="001C43D0">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rPr>
                <w:rFonts w:ascii="Times New Roman" w:hAnsi="Times New Roman" w:cs="Times New Roman"/>
                <w:color w:val="000000" w:themeColor="text1"/>
                <w:sz w:val="28"/>
                <w:szCs w:val="28"/>
                <w:lang w:val="uk-UA" w:eastAsia="en-US"/>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Іа підгрупа   (основна)  (n=10)</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Іб підгрупа (порівняння) (n=10)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rPr>
                <w:rFonts w:ascii="Times New Roman" w:hAnsi="Times New Roman" w:cs="Times New Roman"/>
                <w:color w:val="000000" w:themeColor="text1"/>
                <w:sz w:val="28"/>
                <w:szCs w:val="28"/>
                <w:lang w:val="uk-UA" w:eastAsia="en-US"/>
              </w:rPr>
            </w:pPr>
          </w:p>
        </w:tc>
      </w:tr>
      <w:tr w:rsidR="001C43D0" w:rsidRPr="00CE0A20" w:rsidTr="005748D9">
        <w:trPr>
          <w:trHeight w:val="648"/>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vertAlign w:val="superscript"/>
                <w:lang w:val="uk-UA" w:eastAsia="en-US"/>
              </w:rPr>
            </w:pPr>
            <w:r w:rsidRPr="00CE0A20">
              <w:rPr>
                <w:rFonts w:ascii="Times New Roman" w:hAnsi="Times New Roman" w:cs="Times New Roman"/>
                <w:color w:val="000000" w:themeColor="text1"/>
                <w:sz w:val="28"/>
                <w:szCs w:val="28"/>
                <w:lang w:val="uk-UA" w:eastAsia="en-US"/>
              </w:rPr>
              <w:t>4,2±0,4</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4,0±0,0</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48"/>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3,3±0,7</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3,3±0,5</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48"/>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3-є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2,8±0,9</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3,4±0,5</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4,6±05</w:t>
            </w:r>
          </w:p>
        </w:tc>
      </w:tr>
      <w:tr w:rsidR="001C43D0" w:rsidRPr="00CE0A20" w:rsidTr="005748D9">
        <w:trPr>
          <w:trHeight w:val="648"/>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3,2±0,4</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3,6±0,5</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4,7±0,5</w:t>
            </w:r>
          </w:p>
        </w:tc>
      </w:tr>
      <w:tr w:rsidR="001C43D0" w:rsidRPr="00CE0A20" w:rsidTr="005748D9">
        <w:trPr>
          <w:trHeight w:val="648"/>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ind w:left="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5-е запитання</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2,7±0,9</w:t>
            </w:r>
            <w:r w:rsidRPr="00CE0A20">
              <w:rPr>
                <w:rFonts w:ascii="Times New Roman" w:hAnsi="Times New Roman" w:cs="Times New Roman"/>
                <w:color w:val="000000" w:themeColor="text1"/>
                <w:sz w:val="28"/>
                <w:szCs w:val="28"/>
                <w:vertAlign w:val="superscript"/>
                <w:lang w:val="uk-UA" w:eastAsia="en-US"/>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2,9±0,6</w:t>
            </w:r>
            <w:r w:rsidRPr="00CE0A20">
              <w:rPr>
                <w:rFonts w:ascii="Times New Roman" w:hAnsi="Times New Roman" w:cs="Times New Roman"/>
                <w:color w:val="000000" w:themeColor="text1"/>
                <w:sz w:val="28"/>
                <w:szCs w:val="28"/>
                <w:vertAlign w:val="superscript"/>
                <w:lang w:val="uk-UA" w:eastAsia="en-US"/>
              </w:rPr>
              <w:t>1</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4,7±0,5</w:t>
            </w:r>
          </w:p>
        </w:tc>
      </w:tr>
      <w:tr w:rsidR="001C43D0" w:rsidRPr="00CE0A20" w:rsidTr="005748D9">
        <w:trPr>
          <w:trHeight w:val="648"/>
        </w:trPr>
        <w:tc>
          <w:tcPr>
            <w:tcW w:w="3085"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ind w:firstLine="142"/>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Загальна оцінка</w:t>
            </w:r>
          </w:p>
        </w:tc>
        <w:tc>
          <w:tcPr>
            <w:tcW w:w="2126"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14,9±1,7</w:t>
            </w:r>
            <w:r w:rsidRPr="00CE0A20">
              <w:rPr>
                <w:rFonts w:ascii="Times New Roman" w:hAnsi="Times New Roman" w:cs="Times New Roman"/>
                <w:color w:val="000000" w:themeColor="text1"/>
                <w:sz w:val="28"/>
                <w:szCs w:val="28"/>
                <w:vertAlign w:val="superscript"/>
                <w:lang w:val="uk-UA" w:eastAsia="en-US"/>
              </w:rPr>
              <w:t>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17,2±1,4</w:t>
            </w:r>
            <w:r w:rsidRPr="00CE0A20">
              <w:rPr>
                <w:rFonts w:ascii="Times New Roman" w:hAnsi="Times New Roman" w:cs="Times New Roman"/>
                <w:color w:val="000000" w:themeColor="text1"/>
                <w:sz w:val="28"/>
                <w:szCs w:val="28"/>
                <w:vertAlign w:val="superscript"/>
                <w:lang w:val="uk-UA" w:eastAsia="en-US"/>
              </w:rPr>
              <w:t>1,2</w:t>
            </w:r>
          </w:p>
        </w:tc>
        <w:tc>
          <w:tcPr>
            <w:tcW w:w="2231" w:type="dxa"/>
            <w:tcBorders>
              <w:top w:val="single" w:sz="4" w:space="0" w:color="auto"/>
              <w:left w:val="single" w:sz="4" w:space="0" w:color="auto"/>
              <w:bottom w:val="single" w:sz="4" w:space="0" w:color="auto"/>
              <w:right w:val="single" w:sz="4" w:space="0" w:color="auto"/>
            </w:tcBorders>
            <w:vAlign w:val="center"/>
            <w:hideMark/>
          </w:tcPr>
          <w:p w:rsidR="001C43D0" w:rsidRPr="00CE0A20" w:rsidRDefault="001C43D0" w:rsidP="005748D9">
            <w:pPr>
              <w:spacing w:line="276" w:lineRule="auto"/>
              <w:jc w:val="center"/>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23,1±1,7</w:t>
            </w:r>
          </w:p>
        </w:tc>
      </w:tr>
    </w:tbl>
    <w:p w:rsidR="001C43D0" w:rsidRPr="00CE0A20" w:rsidRDefault="001C43D0" w:rsidP="001C43D0">
      <w:pPr>
        <w:spacing w:line="276" w:lineRule="auto"/>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Примітки.   1 – р &lt; 0,0</w:t>
      </w:r>
      <w:r w:rsidRPr="00CE0A20">
        <w:rPr>
          <w:rFonts w:ascii="Times New Roman" w:hAnsi="Times New Roman" w:cs="Times New Roman"/>
          <w:color w:val="000000" w:themeColor="text1"/>
          <w:sz w:val="28"/>
          <w:szCs w:val="28"/>
        </w:rPr>
        <w:t>01</w:t>
      </w:r>
      <w:r w:rsidRPr="00CE0A20">
        <w:rPr>
          <w:rFonts w:ascii="Times New Roman" w:hAnsi="Times New Roman" w:cs="Times New Roman"/>
          <w:color w:val="000000" w:themeColor="text1"/>
          <w:sz w:val="28"/>
          <w:szCs w:val="28"/>
          <w:lang w:val="uk-UA"/>
        </w:rPr>
        <w:t xml:space="preserve"> порівняно з контрольною групою за t-критерієм.</w:t>
      </w:r>
    </w:p>
    <w:p w:rsidR="001C43D0" w:rsidRPr="00CE0A20" w:rsidRDefault="001C43D0" w:rsidP="001C43D0">
      <w:pPr>
        <w:spacing w:line="276" w:lineRule="auto"/>
        <w:ind w:left="1843" w:hanging="1843"/>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                     2 – р &lt; 0,05 порівняно з вихідними даними за парним критерієм Стьюдента.</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друге запитання в Іа підгрупі відповіли на 3 бали 8 пацієнтів та по одному – на 4 та 5 балів; у Іб підгрупі – 7 пацієнтів – на 3 бали та 3 пацієнти – на 4 бали. Середня оцінка становила в Іа підгрупі (3,3±0,7) бала (без суттєвої різниці порівняно з попереднім терміном), у Іб підгрупі – (3,3±0,5) бала (р&lt;0,05 порівняно з попереднім терміном за парним критерієм Стьюдента) без достовірної різниці між підгрупами (р&gt;0,05 за t-критерієм) та достовірно менше, ніж у контрольній групі (р&lt;0,05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третє запитання в Іа підгрупі 4 пацієнти дали відповідь на рівні 2 балів, 5 – на 3 бали та 1 – на 5 балів; у Іб підгрупі – 6 пацієнтів на 3 бали та 4 пацієнти – на 4 бали. Середня в Іа підгрупі зросла достовірно порівняно з попереднім терміном до (2,8±0,9) бала (р&lt;0,05 порівняно з попереднім терміном за парним критерієм Стьюдента), у Іб підгрупі – до (3,4±0,5) бала (р&gt;0,05 порівняно з попереднім терміном за парним критерієм Стьюдента). В обох випадках значення достовірно менше, ніж у контролі, між підгрупами –різниця статистично не достовірна.</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4 запитання 8 пацієнтів Іа підгрупи відповіли на 3 бали та 2 пацієнти – на 4 бали; у Іб підгрупі – 4 пацієнти на 3 бали та 6 пацієнтів – на 4 бали. Середня оцінка за цим питанням у Іа підгрупі становила (3,2±0,4) бала, у Іб – (3,6±0,5) бала (різниця з попереднім терміном статистично не достовірна в обох випадках). Різниці між підгрупами не виявлено (р&gt;0,05 за t-критерієм), в обох підгрупах середні значення достовірно менші, ніж у контролі (р&lt;0,05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5-е запитання в Іа підгрупі 6 пацієнтів відповіли на 2 бали. 1 – на 3 бали та 3 – на 4 бали; у Іб підгрупі – 2 пацієнти на 2 бали, 7 – на 3 бали та 1 – на 4 бали. Середня оцінка в Іа підгрупі (2,7±0,9) бала в Іб підгрупі – (2,9±0,6) бала (без суттєвої різниці порівняно з попереднім терміном в обох підгрупах). Різниця між підгрупами не достовірна (р&gt;0,05 за t-критерієм), в обох підгрупах вона менша, ніж у контролі (р&lt;0,05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Сумарна оцінка за шкалою МІЕФ-5 через 24 тижні лікуванні в Іа підгрупі зросла з (14,0±1,6) бала до 14,9±1,7) бала (р=0,029 за парним t-критерієм Стьюдента порівняно з попереднім терміном); у Іб підгрупі з (16,3±1,5) бала до (17,2±1,4) бала (р=0,004 за парним t-критерієм порівняно з попереднім терміном). В Іа підгрупі оцінка за шкалою МІЕФ була достовірно меншою, ніж у Іб підгрупі (р=0,004 за t-критерієм) та в ІІ групі (р&lt;0,001 за t-критерієм), у Іб підгрупі вона була також достовірно меншою, ніж у ІІ групі (р&lt;0,001 за t-критерієм).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під впливом лікування у хворих обох підгруп значно покращилась еректильна функція з достовірним збільшенням оцінки за шкалою МІЕФ-5 протягом періоду спостереження. Варто відмітити, що зменшення виразності ЕД відбувалося одночасно зі збільшенням рівня загального тестостерону, але більш повільно, що наочно відображено на рис. 5.1 та 5.2.</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За формою кривих динаміка в обох підгрупах схожа, але результати на 12-му та 24-му тижні у хворих з традиційною корекцією дефіциту тестостерону за допомогою екзогенного тестостерону дещо кращі. Але введення екзогенного тестостерону було двократним – на початку лікування та повторно через 12 тижні. Крім цього, можна припустити, що емпірична доза КСКМ, вибрана за результатами експерименту на тваринах, недостатня при застосуванні в людини та повинна бути скорегована. </w:t>
      </w:r>
    </w:p>
    <w:p w:rsidR="005748D9" w:rsidRPr="00CE0A20" w:rsidRDefault="005748D9"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sz w:val="28"/>
          <w:szCs w:val="28"/>
        </w:rPr>
        <w:drawing>
          <wp:inline distT="0" distB="0" distL="0" distR="0" wp14:anchorId="1DFC3A1E" wp14:editId="704E4A24">
            <wp:extent cx="5657850" cy="3619500"/>
            <wp:effectExtent l="0" t="0" r="19050" b="19050"/>
            <wp:docPr id="244" name="Диаграмма 16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39298F" w:rsidRPr="00CE0A20" w:rsidRDefault="0039298F" w:rsidP="005748D9">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5748D9">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5.1. Динаміка рівня загального тестостерону (нмоль/л) в чоловіків з андрогенним дефіцитом у результаті лікування КСКМ (Іа підгрупа) та ГЗТ (Іб підгрупа)</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noProof/>
          <w:color w:val="000000" w:themeColor="text1"/>
        </w:rPr>
        <w:drawing>
          <wp:inline distT="0" distB="0" distL="0" distR="0" wp14:anchorId="067F3E98" wp14:editId="5A90F5E7">
            <wp:extent cx="5200650" cy="3905250"/>
            <wp:effectExtent l="0" t="0" r="19050" b="19050"/>
            <wp:docPr id="245" name="Диаграмма 16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rsidR="001C43D0" w:rsidRPr="00CE0A20" w:rsidRDefault="001C43D0" w:rsidP="001C43D0">
      <w:pPr>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Рис. 5.2. Динаміка загальної оцінки за шкалою МІЕФ-5 (балів)  у чоловіків з андрогенним дефіцитом у результаті лікування КСКМ (Іа підгрупа) та ГЗТ (Іб підгрупа)</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Виходячи з вищевикладеного, можна стверджувати, що терапія ЕД у чоловіків з андрогенним дефіцитом на тлі  ЦД та ожиріння за допомогою клітинної терапії КСКМ може бути ефективною альтернативою традиційній ГЗТ, але потрібні подальші дослідження в цьому напрямку для визначення оптимальної дози КСКМ.</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B521BA">
      <w:pPr>
        <w:spacing w:line="360" w:lineRule="auto"/>
        <w:jc w:val="center"/>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Резюме</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Перша клінічна апробація запропонованого методу дозволила визначити, що в чоловіків, з ЕД  та гіпогонадизмом на тлі  ЦД та ожиріння інтратестикулярне введення КСКМ сприяє відновленню концентрації тестостерону вже на 4-му тижні лікування зі збереженням позитивного впливу до 12-го тижня з незначним зменшенням ефекту через 24 тижні. Цей ефект майже не відрізняється від ГЗТ тестостерон</w:t>
      </w:r>
      <w:r w:rsidR="001F2609" w:rsidRPr="00CE0A20">
        <w:rPr>
          <w:rFonts w:ascii="Times New Roman" w:hAnsi="Times New Roman" w:cs="Times New Roman"/>
          <w:color w:val="000000" w:themeColor="text1"/>
          <w:sz w:val="28"/>
          <w:szCs w:val="28"/>
          <w:lang w:val="uk-UA"/>
        </w:rPr>
        <w:t>ом</w:t>
      </w:r>
      <w:r w:rsidRPr="00CE0A20">
        <w:rPr>
          <w:rFonts w:ascii="Times New Roman" w:hAnsi="Times New Roman" w:cs="Times New Roman"/>
          <w:color w:val="000000" w:themeColor="text1"/>
          <w:sz w:val="28"/>
          <w:szCs w:val="28"/>
          <w:lang w:val="uk-UA"/>
        </w:rPr>
        <w:t xml:space="preserve"> ундеконатом. Однак  традиційна ГЗТ тестостероном потребує повторних ін’єкцій кожні 10–12 тижнів, її застосування обмежено в чоловіків, які бажають зберегти фертильність.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Крім відновлення рівня тестостерону, спостерігається тенденція до нормалізації ваги, ІМТ, показників вуглеводного та жирового обмінів. Це відбувається одночасно з покращенням клінічної картини – зменшення виразності ЕД. Ці ефекти пояснюються не тільки відновленням тестостерону, але  й дотриманням пацієнтами рекомендованих заходів щодо зменшення ваги (дієта, дозоване фізичне навантаження та ін.), а також лікування ЦД з досягненням його компенсації.</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Яких-небудь негативних ефектів застосування аутологічних КСКМ протягом періоду спостереження не виявлено.</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Отримані дані свідчать про перспективність запропонованого методу лікування андрогенного дефіциту, але потрібне подальше накопичення клінічних даних та з’ясування оптимальної кількості клітин, необхідних для досягнення стійкого позитивного ефекту.</w:t>
      </w:r>
    </w:p>
    <w:p w:rsidR="0039298F" w:rsidRPr="00CE0A20" w:rsidRDefault="0039298F" w:rsidP="001C43D0">
      <w:pPr>
        <w:ind w:firstLine="680"/>
        <w:rPr>
          <w:rFonts w:ascii="Times New Roman" w:hAnsi="Times New Roman" w:cs="Times New Roman"/>
          <w:color w:val="000000" w:themeColor="text1"/>
          <w:sz w:val="28"/>
          <w:szCs w:val="28"/>
          <w:lang w:val="uk-UA"/>
        </w:rPr>
      </w:pPr>
    </w:p>
    <w:p w:rsidR="0039298F" w:rsidRPr="00CE0A20" w:rsidRDefault="0039298F" w:rsidP="001C43D0">
      <w:pPr>
        <w:ind w:firstLine="680"/>
        <w:rPr>
          <w:rFonts w:ascii="Times New Roman" w:hAnsi="Times New Roman" w:cs="Times New Roman"/>
          <w:color w:val="000000" w:themeColor="text1"/>
          <w:sz w:val="28"/>
          <w:szCs w:val="28"/>
          <w:lang w:val="uk-UA"/>
        </w:rPr>
      </w:pPr>
    </w:p>
    <w:p w:rsidR="0039298F" w:rsidRPr="00CE0A20" w:rsidRDefault="0039298F" w:rsidP="0039298F">
      <w:pPr>
        <w:pStyle w:val="af5"/>
        <w:tabs>
          <w:tab w:val="left" w:pos="1180"/>
          <w:tab w:val="center" w:pos="5039"/>
        </w:tabs>
        <w:ind w:left="1069" w:right="-5" w:firstLine="0"/>
        <w:rPr>
          <w:b/>
          <w:bCs/>
          <w:lang w:val="uk-UA"/>
        </w:rPr>
      </w:pPr>
      <w:r w:rsidRPr="00CE0A20">
        <w:rPr>
          <w:b/>
          <w:bCs/>
        </w:rPr>
        <w:t>Список праць, опублікованих за темою розд</w:t>
      </w:r>
      <w:r w:rsidRPr="00CE0A20">
        <w:rPr>
          <w:b/>
          <w:bCs/>
          <w:lang w:val="uk-UA"/>
        </w:rPr>
        <w:t>і</w:t>
      </w:r>
      <w:r w:rsidRPr="00CE0A20">
        <w:rPr>
          <w:b/>
          <w:bCs/>
        </w:rPr>
        <w:t>лу дисертації</w:t>
      </w:r>
      <w:r w:rsidRPr="00CE0A20">
        <w:rPr>
          <w:b/>
          <w:bCs/>
          <w:lang w:val="uk-UA"/>
        </w:rPr>
        <w:t>:</w:t>
      </w:r>
    </w:p>
    <w:p w:rsidR="0039298F" w:rsidRPr="00CE0A20" w:rsidRDefault="0039298F" w:rsidP="001C43D0">
      <w:pPr>
        <w:ind w:firstLine="680"/>
        <w:rPr>
          <w:rFonts w:ascii="Times New Roman" w:hAnsi="Times New Roman" w:cs="Times New Roman"/>
          <w:color w:val="000000" w:themeColor="text1"/>
          <w:sz w:val="28"/>
          <w:szCs w:val="28"/>
          <w:lang w:val="uk-UA"/>
        </w:rPr>
      </w:pPr>
    </w:p>
    <w:p w:rsidR="001C43D0" w:rsidRPr="00CE0A20" w:rsidRDefault="001C43D0" w:rsidP="001C43D0">
      <w:pPr>
        <w:numPr>
          <w:ilvl w:val="0"/>
          <w:numId w:val="35"/>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Лесовой ВН, Антонян ИМ, Кешишян СА. </w:t>
      </w:r>
      <w:r w:rsidRPr="00CE0A20">
        <w:rPr>
          <w:rFonts w:ascii="Times New Roman" w:eastAsia="Times New Roman" w:hAnsi="Times New Roman" w:cs="Times New Roman"/>
          <w:bCs/>
          <w:color w:val="000000" w:themeColor="text1"/>
          <w:sz w:val="28"/>
          <w:szCs w:val="28"/>
          <w:lang w:val="uk-UA"/>
        </w:rPr>
        <w:t>Есть ли альтернатива фармакотерапии при андрогенном дефиците?</w:t>
      </w:r>
      <w:r w:rsidRPr="00CE0A20">
        <w:rPr>
          <w:rFonts w:ascii="Times New Roman" w:eastAsia="Times New Roman" w:hAnsi="Times New Roman" w:cs="Times New Roman"/>
          <w:color w:val="000000" w:themeColor="text1"/>
          <w:sz w:val="28"/>
          <w:szCs w:val="28"/>
          <w:shd w:val="clear" w:color="auto" w:fill="F9F9F9"/>
          <w:lang w:val="uk-UA"/>
        </w:rPr>
        <w:t xml:space="preserve"> </w:t>
      </w:r>
      <w:r w:rsidRPr="00CE0A20">
        <w:rPr>
          <w:rFonts w:ascii="Times New Roman" w:eastAsia="Times New Roman" w:hAnsi="Times New Roman" w:cs="Times New Roman"/>
          <w:color w:val="000000" w:themeColor="text1"/>
          <w:sz w:val="28"/>
          <w:szCs w:val="28"/>
          <w:lang w:val="uk-UA"/>
        </w:rPr>
        <w:t xml:space="preserve"> Здоровье мужчины</w:t>
      </w:r>
      <w:r w:rsidRPr="00CE0A20">
        <w:rPr>
          <w:rFonts w:ascii="Times New Roman" w:eastAsia="Times New Roman" w:hAnsi="Times New Roman" w:cs="Times New Roman"/>
          <w:color w:val="000000" w:themeColor="text1"/>
          <w:sz w:val="28"/>
          <w:szCs w:val="28"/>
          <w:shd w:val="clear" w:color="auto" w:fill="F9F9F9"/>
          <w:lang w:val="uk-UA"/>
        </w:rPr>
        <w:t>.</w:t>
      </w:r>
      <w:r w:rsidRPr="00CE0A20">
        <w:rPr>
          <w:rFonts w:ascii="Times New Roman" w:eastAsia="Times New Roman" w:hAnsi="Times New Roman" w:cs="Times New Roman"/>
          <w:color w:val="000000" w:themeColor="text1"/>
          <w:sz w:val="28"/>
          <w:szCs w:val="28"/>
          <w:lang w:val="uk-UA"/>
        </w:rPr>
        <w:t xml:space="preserve"> 2012; 3:31-33 </w:t>
      </w:r>
    </w:p>
    <w:p w:rsidR="001C43D0" w:rsidRPr="00CE0A20" w:rsidRDefault="001C43D0" w:rsidP="001C43D0">
      <w:pPr>
        <w:numPr>
          <w:ilvl w:val="0"/>
          <w:numId w:val="35"/>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Антонян ИМ, Россихин ВВ, Бухмин АВ, Мегера ВВ, Якубовский</w:t>
      </w:r>
      <w:r w:rsidRPr="00CE0A20">
        <w:rPr>
          <w:rFonts w:ascii="Times New Roman" w:eastAsia="Times New Roman" w:hAnsi="Times New Roman" w:cs="Times New Roman"/>
          <w:bCs/>
          <w:color w:val="000000" w:themeColor="text1"/>
          <w:sz w:val="28"/>
          <w:szCs w:val="28"/>
          <w:lang w:val="uk-UA"/>
        </w:rPr>
        <w:t xml:space="preserve"> </w:t>
      </w:r>
      <w:r w:rsidRPr="00CE0A20">
        <w:rPr>
          <w:rFonts w:ascii="Times New Roman" w:eastAsia="Times New Roman" w:hAnsi="Times New Roman" w:cs="Times New Roman"/>
          <w:color w:val="000000" w:themeColor="text1"/>
          <w:sz w:val="28"/>
          <w:szCs w:val="28"/>
          <w:lang w:val="uk-UA"/>
        </w:rPr>
        <w:t>ВН.</w:t>
      </w:r>
      <w:r w:rsidRPr="00CE0A20">
        <w:rPr>
          <w:rFonts w:ascii="Times New Roman" w:eastAsia="Times New Roman" w:hAnsi="Times New Roman" w:cs="Times New Roman"/>
          <w:color w:val="000000" w:themeColor="text1"/>
          <w:sz w:val="28"/>
          <w:szCs w:val="28"/>
          <w:shd w:val="clear" w:color="auto" w:fill="F9F9F9"/>
          <w:lang w:val="uk-UA"/>
        </w:rPr>
        <w:t xml:space="preserve"> </w:t>
      </w:r>
      <w:r w:rsidRPr="00CE0A20">
        <w:rPr>
          <w:rFonts w:ascii="Times New Roman" w:eastAsia="Times New Roman" w:hAnsi="Times New Roman" w:cs="Times New Roman"/>
          <w:bCs/>
          <w:color w:val="000000" w:themeColor="text1"/>
          <w:sz w:val="28"/>
          <w:szCs w:val="28"/>
          <w:lang w:val="uk-UA"/>
        </w:rPr>
        <w:t>Применение препаратов альфа-липоевой кислоты для лечения эректильной дисфункции у больных сахарным диабетом 2-го типа.</w:t>
      </w:r>
      <w:r w:rsidRPr="00CE0A20">
        <w:rPr>
          <w:rFonts w:ascii="Times New Roman" w:eastAsia="Times New Roman" w:hAnsi="Times New Roman" w:cs="Times New Roman"/>
          <w:color w:val="000000" w:themeColor="text1"/>
          <w:sz w:val="28"/>
          <w:szCs w:val="28"/>
          <w:lang w:val="uk-UA"/>
        </w:rPr>
        <w:t xml:space="preserve"> Здоровье мужчины</w:t>
      </w:r>
      <w:r w:rsidRPr="00CE0A20">
        <w:rPr>
          <w:rFonts w:ascii="Times New Roman" w:eastAsia="Times New Roman" w:hAnsi="Times New Roman" w:cs="Times New Roman"/>
          <w:color w:val="000000" w:themeColor="text1"/>
          <w:sz w:val="28"/>
          <w:szCs w:val="28"/>
          <w:shd w:val="clear" w:color="auto" w:fill="F9F9F9"/>
          <w:lang w:val="uk-UA"/>
        </w:rPr>
        <w:t xml:space="preserve">. </w:t>
      </w:r>
      <w:r w:rsidRPr="00CE0A20">
        <w:rPr>
          <w:rFonts w:ascii="Times New Roman" w:eastAsia="Times New Roman" w:hAnsi="Times New Roman" w:cs="Times New Roman"/>
          <w:color w:val="000000" w:themeColor="text1"/>
          <w:sz w:val="28"/>
          <w:szCs w:val="28"/>
          <w:lang w:val="uk-UA"/>
        </w:rPr>
        <w:t xml:space="preserve">2016; 3: 43-46 </w:t>
      </w:r>
    </w:p>
    <w:p w:rsidR="001C43D0" w:rsidRPr="00CE0A20" w:rsidRDefault="001C43D0" w:rsidP="001C43D0">
      <w:pPr>
        <w:numPr>
          <w:ilvl w:val="0"/>
          <w:numId w:val="35"/>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Антонян ІМ, Березна ТВ, Чепенко АВ.  Шляхи корекції чоловічого безпліддя на тлі метаболічного синдрому та високого індексу маси тіла. Вісн. Укр. мед. стомат. акад. 2016; 16(4 (1): 55-57.  </w:t>
      </w:r>
    </w:p>
    <w:p w:rsidR="001C43D0" w:rsidRPr="00CE0A20" w:rsidRDefault="001C43D0" w:rsidP="001C43D0">
      <w:pPr>
        <w:numPr>
          <w:ilvl w:val="0"/>
          <w:numId w:val="35"/>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Антонян ІМ, Березна ТВ, Чепенко АВ. Оцінка рівнів статевих гормонів та ліпідного профілю у чоловіків із безпліддям на тлі метаболічного синдрому та високого індексу маси тіла. Міжнародний медичний журнал.  2016;22(4):42-45. </w:t>
      </w:r>
    </w:p>
    <w:p w:rsidR="001C43D0" w:rsidRPr="00CE0A20" w:rsidRDefault="001C43D0" w:rsidP="001C43D0">
      <w:pPr>
        <w:numPr>
          <w:ilvl w:val="0"/>
          <w:numId w:val="35"/>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iCs/>
          <w:color w:val="000000" w:themeColor="text1"/>
          <w:sz w:val="28"/>
          <w:szCs w:val="28"/>
          <w:lang w:val="uk-UA"/>
        </w:rPr>
        <w:t>Антонян ИМ, Кешишян СА.  С</w:t>
      </w:r>
      <w:r w:rsidRPr="00CE0A20">
        <w:rPr>
          <w:rFonts w:ascii="Times New Roman" w:eastAsia="Times New Roman" w:hAnsi="Times New Roman" w:cs="Times New Roman"/>
          <w:bCs/>
          <w:color w:val="000000" w:themeColor="text1"/>
          <w:sz w:val="28"/>
          <w:szCs w:val="28"/>
          <w:lang w:val="uk-UA"/>
        </w:rPr>
        <w:t xml:space="preserve">уществуют ли альтернативы заместительной андрогенной терапии. </w:t>
      </w:r>
      <w:r w:rsidRPr="00CE0A20">
        <w:rPr>
          <w:rFonts w:ascii="Times New Roman" w:eastAsia="Times New Roman" w:hAnsi="Times New Roman" w:cs="Times New Roman"/>
          <w:color w:val="000000" w:themeColor="text1"/>
          <w:sz w:val="28"/>
          <w:szCs w:val="28"/>
          <w:lang w:val="uk-UA"/>
        </w:rPr>
        <w:t>Урологія, андрологія, нефрологія – 2013: Материалы научно-практической конференции.</w:t>
      </w:r>
      <w:r w:rsidRPr="00CE0A20">
        <w:rPr>
          <w:rFonts w:ascii="Times New Roman" w:eastAsia="Times New Roman" w:hAnsi="Times New Roman" w:cs="Times New Roman"/>
          <w:iCs/>
          <w:color w:val="000000" w:themeColor="text1"/>
          <w:sz w:val="28"/>
          <w:szCs w:val="28"/>
          <w:lang w:val="uk-UA"/>
        </w:rPr>
        <w:t xml:space="preserve"> Под ред. В.Н.Лесового, И.М.Антоняна и др. Харьков, 2013. </w:t>
      </w:r>
      <w:r w:rsidRPr="00CE0A20">
        <w:rPr>
          <w:rFonts w:ascii="Times New Roman" w:eastAsia="Times New Roman" w:hAnsi="Times New Roman" w:cs="Times New Roman"/>
          <w:bCs/>
          <w:color w:val="000000" w:themeColor="text1"/>
          <w:sz w:val="28"/>
          <w:szCs w:val="28"/>
          <w:lang w:val="uk-UA"/>
        </w:rPr>
        <w:t xml:space="preserve">219 -222  </w:t>
      </w:r>
    </w:p>
    <w:p w:rsidR="001C43D0" w:rsidRPr="00CE0A20" w:rsidRDefault="001C43D0" w:rsidP="001C43D0">
      <w:pPr>
        <w:numPr>
          <w:ilvl w:val="0"/>
          <w:numId w:val="35"/>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iCs/>
          <w:color w:val="000000" w:themeColor="text1"/>
          <w:sz w:val="28"/>
          <w:szCs w:val="28"/>
          <w:lang w:val="uk-UA"/>
        </w:rPr>
        <w:t>Антонян ИМ, Лесовой ВН.</w:t>
      </w:r>
      <w:r w:rsidRPr="00CE0A20">
        <w:rPr>
          <w:rFonts w:ascii="Times New Roman" w:eastAsia="Times New Roman" w:hAnsi="Times New Roman" w:cs="Times New Roman"/>
          <w:i/>
          <w:iCs/>
          <w:color w:val="000000" w:themeColor="text1"/>
          <w:sz w:val="28"/>
          <w:szCs w:val="28"/>
          <w:lang w:val="uk-UA"/>
        </w:rPr>
        <w:t xml:space="preserve">  </w:t>
      </w:r>
      <w:r w:rsidRPr="00CE0A20">
        <w:rPr>
          <w:rFonts w:ascii="Times New Roman" w:eastAsia="Times New Roman" w:hAnsi="Times New Roman" w:cs="Times New Roman"/>
          <w:color w:val="000000" w:themeColor="text1"/>
          <w:sz w:val="28"/>
          <w:szCs w:val="28"/>
          <w:lang w:val="uk-UA"/>
        </w:rPr>
        <w:t>Эффективность и безопасность использо</w:t>
      </w:r>
      <w:r w:rsidRPr="00CE0A20">
        <w:rPr>
          <w:rFonts w:ascii="Times New Roman" w:eastAsia="Times New Roman" w:hAnsi="Times New Roman" w:cs="Times New Roman"/>
          <w:color w:val="000000" w:themeColor="text1"/>
          <w:sz w:val="28"/>
          <w:szCs w:val="28"/>
          <w:lang w:val="uk-UA"/>
        </w:rPr>
        <w:softHyphen/>
        <w:t>ва</w:t>
      </w:r>
      <w:r w:rsidRPr="00CE0A20">
        <w:rPr>
          <w:rFonts w:ascii="Times New Roman" w:eastAsia="Times New Roman" w:hAnsi="Times New Roman" w:cs="Times New Roman"/>
          <w:color w:val="000000" w:themeColor="text1"/>
          <w:sz w:val="28"/>
          <w:szCs w:val="28"/>
          <w:lang w:val="uk-UA"/>
        </w:rPr>
        <w:softHyphen/>
        <w:t>ния клеток стромы костного мозга для коррекции андрогенного дефицита у больных сахарным диабетом.</w:t>
      </w:r>
      <w:r w:rsidRPr="00CE0A20">
        <w:rPr>
          <w:rFonts w:ascii="Times New Roman" w:eastAsia="Times New Roman" w:hAnsi="Times New Roman" w:cs="Times New Roman"/>
          <w:b/>
          <w:color w:val="000000" w:themeColor="text1"/>
          <w:sz w:val="28"/>
          <w:szCs w:val="28"/>
          <w:lang w:val="uk-UA"/>
        </w:rPr>
        <w:t xml:space="preserve"> </w:t>
      </w:r>
      <w:r w:rsidRPr="00CE0A20">
        <w:rPr>
          <w:rFonts w:ascii="Times New Roman" w:eastAsia="Times New Roman" w:hAnsi="Times New Roman" w:cs="Times New Roman"/>
          <w:color w:val="000000" w:themeColor="text1"/>
          <w:sz w:val="28"/>
          <w:szCs w:val="28"/>
          <w:lang w:val="uk-UA"/>
        </w:rPr>
        <w:t>В зб.:</w:t>
      </w:r>
      <w:r w:rsidRPr="00CE0A20">
        <w:rPr>
          <w:rFonts w:ascii="Times New Roman" w:eastAsia="Times New Roman" w:hAnsi="Times New Roman" w:cs="Times New Roman"/>
          <w:b/>
          <w:color w:val="000000" w:themeColor="text1"/>
          <w:sz w:val="28"/>
          <w:szCs w:val="28"/>
          <w:lang w:val="uk-UA"/>
        </w:rPr>
        <w:t xml:space="preserve"> </w:t>
      </w:r>
      <w:r w:rsidRPr="00CE0A20">
        <w:rPr>
          <w:rFonts w:ascii="Times New Roman" w:eastAsia="Times New Roman" w:hAnsi="Times New Roman" w:cs="Times New Roman"/>
          <w:color w:val="000000" w:themeColor="text1"/>
          <w:sz w:val="28"/>
          <w:szCs w:val="28"/>
          <w:lang w:val="uk-UA"/>
        </w:rPr>
        <w:t>Урологія, андрологія, нефрологія – 2017: мат. науч.-практ. конф. Під ред. В.М.Лісового, І.М.Антоняна та ін. Харків, 2017. 67-70</w:t>
      </w:r>
    </w:p>
    <w:p w:rsidR="001C43D0" w:rsidRPr="00CE0A20" w:rsidRDefault="001C43D0" w:rsidP="001C43D0">
      <w:pPr>
        <w:numPr>
          <w:ilvl w:val="0"/>
          <w:numId w:val="35"/>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 xml:space="preserve">Антонян ИМ. Эффективность и безопасность комбинированной терапии андрогенного дефицита и эректильной дисфункции у больных сахарным диабетом. В кн.: Урологія, андрологія, нефрологія – досягнення, проблеми, шляхи вирішення: мат. науч.-практ. конф. Під ред. В.М.Лісового, І.М.Антоняна та ін. – Харків, 2018.  103-108  </w:t>
      </w:r>
    </w:p>
    <w:p w:rsidR="001C43D0" w:rsidRPr="00CE0A20" w:rsidRDefault="001C43D0" w:rsidP="001C43D0">
      <w:pPr>
        <w:numPr>
          <w:ilvl w:val="0"/>
          <w:numId w:val="35"/>
        </w:numPr>
        <w:tabs>
          <w:tab w:val="left" w:pos="1276"/>
        </w:tabs>
        <w:spacing w:line="360" w:lineRule="auto"/>
        <w:ind w:left="0"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Антонян ИМ, Мошель ФГ. Ефективність використання уденафіла у пацієнтів з невдалим досвідом лікування еректильної дисфункції ІФДЕ». В кн.: Матеріали науково-практичної конференції з міжнародною участю. Дніпро, 2018. Урологія. 2018; 86(3):  131-132.</w:t>
      </w:r>
    </w:p>
    <w:p w:rsidR="001C43D0" w:rsidRPr="00CE0A20" w:rsidRDefault="001C43D0" w:rsidP="001C43D0">
      <w:pPr>
        <w:spacing w:after="200" w:line="276" w:lineRule="auto"/>
        <w:rPr>
          <w:rFonts w:ascii="Times New Roman" w:hAnsi="Times New Roman" w:cs="Times New Roman"/>
          <w:bCs/>
          <w:color w:val="000000" w:themeColor="text1"/>
          <w:sz w:val="28"/>
          <w:szCs w:val="28"/>
          <w:lang w:val="uk-UA" w:eastAsia="en-US"/>
        </w:rPr>
      </w:pPr>
    </w:p>
    <w:p w:rsidR="001C43D0" w:rsidRPr="00CE0A20" w:rsidRDefault="001C43D0" w:rsidP="00B521BA">
      <w:pPr>
        <w:spacing w:line="360" w:lineRule="auto"/>
        <w:ind w:firstLine="709"/>
        <w:jc w:val="center"/>
        <w:rPr>
          <w:rFonts w:ascii="Times New Roman" w:hAnsi="Times New Roman" w:cs="Times New Roman"/>
          <w:b/>
          <w:sz w:val="28"/>
          <w:szCs w:val="28"/>
          <w:lang w:val="uk-UA"/>
        </w:rPr>
      </w:pPr>
      <w:r w:rsidRPr="00CE0A20">
        <w:rPr>
          <w:rFonts w:ascii="Times New Roman" w:hAnsi="Times New Roman" w:cs="Times New Roman"/>
          <w:bCs/>
          <w:color w:val="000000" w:themeColor="text1"/>
          <w:sz w:val="28"/>
          <w:szCs w:val="28"/>
          <w:lang w:val="uk-UA" w:eastAsia="en-US"/>
        </w:rPr>
        <w:br w:type="page"/>
      </w:r>
      <w:r w:rsidR="00B521BA" w:rsidRPr="00CE0A20">
        <w:rPr>
          <w:rFonts w:ascii="Times New Roman" w:hAnsi="Times New Roman" w:cs="Times New Roman"/>
          <w:b/>
          <w:sz w:val="28"/>
          <w:szCs w:val="28"/>
          <w:lang w:val="uk-UA"/>
        </w:rPr>
        <w:t>АНАЛІЗ І УЗАГАЛЬНЕННЯ ОТРИМАНИХ РЕЗУЛЬТАТІВ</w:t>
      </w:r>
    </w:p>
    <w:p w:rsidR="00B521BA" w:rsidRPr="00CE0A20" w:rsidRDefault="00B521BA" w:rsidP="00B521BA">
      <w:pPr>
        <w:spacing w:line="360" w:lineRule="auto"/>
        <w:ind w:firstLine="709"/>
        <w:jc w:val="center"/>
        <w:rPr>
          <w:rFonts w:ascii="Times New Roman" w:eastAsia="Times New Roman" w:hAnsi="Times New Roman" w:cs="Times New Roman"/>
          <w:b/>
          <w:color w:val="000000" w:themeColor="text1"/>
          <w:kern w:val="2"/>
          <w:sz w:val="28"/>
          <w:szCs w:val="28"/>
          <w:lang w:val="uk-UA"/>
        </w:rPr>
      </w:pPr>
    </w:p>
    <w:p w:rsidR="00631D82" w:rsidRPr="00CE0A20" w:rsidRDefault="001C43D0" w:rsidP="001C43D0">
      <w:pPr>
        <w:spacing w:line="360" w:lineRule="auto"/>
        <w:ind w:firstLine="709"/>
        <w:jc w:val="both"/>
        <w:rPr>
          <w:rFonts w:ascii="Times New Roman" w:eastAsia="Times New Roman" w:hAnsi="Times New Roman" w:cs="Times New Roman"/>
          <w:color w:val="000000" w:themeColor="text1"/>
          <w:kern w:val="2"/>
          <w:sz w:val="28"/>
          <w:szCs w:val="28"/>
          <w:lang w:val="uk-UA"/>
        </w:rPr>
      </w:pPr>
      <w:r w:rsidRPr="00CE0A20">
        <w:rPr>
          <w:rFonts w:ascii="Times New Roman" w:eastAsia="Times New Roman" w:hAnsi="Times New Roman" w:cs="Times New Roman"/>
          <w:color w:val="000000" w:themeColor="text1"/>
          <w:kern w:val="2"/>
          <w:sz w:val="28"/>
          <w:szCs w:val="28"/>
          <w:lang w:val="uk-UA"/>
        </w:rPr>
        <w:t xml:space="preserve">В останні роки  у більшості розвинених держав світу спостерігаються негативні демографічні тенденції, обумовлені різким зниженням народжуваності та збільшенням питомої ваги осіб похилого та старечого віку. В Україні це вже призвело до зниження кількості населення з огляду на негативний баланс померлих  та народжених [51]. </w:t>
      </w:r>
    </w:p>
    <w:p w:rsidR="001C43D0" w:rsidRPr="00CE0A20" w:rsidRDefault="001C43D0" w:rsidP="001C43D0">
      <w:pPr>
        <w:spacing w:line="360" w:lineRule="auto"/>
        <w:ind w:firstLine="709"/>
        <w:jc w:val="both"/>
        <w:rPr>
          <w:rFonts w:ascii="Times New Roman" w:eastAsia="Times New Roman" w:hAnsi="Times New Roman" w:cs="Times New Roman"/>
          <w:color w:val="000000" w:themeColor="text1"/>
          <w:kern w:val="2"/>
          <w:sz w:val="28"/>
          <w:szCs w:val="28"/>
          <w:lang w:val="uk-UA"/>
        </w:rPr>
      </w:pPr>
      <w:r w:rsidRPr="00CE0A20">
        <w:rPr>
          <w:rFonts w:ascii="Times New Roman" w:eastAsia="Times New Roman" w:hAnsi="Times New Roman" w:cs="Times New Roman"/>
          <w:color w:val="000000" w:themeColor="text1"/>
          <w:kern w:val="2"/>
          <w:sz w:val="28"/>
          <w:szCs w:val="28"/>
          <w:lang w:val="uk-UA"/>
        </w:rPr>
        <w:t>Поряд з безсумнівною роллю соціально-економічних факторів важливе місце посідають безплідні шлюби, причиною яких майже в половині випадків є «чоловічій фактор».  Своєю чергою, у багатьох випадках чоловічого безпліддя його основою є андрогенний дефіцит, який є причиною порушень секреторної функції яєчок та сексуальних розладів, у тому числі, ЕД [47, 114,165]. На цей час зазначені патологічні стані спостерігаються не тільки в чоловіків похилого та старечого віку, але й у молодому та зрілому, тобто репродуктивному віці [114].</w:t>
      </w:r>
    </w:p>
    <w:p w:rsidR="001C43D0" w:rsidRPr="00CE0A20" w:rsidRDefault="001C43D0" w:rsidP="001C43D0">
      <w:pPr>
        <w:spacing w:line="360" w:lineRule="auto"/>
        <w:ind w:firstLine="709"/>
        <w:jc w:val="both"/>
        <w:rPr>
          <w:rFonts w:ascii="Times New Roman" w:eastAsia="Times New Roman" w:hAnsi="Times New Roman" w:cs="Times New Roman"/>
          <w:color w:val="000000" w:themeColor="text1"/>
          <w:kern w:val="2"/>
          <w:sz w:val="28"/>
          <w:szCs w:val="28"/>
          <w:lang w:val="uk-UA"/>
        </w:rPr>
      </w:pPr>
      <w:r w:rsidRPr="00CE0A20">
        <w:rPr>
          <w:rFonts w:ascii="Times New Roman" w:eastAsia="Times New Roman" w:hAnsi="Times New Roman" w:cs="Times New Roman"/>
          <w:color w:val="000000" w:themeColor="text1"/>
          <w:kern w:val="2"/>
          <w:sz w:val="28"/>
          <w:szCs w:val="28"/>
          <w:lang w:val="uk-UA"/>
        </w:rPr>
        <w:t>Поширеність ЕД та андрогенного дефіциту в останні роки неухильно зростає та привертає увагу не тільки фахівців урологів й андрологів, але й лікарів багатьох інших спеціальностей. На цей час отримано велику кількість доказів про наявність багатосторонніх взаємозв’язків між ЕД, зниженим рівнем тестостерону та іншою патологією, зокрема, ЦД, ожирінням, метаболічним синдромом, остеопорозом, депресивними станами, серцево-судинною патологією [114, 176, 227, 228]. Це свідчить про значення андрогендефіцитних станів та ЕД не тільки в розвитку сексуальних розладів та репродуктивної функції чоловіків, але й у виникненні та прогресуванні багатьох інших захворювань. Тобто можна стверджувати не тільки про соціальне, але й про клінічне значення ЕД та гіпогонадизму для чоловіків.</w:t>
      </w:r>
    </w:p>
    <w:p w:rsidR="00631D82" w:rsidRPr="00CE0A20" w:rsidRDefault="001C43D0" w:rsidP="001C43D0">
      <w:pPr>
        <w:spacing w:line="360" w:lineRule="auto"/>
        <w:ind w:firstLine="709"/>
        <w:jc w:val="both"/>
        <w:rPr>
          <w:rFonts w:ascii="Times New Roman" w:eastAsia="Times New Roman" w:hAnsi="Times New Roman" w:cs="Times New Roman"/>
          <w:color w:val="000000" w:themeColor="text1"/>
          <w:kern w:val="2"/>
          <w:sz w:val="28"/>
          <w:szCs w:val="28"/>
          <w:lang w:val="uk-UA"/>
        </w:rPr>
      </w:pPr>
      <w:r w:rsidRPr="00CE0A20">
        <w:rPr>
          <w:rFonts w:ascii="Times New Roman" w:eastAsia="Times New Roman" w:hAnsi="Times New Roman" w:cs="Times New Roman"/>
          <w:color w:val="000000" w:themeColor="text1"/>
          <w:kern w:val="2"/>
          <w:sz w:val="28"/>
          <w:szCs w:val="28"/>
          <w:lang w:val="uk-UA"/>
        </w:rPr>
        <w:t xml:space="preserve">Основним методом лікування ЕД на цей час є застосування інгібіторів ФДЕ-5, які виявили не тільки високу ефективність, але й безпечність при застосуванні [45, 96, 110, 223]. Але навіть в оптимальних дозах при постійному прийомі ці препарати виявились не достатньо ефективними майже у третини хворих, що в багатьох випадках обумовлено наявністю гіпогонадизму. У цих випадках досягти гарних результатів вдалося при застосуванні інгібіторів ФДЕ-5 у поєднанні з ГЗТ тестостероном, яка є основою лікування андрогенного дефіциту[135, 160]. </w:t>
      </w:r>
    </w:p>
    <w:p w:rsidR="001C43D0" w:rsidRPr="00CE0A20" w:rsidRDefault="001C43D0" w:rsidP="001C43D0">
      <w:pPr>
        <w:spacing w:line="360" w:lineRule="auto"/>
        <w:ind w:firstLine="709"/>
        <w:jc w:val="both"/>
        <w:rPr>
          <w:rFonts w:ascii="Times New Roman" w:eastAsia="Times New Roman" w:hAnsi="Times New Roman" w:cs="Times New Roman"/>
          <w:color w:val="000000" w:themeColor="text1"/>
          <w:kern w:val="2"/>
          <w:sz w:val="28"/>
          <w:szCs w:val="28"/>
          <w:lang w:val="uk-UA"/>
        </w:rPr>
      </w:pPr>
      <w:r w:rsidRPr="00CE0A20">
        <w:rPr>
          <w:rFonts w:ascii="Times New Roman" w:eastAsia="Times New Roman" w:hAnsi="Times New Roman" w:cs="Times New Roman"/>
          <w:color w:val="000000" w:themeColor="text1"/>
          <w:kern w:val="2"/>
          <w:sz w:val="28"/>
          <w:szCs w:val="28"/>
          <w:lang w:val="uk-UA"/>
        </w:rPr>
        <w:t xml:space="preserve">Але ГЗТ призначається не всім хворим з гіпогонадизмом навіть у випадках його клінічного та лабораторного підтвердження. Це пов’язано не тільки з недостатньою увагою лікарів до клінічній значущості цієї патології, але й завдяки незручностям тривалої гормональної терапії, необхідності постійного клініко-лабораторного контролю, наявності багатьох обмежень та побічних ефектів. Крім цього, екзогенний тестостерон лише збільшує рівень циркулюючого тестостерону, але не відновлює стероїдогенну активність функціонально активних клітин яєчок, а пригнічує її за механізмом зворотного зв’язку [147, 207, 214, 152]. </w:t>
      </w:r>
    </w:p>
    <w:p w:rsidR="001C43D0" w:rsidRPr="00CE0A20" w:rsidRDefault="001C43D0" w:rsidP="001C43D0">
      <w:pPr>
        <w:spacing w:line="360" w:lineRule="auto"/>
        <w:ind w:firstLine="709"/>
        <w:jc w:val="both"/>
        <w:rPr>
          <w:rFonts w:ascii="Times New Roman" w:eastAsia="Times New Roman" w:hAnsi="Times New Roman" w:cs="Times New Roman"/>
          <w:color w:val="000000" w:themeColor="text1"/>
          <w:kern w:val="2"/>
          <w:sz w:val="28"/>
          <w:szCs w:val="28"/>
          <w:lang w:val="uk-UA"/>
        </w:rPr>
      </w:pPr>
      <w:r w:rsidRPr="00CE0A20">
        <w:rPr>
          <w:rFonts w:ascii="Times New Roman" w:eastAsia="Times New Roman" w:hAnsi="Times New Roman" w:cs="Times New Roman"/>
          <w:color w:val="000000" w:themeColor="text1"/>
          <w:kern w:val="2"/>
          <w:sz w:val="28"/>
          <w:szCs w:val="28"/>
          <w:lang w:val="uk-UA"/>
        </w:rPr>
        <w:t>Більш фізіологічним методом лікування гіпогонадизму та сексуальних розладів, особливо у випадах бажання зачаття дитини є клітинна терапія. Тестостерон-продукуючі клітини Лейдіга утворюються зі стовбурових клітин тестикулярної інтерстиціальної тканини. Тому застосування плюрипотентних КСКМ цілком патогенетично обґрунтовано. В окремих дослідженнях застосування стовбурових клітин призводило до позитивних результатів при експериментальному гіпогонадизмі [93, 94, 272, 374], але необхідні подальші дослідження в цьому напрямку.</w:t>
      </w:r>
    </w:p>
    <w:p w:rsidR="001C43D0" w:rsidRPr="00CE0A20" w:rsidRDefault="001C43D0" w:rsidP="001C43D0">
      <w:pPr>
        <w:spacing w:line="360" w:lineRule="auto"/>
        <w:ind w:firstLine="709"/>
        <w:jc w:val="both"/>
        <w:rPr>
          <w:rFonts w:ascii="Times New Roman" w:eastAsia="Times New Roman" w:hAnsi="Times New Roman" w:cs="Times New Roman"/>
          <w:color w:val="000000" w:themeColor="text1"/>
          <w:kern w:val="2"/>
          <w:sz w:val="28"/>
          <w:szCs w:val="28"/>
          <w:lang w:val="uk-UA"/>
        </w:rPr>
      </w:pPr>
      <w:r w:rsidRPr="00CE0A20">
        <w:rPr>
          <w:rFonts w:ascii="Times New Roman" w:eastAsia="Times New Roman" w:hAnsi="Times New Roman" w:cs="Times New Roman"/>
          <w:color w:val="000000" w:themeColor="text1"/>
          <w:kern w:val="2"/>
          <w:sz w:val="28"/>
          <w:szCs w:val="28"/>
          <w:lang w:val="uk-UA"/>
        </w:rPr>
        <w:t xml:space="preserve">Тому метою нашого дослідження було </w:t>
      </w:r>
      <w:r w:rsidRPr="00CE0A20">
        <w:rPr>
          <w:rFonts w:ascii="Times New Roman" w:eastAsia="Times New Roman" w:hAnsi="Times New Roman" w:cs="Times New Roman"/>
          <w:color w:val="000000" w:themeColor="text1"/>
          <w:sz w:val="28"/>
          <w:szCs w:val="28"/>
          <w:lang w:val="uk-UA" w:eastAsia="uk-UA"/>
        </w:rPr>
        <w:t>поліпшення ефективності лікування ЕД на тлі дефіциту тестостерону у хворих з ЦД 2-го типу та надлишковою вагою  шляхом експериментальної розробки та клінічної апробації методу клітинної терапії із застосуванням КСКМ.</w:t>
      </w:r>
    </w:p>
    <w:p w:rsidR="001C43D0" w:rsidRPr="00CE0A20" w:rsidRDefault="001C43D0" w:rsidP="001C43D0">
      <w:pPr>
        <w:spacing w:line="360" w:lineRule="auto"/>
        <w:ind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kern w:val="2"/>
          <w:sz w:val="28"/>
          <w:szCs w:val="28"/>
          <w:lang w:val="uk-UA"/>
        </w:rPr>
        <w:t>У перший фазі дослідження основним завданням було відпрацювання експериментальної моделі копулятивної дисфункції на тлі  андрогенного дефіциту з використанням гонадотоксичної хімічної сполуки – хлориду кадмію (</w:t>
      </w:r>
      <w:r w:rsidRPr="00CE0A20">
        <w:rPr>
          <w:rFonts w:ascii="Times New Roman" w:eastAsia="Times New Roman" w:hAnsi="Times New Roman" w:cs="Times New Roman"/>
          <w:color w:val="000000" w:themeColor="text1"/>
          <w:sz w:val="28"/>
          <w:szCs w:val="28"/>
          <w:lang w:val="uk-UA"/>
        </w:rPr>
        <w:t>CdCI</w:t>
      </w:r>
      <w:r w:rsidRPr="00CE0A20">
        <w:rPr>
          <w:rFonts w:ascii="Times New Roman" w:eastAsia="Times New Roman" w:hAnsi="Times New Roman" w:cs="Times New Roman"/>
          <w:color w:val="000000" w:themeColor="text1"/>
          <w:sz w:val="28"/>
          <w:szCs w:val="28"/>
          <w:vertAlign w:val="subscript"/>
          <w:lang w:val="uk-UA"/>
        </w:rPr>
        <w:t>2</w:t>
      </w:r>
      <w:r w:rsidRPr="00CE0A20">
        <w:rPr>
          <w:rFonts w:ascii="Times New Roman" w:eastAsia="Times New Roman" w:hAnsi="Times New Roman" w:cs="Times New Roman"/>
          <w:color w:val="000000" w:themeColor="text1"/>
          <w:sz w:val="28"/>
          <w:szCs w:val="28"/>
          <w:lang w:val="uk-UA"/>
        </w:rPr>
        <w:t>)</w:t>
      </w:r>
      <w:r w:rsidRPr="00CE0A20">
        <w:rPr>
          <w:rFonts w:ascii="Times New Roman" w:eastAsia="Times New Roman" w:hAnsi="Times New Roman" w:cs="Times New Roman"/>
          <w:color w:val="000000" w:themeColor="text1"/>
          <w:kern w:val="2"/>
          <w:sz w:val="28"/>
          <w:szCs w:val="28"/>
          <w:lang w:val="uk-UA"/>
        </w:rPr>
        <w:t>. У раніше виконаних дослідженнях ця сполука вже використовувалася для подібної мети [</w:t>
      </w:r>
      <w:r w:rsidRPr="00CE0A20">
        <w:rPr>
          <w:rFonts w:ascii="Times New Roman" w:eastAsia="Times New Roman" w:hAnsi="Times New Roman" w:cs="Times New Roman"/>
          <w:color w:val="000000" w:themeColor="text1"/>
          <w:sz w:val="28"/>
          <w:szCs w:val="28"/>
          <w:shd w:val="clear" w:color="auto" w:fill="FFFFFF"/>
          <w:lang w:val="uk-UA"/>
        </w:rPr>
        <w:t>П104</w:t>
      </w:r>
      <w:r w:rsidRPr="00CE0A20">
        <w:rPr>
          <w:rFonts w:ascii="Times New Roman" w:eastAsia="Times New Roman" w:hAnsi="Times New Roman" w:cs="Times New Roman"/>
          <w:color w:val="000000" w:themeColor="text1"/>
          <w:sz w:val="28"/>
          <w:szCs w:val="28"/>
          <w:lang w:val="uk-UA"/>
        </w:rPr>
        <w:t>;</w:t>
      </w:r>
      <w:r w:rsidRPr="00CE0A20">
        <w:rPr>
          <w:rFonts w:ascii="Times New Roman" w:eastAsia="Times New Roman" w:hAnsi="Times New Roman" w:cs="Times New Roman"/>
          <w:i/>
          <w:iCs/>
          <w:color w:val="000000" w:themeColor="text1"/>
          <w:sz w:val="28"/>
          <w:szCs w:val="28"/>
          <w:lang w:val="uk-UA"/>
        </w:rPr>
        <w:t xml:space="preserve"> </w:t>
      </w:r>
      <w:r w:rsidRPr="00CE0A20">
        <w:rPr>
          <w:rFonts w:ascii="Times New Roman" w:eastAsia="Times New Roman" w:hAnsi="Times New Roman" w:cs="Times New Roman"/>
          <w:iCs/>
          <w:color w:val="000000" w:themeColor="text1"/>
          <w:sz w:val="28"/>
          <w:szCs w:val="28"/>
          <w:lang w:val="uk-UA"/>
        </w:rPr>
        <w:t xml:space="preserve">138, </w:t>
      </w:r>
      <w:r w:rsidRPr="00CE0A20">
        <w:rPr>
          <w:rFonts w:ascii="Times New Roman" w:eastAsia="Times New Roman" w:hAnsi="Times New Roman" w:cs="Times New Roman"/>
          <w:color w:val="000000" w:themeColor="text1"/>
          <w:sz w:val="28"/>
          <w:szCs w:val="28"/>
          <w:shd w:val="clear" w:color="auto" w:fill="FFFFFF"/>
          <w:lang w:val="uk-UA"/>
        </w:rPr>
        <w:t>236</w:t>
      </w:r>
      <w:r w:rsidRPr="00CE0A20">
        <w:rPr>
          <w:rFonts w:ascii="Times New Roman" w:eastAsia="Times New Roman" w:hAnsi="Times New Roman" w:cs="Times New Roman"/>
          <w:i/>
          <w:iCs/>
          <w:color w:val="000000" w:themeColor="text1"/>
          <w:sz w:val="28"/>
          <w:szCs w:val="28"/>
          <w:lang w:val="uk-UA"/>
        </w:rPr>
        <w:t xml:space="preserve">; </w:t>
      </w:r>
      <w:r w:rsidRPr="00CE0A20">
        <w:rPr>
          <w:rFonts w:ascii="Times New Roman" w:eastAsia="Times New Roman" w:hAnsi="Times New Roman" w:cs="Times New Roman"/>
          <w:color w:val="000000" w:themeColor="text1"/>
          <w:sz w:val="28"/>
          <w:szCs w:val="28"/>
          <w:shd w:val="clear" w:color="auto" w:fill="FFFFFF"/>
          <w:lang w:val="uk-UA"/>
        </w:rPr>
        <w:t>262</w:t>
      </w:r>
      <w:r w:rsidRPr="00CE0A20">
        <w:rPr>
          <w:rFonts w:ascii="Times New Roman" w:eastAsia="Times New Roman" w:hAnsi="Times New Roman" w:cs="Times New Roman"/>
          <w:color w:val="000000" w:themeColor="text1"/>
          <w:kern w:val="2"/>
          <w:sz w:val="28"/>
          <w:szCs w:val="28"/>
          <w:lang w:val="uk-UA"/>
        </w:rPr>
        <w:t xml:space="preserve">], але для створення стійкого гіпогонадизму з урахуванням виразної загальнотоксичної дії </w:t>
      </w:r>
      <w:r w:rsidRPr="00CE0A20">
        <w:rPr>
          <w:rFonts w:ascii="Times New Roman" w:eastAsia="Times New Roman" w:hAnsi="Times New Roman" w:cs="Times New Roman"/>
          <w:color w:val="000000" w:themeColor="text1"/>
          <w:sz w:val="28"/>
          <w:szCs w:val="28"/>
          <w:lang w:val="uk-UA"/>
        </w:rPr>
        <w:t>CdCI</w:t>
      </w:r>
      <w:r w:rsidRPr="00CE0A20">
        <w:rPr>
          <w:rFonts w:ascii="Times New Roman" w:eastAsia="Times New Roman" w:hAnsi="Times New Roman" w:cs="Times New Roman"/>
          <w:color w:val="000000" w:themeColor="text1"/>
          <w:sz w:val="28"/>
          <w:szCs w:val="28"/>
          <w:vertAlign w:val="subscript"/>
          <w:lang w:val="uk-UA"/>
        </w:rPr>
        <w:t>2</w:t>
      </w:r>
      <w:r w:rsidRPr="00CE0A20">
        <w:rPr>
          <w:rFonts w:ascii="Times New Roman" w:eastAsia="Times New Roman" w:hAnsi="Times New Roman" w:cs="Times New Roman"/>
          <w:color w:val="000000" w:themeColor="text1"/>
          <w:sz w:val="28"/>
          <w:szCs w:val="28"/>
          <w:vertAlign w:val="subscript"/>
          <w:lang w:val="uk-UA"/>
        </w:rPr>
        <w:softHyphen/>
        <w:t xml:space="preserve"> </w:t>
      </w:r>
      <w:r w:rsidRPr="00CE0A20">
        <w:rPr>
          <w:rFonts w:ascii="Times New Roman" w:eastAsia="Times New Roman" w:hAnsi="Times New Roman" w:cs="Times New Roman"/>
          <w:color w:val="000000" w:themeColor="text1"/>
          <w:sz w:val="28"/>
          <w:szCs w:val="28"/>
          <w:lang w:val="uk-UA"/>
        </w:rPr>
        <w:t xml:space="preserve">було потрібне уточнення методу введення та дози  цієї сполуки. </w:t>
      </w:r>
    </w:p>
    <w:p w:rsidR="001C43D0" w:rsidRPr="00CE0A20" w:rsidRDefault="001C43D0" w:rsidP="001C43D0">
      <w:pPr>
        <w:spacing w:line="360" w:lineRule="auto"/>
        <w:ind w:firstLine="709"/>
        <w:jc w:val="both"/>
        <w:rPr>
          <w:rFonts w:ascii="Times New Roman" w:eastAsia="Times New Roman" w:hAnsi="Times New Roman" w:cs="Times New Roman"/>
          <w:color w:val="000000" w:themeColor="text1"/>
          <w:sz w:val="28"/>
          <w:szCs w:val="28"/>
          <w:lang w:val="uk-UA"/>
        </w:rPr>
      </w:pPr>
      <w:r w:rsidRPr="00CE0A20">
        <w:rPr>
          <w:rFonts w:ascii="Times New Roman" w:eastAsia="Times New Roman" w:hAnsi="Times New Roman" w:cs="Times New Roman"/>
          <w:color w:val="000000" w:themeColor="text1"/>
          <w:sz w:val="28"/>
          <w:szCs w:val="28"/>
          <w:lang w:val="uk-UA"/>
        </w:rPr>
        <w:t>Для виконання цього завдання здійснена перша серія експериментів</w:t>
      </w:r>
      <w:r w:rsidRPr="00CE0A20">
        <w:rPr>
          <w:rFonts w:ascii="Times New Roman" w:eastAsia="Times New Roman" w:hAnsi="Times New Roman" w:cs="Times New Roman"/>
          <w:color w:val="000000" w:themeColor="text1"/>
          <w:kern w:val="2"/>
          <w:sz w:val="28"/>
          <w:szCs w:val="28"/>
          <w:lang w:val="uk-UA"/>
        </w:rPr>
        <w:t xml:space="preserve"> на базі віварію ХМАПО з використанням статевозрілих самців білих </w:t>
      </w:r>
      <w:r w:rsidRPr="00CE0A20">
        <w:rPr>
          <w:rFonts w:ascii="Times New Roman" w:eastAsia="Times New Roman" w:hAnsi="Times New Roman" w:cs="Times New Roman"/>
          <w:color w:val="000000" w:themeColor="text1"/>
          <w:sz w:val="28"/>
          <w:szCs w:val="28"/>
          <w:lang w:val="uk-UA"/>
        </w:rPr>
        <w:t>щурів лінії Wistar</w:t>
      </w:r>
      <w:r w:rsidRPr="00CE0A20">
        <w:rPr>
          <w:rFonts w:ascii="Times New Roman" w:eastAsia="Times New Roman" w:hAnsi="Times New Roman" w:cs="Times New Roman"/>
          <w:color w:val="000000" w:themeColor="text1"/>
          <w:kern w:val="2"/>
          <w:sz w:val="28"/>
          <w:szCs w:val="28"/>
          <w:lang w:val="uk-UA"/>
        </w:rPr>
        <w:t xml:space="preserve">. Утримання та догляд за тваринами, моделювання та виведення тварин з експерименту здійснювалися відповідно до національних та міжнародних етичних норм після узгодження на </w:t>
      </w:r>
      <w:r w:rsidRPr="00CE0A20">
        <w:rPr>
          <w:rFonts w:ascii="Times New Roman" w:eastAsia="Times New Roman" w:hAnsi="Times New Roman" w:cs="Times New Roman"/>
          <w:color w:val="000000" w:themeColor="text1"/>
          <w:sz w:val="28"/>
          <w:szCs w:val="28"/>
          <w:lang w:val="uk-UA"/>
        </w:rPr>
        <w:t>засіданні комісії з питань етики ХМАПО.</w:t>
      </w:r>
    </w:p>
    <w:p w:rsidR="00631D82"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eastAsia="en-US"/>
        </w:rPr>
        <w:t xml:space="preserve">Для введення </w:t>
      </w:r>
      <w:r w:rsidRPr="00CE0A20">
        <w:rPr>
          <w:rFonts w:ascii="Times New Roman" w:hAnsi="Times New Roman" w:cs="Times New Roman"/>
          <w:color w:val="000000" w:themeColor="text1"/>
          <w:sz w:val="28"/>
          <w:szCs w:val="28"/>
          <w:lang w:val="uk-UA"/>
        </w:rPr>
        <w:t>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вибрано внутрішньо-очеревинний шлях, у зв’язку з можливістю чіткого дозування сполуки та більш повільною дією на відміну від внутрішньовенного та перорального введення. </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sz w:val="28"/>
          <w:szCs w:val="28"/>
          <w:shd w:val="clear" w:color="auto" w:fill="FFFFFF"/>
        </w:rPr>
      </w:pPr>
      <w:r w:rsidRPr="00CE0A20">
        <w:rPr>
          <w:rFonts w:ascii="Times New Roman" w:hAnsi="Times New Roman" w:cs="Times New Roman"/>
          <w:color w:val="000000" w:themeColor="text1"/>
          <w:sz w:val="28"/>
          <w:szCs w:val="28"/>
          <w:shd w:val="clear" w:color="auto" w:fill="FFFFFF"/>
          <w:lang w:val="uk-UA"/>
        </w:rPr>
        <w:t xml:space="preserve">Підбір дози </w:t>
      </w:r>
      <w:r w:rsidRPr="00CE0A20">
        <w:rPr>
          <w:rFonts w:ascii="Times New Roman" w:hAnsi="Times New Roman" w:cs="Times New Roman"/>
          <w:color w:val="000000" w:themeColor="text1"/>
          <w:sz w:val="28"/>
          <w:szCs w:val="28"/>
          <w:lang w:val="uk-UA"/>
        </w:rPr>
        <w:t>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здійснювали на підставі аналізу динаміці показників загальнотоксичної дії (вага, гепатокосичність, активність АОСЗ), концентрації статевих гормонів (тестостерон, естрадіол, ГЗСГ, ПРЛ, ЛГ, ФСГ), копулятивної поведінки тварин та патоморфологічних змін статевих органів. Проаналізовано ці показники після введення 55, 100, 150 та 200 мкг/100 г  маси тіла тварини на 7</w:t>
      </w:r>
      <w:r w:rsidRPr="00CE0A20">
        <w:rPr>
          <w:rFonts w:ascii="Times New Roman" w:hAnsi="Times New Roman" w:cs="Times New Roman"/>
          <w:color w:val="000000" w:themeColor="text1"/>
          <w:sz w:val="28"/>
          <w:szCs w:val="28"/>
          <w:lang w:val="uk-UA"/>
        </w:rPr>
        <w:noBreakHyphen/>
        <w:t>у, 14-у та 28-у добу експерименту та порівняно з контрольною групою інтактних тварин.</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У всіх експериментальних тварин після інтраперитонеального введення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виявляли загальні ознаки гострого токсикозу з пригніченням рухової активності та харчових рефлексів, що призводило до зменшення ваги тварини. Після введення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55 мкг/100 г  маси тіла тварини максимальне зниження ваги зафіксовано на 7-у добу з подальшим поступовим збільшенням й уже на 14-у добу вага в цій групі тварин не відрізнялася від показника в групі інтактних тварин. </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Після введення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100 мкг/100 г  маси тіла тварини відмічено зменшення ваги тварини до 14-ї доби з незначним збільшенням на 28-у добу експерименту, але в усі терміни вивчення цей показник не досяг значень контрольної групи та був достовірно меншим.  </w:t>
      </w:r>
    </w:p>
    <w:p w:rsidR="001C43D0" w:rsidRPr="00CE0A20" w:rsidRDefault="001C43D0" w:rsidP="001C43D0">
      <w:pPr>
        <w:spacing w:line="360" w:lineRule="auto"/>
        <w:ind w:firstLine="709"/>
        <w:jc w:val="both"/>
        <w:rPr>
          <w:rFonts w:ascii="Times New Roman" w:hAnsi="Times New Roman" w:cs="Times New Roman"/>
          <w:sz w:val="28"/>
          <w:szCs w:val="28"/>
          <w:lang w:val="uk-UA"/>
        </w:rPr>
      </w:pPr>
      <w:r w:rsidRPr="00CE0A20">
        <w:rPr>
          <w:rFonts w:ascii="Times New Roman" w:hAnsi="Times New Roman" w:cs="Times New Roman"/>
          <w:color w:val="000000" w:themeColor="text1"/>
          <w:sz w:val="28"/>
          <w:szCs w:val="28"/>
          <w:lang w:val="uk-UA"/>
        </w:rPr>
        <w:t>Після введення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150 мкг/100 г  маси тіла тварини відмічено більше зниження ваги тварини з відносно стабільним рівнем на 14-у та 28-у добу, залишаючись достовірно меншим, ніж у контрольній групі в усі терміни експерименту.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Найбільш виразний загальнотоксичний ефект спостерігався після введення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200 мкг/100 г  маси тіла тварини – на 7-у добу експерименту вага зменшилась майже на третину, причому в цей термін загинуло 60% тварин. У тварин цієї групи, що вижили, також виявлено  виразний гепатотоксичний ефект зі збільшенням активності АЛТ та АСТ на 200% та 100% відповідно, а також значні збільшення активності показників АОСЗ – каталази та СОД більш, ніж на 150% від вихідного рівня. Це свідчить про надмірний токсичний ефект цієї дози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та у подальшому ця доза не розглядалася. </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Іншим проявом загальнотоксичної дії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було ураження гепато</w:t>
      </w:r>
      <w:r w:rsidRPr="00CE0A20">
        <w:rPr>
          <w:rFonts w:ascii="Times New Roman" w:hAnsi="Times New Roman" w:cs="Times New Roman"/>
          <w:color w:val="000000" w:themeColor="text1"/>
          <w:sz w:val="28"/>
          <w:szCs w:val="28"/>
          <w:lang w:val="uk-UA"/>
        </w:rPr>
        <w:softHyphen/>
        <w:t>цитів, виразність якого визначалася за активністю АЛТ та АСТ. Після введення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55 мкг/100 г  маси тіла тварини ці показники підвмщились на 78% та 54,7% відповідно на 7-у добу, але на 14-у добу ці показники поліпшилися порівняно з попереднім терміном, достовірно відрізняючись від аналогічних показників контрольної групи.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28-у добу подовжувалось зниження активності АЛТ та АСТ та в цей термін вона не відрізнялася від інтактних тварин. Більш виразні зміни виявлено після збільшення дози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до 100 мкг/100 г  ваги тварини: на 7-у добу активність АЛТ та АСТ збільшилася на 121,6% та на 92,2%, на 14-у та на 28-у добу їх активність знизилась, хоча й була достовірно вищою, ніж в інтактних тварин (у межах 30%). Введення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150 мкг/100 г  маси тіла тварини обумовило збільшення активності АЛТ та АСТ на 145,9% та 85,9% відповідно на 7-у добу експерименту, без суттєвої динаміки на 14-у та на 28-у добу експерименту та достовірно більшими, ніж в інтактних тварин в усі терміни експерименту.</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Схожу динаміку виявлено й під час аналізу показників АОСЗ як свідчення активації процесів ПОЛ. У тварин після введення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у дозі 55 мкг/100 г  ваги тварини на 7-у добу експерименту активність каталази зросла на 81,0%, активність СОД на 88,8%, на 14-у добу активність цих ферментів знизилась, але залишалась вищою, ніж в інтактних тварин, на 28-у добу – у результаті подальшого зниження ці показники не відрізнялися від контрольних значень.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Після введення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у дозі 100 мкг/100 г ваги тварини на 7-у добу активність каталази зросла на 115,8%, активність СОД –  на 118,6%, на 14-у добу їх активність знизилась, однак перевищувала показники інтактних тварин на 71,6% та на 85,0% відповідно, на 28-у добу відмічено подальше достовірне зменшення активності каталази та СОД, хоча зберігалося достовірне збільшення порівняно з контрольною групою тварин – 60,1% та 33,6% відповідно. Введення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у дозі 150 мкг/100 г ваги тварини спричинило збільшення активності каталази та СОД на 7-у добу на 148,8% та на 144,3% відповідно, на 14-у добу їх активність незначно зростала, а на 28-у добу дещо знизилась, залишаючись достовірно більшою, ніж у контрольній групі на 141,4% та 146,2%, відповідно.</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аналіз загальнотоксичної дії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дозволив виявити, що інтраперитонеальне його введення у дозі 55 мкг/ 100 г маси тіла тварини призводить до короткочасного ураження гепатоцитів та активації процесів ПОЛ – на 28-у добу відбувається нормалізація цих показників, збільшення дози до 100 мкг та до 150 мкг спричиняє більш значну активацію маркерів гепатотоксичності та активності ПОЛ, яка, хоча і з позитивною динамікою, зберігається до 28-ї доби експерименту. Введення 200 мкг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призводило до передчасної смерті експериментальних тварин. Це свідчить, що за ознакою загальнотоксичної дії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прийнятними дозами цієї сполуки є 100 та 150 мкг/100 г  маси тіла тварини.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Не менш важливим аспектом дослідження експериментальної моделі є зміна концентрації статевих гормонів як біохімічна ознака гонадотоксичного впливу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Основною мішенню впливу був тестостерон. Його концентрація після введення токсину у дозі 55 мкг/100 г  маси тіла тварини  на 7-у добу експерименту зменшилася майже на 30% порівняно з контрольною групою, але вже на 14-у вона достовірно зросла порівняно з попереднім етапом експерименту та майже не відрізнялась від такої в інтактних тварин, на 28-у добу його концентрація практично нормалізувалась.  Більш значним було зниження концентрації тестостерону після введення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у дозі 100 мкг/100 г  маси тіла тварини: на 7-у добу вона була меншою, ніж у контрольній  групі майже в 2,1 раза, у подальшому його концентрація поступово зростала, але  на 14-у добу була достовірно меншою, ніж у контрольних тварин, а на 28-у добу не відрізнялася від інтактних тварин. Збільшення дози до 150 мкг викликало зменшення концентрації тестостерону майже в 2,3 раза порівняно з інтактними тваринами, причому це зменшення зберігалося протягом усього експерименту.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Поряд зі зменшенням концентрації тестостерону спостерігалося збільшення концентрації естрадіолу більшою мірою після введення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у дозі 150 мкг/100 г  маси тіла тварини, яке зберігалося протягом усього експерименту. Після введення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у дозі 100 мкг/100 г  маси тіла тварини   збільшення його концентрації зберігалося до 14-ї доби, при подальшому зменшенні дози (до 55 мкг/100 г  маси тіла тварини), починаючи з 14-ї доби, цей показник не відрізнявся від інтактних тварин. </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Відповідно до змін концентрації тестостерону та естрадіолу спостерігалося зменшення співвідношення тестостерону та естрадіолу – індекс Т/Е. У групі тварин після введення 55 мкг/100 г  маси тіла тварини на 7-у добу він достовірно зменшився майже в 2,3 раза, у подальшому цей показник збільшувався та на 28-у добу достовірно не відрізнявся від контрольних значень.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Збільшення дози до 100 мкг/100 г  маси тіла тварини призвело до зменшення Т/Е майже в 4,3 раза порівняно з інтактними тваринами на 7-у добу експерименту, з подальшим поступовим збільшенням, але й на 28-у добу цей показник був достовірно меншим, ніж в інтактних тварин.  Майже такою самою мірою Т/Е знизився після введення 150 мкг/100 г  маси тіла тварини, але на відміну від попередньої групи його величина була стабільно низькою протягом усього експерименту.</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 За результатами аналізу інших статевих гормонів визначено таке. На 7-у добу експерименту концентрація ФСГ, ЛГ, ПРЛ та ГЗСГ збільшувалася пропорційно до дози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Найбільш суттєво збільшилася концентрація ПРЛ та ГЗСГ. На 14-у та на 28-у добу експерименту достовірне збільшення ФСГ та ЛГ зберігалося  тільки у тварин, яким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був введений у дозі 150 мкг/100 г  маси тіла тварини. Такий результат можна пояснити компенсаторним збільшенням секреції цих гормонів гіпофізом під впливом зниженої концентрації тестостерону. Збільшення концентрації ПРЛ, яке спостерігалося протягом усього експерименту у всіх експериментальних тварин, але  більш значне після введення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у дозі 150 мкг/100 г  маси тіла тварини пояснюється збільшеною концентрацію естрадіолу.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Підвищення концентрації ГЗСГ було найбільшим на 7-у добу експерименту майже незалежно від дози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на 14-у добу його концентрація знижувалася суттєво у тварин, який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вводився у дозах  55 та 100 мкг/100 г  маси тіла тварини. Після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у дозі 150 мкг/100 г  маси тіла його концентрація значно зросла на 7-у добу та залишалася стабільною протягом усього експерименту. Таке збільшення можна пояснити як зниженням концентрації тестостерону, так і збільшенням гормонів гіпофізарного походження та токсичним ураженням гепатоцитів. Цьому відповідала динаміка АІ (співвідношення рівня тестостерону та ГЗСГ) – після введення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у дозі 55 мкг/100 г  маси тіла він був знижений на 7-у добу, збільшився на 14-у добу та нормалізувався на 28-у добу, при збільшенні дози до 100 мкг/100 г  маси тіла – суттєве зниження зберігалося до 14-ї  доби зі збільшенням на 28-у добу. У групі тварин, яким вводили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у дозі 150 мкг/100 г  маси тіла, АІ значно знизився на 7-у добу й в подальшому його значення суттєво не змінилися, залишаючись на стабільному низькому рівні протягом усього експерименту.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за результатами дослідження загальнотоксичної дії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оптимальними дозами є 100 та 150 мкг/100 г  маси тіла тварини, але дослідження концентрації статевих гормонів тільки при застосуванні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у дозі 150 мкг/100 г  маси тіла зміни, пов’язані з гонадотоксичном впливом CdCI</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залишалися стабільними протягом усього експерименту. Цей висновок підтверджується також результатами вивчення ваги статевих органів на 28-у добу експерименту – вага сім’яників, передміхурової залози, сім’яних пухирців та придатків яєчка була достовірно меншою порівняно з інтактними тваринами лише при застосуванні CdCI</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 xml:space="preserve"> у дозі 150 мкг/100 г  маси тіла. При цьому вага гіпофізу незначно зростала, що можна пояснити збільшенням функціональної напруги, але ці зміни  не були достовірними у зіставленні з контрольною групою.</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Отримані дані були підтверджені при патоморфологічних дослідженнях статевих органів експериментальних тварин. Після введення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55 мкг/100 г маси тіла тварини виявлялися групи спорожнілих та зменшених у розмірі канальців з потовщеною та набряклою оболонкою. У канальцях відмічався лізис частини статевих клітин. Показник КНС був знижений порівняно з інтактними  тваринами. Виявлялося зменшення кількості сперматогоній, була порушена послідовність розташування клітин Сертолі, виявлялися зміни клітин Лейдіга, які свідчили про їхню функціональну напругу. Ці зміни відповідали морфологічній картині помірного гіпогонадизму. </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На 14-у добу у більшості сім'яних канальців виявляли ознаки відновлення завершеного сперматогенезу, але зберігалася деяка редукція рядів статевих клітин та їхнє гніздове спустошення,  злущення клітин у просвіт канальців. При цьому морфологія клітин Лейдіга практично відповідала інтактному контролю.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 28-у добу морфологічна картина сім’яників не відрізнялася від такої в контрольних тварин. Дослідження ацинусів вентральної частини передміхурової залози не виявили суттєвих морфологічних змін.</w:t>
      </w:r>
    </w:p>
    <w:p w:rsidR="00631D82"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Збільшення дози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до 100 мкг/100 г маси тіла тварини викликало більш виразні зміни морфології сім’яників. На 7-у добу експерименту значна частина сім'яних канальців була структурно деформована, вони були запустілими та заповненими еозинофільним гомогенним вмістом. КНС знизилось майже в 2,3 раза, відмічалась дезорганізація розміщення статевих клітин, зменшення їх кількості на ранніх та пізніх етапах розвитку. Більш виразними були ознаки ураження клітин Сертолі. </w:t>
      </w:r>
    </w:p>
    <w:p w:rsidR="001C43D0" w:rsidRPr="00CE0A20" w:rsidRDefault="001C43D0" w:rsidP="001C43D0">
      <w:pPr>
        <w:spacing w:line="360" w:lineRule="auto"/>
        <w:ind w:firstLine="720"/>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Кількість клітин Лейдіга збільшувалася зі збільшенням кількості клітин з гіперхромними ядрами. На 14-у добу відмічено відновлення сперматогенезу, вмісту, розташування та вигляду клітин Сертолі. Клітини Лейдіга порівняно з попереднім терміном практично не змінилися. На 28-у добу у більшості канальців сперматогенез відновився у повному обсязі, сім'яні кулі та злущені статеві клітини виявлялися лише в частині канальців. При застосуванні цієї дози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були помітними й зміни в переміхуровій залозі у вигляді вакуолізації епітелію ацинусів та гіпертрофії клітин, які зменшувались на 14-у добу та нормалізувалися на 28-у добу.</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Найбільш виразними були патоморфологічні зміни сім’яників після введення токсину у дозі 150 мкг/100 г маси тіла тварини. На 7-</w:t>
      </w:r>
      <w:r w:rsidR="00885BC3">
        <w:rPr>
          <w:rFonts w:ascii="Times New Roman" w:hAnsi="Times New Roman" w:cs="Times New Roman"/>
          <w:color w:val="000000" w:themeColor="text1"/>
          <w:sz w:val="28"/>
          <w:szCs w:val="28"/>
          <w:lang w:val="uk-UA"/>
        </w:rPr>
        <w:t>му добу</w:t>
      </w:r>
      <w:r w:rsidRPr="00CE0A20">
        <w:rPr>
          <w:rFonts w:ascii="Times New Roman" w:hAnsi="Times New Roman" w:cs="Times New Roman"/>
          <w:color w:val="000000" w:themeColor="text1"/>
          <w:sz w:val="28"/>
          <w:szCs w:val="28"/>
          <w:lang w:val="uk-UA"/>
        </w:rPr>
        <w:t xml:space="preserve"> спостереження відмічено виразну деструкцію більшості сім'яних канальців з атрофією сім’яродного епітелію, навколо деструктивно змінених канальців утворювалась молода сполучна тканина, яка витісняла інтерстиціальну. Клітини Сертолі були нечисленними та з ознаками деструкції. Клітини Лейдіга проліферували, але їх ядра були дрібними та гіперхромними. Ці зміни залишалися на 14-у та 28-у добу експерименту, при цьому  ознак репарації не виявлено.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Також виявлено подальшу ескалацію клітин Лейдіга, ядра яких були дрібними, гіперхромними, зміненої форми з вакуолізованою цитоплазмою, що можна пояснити виснаженням функціональних можливостей тестостерон-продукуючих клітин у зв'язку з довготривалою надмірною стимуляцією гонадотропними гормонами. З іншого боку, масивна проліферація цих клітин свідчить й про виснаження регенераційного  потенціалу, наслідком чого є зменшення кількості стовбурових клітин. Крім цього, протягом всього експерименту виявляли ознаки функціональної недостатності передміхурової залози з кістозним розширенням ацинусів та вакуолізацією цитоплазми.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Введення СdCl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200 мкг/100 г маси тіла у тварин, що вижили  на 7-у добу експерименту, ставало причиною тотального некрозу тестикулярної тканини із загибеллю статевих клітин та клітин Сертолі, при цьому подекуди виявляли проліферати клітин Лейдіга.</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Виявлені морфологічні зміни знайшли підтвердження й при їх морфометричному оцінюванні – після введення СdCl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xml:space="preserve"> у дозі 150 мкг/100 г маси тіла тварини виявлялося пригнічення всіх показників, що характеризують якість сперматогенезу (КНС, КЗК-ЗСЕ, КЗК-12СМ та ІС), протягом усього експерименту, тимчасом як при зменшенні дози до 100 мкг/100 г  маси тіла тварини ці показники майже нормализували на 14-у або на 28-у добу експерименту.</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отримані в результаті біохімічних досліджень дані дозволили зробити висновок про оптимальність дози 150 мкг/100 г  маси тіла тварини при однократному інтраоперитонеальному введенні СdCl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 яка й була вибрана для подальшого моделювання андрогенного дефіциту в експериментальних тварин. Слід зазначити, що при застосуванні цієї дози не відмічено пригнічення інших статевих гормонів, крім цього, були погіршені показники копулятивної поведінки, але не було її повного пригнічення, що свідчить про збереження центральних структур на тлі  токсичного ураження тестикул.</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Для вирішення таких завдань дослідження був виконаний другий етап експерименту, під час якого порівнювались біохімічні та морфологічні показники інтактних тварин, тварин з експериментальними андрогенним дефіцитом та тварини, яким вводили КСКМ, що вирощували з кісткового мозку стегнових кісток сингенних щурів згідно з розробленою методикою [129].</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Для вибору методу введення КСКМ було враховано досвід інших дослідників, які довели, що при інтратестикулярному введенні стовбурових клітин популяція тестостерон-продукуючих клітин Лейдіга при гонадо</w:t>
      </w:r>
      <w:r w:rsidRPr="00CE0A20">
        <w:rPr>
          <w:rFonts w:ascii="Times New Roman" w:hAnsi="Times New Roman" w:cs="Times New Roman"/>
          <w:color w:val="000000" w:themeColor="text1"/>
          <w:sz w:val="28"/>
          <w:szCs w:val="28"/>
          <w:lang w:val="uk-UA"/>
        </w:rPr>
        <w:softHyphen/>
        <w:t>токсичному ураженні експери</w:t>
      </w:r>
      <w:r w:rsidRPr="00CE0A20">
        <w:rPr>
          <w:rFonts w:ascii="Times New Roman" w:hAnsi="Times New Roman" w:cs="Times New Roman"/>
          <w:color w:val="000000" w:themeColor="text1"/>
          <w:sz w:val="28"/>
          <w:szCs w:val="28"/>
          <w:lang w:val="uk-UA"/>
        </w:rPr>
        <w:softHyphen/>
        <w:t>ментальних тварин відновлювалась, тому саме цей спосіб був вибраний з лікувальною метою експериментального андрогенного дефіциту. Трансплантацію КСКМ здійснювали шляхом пункції тонкої голки та її проведення вздовж найбільшої осі яєчка (з урахуванням анатомічних особливостей розташування сім’яних канальців та судин). Інокуляцію суспензії КСКМ в яєчко виконували при зворотному ході голки, розподіляючи вибрану дозу клітин на три введення.</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Але залишалась не з’ясованою кількість необхідних клітин. Тому для дослідження було вибрано введення КСКМ у кількості 80000, 100000 та 200000 клітин в одне яєчко або в обидва яєчка.</w:t>
      </w:r>
    </w:p>
    <w:p w:rsidR="00631D82"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Насамперед був виконаний аналіз вмісту статевих гормонів на 28-у добу після введення КСКМ. Визначено, що при введенні КСКМ в одне яєчко концентрація тестостерону достовірно збільшилася порівняно з групою тварин з ЕАД тільки після введення 200000 клітин, але не досягла рівня інтактних тварин незалежно від кількості КСКМ. Також незалежно від кількості КСКМ зберігалося збільшення концентрації естрадіолу та зменшення індексу Т/Е порівняно з інтактними тваринами, за відсутності суттєвої різниці порівняно з тваринами  з ЕАД. Також зберігалося достовірне  збільшення концентрації ФСГ, ЛГ, ПРЛ та ГЗСГ порівняно з контрольною групою, хоча концентрації статевих гормонів гіпофізарного походження дещо знижувались порівняно з тваринами з ЕАД.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Незалежно від кількості КСКМ зберігалося значне зниження АІ. Більш значущі зміни відбулися після введення КСКМ у кожне яєчко. Концентрація тестостерону достовірно збільшилася порівняно з тваринами з ЕАД, причому якщо після введення 80000 та 100000 КСКМ його рівень був  достовірно меншим, ніж у контрольній групі, то після введення 200000 КСКМ він не відрізнявся від інтактних тварин. Рівень естрадіолу та величина Т/Е достовірно наблизилися до аналогічних показників інтактних тварин  тільки після введення 200000 КСКМ в кожне яєчко. Концентрації ФСГ, ЛГ, ПРЛ та ГЗСГ зменшились порівняно з тваринами з ЕАД, але досягли рівня інтактних тварин також тільки після введення 200000 КСКМ, це стосується й величини АІ.</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Підтвердженням більшої ефективності введення КСКМ в обидва яєчка були результати гістологічного дослідження сім’яників, що мало прояв у нормалізації розмірів сім’яних канальців, відновленні шарів сперматогенного епітелію, клітин Сертолі, наявність різних етапів диференціювання сперматид та нормохромних клітин Лейдіга у навколосудинній стромі. Морфометричний аналіз виявив нормалізацію КНС,  КЗК-ЗСЕ, КЗК-12СМ та ІС. Нормалізувався також морфофункціональний стан передміхурової залози.</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Крім цього, введення КСКМ позитивно впливало на інші показники. При  введенні КСКМ в одне яєчко спостерігалася лише тенденція до зменшення активності АЛТ, АСТ, каталази та СОД, яка достовірно не відрізнялася від аналогічних показників у тварин з ЕАД та була достовірно більшою, ніж в інтактних тварин. Більш відчутні зміни цих показників були виявлені після введення КСКМ в обидва яєчка, причому після введення 200000 КСКМ ці показники не відрізнялися від аналогічних показників інтактних тварин.</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Поряд з нормалізацією гормонального статусу та наслідків загальнотоксичної дії CdCl</w:t>
      </w:r>
      <w:r w:rsidRPr="00CE0A20">
        <w:rPr>
          <w:rFonts w:ascii="Times New Roman" w:hAnsi="Times New Roman" w:cs="Times New Roman"/>
          <w:color w:val="000000" w:themeColor="text1"/>
          <w:sz w:val="28"/>
          <w:szCs w:val="28"/>
          <w:vertAlign w:val="subscript"/>
          <w:lang w:val="uk-UA"/>
        </w:rPr>
        <w:t xml:space="preserve">2 </w:t>
      </w:r>
      <w:r w:rsidRPr="00CE0A20">
        <w:rPr>
          <w:rFonts w:ascii="Times New Roman" w:hAnsi="Times New Roman" w:cs="Times New Roman"/>
          <w:color w:val="000000" w:themeColor="text1"/>
          <w:sz w:val="28"/>
          <w:szCs w:val="28"/>
          <w:lang w:val="uk-UA"/>
        </w:rPr>
        <w:t>у тварин з експериментальним андрогенним дефіцитом на 28-у добу після введення КСКМ відмічався позитивний вплив на показники копулятивної поведінки тварин. Але простежувався чіткий дозозалежний ефект: при введенні КСКМ тільки в одне яєчко копулятивна поведінка майже не змінилась, після введення 80000 та 100000 клітин в обидва яєчка спостерігалась тенденція до нормалізації, у той час як при введенні 200000 КСКМ в обидва яєчка показники копулятивної поведінки не відрізнялися від аналогічних в інтактних тварин.</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Отримані в другій серії експериментів результати дозволили визначити, що оптимальним способом застосування КСКМ для лікування експериментального андрогенного дефіциту є їх введення в обидва яєчка у кількості 200000 клітин. Цей спосіб сприяв не тільки відновленню гормонального стану та копулятивної поведінки тварин з дефіцитом тестостерону на 28-у добу експерименту, але й нормалізації наслідків загальнотоксичної дії CdCl</w:t>
      </w:r>
      <w:r w:rsidRPr="00CE0A20">
        <w:rPr>
          <w:rFonts w:ascii="Times New Roman" w:hAnsi="Times New Roman" w:cs="Times New Roman"/>
          <w:color w:val="000000" w:themeColor="text1"/>
          <w:sz w:val="28"/>
          <w:szCs w:val="28"/>
          <w:vertAlign w:val="subscript"/>
          <w:lang w:val="uk-UA"/>
        </w:rPr>
        <w:t>2</w:t>
      </w:r>
      <w:r w:rsidRPr="00CE0A20">
        <w:rPr>
          <w:rFonts w:ascii="Times New Roman" w:hAnsi="Times New Roman" w:cs="Times New Roman"/>
          <w:color w:val="000000" w:themeColor="text1"/>
          <w:sz w:val="28"/>
          <w:szCs w:val="28"/>
          <w:lang w:val="uk-UA"/>
        </w:rPr>
        <w:t>.</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sz w:val="28"/>
          <w:szCs w:val="28"/>
          <w:lang w:val="uk-UA"/>
        </w:rPr>
        <w:t xml:space="preserve">Для вивчення подальшого трекінгу стовбурових клітин, оцінювання їхньої приживаності та розподілу в тканині яєчка після інтратестикулярної трансплантації проводився експеримент на 6 тваринах, яким вводили  КСКМ, що експресують зелений флюоресцентний білок GFP. </w:t>
      </w:r>
      <w:r w:rsidRPr="00CE0A20">
        <w:rPr>
          <w:rFonts w:ascii="Times New Roman" w:hAnsi="Times New Roman" w:cs="Times New Roman"/>
          <w:color w:val="000000" w:themeColor="text1"/>
          <w:sz w:val="28"/>
          <w:szCs w:val="28"/>
          <w:lang w:val="uk-UA"/>
        </w:rPr>
        <w:t xml:space="preserve">Для цього здійснювали трансфекцію КСКМ геном GFP за протоколом лабораторії D. Trono [15], модифікованим у нашій лабораторії. Для продукції лентивірусних частинок використовували клітини лінії НЕК 293Т. Як вірусні вектори використовували плазміди з геном GFP (pLVTHM-GFP), що були сконструйовані в лабораторії D.Trono. При зараженні КСКМ ген вірусу вбудовується в геном та у подальшому забезпечує флуоресценцію навіть при проліферації клітин, завдяки експресії білка GFP, що дозволяє детектувати клітини за допомогою флюоресцентного мікроскопа.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Це дало змогу вирішити таке завдання  дослідження – дослідити приживлюваність трансплантованих КСКМ та віддалені результати клітинної терапії ЕАД. З цією метою використано тестикули тварин у відповідні терміни експерименту: відразу після введення КСКМ, через добу, на 14-у та на 28-у добу після трансплантації КСКМ.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За результатами флюоресцентної мікроскопії встановлено, що через добу після введення КСКМ, як і раніше, присутні в міжканальцевому просторі яєчок. Розподіл забарвлення свідчить про те, що й самі клітини розподілилися в цьому просторі більш рівномірно. При цьому вже через добу рановий канал не виявлявся, а світіння спостерігалося по всій площині поперечного зрізу, тобто на відстані від місця інокуляції. На 14-у та на 28-у добу також спостерігалося флуоресцентне світіння, хоча й не настільки інтенсивне, як безпосередньо після введення КСКМ і на другу добу після нього.</w:t>
      </w: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При вивченні морфоструктури сім'яників щурів, які у віці 20-22 тижні на тлі ураження </w:t>
      </w:r>
      <w:r w:rsidRPr="00CE0A20">
        <w:rPr>
          <w:rFonts w:ascii="Times New Roman" w:hAnsi="Times New Roman" w:cs="Times New Roman"/>
          <w:color w:val="000000" w:themeColor="text1"/>
          <w:sz w:val="28"/>
          <w:szCs w:val="28"/>
          <w:lang w:val="en-US"/>
        </w:rPr>
        <w:t>CdCl</w:t>
      </w:r>
      <w:r w:rsidRPr="00CE0A20">
        <w:rPr>
          <w:rFonts w:ascii="Times New Roman" w:hAnsi="Times New Roman" w:cs="Times New Roman"/>
          <w:color w:val="000000" w:themeColor="text1"/>
          <w:sz w:val="28"/>
          <w:szCs w:val="28"/>
          <w:lang w:val="uk-UA"/>
        </w:rPr>
        <w:t>2 отримали КСКМ у кількості по 200000 в кожне яєчко та померли природною смертю у 33-36-ти місячному віці, не виявлено суттєвих відмінностей у стані паренхіми їх порівняно з інтактними тваринами відповідного віку</w:t>
      </w:r>
    </w:p>
    <w:p w:rsidR="001C43D0" w:rsidRPr="00CE0A20" w:rsidRDefault="001C43D0" w:rsidP="001C43D0">
      <w:pPr>
        <w:widowControl w:val="0"/>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Гістологічне дослідження статевих органів (яєчок та вентральної частини передміхурової залози) в експериментальних тварин, що померли природним шляхом,  не виявило відмінностей між інтактними тваринами та тваринами після інтратестикулярного введення КСКМ з метою лікування ЕАД. </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Це свідчить про можливість застосування запропонованого методу клітинної терапії з методом лікування андрогенного дефіциту в чоловіків.</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Для клінічної апробації  розробленого методу клітинної терапії були обрані пацієнти з ЦД з підвищеним ІМТ, що звернулися в урологічну клініку у зв’язку з ЕД. Такий вибір був обумовлений тим, що саме ці пацієнти найбільш часто звертаються до уролога зі скаргами на порушення еректильної функції.</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Крім наявності ЦД та ЕД, критеріями включення пацієнта до дослідження були добровільна інформована згода на участь у дослідженні; від пацієнта 44-60 років; ІМТ більш 25 кг/м</w:t>
      </w:r>
      <w:r w:rsidRPr="00CE0A20">
        <w:rPr>
          <w:rFonts w:ascii="Times New Roman" w:hAnsi="Times New Roman" w:cs="Times New Roman"/>
          <w:color w:val="000000" w:themeColor="text1"/>
          <w:sz w:val="28"/>
          <w:szCs w:val="28"/>
          <w:vertAlign w:val="superscript"/>
          <w:lang w:val="uk-UA"/>
        </w:rPr>
        <w:t>2</w:t>
      </w:r>
      <w:r w:rsidRPr="00CE0A20">
        <w:rPr>
          <w:rFonts w:ascii="Times New Roman" w:hAnsi="Times New Roman" w:cs="Times New Roman"/>
          <w:color w:val="000000" w:themeColor="text1"/>
          <w:sz w:val="28"/>
          <w:szCs w:val="28"/>
          <w:lang w:val="uk-UA"/>
        </w:rPr>
        <w:t>; наявність гіпогонадизму з концентрацією тестостерону в сироватці крові від 8,0 ммоль/л та менше. Не залучалися до дослідження пацієнти з підвищеним або граничним рівнем ПСА, з наявністю захворювань передміхурової залози, онкологічної патології, клінічно-значущої патології нирок, щитоподібної залози, серцево-судинних захворювань, захворювань центральної нервової системи, гострих захворювань будь-якого характеру та за наявності будь-яких протипоказань до ГЗТ. Крім цього, за допомогою допплерографії у всіх пацієнтів було виключено васкулогенний характер ЕД. Тривалість ЦД не перевищувала 5 років, він був компенсований або субкомпенсований, не ускладнений макро- та мікроангіопатіями. У 8 пацієнтів ЦД був виявлений вперше під час комплексного клініко-лабораторного обстеження.</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До початку дослідження всі пацієнти консультовані ендокринологом та їм призначена протидіабетична терапія, включаючи цукрознижувальні препарати, дієту та надані рекомендації щодо формування здорового способу життя та оптимального фізичного навантаження. Протягом дослідження медикаментозна терапія ЦД не корегувалася, інсулін не призначався.</w:t>
      </w:r>
    </w:p>
    <w:p w:rsidR="001C43D0" w:rsidRPr="00CE0A20" w:rsidRDefault="001C43D0" w:rsidP="001C43D0">
      <w:pPr>
        <w:widowControl w:val="0"/>
        <w:suppressAutoHyphens/>
        <w:spacing w:line="360" w:lineRule="auto"/>
        <w:ind w:firstLine="709"/>
        <w:jc w:val="both"/>
        <w:rPr>
          <w:rFonts w:ascii="Times New Roman" w:hAnsi="Times New Roman" w:cs="Times New Roman"/>
          <w:sz w:val="28"/>
          <w:szCs w:val="28"/>
          <w:lang w:val="uk-UA" w:eastAsia="ar-SA"/>
        </w:rPr>
      </w:pPr>
      <w:r w:rsidRPr="00CE0A20">
        <w:rPr>
          <w:rFonts w:ascii="Times New Roman" w:hAnsi="Times New Roman" w:cs="Times New Roman"/>
          <w:color w:val="000000" w:themeColor="text1"/>
          <w:sz w:val="28"/>
          <w:szCs w:val="28"/>
          <w:lang w:val="uk-UA"/>
        </w:rPr>
        <w:t xml:space="preserve">До дослідження було залучено 20 пацієнтів (І – основна група), які мали всі перелічені критерії включення та не мали критеріїв не включення, вони були розподілені на дві підгрупи відповідно до обраних методів лікування: Іа підгрупа (основна) – для лікування андрогенного дефіциту отримувала однократну трансплантацію КСКМ у кожне яєчко; Іб підгрупа (порівняння) – отримувала ГЗТ у вигляді тестостерону ундеконату у вигляді вмунтрішньом’язових ін’єкцій кожні 12 тижнів. Пацієнти основної групи також застосовували інгібітори ФЕД-5 за потреби. Також усі пацієнти отримували лікування ЦД пероральними препарати та дотримувались відповідної дієти, що узгоджувалося з лікарем-ендокринологом.   </w:t>
      </w:r>
      <w:r w:rsidRPr="00CE0A20">
        <w:rPr>
          <w:rFonts w:ascii="Times New Roman" w:hAnsi="Times New Roman" w:cs="Times New Roman"/>
          <w:sz w:val="28"/>
          <w:szCs w:val="28"/>
          <w:lang w:val="uk-UA" w:eastAsia="ar-SA"/>
        </w:rPr>
        <w:t>Дослідження тривало 24 тижні.</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Крім цього, обстежено 20 практично здорових пацієнтів, які склали ІІ (контрольну) групу.</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У всіх пацієнтів основної групи ЕД підтверджувалася значним зниженням величини МІЕФ, яка була майже в 2,5 раза меншою, ніж у пацієнтів контрольної групи. Суттєвої різниці між величиною МІЕФ у пацієнтів Іа та Іб підгруп не було. Наявність гіпогонадизму підтверджено значним зменшенням рівня загального тестостерону, який був достовірно, майже в 4 рази, меншим, ніж у контрольній групі. Така виразність ЕД та  андрогенного дефіциту пояснюється наявністю тривалого анамнезу ЦД (від 3,5 до 5 років) зі схильністю або з наявністю ожиріння. Крім цього, виявлено відхилення концентрації інших статевих гормонів: рівень естрадіолу був майже в 1,3 раза більшим,  індекс Т/Е – майже в 7 разів меншим, концентрація ГЗСГ збільшена більш ніж в 2 рази, АІ – меншим майже в 10 разів. Концентрації ФСГ, ЛГ та ПРЛ достовірно не відрізнялися від аналогічних показників контрольної групи. Також відповідно до критеріїв включення у пацієнтів основної групи був достовірно більшим, ніж у контрольній групі, ІМТ, концентрація глюкози та вміст </w:t>
      </w:r>
      <w:r w:rsidRPr="00CE0A20">
        <w:rPr>
          <w:rFonts w:ascii="Times New Roman" w:hAnsi="Times New Roman" w:cs="Times New Roman"/>
          <w:color w:val="000000" w:themeColor="text1"/>
          <w:sz w:val="28"/>
          <w:szCs w:val="28"/>
          <w:lang w:val="en-US"/>
        </w:rPr>
        <w:t>HbA</w:t>
      </w:r>
      <w:r w:rsidRPr="00CE0A20">
        <w:rPr>
          <w:rFonts w:ascii="Times New Roman" w:hAnsi="Times New Roman" w:cs="Times New Roman"/>
          <w:color w:val="000000" w:themeColor="text1"/>
          <w:sz w:val="28"/>
          <w:szCs w:val="28"/>
          <w:lang w:val="uk-UA"/>
        </w:rPr>
        <w:t>1</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Поряд з порушеннями вуглеводного обміну у хворих виявлено ознаки порушень метаболізму жирів з достовірним збільшенням порівняно з контрольною групою концентрації загального холестерину, ЛПНЩ та тригліцеридів, та зменшенням концентрації ЛПВЩ. Ці зміни сполучалися з ознаками печінкової дисфункції з достовірним збільшенням концентрації АЛТ та АСТ. Суттєвої різниці між Іа та Іб підгрупами за всіма показниками не виявлено, що дало змогу зробити висновок про можливість порівняння методів лікування, що застосовувались у цих підгрупах.</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Тобто вихідний стан пацієнтів основної групи свідчив, що, крім наявності ЦД, надмірної ваги, ЕД та андрогенного дефіциту, вони мали ознаки порушень жирового обміну та печінкової дисфункції, що узгоджується з результатами інших досліджень [114, 231, 321].</w:t>
      </w:r>
    </w:p>
    <w:p w:rsidR="00631D82"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Під впливом лікування через 4 тижні в обох підгрупах основної групи констатовано поліпшення еректильної функції зі збільшенням величини МІЕФ майже на 25%. Величина МІЕФ в обох підгрупах була достовірно більшою, ніж вихідний показник, але все ж була суттєво нижчою за аналогічний показник у контрольній групі. У цей термін зазнали певних змін й інші показники. Концентрація тестостерону в обох підгрупах зросла майже в 2,5 раза, концентрація естрадіолу практично не змінилася, а величина Т/Е збільшилась майже втричі. Рівень тестостерону та величина Т/Е у цей термін були достовірно меншими, ніж у пацієнтів контрольної групи. Поряд з цим відмічено достовірне зменшення концентрації ГЗСГ з достовірним збільшенням величини АІ порівняно з вихідними даними, але рівня контролю ці показники не досягли. </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Суттєвої динаміки концентрації інших статевих гормонів не виявлено. Поряд зі зміною гормонального фону у хворих основної групи спостерігалася тенденція до зменшення ІМТ, зменшення концентрації глюкози та </w:t>
      </w:r>
      <w:r w:rsidRPr="00CE0A20">
        <w:rPr>
          <w:rFonts w:ascii="Times New Roman" w:hAnsi="Times New Roman" w:cs="Times New Roman"/>
          <w:color w:val="000000" w:themeColor="text1"/>
          <w:sz w:val="28"/>
          <w:szCs w:val="28"/>
          <w:lang w:val="en-US"/>
        </w:rPr>
        <w:t>HbA</w:t>
      </w:r>
      <w:r w:rsidRPr="00CE0A20">
        <w:rPr>
          <w:rFonts w:ascii="Times New Roman" w:hAnsi="Times New Roman" w:cs="Times New Roman"/>
          <w:color w:val="000000" w:themeColor="text1"/>
          <w:sz w:val="28"/>
          <w:szCs w:val="28"/>
          <w:lang w:val="uk-UA"/>
        </w:rPr>
        <w:t>1</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активності АЛТ та АСТ. Середні значення цих показників не відрізнялися між підгрупами, але були достовірно більшими, ніж у пацієнтів контрольної групи. Крім цього, у цей термін спостереження виявлено поліпшення показників жирового обміну зі зменшенням концентрації загального холестерину, ЛПНЩ та тригліцеридів. Їх рівень між підгрупами не відрізнявся, але був більшим, ніж у контрольній групі. Концентрація ПСА залишалася стабільною.</w:t>
      </w:r>
    </w:p>
    <w:p w:rsidR="00631D82"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Через 12 тижнів від початку лікування в обох підгрупах основної групи відмічено подальше зростання величини МІЕФ, у Іа підгрупі – на 25%, у Іб підгрупі – на 27%, причому середній рівень МІЕФ в Іа підгрупі був достовірно меншим, ніж у Іб підгрупі, та в обох підгрупах достовірно меншим, ніж у пацієнтів контрольної групи. Поряд з цим виявлено подальше збільшення концентрації загального тестостерону: у Іа підгрупі – на 35%, у Іб підгрупі – майже на 60%, причому в Іб підгрупі його рівень був вищим, ніж у Іа підгрупі, але не достовірно (р=0,053  t-критерієм), а різниці з середнім значенням цього показника в контрольній групі не виявлено. </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Рівень естрадіолу в цей термін спостереження залишався практично без змін, перевищуючи його величину в контрольній групі, а величина Т/Е достовірно зросла, але в обох підгрупах була меншою, ніж у контрольних пацієнтів. Також відмічено подальше зниження концентрації ГЗСГ та збільшення  величини АІ, причому їх величина достовірно відрізнялася від аналогічних показників контрольної групи. Концентрація ФСГ, ЛГ та ПРЛ в цей термін спостереження також залишалася без суттєвих змін. Крім цього, виявлено подальше зменшення ІМТ, концентрації глюкози та </w:t>
      </w:r>
      <w:r w:rsidRPr="00CE0A20">
        <w:rPr>
          <w:rFonts w:ascii="Times New Roman" w:hAnsi="Times New Roman" w:cs="Times New Roman"/>
          <w:color w:val="000000" w:themeColor="text1"/>
          <w:sz w:val="28"/>
          <w:szCs w:val="28"/>
          <w:lang w:val="en-US"/>
        </w:rPr>
        <w:t>HbA</w:t>
      </w:r>
      <w:r w:rsidRPr="00CE0A20">
        <w:rPr>
          <w:rFonts w:ascii="Times New Roman" w:hAnsi="Times New Roman" w:cs="Times New Roman"/>
          <w:color w:val="000000" w:themeColor="text1"/>
          <w:sz w:val="28"/>
          <w:szCs w:val="28"/>
          <w:lang w:val="uk-UA"/>
        </w:rPr>
        <w:t>1</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концентрації АЛТ та АСТ, загального холестерину, ЛПНЩ та тригліцеридів, які все ж таки перевищували аналогічні показники в контрольній групі.</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Аналогічні тенденції зберігалися до 24 тижня лікування. МІЕФ в Іа підгрупі збільшився майже на 7%, у Іб підгрупі майже на 6%, але його величина в підгрупах була достовірно меншою, ніж у контрольній групі. Концентрація загального тестостерону в Іа підгрупі зросла до (14,0±1,9) нмоль/л (достовірно менше, ніж у Іб підгрупі та в контролі), у Іб підгрупі до (16,9±2,3) нмоль/л (різниця з контрольною групою не достовірна). При  незмінній концентрації естрадіолу величина Т/Е незначно зросла та наблизилася до значень показника контрольної групи. Також в обох підгрупах основної групи відмічено подальше зменшення концентрації ГЗСГ та збільшення АІ, котрий залишався достовірно меншим, ніж у контрольній групі. Рівень ФСГ, ЛГ та ПРЛ не змінився. У цей термін також відмічено подальше зменшення ІМТ, рівень глюкози та </w:t>
      </w:r>
      <w:r w:rsidRPr="00CE0A20">
        <w:rPr>
          <w:rFonts w:ascii="Times New Roman" w:hAnsi="Times New Roman" w:cs="Times New Roman"/>
          <w:color w:val="000000" w:themeColor="text1"/>
          <w:sz w:val="28"/>
          <w:szCs w:val="28"/>
          <w:lang w:val="en-US"/>
        </w:rPr>
        <w:t>HbA</w:t>
      </w:r>
      <w:r w:rsidRPr="00CE0A20">
        <w:rPr>
          <w:rFonts w:ascii="Times New Roman" w:hAnsi="Times New Roman" w:cs="Times New Roman"/>
          <w:color w:val="000000" w:themeColor="text1"/>
          <w:sz w:val="28"/>
          <w:szCs w:val="28"/>
          <w:lang w:val="uk-UA"/>
        </w:rPr>
        <w:t>1</w:t>
      </w:r>
      <w:r w:rsidRPr="00CE0A20">
        <w:rPr>
          <w:rFonts w:ascii="Times New Roman" w:hAnsi="Times New Roman" w:cs="Times New Roman"/>
          <w:color w:val="000000" w:themeColor="text1"/>
          <w:sz w:val="28"/>
          <w:szCs w:val="28"/>
          <w:lang w:val="en-US"/>
        </w:rPr>
        <w:t>c</w:t>
      </w:r>
      <w:r w:rsidRPr="00CE0A20">
        <w:rPr>
          <w:rFonts w:ascii="Times New Roman" w:hAnsi="Times New Roman" w:cs="Times New Roman"/>
          <w:color w:val="000000" w:themeColor="text1"/>
          <w:sz w:val="28"/>
          <w:szCs w:val="28"/>
          <w:lang w:val="uk-UA"/>
        </w:rPr>
        <w:t xml:space="preserve"> суттєво не змінився, не суттєво знизилися концентрації загального холестерину, ЛПНЩ та тригліцеридів. Рівень ПСА залишався стабільним протягом усього дослідження.</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результати дослідження дозволили визначити, що лікування ЕД у сполученні з андрогенним дефіцитом на тлі  ЦД та надмірної ваги протягом 24 тижнів виявилось ефективним як при застосуванні клітинної терапії з однократною інтратестикулярною трансплантацією суспензії КСКМ, так і при застосуванні традиційної ГЗТ з використанням внутрішньом’язової форми тестостерону ундеконату.</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Відновлення рівня тестостерону крові пацієнтів сприяло не тільки покращенню еректильної функції, але обумовлювало поліпшення перебігу основного захворювання, про що свідчать динаміка ІМТ, показники вуглеводного та жирового обміну, а також показники печінкової дисфункції. Це узгоджується з результатами інших досліджень, згідно з якими ГЗТ сприяє нормалізації метаболізму глюкози, рівня загального холестерину та його фракцій, та меншою мірою – концентрації тригліцеридів [122, 209, 308, 330, 341, 365]. Крім цього, поліпшення перебігу ЦД з покращенням показників вуглеводного та жирового метаболізму й позитивну динаміку ІМТ можна пояснити не тільки відновленням рівня тестостерону, але й оптимізацією  лікування основного захворювання з постійним моніторингом пацієнтів, що є фактором більш ретельного ставлення пацієнта до лікування.</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Протягом періоду спостереження у хворих не виявлено ознак побічних ефектів будь-якого походження, рівень ПСА залишався стабільним.</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Однак слід зазначити, що починаючи з 12 тижня у пацієнтів, що отримували ГЗТ з використанням тестостерону ундеконату, відмічено більш виразну динаміку МІЕФ та концентрації загального тестостерону. У цьому аспекті слід зазначити, що пацієнти Іб підгрупи отримували ін’єкції тестостерону кожні 12 тижнів, у той час як в Іа підгрупі було однократне введення КСКМ. Іншим можливим фактором може бути недостатня доза КСКМ, яка була обрана орієнтовно за результатами  експерименту.</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Нормалізація інших досліджуваних показників (ваги, ІМТ, вуглеводного та жирового обміну) пояснюється не тільки застосуванням КСКМ або тестостерону ундеконату. Це лише один складник комплексного лікування. Велике значення також мали призначення цукрознижувальних препаратів, раціональне харчування, оптимізація фізичної активності та способу життя. Ретельний інструктаж усіх хворих у цьому аспекті та постійний контроль з боку лікаря-дослідника сприяв прихильності пацієнтів до дотримання наданих рекомендацій, що, безсумнівно, вплинуло на кінцевий результат лікування.</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Таким чином, перша клінічна апробація клітинної терапії з інтратестикулярною трансплантацією суспензії КСКМ свідчить про високий лікувальний потенціал цього методу та перспективу його застосування  в клінічній практиці при різноманітних андрогендефіцитних станах. Особливо доцільним цей метод лікування може бути для чоловіків, що бажають зберегти фертильність та мають плани зачаття дитини.</w:t>
      </w:r>
    </w:p>
    <w:p w:rsidR="001C43D0" w:rsidRPr="00CE0A20" w:rsidRDefault="001C43D0" w:rsidP="001C43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З іншого боку, потрібні подальші клінічні дослідження для більш ретельного аналізу стану здоров’я чоловіків, що отримували клітинну терапію, для з’ясування оптимальної кількості КСКМ з метою відновлення рівня тестостерону залежно від його вихідного рівня, що й є перспективою подальших досліджень.</w:t>
      </w:r>
    </w:p>
    <w:p w:rsidR="001C43D0" w:rsidRPr="00CE0A20" w:rsidRDefault="001C43D0" w:rsidP="001C43D0">
      <w:pPr>
        <w:spacing w:line="360" w:lineRule="auto"/>
        <w:ind w:firstLine="709"/>
        <w:jc w:val="both"/>
        <w:rPr>
          <w:rFonts w:ascii="Times New Roman" w:hAnsi="Times New Roman" w:cs="Times New Roman"/>
          <w:color w:val="000000" w:themeColor="text1"/>
          <w:sz w:val="28"/>
          <w:szCs w:val="28"/>
          <w:lang w:val="uk-UA"/>
        </w:rPr>
      </w:pPr>
    </w:p>
    <w:p w:rsidR="001C43D0" w:rsidRPr="00CE0A20" w:rsidRDefault="001C43D0" w:rsidP="001C43D0">
      <w:pPr>
        <w:widowControl w:val="0"/>
        <w:spacing w:line="360" w:lineRule="auto"/>
        <w:jc w:val="center"/>
        <w:rPr>
          <w:rFonts w:ascii="Times New Roman" w:hAnsi="Times New Roman" w:cs="Times New Roman"/>
          <w:b/>
          <w:bCs/>
          <w:color w:val="000000" w:themeColor="text1"/>
          <w:sz w:val="28"/>
          <w:szCs w:val="28"/>
          <w:lang w:val="uk-UA"/>
        </w:rPr>
      </w:pPr>
      <w:r w:rsidRPr="00CE0A20">
        <w:rPr>
          <w:rFonts w:ascii="Times New Roman" w:hAnsi="Times New Roman" w:cs="Times New Roman"/>
          <w:color w:val="000000" w:themeColor="text1"/>
          <w:sz w:val="28"/>
          <w:szCs w:val="28"/>
          <w:lang w:val="uk-UA" w:eastAsia="en-US"/>
        </w:rPr>
        <w:br w:type="page"/>
      </w:r>
      <w:r w:rsidRPr="00CE0A20">
        <w:rPr>
          <w:rFonts w:ascii="Times New Roman" w:hAnsi="Times New Roman" w:cs="Times New Roman"/>
          <w:b/>
          <w:bCs/>
          <w:color w:val="000000" w:themeColor="text1"/>
          <w:sz w:val="28"/>
          <w:szCs w:val="28"/>
          <w:lang w:val="uk-UA"/>
        </w:rPr>
        <w:t>ВИСНОВКИ</w:t>
      </w:r>
    </w:p>
    <w:p w:rsidR="001C43D0" w:rsidRPr="00CE0A20" w:rsidRDefault="001C43D0" w:rsidP="001C43D0">
      <w:pPr>
        <w:widowControl w:val="0"/>
        <w:spacing w:line="360" w:lineRule="auto"/>
        <w:jc w:val="center"/>
        <w:rPr>
          <w:rFonts w:ascii="Times New Roman" w:hAnsi="Times New Roman" w:cs="Times New Roman"/>
          <w:bCs/>
          <w:color w:val="000000" w:themeColor="text1"/>
          <w:sz w:val="28"/>
          <w:szCs w:val="28"/>
          <w:lang w:val="uk-UA"/>
        </w:rPr>
      </w:pPr>
    </w:p>
    <w:p w:rsidR="001C43D0" w:rsidRPr="00CE0A20" w:rsidRDefault="001C43D0" w:rsidP="001C43D0">
      <w:pPr>
        <w:spacing w:line="360" w:lineRule="auto"/>
        <w:ind w:firstLine="708"/>
        <w:jc w:val="both"/>
        <w:rPr>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sz w:val="28"/>
          <w:szCs w:val="28"/>
          <w:lang w:val="uk-UA"/>
        </w:rPr>
        <w:t xml:space="preserve">У дисертації представлено теоретичне обґрунтування й нове вирішення питання </w:t>
      </w:r>
      <w:r w:rsidRPr="00CE0A20">
        <w:rPr>
          <w:rFonts w:ascii="Times New Roman" w:hAnsi="Times New Roman" w:cs="Times New Roman"/>
          <w:color w:val="000000" w:themeColor="text1"/>
          <w:sz w:val="28"/>
          <w:szCs w:val="28"/>
          <w:lang w:val="uk-UA" w:eastAsia="uk-UA"/>
        </w:rPr>
        <w:t>поліпшення ефективності лікування еректильної дисфункції на тлі дефіциту тестостерону у хворих з цукровим діабетом та надлишковою масою тіла шляхом експери</w:t>
      </w:r>
      <w:r w:rsidRPr="00CE0A20">
        <w:rPr>
          <w:rFonts w:ascii="Times New Roman" w:hAnsi="Times New Roman" w:cs="Times New Roman"/>
          <w:color w:val="000000" w:themeColor="text1"/>
          <w:sz w:val="28"/>
          <w:szCs w:val="28"/>
          <w:lang w:val="uk-UA" w:eastAsia="uk-UA"/>
        </w:rPr>
        <w:softHyphen/>
        <w:t>ментального розроблення та клінічної апробації методу клітинної терапії із застосуванням клітин строми кісткового мозку</w:t>
      </w:r>
      <w:r w:rsidRPr="00CE0A20">
        <w:rPr>
          <w:rFonts w:ascii="Times New Roman" w:hAnsi="Times New Roman" w:cs="Times New Roman"/>
          <w:color w:val="000000" w:themeColor="text1"/>
          <w:sz w:val="28"/>
          <w:szCs w:val="28"/>
          <w:lang w:val="uk-UA"/>
        </w:rPr>
        <w:t xml:space="preserve">. </w:t>
      </w:r>
    </w:p>
    <w:p w:rsidR="001C43D0" w:rsidRPr="00CE0A20" w:rsidRDefault="001C43D0" w:rsidP="001C43D0">
      <w:pPr>
        <w:widowControl w:val="0"/>
        <w:numPr>
          <w:ilvl w:val="0"/>
          <w:numId w:val="32"/>
        </w:numPr>
        <w:tabs>
          <w:tab w:val="left" w:pos="1134"/>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Обов’язковим етапом розроблення нових методів лікування є відтворення експери</w:t>
      </w:r>
      <w:r w:rsidRPr="00CE0A20">
        <w:rPr>
          <w:rFonts w:ascii="Times New Roman" w:hAnsi="Times New Roman" w:cs="Times New Roman"/>
          <w:color w:val="000000" w:themeColor="text1"/>
          <w:sz w:val="28"/>
          <w:szCs w:val="28"/>
          <w:lang w:val="uk-UA" w:eastAsia="en-US"/>
        </w:rPr>
        <w:softHyphen/>
        <w:t xml:space="preserve">ментальної моделі патології, максимально наближеної до реальних умов. Одноразове інтраперитонеальне введення </w:t>
      </w:r>
      <w:r w:rsidRPr="00CE0A20">
        <w:rPr>
          <w:rFonts w:ascii="Times New Roman" w:hAnsi="Times New Roman" w:cs="Times New Roman"/>
          <w:color w:val="000000" w:themeColor="text1"/>
          <w:sz w:val="28"/>
          <w:szCs w:val="28"/>
          <w:lang w:val="en-US" w:eastAsia="en-US"/>
        </w:rPr>
        <w:t>CdCl</w:t>
      </w:r>
      <w:r w:rsidRPr="00CE0A20">
        <w:rPr>
          <w:rFonts w:ascii="Times New Roman" w:hAnsi="Times New Roman" w:cs="Times New Roman"/>
          <w:color w:val="000000" w:themeColor="text1"/>
          <w:sz w:val="28"/>
          <w:szCs w:val="28"/>
          <w:vertAlign w:val="subscript"/>
          <w:lang w:val="uk-UA" w:eastAsia="en-US"/>
        </w:rPr>
        <w:t>2</w:t>
      </w:r>
      <w:r w:rsidRPr="00CE0A20">
        <w:rPr>
          <w:rFonts w:ascii="Times New Roman" w:hAnsi="Times New Roman" w:cs="Times New Roman"/>
          <w:color w:val="000000" w:themeColor="text1"/>
          <w:sz w:val="28"/>
          <w:szCs w:val="28"/>
          <w:lang w:val="uk-UA" w:eastAsia="en-US"/>
        </w:rPr>
        <w:t xml:space="preserve"> в дозі 150 мкг/100 г ваги експериментальної тварини (самця білого щура) завдяки гонадотоксичній дії спричиняє достовірне зменшення концентрації тестостерону в 2,3 раза (</w:t>
      </w:r>
      <w:r w:rsidRPr="00CE0A20">
        <w:rPr>
          <w:rFonts w:ascii="Times New Roman" w:hAnsi="Times New Roman" w:cs="Times New Roman"/>
          <w:color w:val="000000" w:themeColor="text1"/>
          <w:sz w:val="28"/>
          <w:szCs w:val="28"/>
          <w:lang w:val="en-US" w:eastAsia="en-US"/>
        </w:rPr>
        <w:t>p</w:t>
      </w:r>
      <w:r w:rsidRPr="00CE0A20">
        <w:rPr>
          <w:rFonts w:ascii="Times New Roman" w:hAnsi="Times New Roman" w:cs="Times New Roman"/>
          <w:color w:val="000000" w:themeColor="text1"/>
          <w:sz w:val="28"/>
          <w:szCs w:val="28"/>
          <w:lang w:val="uk-UA" w:eastAsia="en-US"/>
        </w:rPr>
        <w:t>&lt;0,001) порівняно з інтактними тваринами та збільшення концентрації естрадіолу в 2 рази (</w:t>
      </w:r>
      <w:r w:rsidRPr="00CE0A20">
        <w:rPr>
          <w:rFonts w:ascii="Times New Roman" w:hAnsi="Times New Roman" w:cs="Times New Roman"/>
          <w:color w:val="000000" w:themeColor="text1"/>
          <w:sz w:val="28"/>
          <w:szCs w:val="28"/>
          <w:lang w:val="en-US" w:eastAsia="en-US"/>
        </w:rPr>
        <w:t>p</w:t>
      </w:r>
      <w:r w:rsidRPr="00CE0A20">
        <w:rPr>
          <w:rFonts w:ascii="Times New Roman" w:hAnsi="Times New Roman" w:cs="Times New Roman"/>
          <w:color w:val="000000" w:themeColor="text1"/>
          <w:sz w:val="28"/>
          <w:szCs w:val="28"/>
          <w:lang w:val="uk-UA" w:eastAsia="en-US"/>
        </w:rPr>
        <w:t xml:space="preserve">&lt;0,001), що зберігалось до 28-ї доби експерименту. При цьому показники загальнотоксичної дії </w:t>
      </w:r>
      <w:r w:rsidRPr="00CE0A20">
        <w:rPr>
          <w:rFonts w:ascii="Times New Roman" w:hAnsi="Times New Roman" w:cs="Times New Roman"/>
          <w:color w:val="000000" w:themeColor="text1"/>
          <w:sz w:val="28"/>
          <w:szCs w:val="28"/>
          <w:lang w:val="en-US" w:eastAsia="en-US"/>
        </w:rPr>
        <w:t>CdCl</w:t>
      </w:r>
      <w:r w:rsidRPr="00CE0A20">
        <w:rPr>
          <w:rFonts w:ascii="Times New Roman" w:hAnsi="Times New Roman" w:cs="Times New Roman"/>
          <w:color w:val="000000" w:themeColor="text1"/>
          <w:sz w:val="28"/>
          <w:szCs w:val="28"/>
          <w:vertAlign w:val="subscript"/>
          <w:lang w:val="uk-UA" w:eastAsia="en-US"/>
        </w:rPr>
        <w:t xml:space="preserve">2 </w:t>
      </w:r>
      <w:r w:rsidRPr="00CE0A20">
        <w:rPr>
          <w:rFonts w:ascii="Times New Roman" w:hAnsi="Times New Roman" w:cs="Times New Roman"/>
          <w:color w:val="000000" w:themeColor="text1"/>
          <w:sz w:val="28"/>
          <w:szCs w:val="28"/>
          <w:lang w:val="uk-UA" w:eastAsia="en-US"/>
        </w:rPr>
        <w:t>залишалися стабільними протягом усього експерименту.</w:t>
      </w:r>
    </w:p>
    <w:p w:rsidR="001C43D0" w:rsidRPr="00CE0A20" w:rsidRDefault="001C43D0" w:rsidP="001C43D0">
      <w:pPr>
        <w:widowControl w:val="0"/>
        <w:numPr>
          <w:ilvl w:val="0"/>
          <w:numId w:val="32"/>
        </w:numPr>
        <w:tabs>
          <w:tab w:val="left" w:pos="1134"/>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 xml:space="preserve"> Інтраперитонеальне введення </w:t>
      </w:r>
      <w:r w:rsidRPr="00CE0A20">
        <w:rPr>
          <w:rFonts w:ascii="Times New Roman" w:hAnsi="Times New Roman" w:cs="Times New Roman"/>
          <w:color w:val="000000" w:themeColor="text1"/>
          <w:sz w:val="28"/>
          <w:szCs w:val="28"/>
          <w:lang w:val="en-US" w:eastAsia="en-US"/>
        </w:rPr>
        <w:t>CdCl</w:t>
      </w:r>
      <w:r w:rsidRPr="00CE0A20">
        <w:rPr>
          <w:rFonts w:ascii="Times New Roman" w:hAnsi="Times New Roman" w:cs="Times New Roman"/>
          <w:color w:val="000000" w:themeColor="text1"/>
          <w:sz w:val="28"/>
          <w:szCs w:val="28"/>
          <w:vertAlign w:val="subscript"/>
          <w:lang w:val="uk-UA" w:eastAsia="en-US"/>
        </w:rPr>
        <w:t xml:space="preserve">2  </w:t>
      </w:r>
      <w:r w:rsidRPr="00CE0A20">
        <w:rPr>
          <w:rFonts w:ascii="Times New Roman" w:hAnsi="Times New Roman" w:cs="Times New Roman"/>
          <w:color w:val="000000" w:themeColor="text1"/>
          <w:sz w:val="28"/>
          <w:szCs w:val="28"/>
          <w:lang w:val="uk-UA" w:eastAsia="en-US"/>
        </w:rPr>
        <w:t>в дозі 150 мкг/100 г ваги тварини призводить до морфологічних змін тестикулярної тканини: на тлі зменшення ваги статевих органів на 7-у  добу після введення токсину виявлено виразну деструкцію більшості сім'яних канальців з атрофією сім’яного епітелію, деструкцію клітин Сертолі, надмірну проліферацію клітин Лейдіга з ознаками функціональної недостатності та заміщення інтерстиціальної тканини сполучною тканиною. На 14-у та 28-у добу експерименту ці зміни залишалися стабільними без ознак відновлення.</w:t>
      </w:r>
    </w:p>
    <w:p w:rsidR="001C43D0" w:rsidRPr="00CE0A20" w:rsidRDefault="001C43D0" w:rsidP="001C43D0">
      <w:pPr>
        <w:widowControl w:val="0"/>
        <w:numPr>
          <w:ilvl w:val="0"/>
          <w:numId w:val="32"/>
        </w:numPr>
        <w:tabs>
          <w:tab w:val="left" w:pos="1134"/>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Інтратестикулярне введення по 200 000 клітин строми кісткового мозку в обидва яєчка виявилось ефективним методом лікування експериментального андрогенного дефіциту. Через 28 діб після введення КСКМ рівень тестостерону збільшився до 22,6±7,0 нмоль/мл, а рівень естрадіолу зменшився до 0,21±0,07 пг/мл, що не відрізнялось від аналогічних показників інтактних тварин (</w:t>
      </w:r>
      <w:r w:rsidRPr="00CE0A20">
        <w:rPr>
          <w:rFonts w:ascii="Times New Roman" w:hAnsi="Times New Roman" w:cs="Times New Roman"/>
          <w:color w:val="000000" w:themeColor="text1"/>
          <w:sz w:val="28"/>
          <w:szCs w:val="28"/>
          <w:lang w:val="en-US" w:eastAsia="en-US"/>
        </w:rPr>
        <w:t>p</w:t>
      </w:r>
      <w:r w:rsidRPr="00CE0A20">
        <w:rPr>
          <w:rFonts w:ascii="Times New Roman" w:hAnsi="Times New Roman" w:cs="Times New Roman"/>
          <w:color w:val="000000" w:themeColor="text1"/>
          <w:sz w:val="28"/>
          <w:szCs w:val="28"/>
          <w:lang w:val="uk-UA" w:eastAsia="en-US"/>
        </w:rPr>
        <w:t xml:space="preserve">&gt;0,05 за </w:t>
      </w:r>
      <w:r w:rsidRPr="00CE0A20">
        <w:rPr>
          <w:rFonts w:ascii="Times New Roman" w:hAnsi="Times New Roman" w:cs="Times New Roman"/>
          <w:color w:val="000000" w:themeColor="text1"/>
          <w:sz w:val="28"/>
          <w:szCs w:val="28"/>
          <w:lang w:val="en-US" w:eastAsia="en-US"/>
        </w:rPr>
        <w:t>t</w:t>
      </w:r>
      <w:r w:rsidRPr="00CE0A20">
        <w:rPr>
          <w:rFonts w:ascii="Times New Roman" w:hAnsi="Times New Roman" w:cs="Times New Roman"/>
          <w:color w:val="000000" w:themeColor="text1"/>
          <w:sz w:val="28"/>
          <w:szCs w:val="28"/>
          <w:lang w:val="uk-UA" w:eastAsia="en-US"/>
        </w:rPr>
        <w:t>-критерієм). При гістологічному дослідженні сім’яників у цей термін експери</w:t>
      </w:r>
      <w:r w:rsidRPr="00CE0A20">
        <w:rPr>
          <w:rFonts w:ascii="Times New Roman" w:hAnsi="Times New Roman" w:cs="Times New Roman"/>
          <w:color w:val="000000" w:themeColor="text1"/>
          <w:sz w:val="28"/>
          <w:szCs w:val="28"/>
          <w:lang w:val="uk-UA" w:eastAsia="en-US"/>
        </w:rPr>
        <w:softHyphen/>
        <w:t>менту виявлено нормалізацію розмірів сім’яних канальців, відновлення шарів сперматогенного епітелію, клітин Сертолі, диференціювання сперматид, наявність нормохромних клітин Лейдіга у навколосудинній стромі, а також нормалізацію морфометричних показників сперматогенезу.</w:t>
      </w:r>
    </w:p>
    <w:p w:rsidR="001C43D0" w:rsidRPr="00CE0A20" w:rsidRDefault="001C43D0" w:rsidP="001C43D0">
      <w:pPr>
        <w:widowControl w:val="0"/>
        <w:numPr>
          <w:ilvl w:val="0"/>
          <w:numId w:val="32"/>
        </w:numPr>
        <w:tabs>
          <w:tab w:val="left" w:pos="1134"/>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Модель експериментального андрогенного дефіциту спричинювала пригнічення копулятивної поведінки експериментальних тварин. Введення 200 000 клітин строми кісткового мозку обумовлювали нормалізацію показників копулятивної поведінки (КС, КІ, ЛПЕ, КЕ  та МКІ), які на 28-у добу після трансплантації КСКМ не відрізнялися від аналогічних показників інтактних тварин (</w:t>
      </w:r>
      <w:r w:rsidRPr="00CE0A20">
        <w:rPr>
          <w:rFonts w:ascii="Times New Roman" w:hAnsi="Times New Roman" w:cs="Times New Roman"/>
          <w:color w:val="000000" w:themeColor="text1"/>
          <w:sz w:val="28"/>
          <w:szCs w:val="28"/>
          <w:lang w:val="en-US" w:eastAsia="en-US"/>
        </w:rPr>
        <w:t>p</w:t>
      </w:r>
      <w:r w:rsidRPr="00CE0A20">
        <w:rPr>
          <w:rFonts w:ascii="Times New Roman" w:hAnsi="Times New Roman" w:cs="Times New Roman"/>
          <w:color w:val="000000" w:themeColor="text1"/>
          <w:sz w:val="28"/>
          <w:szCs w:val="28"/>
          <w:lang w:val="uk-UA" w:eastAsia="en-US"/>
        </w:rPr>
        <w:t xml:space="preserve">&gt;0,05 за </w:t>
      </w:r>
      <w:r w:rsidRPr="00CE0A20">
        <w:rPr>
          <w:rFonts w:ascii="Times New Roman" w:hAnsi="Times New Roman" w:cs="Times New Roman"/>
          <w:color w:val="000000" w:themeColor="text1"/>
          <w:sz w:val="28"/>
          <w:szCs w:val="28"/>
          <w:lang w:val="en-US" w:eastAsia="en-US"/>
        </w:rPr>
        <w:t>t</w:t>
      </w:r>
      <w:r w:rsidRPr="00CE0A20">
        <w:rPr>
          <w:rFonts w:ascii="Times New Roman" w:hAnsi="Times New Roman" w:cs="Times New Roman"/>
          <w:color w:val="000000" w:themeColor="text1"/>
          <w:sz w:val="28"/>
          <w:szCs w:val="28"/>
          <w:lang w:val="uk-UA" w:eastAsia="en-US"/>
        </w:rPr>
        <w:t>-критерієм).</w:t>
      </w:r>
    </w:p>
    <w:p w:rsidR="001C43D0" w:rsidRPr="00CE0A20" w:rsidRDefault="001C43D0" w:rsidP="001C43D0">
      <w:pPr>
        <w:widowControl w:val="0"/>
        <w:numPr>
          <w:ilvl w:val="0"/>
          <w:numId w:val="32"/>
        </w:numPr>
        <w:tabs>
          <w:tab w:val="left" w:pos="1134"/>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Виникнення та збереження лікувального ефекту трансплантованих стовбурових клітин при експериментальному андрогенному дефіциті доведено завдяки вивченню трекінгу КСКМ, які експресують зелений флюоресцентний білок (</w:t>
      </w:r>
      <w:r w:rsidRPr="00CE0A20">
        <w:rPr>
          <w:rFonts w:ascii="Times New Roman" w:hAnsi="Times New Roman" w:cs="Times New Roman"/>
          <w:color w:val="000000" w:themeColor="text1"/>
          <w:sz w:val="28"/>
          <w:szCs w:val="28"/>
          <w:lang w:val="en-US" w:eastAsia="en-US"/>
        </w:rPr>
        <w:t>GFP</w:t>
      </w:r>
      <w:r w:rsidRPr="00CE0A20">
        <w:rPr>
          <w:rFonts w:ascii="Times New Roman" w:hAnsi="Times New Roman" w:cs="Times New Roman"/>
          <w:color w:val="000000" w:themeColor="text1"/>
          <w:sz w:val="28"/>
          <w:szCs w:val="28"/>
          <w:lang w:val="uk-UA" w:eastAsia="en-US"/>
        </w:rPr>
        <w:t xml:space="preserve">).  Одразу після  введення </w:t>
      </w:r>
      <w:r w:rsidRPr="00CE0A20">
        <w:rPr>
          <w:rFonts w:ascii="Times New Roman" w:hAnsi="Times New Roman" w:cs="Times New Roman"/>
          <w:color w:val="000000" w:themeColor="text1"/>
          <w:sz w:val="28"/>
          <w:szCs w:val="28"/>
          <w:lang w:val="en-US" w:eastAsia="en-US"/>
        </w:rPr>
        <w:t>ex</w:t>
      </w:r>
      <w:r w:rsidRPr="00CE0A20">
        <w:rPr>
          <w:rFonts w:ascii="Times New Roman" w:hAnsi="Times New Roman" w:cs="Times New Roman"/>
          <w:color w:val="000000" w:themeColor="text1"/>
          <w:sz w:val="28"/>
          <w:szCs w:val="28"/>
          <w:lang w:val="uk-UA" w:eastAsia="en-US"/>
        </w:rPr>
        <w:t xml:space="preserve"> </w:t>
      </w:r>
      <w:r w:rsidRPr="00CE0A20">
        <w:rPr>
          <w:rFonts w:ascii="Times New Roman" w:hAnsi="Times New Roman" w:cs="Times New Roman"/>
          <w:color w:val="000000" w:themeColor="text1"/>
          <w:sz w:val="28"/>
          <w:szCs w:val="28"/>
          <w:lang w:val="en-US" w:eastAsia="en-US"/>
        </w:rPr>
        <w:t>vivo</w:t>
      </w:r>
      <w:r w:rsidRPr="00CE0A20">
        <w:rPr>
          <w:rFonts w:ascii="Times New Roman" w:hAnsi="Times New Roman" w:cs="Times New Roman"/>
          <w:color w:val="000000" w:themeColor="text1"/>
          <w:sz w:val="28"/>
          <w:szCs w:val="28"/>
          <w:lang w:val="uk-UA" w:eastAsia="en-US"/>
        </w:rPr>
        <w:t>, через 1 добу, 14 діб та 28 діб після інтратестикулярного введення КСКМ виявлялися в міжканальцевому просторі яєчок, що відповідає звичайному розподілу стовбурових клітин, а тривалість активного світіння свідчить про їхню активність.</w:t>
      </w:r>
    </w:p>
    <w:p w:rsidR="001C43D0" w:rsidRPr="00CE0A20" w:rsidRDefault="001C43D0" w:rsidP="001C43D0">
      <w:pPr>
        <w:widowControl w:val="0"/>
        <w:numPr>
          <w:ilvl w:val="0"/>
          <w:numId w:val="32"/>
        </w:numPr>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 xml:space="preserve">В експериментальних тварин, які у віці 10–20 тижнів отримали токсичне ураження </w:t>
      </w:r>
      <w:r w:rsidRPr="00CE0A20">
        <w:rPr>
          <w:rFonts w:ascii="Times New Roman" w:hAnsi="Times New Roman" w:cs="Times New Roman"/>
          <w:color w:val="000000" w:themeColor="text1"/>
          <w:sz w:val="28"/>
          <w:szCs w:val="28"/>
          <w:lang w:val="en-US" w:eastAsia="en-US"/>
        </w:rPr>
        <w:t>CdCl</w:t>
      </w:r>
      <w:r w:rsidRPr="00CE0A20">
        <w:rPr>
          <w:rFonts w:ascii="Times New Roman" w:hAnsi="Times New Roman" w:cs="Times New Roman"/>
          <w:color w:val="000000" w:themeColor="text1"/>
          <w:sz w:val="28"/>
          <w:szCs w:val="28"/>
          <w:vertAlign w:val="subscript"/>
          <w:lang w:val="uk-UA" w:eastAsia="en-US"/>
        </w:rPr>
        <w:t xml:space="preserve">2 </w:t>
      </w:r>
      <w:r w:rsidRPr="00CE0A20">
        <w:rPr>
          <w:rFonts w:ascii="Times New Roman" w:hAnsi="Times New Roman" w:cs="Times New Roman"/>
          <w:color w:val="000000" w:themeColor="text1"/>
          <w:sz w:val="28"/>
          <w:szCs w:val="28"/>
          <w:lang w:val="uk-UA" w:eastAsia="en-US"/>
        </w:rPr>
        <w:t xml:space="preserve"> з подальшим  лікуванням за допомогою інтратестикулярної трансплантації КСКМ, після природної загибелі у віці 33–36 тижнів, була досліджена  морфоструктура сім’яників, яка не відрізнялася від морфоструктури сім’яників інтактних тварин відповідного віку, в окремих випадках спосте</w:t>
      </w:r>
      <w:r w:rsidRPr="00CE0A20">
        <w:rPr>
          <w:rFonts w:ascii="Times New Roman" w:hAnsi="Times New Roman" w:cs="Times New Roman"/>
          <w:color w:val="000000" w:themeColor="text1"/>
          <w:sz w:val="28"/>
          <w:szCs w:val="28"/>
          <w:lang w:val="uk-UA" w:eastAsia="en-US"/>
        </w:rPr>
        <w:softHyphen/>
        <w:t>рігалася гіпертрофія частини клітин Лейдіга в міжканальцевих локусах. Ознак пухлинного росту в статевих органах у цей термін не виявлено. Свідченням відновлення регенераційної функції тестикулярної тканини є результати гістологічного дослідження сім’яників експериментальних тварин після ток</w:t>
      </w:r>
      <w:r w:rsidRPr="00CE0A20">
        <w:rPr>
          <w:rFonts w:ascii="Times New Roman" w:hAnsi="Times New Roman" w:cs="Times New Roman"/>
          <w:color w:val="000000" w:themeColor="text1"/>
          <w:sz w:val="28"/>
          <w:szCs w:val="28"/>
          <w:lang w:val="uk-UA" w:eastAsia="en-US"/>
        </w:rPr>
        <w:softHyphen/>
        <w:t>сичного ура</w:t>
      </w:r>
      <w:r w:rsidRPr="00CE0A20">
        <w:rPr>
          <w:rFonts w:ascii="Times New Roman" w:hAnsi="Times New Roman" w:cs="Times New Roman"/>
          <w:color w:val="000000" w:themeColor="text1"/>
          <w:sz w:val="28"/>
          <w:szCs w:val="28"/>
          <w:lang w:val="uk-UA" w:eastAsia="en-US"/>
        </w:rPr>
        <w:softHyphen/>
        <w:t>ження.</w:t>
      </w:r>
    </w:p>
    <w:p w:rsidR="001C43D0" w:rsidRPr="00CE0A20" w:rsidRDefault="001C43D0" w:rsidP="001C43D0">
      <w:pPr>
        <w:widowControl w:val="0"/>
        <w:numPr>
          <w:ilvl w:val="0"/>
          <w:numId w:val="32"/>
        </w:numPr>
        <w:tabs>
          <w:tab w:val="left" w:pos="1134"/>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Корекція андрогенного дефіциту у  хворих на цукровий діабет  2-го типу та з надлишковою вагою сприяє нормалізації індексу маси тіла, поліпшенню показників вугле</w:t>
      </w:r>
      <w:r w:rsidRPr="00CE0A20">
        <w:rPr>
          <w:rFonts w:ascii="Times New Roman" w:hAnsi="Times New Roman" w:cs="Times New Roman"/>
          <w:color w:val="000000" w:themeColor="text1"/>
          <w:sz w:val="28"/>
          <w:szCs w:val="28"/>
          <w:lang w:val="uk-UA" w:eastAsia="en-US"/>
        </w:rPr>
        <w:softHyphen/>
        <w:t>водного та жирового обмінів, спричиняє достовірне збільшення концентрації загального тестостерону в сироватці крові до 24-го тижня з 3,9±1,2 до 14,0±1,9 нмоль/мл та з 4,1±1,3 до 16,9±2,3 нмоль/мл (</w:t>
      </w:r>
      <w:r w:rsidRPr="00CE0A20">
        <w:rPr>
          <w:rFonts w:ascii="Times New Roman" w:hAnsi="Times New Roman" w:cs="Times New Roman"/>
          <w:color w:val="000000" w:themeColor="text1"/>
          <w:sz w:val="28"/>
          <w:szCs w:val="28"/>
          <w:lang w:val="en-US" w:eastAsia="en-US"/>
        </w:rPr>
        <w:t>p</w:t>
      </w:r>
      <w:r w:rsidRPr="00CE0A20">
        <w:rPr>
          <w:rFonts w:ascii="Times New Roman" w:hAnsi="Times New Roman" w:cs="Times New Roman"/>
          <w:color w:val="000000" w:themeColor="text1"/>
          <w:sz w:val="28"/>
          <w:szCs w:val="28"/>
          <w:lang w:val="uk-UA" w:eastAsia="en-US"/>
        </w:rPr>
        <w:t xml:space="preserve"> &lt; 0,05) відповідно в групах одноразового введення аутоКСКМ та у пацієнтів, які отримували ГЗТ із застосуванням двох внутрішньом’язових ін’єкцій тестостерону ундеконату. Суттєвих небажаних подій та побічних ефектів ГЗТ під час дослідження не спостерігали.  </w:t>
      </w:r>
    </w:p>
    <w:p w:rsidR="001C43D0" w:rsidRPr="00CE0A20" w:rsidRDefault="001C43D0" w:rsidP="001C43D0">
      <w:pPr>
        <w:widowControl w:val="0"/>
        <w:numPr>
          <w:ilvl w:val="0"/>
          <w:numId w:val="32"/>
        </w:numPr>
        <w:tabs>
          <w:tab w:val="left" w:pos="1134"/>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За результатами клінічної апробації запропонованого методу клітинної терапії у хворих з еректильною дисфункцією на тлі андрогенного  дефіциту, цукрового діабету 2-го типу та надлишкової маси тіла визначено, що  одноразова трансплан</w:t>
      </w:r>
      <w:r w:rsidRPr="00CE0A20">
        <w:rPr>
          <w:rFonts w:ascii="Times New Roman" w:hAnsi="Times New Roman" w:cs="Times New Roman"/>
          <w:color w:val="000000" w:themeColor="text1"/>
          <w:sz w:val="28"/>
          <w:szCs w:val="28"/>
          <w:lang w:val="uk-UA" w:eastAsia="en-US"/>
        </w:rPr>
        <w:softHyphen/>
        <w:t>тація аутологічних КСКМ в обидва яєчка сприяє покращенню еректильної функції з достовірним збільшенням показника МІЕФ через 4 тижні на 25,8%, через 12 тижнів – на 57,3% та збереженням позитивної динаміки до 24-го тижня після лікування.</w:t>
      </w:r>
    </w:p>
    <w:p w:rsidR="001C43D0" w:rsidRPr="00CE0A20" w:rsidRDefault="001C43D0" w:rsidP="001C43D0">
      <w:pPr>
        <w:widowControl w:val="0"/>
        <w:numPr>
          <w:ilvl w:val="0"/>
          <w:numId w:val="32"/>
        </w:numPr>
        <w:tabs>
          <w:tab w:val="left" w:pos="1134"/>
        </w:tabs>
        <w:spacing w:line="360" w:lineRule="auto"/>
        <w:ind w:left="0" w:firstLine="709"/>
        <w:contextualSpacing/>
        <w:jc w:val="both"/>
        <w:rPr>
          <w:rFonts w:ascii="Times New Roman" w:hAnsi="Times New Roman" w:cs="Times New Roman"/>
          <w:color w:val="000000" w:themeColor="text1"/>
          <w:sz w:val="28"/>
          <w:szCs w:val="28"/>
          <w:lang w:val="uk-UA" w:eastAsia="en-US"/>
        </w:rPr>
      </w:pPr>
      <w:r w:rsidRPr="00CE0A20">
        <w:rPr>
          <w:rFonts w:ascii="Times New Roman" w:hAnsi="Times New Roman" w:cs="Times New Roman"/>
          <w:color w:val="000000" w:themeColor="text1"/>
          <w:sz w:val="28"/>
          <w:szCs w:val="28"/>
          <w:lang w:val="uk-UA" w:eastAsia="en-US"/>
        </w:rPr>
        <w:t>Клітинна терапія з інтратестикулярною трансплан</w:t>
      </w:r>
      <w:r w:rsidRPr="00CE0A20">
        <w:rPr>
          <w:rFonts w:ascii="Times New Roman" w:hAnsi="Times New Roman" w:cs="Times New Roman"/>
          <w:color w:val="000000" w:themeColor="text1"/>
          <w:sz w:val="28"/>
          <w:szCs w:val="28"/>
          <w:lang w:val="uk-UA" w:eastAsia="en-US"/>
        </w:rPr>
        <w:softHyphen/>
        <w:t>тацією аутоло</w:t>
      </w:r>
      <w:r w:rsidRPr="00CE0A20">
        <w:rPr>
          <w:rFonts w:ascii="Times New Roman" w:hAnsi="Times New Roman" w:cs="Times New Roman"/>
          <w:color w:val="000000" w:themeColor="text1"/>
          <w:sz w:val="28"/>
          <w:szCs w:val="28"/>
          <w:lang w:val="uk-UA" w:eastAsia="en-US"/>
        </w:rPr>
        <w:softHyphen/>
        <w:t>гічних КСКМ є перспективним напрямком лікування андроген-дефіцитних станів у чоловіків, які бажають зберегти фертильність або мають інші обмеження для застосування ГЗТ з використанням препаратів тестостерону.</w:t>
      </w:r>
    </w:p>
    <w:p w:rsidR="001C43D0" w:rsidRPr="00CE0A20" w:rsidRDefault="001C43D0" w:rsidP="001C43D0">
      <w:pPr>
        <w:widowControl w:val="0"/>
        <w:spacing w:line="360" w:lineRule="auto"/>
        <w:ind w:firstLine="709"/>
        <w:jc w:val="center"/>
        <w:rPr>
          <w:rFonts w:ascii="Times New Roman" w:hAnsi="Times New Roman" w:cs="Times New Roman"/>
          <w:bCs/>
          <w:color w:val="000000" w:themeColor="text1"/>
          <w:sz w:val="28"/>
          <w:szCs w:val="28"/>
          <w:lang w:val="uk-UA"/>
        </w:rPr>
      </w:pPr>
    </w:p>
    <w:p w:rsidR="001C43D0" w:rsidRPr="00CE0A20" w:rsidRDefault="001C43D0" w:rsidP="001C43D0">
      <w:pPr>
        <w:spacing w:after="200" w:line="276" w:lineRule="auto"/>
        <w:rPr>
          <w:rFonts w:ascii="Times New Roman" w:hAnsi="Times New Roman" w:cs="Times New Roman"/>
          <w:b/>
          <w:bCs/>
          <w:color w:val="000000" w:themeColor="text1"/>
          <w:sz w:val="28"/>
          <w:szCs w:val="28"/>
          <w:lang w:val="uk-UA"/>
        </w:rPr>
      </w:pPr>
      <w:r w:rsidRPr="00CE0A20">
        <w:rPr>
          <w:rFonts w:ascii="Times New Roman" w:hAnsi="Times New Roman" w:cs="Times New Roman"/>
          <w:b/>
          <w:bCs/>
          <w:color w:val="000000" w:themeColor="text1"/>
          <w:sz w:val="28"/>
          <w:szCs w:val="28"/>
          <w:lang w:val="uk-UA"/>
        </w:rPr>
        <w:br w:type="page"/>
      </w:r>
    </w:p>
    <w:p w:rsidR="001C43D0" w:rsidRPr="00CE0A20" w:rsidRDefault="001C43D0" w:rsidP="001C43D0">
      <w:pPr>
        <w:widowControl w:val="0"/>
        <w:spacing w:line="360" w:lineRule="auto"/>
        <w:ind w:firstLine="709"/>
        <w:jc w:val="center"/>
        <w:rPr>
          <w:rFonts w:ascii="Times New Roman" w:hAnsi="Times New Roman" w:cs="Times New Roman"/>
          <w:b/>
          <w:bCs/>
          <w:color w:val="000000" w:themeColor="text1"/>
          <w:sz w:val="28"/>
          <w:szCs w:val="28"/>
          <w:lang w:val="uk-UA"/>
        </w:rPr>
      </w:pPr>
      <w:r w:rsidRPr="00CE0A20">
        <w:rPr>
          <w:rFonts w:ascii="Times New Roman" w:hAnsi="Times New Roman" w:cs="Times New Roman"/>
          <w:b/>
          <w:bCs/>
          <w:color w:val="000000" w:themeColor="text1"/>
          <w:sz w:val="28"/>
          <w:szCs w:val="28"/>
          <w:lang w:val="uk-UA"/>
        </w:rPr>
        <w:t>ПРАКТИЧНІ РЕКОМЕНДАЦІЇ</w:t>
      </w:r>
    </w:p>
    <w:p w:rsidR="001C43D0" w:rsidRPr="00CE0A20" w:rsidRDefault="001C43D0" w:rsidP="001C43D0">
      <w:pPr>
        <w:widowControl w:val="0"/>
        <w:spacing w:line="360" w:lineRule="auto"/>
        <w:ind w:firstLine="709"/>
        <w:jc w:val="center"/>
        <w:rPr>
          <w:rFonts w:ascii="Times New Roman" w:hAnsi="Times New Roman" w:cs="Times New Roman"/>
          <w:b/>
          <w:bCs/>
          <w:color w:val="000000" w:themeColor="text1"/>
          <w:sz w:val="28"/>
          <w:szCs w:val="28"/>
          <w:lang w:val="uk-UA"/>
        </w:rPr>
      </w:pPr>
    </w:p>
    <w:p w:rsidR="001C43D0" w:rsidRPr="00CE0A20" w:rsidRDefault="001C43D0" w:rsidP="001C43D0">
      <w:pPr>
        <w:widowControl w:val="0"/>
        <w:numPr>
          <w:ilvl w:val="0"/>
          <w:numId w:val="33"/>
        </w:numPr>
        <w:tabs>
          <w:tab w:val="left" w:pos="1134"/>
        </w:tabs>
        <w:spacing w:line="360" w:lineRule="auto"/>
        <w:ind w:left="0" w:firstLine="709"/>
        <w:contextualSpacing/>
        <w:jc w:val="both"/>
        <w:rPr>
          <w:rFonts w:ascii="Times New Roman" w:hAnsi="Times New Roman" w:cs="Times New Roman"/>
          <w:bCs/>
          <w:color w:val="000000" w:themeColor="text1"/>
          <w:sz w:val="28"/>
          <w:szCs w:val="28"/>
          <w:lang w:val="uk-UA" w:eastAsia="en-US"/>
        </w:rPr>
      </w:pPr>
      <w:r w:rsidRPr="00CE0A20">
        <w:rPr>
          <w:rFonts w:ascii="Times New Roman" w:hAnsi="Times New Roman" w:cs="Times New Roman"/>
          <w:bCs/>
          <w:color w:val="000000" w:themeColor="text1"/>
          <w:sz w:val="28"/>
          <w:szCs w:val="28"/>
          <w:lang w:val="uk-UA" w:eastAsia="en-US"/>
        </w:rPr>
        <w:t>При зверненні чоловіків з приводу появи симптомів еректильної дисфункції необхідне ретельне загальноклінічне та лабораторне обстеження з визначенням можливої причини сексуальних розладів.</w:t>
      </w:r>
    </w:p>
    <w:p w:rsidR="001C43D0" w:rsidRPr="00CE0A20" w:rsidRDefault="001C43D0" w:rsidP="001C43D0">
      <w:pPr>
        <w:widowControl w:val="0"/>
        <w:numPr>
          <w:ilvl w:val="0"/>
          <w:numId w:val="33"/>
        </w:numPr>
        <w:tabs>
          <w:tab w:val="left" w:pos="1134"/>
        </w:tabs>
        <w:spacing w:line="360" w:lineRule="auto"/>
        <w:ind w:left="0" w:firstLine="709"/>
        <w:contextualSpacing/>
        <w:jc w:val="both"/>
        <w:rPr>
          <w:rFonts w:ascii="Times New Roman" w:hAnsi="Times New Roman" w:cs="Times New Roman"/>
          <w:bCs/>
          <w:color w:val="000000" w:themeColor="text1"/>
          <w:sz w:val="28"/>
          <w:szCs w:val="28"/>
          <w:lang w:val="uk-UA" w:eastAsia="en-US"/>
        </w:rPr>
      </w:pPr>
      <w:r w:rsidRPr="00CE0A20">
        <w:rPr>
          <w:rFonts w:ascii="Times New Roman" w:hAnsi="Times New Roman" w:cs="Times New Roman"/>
          <w:bCs/>
          <w:color w:val="000000" w:themeColor="text1"/>
          <w:sz w:val="28"/>
          <w:szCs w:val="28"/>
          <w:lang w:val="uk-UA" w:eastAsia="en-US"/>
        </w:rPr>
        <w:t>Обов’язковим компонентом первинного обстеження чоловіків з еректильною дисфункцією є виявлення симптомів гіпогонадизму та визначення концентрації тестостерону в сироватці крові.</w:t>
      </w:r>
    </w:p>
    <w:p w:rsidR="001C43D0" w:rsidRPr="00CE0A20" w:rsidRDefault="001C43D0" w:rsidP="001C43D0">
      <w:pPr>
        <w:widowControl w:val="0"/>
        <w:numPr>
          <w:ilvl w:val="0"/>
          <w:numId w:val="33"/>
        </w:numPr>
        <w:tabs>
          <w:tab w:val="left" w:pos="1134"/>
        </w:tabs>
        <w:spacing w:line="360" w:lineRule="auto"/>
        <w:ind w:left="0" w:firstLine="709"/>
        <w:contextualSpacing/>
        <w:jc w:val="both"/>
        <w:rPr>
          <w:rFonts w:ascii="Times New Roman" w:hAnsi="Times New Roman" w:cs="Times New Roman"/>
          <w:bCs/>
          <w:color w:val="000000" w:themeColor="text1"/>
          <w:sz w:val="28"/>
          <w:szCs w:val="28"/>
          <w:lang w:val="uk-UA" w:eastAsia="en-US"/>
        </w:rPr>
      </w:pPr>
      <w:r w:rsidRPr="00CE0A20">
        <w:rPr>
          <w:rFonts w:ascii="Times New Roman" w:hAnsi="Times New Roman" w:cs="Times New Roman"/>
          <w:bCs/>
          <w:color w:val="000000" w:themeColor="text1"/>
          <w:sz w:val="28"/>
          <w:szCs w:val="28"/>
          <w:lang w:val="uk-UA" w:eastAsia="en-US"/>
        </w:rPr>
        <w:t>За наявності у хворих з еректильною дисфункцією зниження рівня загального тестостерону та клінічних ознак гіпогонадизму, супутньої патології, насамперед, цукрового діабету, метаболічного синдрому, ожиріння й серцево-судинних захворювань, необхідною є гормонозамісна терапія тестостероном.</w:t>
      </w:r>
    </w:p>
    <w:p w:rsidR="001C43D0" w:rsidRPr="00CE0A20" w:rsidRDefault="001C43D0" w:rsidP="001C43D0">
      <w:pPr>
        <w:widowControl w:val="0"/>
        <w:numPr>
          <w:ilvl w:val="0"/>
          <w:numId w:val="33"/>
        </w:numPr>
        <w:tabs>
          <w:tab w:val="left" w:pos="1134"/>
        </w:tabs>
        <w:spacing w:line="360" w:lineRule="auto"/>
        <w:ind w:left="0" w:firstLine="709"/>
        <w:contextualSpacing/>
        <w:jc w:val="both"/>
        <w:rPr>
          <w:rFonts w:ascii="Times New Roman" w:hAnsi="Times New Roman" w:cs="Times New Roman"/>
          <w:bCs/>
          <w:color w:val="000000" w:themeColor="text1"/>
          <w:sz w:val="28"/>
          <w:szCs w:val="28"/>
          <w:lang w:val="uk-UA" w:eastAsia="en-US"/>
        </w:rPr>
      </w:pPr>
      <w:r w:rsidRPr="00CE0A20">
        <w:rPr>
          <w:rFonts w:ascii="Times New Roman" w:hAnsi="Times New Roman" w:cs="Times New Roman"/>
          <w:bCs/>
          <w:color w:val="000000" w:themeColor="text1"/>
          <w:sz w:val="28"/>
          <w:szCs w:val="28"/>
          <w:lang w:val="uk-UA" w:eastAsia="en-US"/>
        </w:rPr>
        <w:t>У чоловіків з еректильною дисфункцією та гіпогонадизмом з метою лікування слід розглянути альтернативні методи, зокрема, клітинну терапію із застосуванням аутологічних клітин строми кісткового мозку, особливо у випадках бажання хворого зберегти або відновити фертильність.</w:t>
      </w:r>
    </w:p>
    <w:p w:rsidR="001C43D0" w:rsidRPr="00CE0A20" w:rsidRDefault="001C43D0" w:rsidP="001C43D0">
      <w:pPr>
        <w:spacing w:after="160" w:line="256" w:lineRule="auto"/>
        <w:jc w:val="center"/>
        <w:rPr>
          <w:rFonts w:ascii="Times New Roman" w:hAnsi="Times New Roman" w:cs="Times New Roman"/>
          <w:bCs/>
          <w:color w:val="000000" w:themeColor="text1"/>
          <w:sz w:val="28"/>
          <w:szCs w:val="28"/>
          <w:lang w:val="uk-UA" w:eastAsia="en-US"/>
        </w:rPr>
      </w:pPr>
    </w:p>
    <w:p w:rsidR="001C43D0" w:rsidRPr="00CE0A20" w:rsidRDefault="001C43D0">
      <w:pPr>
        <w:spacing w:after="200" w:line="276" w:lineRule="auto"/>
        <w:rPr>
          <w:rFonts w:ascii="Times New Roman" w:hAnsi="Times New Roman" w:cs="Times New Roman"/>
          <w:bCs/>
          <w:color w:val="000000" w:themeColor="text1"/>
          <w:sz w:val="28"/>
          <w:szCs w:val="28"/>
          <w:lang w:val="uk-UA" w:eastAsia="en-US"/>
        </w:rPr>
      </w:pPr>
      <w:r w:rsidRPr="00CE0A20">
        <w:rPr>
          <w:rFonts w:ascii="Times New Roman" w:hAnsi="Times New Roman" w:cs="Times New Roman"/>
          <w:bCs/>
          <w:color w:val="000000" w:themeColor="text1"/>
          <w:sz w:val="28"/>
          <w:szCs w:val="28"/>
          <w:lang w:val="uk-UA" w:eastAsia="en-US"/>
        </w:rPr>
        <w:br w:type="page"/>
      </w:r>
    </w:p>
    <w:p w:rsidR="001C43D0" w:rsidRPr="00CE0A20" w:rsidRDefault="001C43D0" w:rsidP="001C43D0">
      <w:pPr>
        <w:spacing w:line="360" w:lineRule="auto"/>
        <w:ind w:firstLine="709"/>
        <w:jc w:val="center"/>
        <w:rPr>
          <w:rFonts w:ascii="Times New Roman" w:hAnsi="Times New Roman" w:cs="Times New Roman"/>
          <w:b/>
          <w:bCs/>
          <w:color w:val="000000" w:themeColor="text1"/>
          <w:sz w:val="28"/>
          <w:szCs w:val="28"/>
          <w:lang w:val="uk-UA" w:eastAsia="en-US"/>
        </w:rPr>
      </w:pPr>
      <w:r w:rsidRPr="00CE0A20">
        <w:rPr>
          <w:rFonts w:ascii="Times New Roman" w:hAnsi="Times New Roman" w:cs="Times New Roman"/>
          <w:b/>
          <w:bCs/>
          <w:color w:val="000000" w:themeColor="text1"/>
          <w:sz w:val="28"/>
          <w:szCs w:val="28"/>
          <w:lang w:val="uk-UA" w:eastAsia="en-US"/>
        </w:rPr>
        <w:t>СПИСОК ВИКОРИСТАНИХ ЛІТЕРАТУРНИХ ДЖЕРЕЛ</w:t>
      </w:r>
    </w:p>
    <w:p w:rsidR="00CF7496" w:rsidRPr="00CE0A20" w:rsidRDefault="00CF7496" w:rsidP="00631D82">
      <w:pPr>
        <w:spacing w:line="360" w:lineRule="auto"/>
        <w:ind w:left="709"/>
        <w:jc w:val="center"/>
        <w:rPr>
          <w:rFonts w:ascii="Times New Roman" w:hAnsi="Times New Roman" w:cs="Times New Roman"/>
          <w:color w:val="000000" w:themeColor="text1"/>
          <w:sz w:val="28"/>
          <w:szCs w:val="28"/>
          <w:lang w:val="uk-UA"/>
        </w:rPr>
      </w:pP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Аметов АС, Камынина ЛЛ, Ахмедова ЗГ. Глюкозо- и липотоксичность – взаимоотягощающие факторы при сочетании сахарного диабета типа 2 и ожирения. Врач, 2014,4:21-23.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Аметов АС, Камынина ЛЛ, Рождественская ОА, Пашкова ЕЮ. Мужское здоровье при сахарном диабете 2-го типа: фокус на метаболические и антиоксидантные свойства тестостерона. Медицинский Совет. 2016;03:66-71.</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shd w:val="clear" w:color="auto" w:fill="FFFFFF"/>
          <w:lang w:val="uk-UA"/>
        </w:rPr>
        <w:t xml:space="preserve">Антонян ИМ, Хвисюк АН. Сегодня и завтра регенерационно-клеточной медицины. </w:t>
      </w:r>
      <w:r w:rsidRPr="00CE0A20">
        <w:rPr>
          <w:rFonts w:ascii="Times New Roman" w:eastAsia="Times New Roman" w:hAnsi="Times New Roman" w:cs="Times New Roman"/>
          <w:bCs/>
          <w:color w:val="000000" w:themeColor="text1"/>
          <w:shd w:val="clear" w:color="auto" w:fill="FFFFFF"/>
          <w:lang w:val="uk-UA"/>
        </w:rPr>
        <w:t xml:space="preserve">Дерматовенерология, косметология, сексопатология. </w:t>
      </w:r>
      <w:r w:rsidRPr="00CE0A20">
        <w:rPr>
          <w:rFonts w:ascii="Times New Roman" w:eastAsia="Times New Roman" w:hAnsi="Times New Roman" w:cs="Times New Roman"/>
          <w:color w:val="000000" w:themeColor="text1"/>
          <w:shd w:val="clear" w:color="auto" w:fill="FFFFFF"/>
          <w:lang w:val="uk-UA"/>
        </w:rPr>
        <w:t xml:space="preserve"> </w:t>
      </w:r>
      <w:r w:rsidRPr="00CE0A20">
        <w:rPr>
          <w:rFonts w:ascii="Times New Roman" w:eastAsia="Times New Roman" w:hAnsi="Times New Roman" w:cs="Times New Roman"/>
          <w:bCs/>
          <w:color w:val="000000" w:themeColor="text1"/>
          <w:shd w:val="clear" w:color="auto" w:fill="FFFFFF"/>
          <w:lang w:val="uk-UA"/>
        </w:rPr>
        <w:t xml:space="preserve">2005; 1/2: </w:t>
      </w:r>
      <w:r w:rsidRPr="00CE0A20">
        <w:rPr>
          <w:rFonts w:ascii="Times New Roman" w:eastAsia="Times New Roman" w:hAnsi="Times New Roman" w:cs="Times New Roman"/>
          <w:color w:val="000000" w:themeColor="text1"/>
          <w:shd w:val="clear" w:color="auto" w:fill="FFFFFF"/>
          <w:lang w:val="uk-UA"/>
        </w:rPr>
        <w:t xml:space="preserve">201-204.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ИМ, Зеленский АИ, Белов ВЮ, Налбандян ТА, Горячая ВА, Михайлюта  АА.  </w:t>
      </w:r>
      <w:r w:rsidRPr="00CE0A20">
        <w:rPr>
          <w:rFonts w:ascii="Times New Roman" w:eastAsia="Times New Roman" w:hAnsi="Times New Roman" w:cs="Times New Roman"/>
          <w:bCs/>
          <w:color w:val="000000" w:themeColor="text1"/>
          <w:lang w:val="uk-UA"/>
        </w:rPr>
        <w:t>Урологические аспекты метаболического синдрома</w:t>
      </w:r>
      <w:r w:rsidRPr="00CE0A20">
        <w:rPr>
          <w:rFonts w:ascii="Times New Roman" w:eastAsia="Times New Roman" w:hAnsi="Times New Roman" w:cs="Times New Roman"/>
          <w:color w:val="000000" w:themeColor="text1"/>
          <w:shd w:val="clear" w:color="auto" w:fill="F9F9F9"/>
          <w:lang w:val="uk-UA"/>
        </w:rPr>
        <w:t xml:space="preserve">. </w:t>
      </w:r>
      <w:r w:rsidRPr="00CE0A20">
        <w:rPr>
          <w:rFonts w:ascii="Times New Roman" w:eastAsia="Times New Roman" w:hAnsi="Times New Roman" w:cs="Times New Roman"/>
          <w:color w:val="000000" w:themeColor="text1"/>
          <w:lang w:val="uk-UA"/>
        </w:rPr>
        <w:t xml:space="preserve">Здоровье мужчины. 2014; 2: 165.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iCs/>
          <w:color w:val="000000" w:themeColor="text1"/>
          <w:lang w:val="uk-UA"/>
        </w:rPr>
        <w:t>Антонян ИМ, Кешишян СА.  С</w:t>
      </w:r>
      <w:r w:rsidRPr="00CE0A20">
        <w:rPr>
          <w:rFonts w:ascii="Times New Roman" w:eastAsia="Times New Roman" w:hAnsi="Times New Roman" w:cs="Times New Roman"/>
          <w:bCs/>
          <w:color w:val="000000" w:themeColor="text1"/>
          <w:lang w:val="uk-UA"/>
        </w:rPr>
        <w:t xml:space="preserve">уществуют ли альтернативы заместительной андрогенной терапии. </w:t>
      </w:r>
      <w:r w:rsidRPr="00CE0A20">
        <w:rPr>
          <w:rFonts w:ascii="Times New Roman" w:eastAsia="Times New Roman" w:hAnsi="Times New Roman" w:cs="Times New Roman"/>
          <w:color w:val="000000" w:themeColor="text1"/>
          <w:lang w:val="uk-UA"/>
        </w:rPr>
        <w:t>Урологія, андрологія, нефрологія – 2013: Материалы научно-практической конференции.</w:t>
      </w:r>
      <w:r w:rsidRPr="00CE0A20">
        <w:rPr>
          <w:rFonts w:ascii="Times New Roman" w:eastAsia="Times New Roman" w:hAnsi="Times New Roman" w:cs="Times New Roman"/>
          <w:iCs/>
          <w:color w:val="000000" w:themeColor="text1"/>
          <w:lang w:val="uk-UA"/>
        </w:rPr>
        <w:t xml:space="preserve"> Под ред. В.Н.Лесового, И.М.Антоняна и др. Харьков, 2013. </w:t>
      </w:r>
      <w:r w:rsidRPr="00CE0A20">
        <w:rPr>
          <w:rFonts w:ascii="Times New Roman" w:eastAsia="Times New Roman" w:hAnsi="Times New Roman" w:cs="Times New Roman"/>
          <w:bCs/>
          <w:color w:val="000000" w:themeColor="text1"/>
          <w:lang w:val="uk-UA"/>
        </w:rPr>
        <w:t xml:space="preserve">219 -222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iCs/>
          <w:color w:val="000000" w:themeColor="text1"/>
          <w:lang w:val="uk-UA"/>
        </w:rPr>
        <w:t xml:space="preserve">Антонян ИМ, Лесовой ВН.  </w:t>
      </w:r>
      <w:r w:rsidRPr="00CE0A20">
        <w:rPr>
          <w:rFonts w:ascii="Times New Roman" w:eastAsia="Times New Roman" w:hAnsi="Times New Roman" w:cs="Times New Roman"/>
          <w:color w:val="000000" w:themeColor="text1"/>
          <w:lang w:val="uk-UA"/>
        </w:rPr>
        <w:t>Эффективность и безопасность использо</w:t>
      </w:r>
      <w:r w:rsidRPr="00CE0A20">
        <w:rPr>
          <w:rFonts w:ascii="Times New Roman" w:eastAsia="Times New Roman" w:hAnsi="Times New Roman" w:cs="Times New Roman"/>
          <w:color w:val="000000" w:themeColor="text1"/>
          <w:lang w:val="uk-UA"/>
        </w:rPr>
        <w:softHyphen/>
        <w:t>ва</w:t>
      </w:r>
      <w:r w:rsidRPr="00CE0A20">
        <w:rPr>
          <w:rFonts w:ascii="Times New Roman" w:eastAsia="Times New Roman" w:hAnsi="Times New Roman" w:cs="Times New Roman"/>
          <w:color w:val="000000" w:themeColor="text1"/>
          <w:lang w:val="uk-UA"/>
        </w:rPr>
        <w:softHyphen/>
        <w:t>ния клеток стромы костного мозга для коррекции андрогенного дефицита у больных сахарным диабетом. В зб.: Урологія, андрологія, нефрологія – 2017: мат. науч.-практ. конф. Під ред. В.М.Лісового, І.М.Антоняна та ін. Харків, 2017. 67-70</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ИМ, Мошель ФГ. Ефективність використання уденафіла у пацієнтів з невдалим досвідом лікування еректильної дисфункції ІФДЕ». В кн.: Матеріали науково-практичної конференції з міжнародною участю. Дніпро, 2018. Урологія. 2018; 86(3):  131-132.</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ИМ, Омельченко ЕА, Забирняк ИС. Изменения гормонального статуса животных в условиях андрогенного дефицита под влиянием сингенной культуры стволовых клеток. Трекинг и флуоресцентный имиджинг клеток EX VIVO/IN VIVO. Український журнал медицини, біології та спорту.  2017; 2 (4):7-15.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ИМ, Россихин ВВ, Бухмин АВ, Мегера ВВ, Якубовский</w:t>
      </w:r>
      <w:r w:rsidRPr="00CE0A20">
        <w:rPr>
          <w:rFonts w:ascii="Times New Roman" w:eastAsia="Times New Roman" w:hAnsi="Times New Roman" w:cs="Times New Roman"/>
          <w:bCs/>
          <w:color w:val="000000" w:themeColor="text1"/>
          <w:lang w:val="uk-UA"/>
        </w:rPr>
        <w:t xml:space="preserve"> </w:t>
      </w:r>
      <w:r w:rsidRPr="00CE0A20">
        <w:rPr>
          <w:rFonts w:ascii="Times New Roman" w:eastAsia="Times New Roman" w:hAnsi="Times New Roman" w:cs="Times New Roman"/>
          <w:color w:val="000000" w:themeColor="text1"/>
          <w:lang w:val="uk-UA"/>
        </w:rPr>
        <w:t>ВН.</w:t>
      </w:r>
      <w:r w:rsidRPr="00CE0A20">
        <w:rPr>
          <w:rFonts w:ascii="Times New Roman" w:eastAsia="Times New Roman" w:hAnsi="Times New Roman" w:cs="Times New Roman"/>
          <w:color w:val="000000" w:themeColor="text1"/>
          <w:shd w:val="clear" w:color="auto" w:fill="F9F9F9"/>
          <w:lang w:val="uk-UA"/>
        </w:rPr>
        <w:t xml:space="preserve"> </w:t>
      </w:r>
      <w:r w:rsidRPr="00CE0A20">
        <w:rPr>
          <w:rFonts w:ascii="Times New Roman" w:eastAsia="Times New Roman" w:hAnsi="Times New Roman" w:cs="Times New Roman"/>
          <w:bCs/>
          <w:color w:val="000000" w:themeColor="text1"/>
          <w:lang w:val="uk-UA"/>
        </w:rPr>
        <w:t>Применение препаратов альфа-липоевой кислоты для лечения эректильной дисфункции у больных сахарным диабетом 2-го типа.</w:t>
      </w:r>
      <w:r w:rsidRPr="00CE0A20">
        <w:rPr>
          <w:rFonts w:ascii="Times New Roman" w:eastAsia="Times New Roman" w:hAnsi="Times New Roman" w:cs="Times New Roman"/>
          <w:color w:val="000000" w:themeColor="text1"/>
          <w:lang w:val="uk-UA"/>
        </w:rPr>
        <w:t xml:space="preserve"> Здоровье мужчины</w:t>
      </w:r>
      <w:r w:rsidRPr="00CE0A20">
        <w:rPr>
          <w:rFonts w:ascii="Times New Roman" w:eastAsia="Times New Roman" w:hAnsi="Times New Roman" w:cs="Times New Roman"/>
          <w:color w:val="000000" w:themeColor="text1"/>
          <w:shd w:val="clear" w:color="auto" w:fill="F9F9F9"/>
          <w:lang w:val="uk-UA"/>
        </w:rPr>
        <w:t xml:space="preserve">. </w:t>
      </w:r>
      <w:r w:rsidRPr="00CE0A20">
        <w:rPr>
          <w:rFonts w:ascii="Times New Roman" w:eastAsia="Times New Roman" w:hAnsi="Times New Roman" w:cs="Times New Roman"/>
          <w:color w:val="000000" w:themeColor="text1"/>
          <w:lang w:val="uk-UA"/>
        </w:rPr>
        <w:t xml:space="preserve">2016; 3: 43-46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ИМ, Хвисюк АН, Микулинский ЮЕ, Антонян МИ Трансплантология: история и современность. Проблеми медичної науки та освіти.  2005;2:67-70</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ИМ, Хвисюк АН. О становлении трансплантологии в Украине: юридические аспекты. Международный медицинский журнал. 2005; 2:148-151.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Franklin Gothic Heavy" w:hAnsi="Times New Roman" w:cs="Times New Roman"/>
          <w:iCs/>
          <w:color w:val="000000" w:themeColor="text1"/>
          <w:shd w:val="clear" w:color="auto" w:fill="FFFFFF"/>
          <w:lang w:val="uk-UA"/>
        </w:rPr>
        <w:t xml:space="preserve">Антонян ИМ. </w:t>
      </w:r>
      <w:r w:rsidRPr="00CE0A20">
        <w:rPr>
          <w:rFonts w:ascii="Times New Roman" w:eastAsia="Times New Roman" w:hAnsi="Times New Roman" w:cs="Times New Roman"/>
          <w:color w:val="000000" w:themeColor="text1"/>
          <w:lang w:val="uk-UA"/>
        </w:rPr>
        <w:t xml:space="preserve">Возможности применения стволовых клеток для коррекции вторичного андрогенного дефицита у крыс. Вісник проблем біології і медицини. 2013;2 (100): 112-115.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ИМ. Изучение ферментов перекисного окисления липидов в эксперименте по подбору эффективной дозы хлорида кадмия для создания модели мужского бесплодия у самцов крыс. Проблеми сучасної медичної науки та освіти. 2009;4:66-69.</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ИМ. Определение эффективной концентрации кадмия хлорида для создания модели необратимого бесплодия у самцов крыс. Проблеми сучасної медичної науки та освіти. 2010; 1:48-57.</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ИМ. Регенерационная медицина: проблемы и решения. Харківська хірургічна школа. 2005; 3 (18):82-85.</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ИМ. Роль стромальных стволовых клеток при лечении экспериментального гипогонадизма. Урологія. 2015; 19( 3): 311-314.</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ИМ. Эффективность и безопасность комбинированной терапии андрогенного дефицита и эректильной дисфункции у больных сахарным диабетом. В кн.: Урологія, андрологія, нефрологія – досягнення, проблеми, шляхи вирішення: мат. науч.-практ. конф. Під ред. В.М.Лісового, І.М.Антоняна та ін. – Харків, 2018.  103-108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Березна ТВ, Чепенко АВ.  Шляхи корекції чоловічого безпліддя на тлі метаболічного синдрому та високого індексу маси тіла. Актуал. пробл. сучасн. мед. : Вісн. Укр. мед. стомат. акад. 2016; 16(4 (1): 55-57.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Березна ТВ, Чепенко АВ. Оцінка рівнів статевих гормонів та ліпідного профілю у чоловіків із безпліддям на тлі метаболічного синдрому та високого індексу маси тіла. Міжнародний медичний журнал.  2016;22(4):42-45.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Березна ТВ. Зміни кровообігу у чоловіків на тлі метаболічного синдрому та явищ патоспермії. В зб.: Сучасні методи діагностики та лікування в урології, андрології та онкоурології: мат. науч.-практ. конф  з міжнар. участю. Дніпро, 2017.  Урологія. 2017; 21( 2):  105-106.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Волчік ІВ, Лар’яновська ЮБ. Вивчення морфоструктури сім’яників щурів під впливом стовбурових клітин на моделі вторинного андрогенного дефіциту. Український медичний альманах. 2012;15 (3): 18-23.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Волчік ІВ, Омельченко ОА. Використання клітинних технологій для корекції копулятивної поведінки тварин в експерименті.  Урологія. 2014; 18(2): 20-23.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Забірник АС, Омельченко ОА, Волчик ІВ. Визначення шляхів введення клітини строми кісткового мозку та підтвердження їх трекінгу на моделі вторинного андрогенного дефіциту у щурів. В Зб.: Урологія, андрологія, нефрологія – 2016: мат. науч.-практ. конф. </w:t>
      </w:r>
      <w:r w:rsidRPr="00CE0A20">
        <w:rPr>
          <w:rFonts w:ascii="Times New Roman" w:eastAsia="Times New Roman" w:hAnsi="Times New Roman" w:cs="Times New Roman"/>
          <w:iCs/>
          <w:color w:val="000000" w:themeColor="text1"/>
          <w:lang w:val="uk-UA"/>
        </w:rPr>
        <w:t xml:space="preserve">Под ред. В.Н.Лесового, И.М.Антоняна и др. – Харьков, 2016. </w:t>
      </w:r>
      <w:r w:rsidRPr="00CE0A20">
        <w:rPr>
          <w:rFonts w:ascii="Times New Roman" w:eastAsia="Times New Roman" w:hAnsi="Times New Roman" w:cs="Times New Roman"/>
          <w:bCs/>
          <w:color w:val="000000" w:themeColor="text1"/>
          <w:lang w:val="uk-UA"/>
        </w:rPr>
        <w:t xml:space="preserve">280-281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Лісовий ВМ, Мікулинський ЮЮ. Спосіб моделювання чоловічого необоротного безпліддя у щурів. </w:t>
      </w:r>
      <w:r w:rsidRPr="00CE0A20">
        <w:rPr>
          <w:rFonts w:ascii="Times New Roman" w:eastAsia="Times New Roman" w:hAnsi="Times New Roman" w:cs="Times New Roman"/>
          <w:bCs/>
          <w:color w:val="000000" w:themeColor="text1"/>
          <w:lang w:val="uk-UA"/>
        </w:rPr>
        <w:t xml:space="preserve">Деклараційний патент на корисну модель №57337. Опубл.: </w:t>
      </w:r>
      <w:r w:rsidRPr="00CE0A20">
        <w:rPr>
          <w:rFonts w:ascii="Times New Roman" w:eastAsia="Times New Roman" w:hAnsi="Times New Roman" w:cs="Times New Roman"/>
          <w:color w:val="000000" w:themeColor="text1"/>
          <w:lang w:val="uk-UA"/>
        </w:rPr>
        <w:t xml:space="preserve"> Бюл.№ 4 від 25.02.11 р. </w:t>
      </w:r>
    </w:p>
    <w:p w:rsidR="002B0E91" w:rsidRPr="00CE0A20" w:rsidRDefault="002B0E91"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Вивчення впливу інтратестикулярного введення культури стовбурових клітин на стан піддослідних щурів на тлі їх ураження двохлористим кадмієм. Вісник проблем біології і медицини. 2012; 1(3): 125-130.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Мікулінський ЮЮ, Омельченко ОА, Забірник АП, Панібратцева СГ. Технології трекінгу клітин строми кісткового мозку щурів при інтратестікулярній трансплантації: методичні рекомендації.  Харків, 2017. 17 с. </w:t>
      </w:r>
    </w:p>
    <w:p w:rsidR="002B0E91" w:rsidRPr="00CE0A20" w:rsidRDefault="002B0E91"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hAnsi="Times New Roman" w:cs="Times New Roman"/>
          <w:lang w:val="uk-UA"/>
        </w:rPr>
        <w:t>Антонян ИМ, Мошель ФГ.  Уденафил как препарат выбора для лечения эректильной дисфункции у пациентов с неудачным опытом применения ИФДЕ-</w:t>
      </w:r>
      <w:r w:rsidRPr="00CE0A20">
        <w:rPr>
          <w:rFonts w:ascii="Times New Roman" w:hAnsi="Times New Roman" w:cs="Times New Roman"/>
          <w:caps/>
          <w:lang w:val="uk-UA"/>
        </w:rPr>
        <w:t xml:space="preserve">5 </w:t>
      </w:r>
      <w:r w:rsidRPr="00CE0A20">
        <w:rPr>
          <w:rFonts w:ascii="Times New Roman" w:eastAsia="Times New Roman" w:hAnsi="Times New Roman" w:cs="Times New Roman"/>
          <w:color w:val="000000" w:themeColor="text1"/>
          <w:lang w:val="uk-UA"/>
        </w:rPr>
        <w:t xml:space="preserve">В Зб.: Урологія, андрологія, нефрологія </w:t>
      </w:r>
      <w:r w:rsidRPr="00CE0A20">
        <w:rPr>
          <w:rFonts w:ascii="Times New Roman" w:hAnsi="Times New Roman" w:cs="Times New Roman"/>
        </w:rPr>
        <w:t>– досягнення, проблеми, шляхи вирішення</w:t>
      </w:r>
      <w:r w:rsidRPr="00CE0A20">
        <w:rPr>
          <w:rFonts w:ascii="Times New Roman" w:hAnsi="Times New Roman" w:cs="Times New Roman"/>
          <w:lang w:val="uk-UA"/>
        </w:rPr>
        <w:t xml:space="preserve"> </w:t>
      </w:r>
      <w:r w:rsidRPr="00CE0A20">
        <w:rPr>
          <w:rFonts w:ascii="Times New Roman" w:hAnsi="Times New Roman" w:cs="Times New Roman"/>
        </w:rPr>
        <w:t>:</w:t>
      </w:r>
      <w:r w:rsidRPr="00CE0A20">
        <w:rPr>
          <w:rFonts w:ascii="Times New Roman" w:hAnsi="Times New Roman" w:cs="Times New Roman"/>
          <w:lang w:val="uk-UA"/>
        </w:rPr>
        <w:t xml:space="preserve"> </w:t>
      </w:r>
      <w:r w:rsidRPr="00CE0A20">
        <w:rPr>
          <w:rFonts w:ascii="Times New Roman" w:eastAsia="Times New Roman" w:hAnsi="Times New Roman" w:cs="Times New Roman"/>
          <w:color w:val="000000" w:themeColor="text1"/>
          <w:lang w:val="uk-UA"/>
        </w:rPr>
        <w:t xml:space="preserve">мат. науч.-практ. конф. </w:t>
      </w:r>
      <w:r w:rsidRPr="00CE0A20">
        <w:rPr>
          <w:rFonts w:ascii="Times New Roman" w:eastAsia="Times New Roman" w:hAnsi="Times New Roman" w:cs="Times New Roman"/>
          <w:iCs/>
          <w:color w:val="000000" w:themeColor="text1"/>
          <w:lang w:val="uk-UA"/>
        </w:rPr>
        <w:t xml:space="preserve">Под ред. В.Н.Лесового, И.М.Антоняна и др. – Харьков,  </w:t>
      </w:r>
      <w:r w:rsidRPr="00CE0A20">
        <w:rPr>
          <w:rFonts w:ascii="Times New Roman" w:hAnsi="Times New Roman" w:cs="Times New Roman"/>
        </w:rPr>
        <w:t xml:space="preserve"> 2018. </w:t>
      </w:r>
      <w:r w:rsidRPr="00CE0A20">
        <w:rPr>
          <w:rFonts w:ascii="Times New Roman" w:hAnsi="Times New Roman" w:cs="Times New Roman"/>
          <w:lang w:val="uk-UA"/>
        </w:rPr>
        <w:t>108</w:t>
      </w:r>
      <w:r w:rsidRPr="00CE0A20">
        <w:rPr>
          <w:rFonts w:ascii="Times New Roman" w:hAnsi="Times New Roman" w:cs="Times New Roman"/>
        </w:rPr>
        <w:t>-1</w:t>
      </w:r>
      <w:r w:rsidRPr="00CE0A20">
        <w:rPr>
          <w:rFonts w:ascii="Times New Roman" w:hAnsi="Times New Roman" w:cs="Times New Roman"/>
          <w:lang w:val="uk-UA"/>
        </w:rPr>
        <w:t>12.</w:t>
      </w:r>
      <w:r w:rsidRPr="00CE0A20">
        <w:rPr>
          <w:rFonts w:ascii="Times New Roman" w:hAnsi="Times New Roman" w:cs="Times New Roman"/>
        </w:rPr>
        <w:t xml:space="preserve">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Вивчення впливу інтратестікулярного введення культури стовбурових клітин на стан піддослідних щурів на тлі їх ураження двохлористим кадмієм. Світ медицини та біології.  2012;1: 114-119.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ІМ. Визначення ефективної кількості стовбурових клітин та методу введення для корекції гормональної дисфункції в експерименті на самцях щурів. Проблеми сучасної медичної науки та освіти. 2010;  4:74-76.</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ІМ. Використання культури стовбурових клітин для корекції андрогенного дефіциту в щурів. Проблеми безперервної медичної освіти та науки. 2011;1: 57-59.</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Віддалені результати інтратестикулярного введення клітин строми кісткового мозку щурам з експериментальним гіпогонадизмом. Укр. морфол. альманах. 2012; 10( 2): 82-87.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Антонян ІМ. Дослідження морфоструктури тестикул самців щурів після введення клітин строми кісткового мозку на тлі ураження тварин токсином. Укр. мед. альманах. 2012; 15(4):  30-33.</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Зміни сперматогенного епітелію при застосуванні стовбурових клітин на моделі експериментального гіпогонадизму. Вісник проблем біології і медицини. 2012;1(91):88-90 </w:t>
      </w:r>
    </w:p>
    <w:p w:rsidR="001C43D0" w:rsidRPr="00CE0A20" w:rsidRDefault="001C43D0" w:rsidP="00631D82">
      <w:pPr>
        <w:pStyle w:val="a3"/>
        <w:numPr>
          <w:ilvl w:val="0"/>
          <w:numId w:val="40"/>
        </w:numPr>
        <w:tabs>
          <w:tab w:val="left" w:pos="1134"/>
          <w:tab w:val="left" w:pos="1276"/>
        </w:tabs>
        <w:ind w:right="141"/>
        <w:contextualSpacing/>
        <w:jc w:val="both"/>
        <w:rPr>
          <w:rFonts w:ascii="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Антонян ІМ. Спосіб лікування андрогенного дефіциту у щурів. </w:t>
      </w:r>
      <w:r w:rsidRPr="00CE0A20">
        <w:rPr>
          <w:rFonts w:ascii="Times New Roman" w:eastAsia="Times New Roman" w:hAnsi="Times New Roman" w:cs="Times New Roman"/>
          <w:bCs/>
          <w:color w:val="000000" w:themeColor="text1"/>
          <w:lang w:val="uk-UA"/>
        </w:rPr>
        <w:t>Деклараційний патент на корисну модель №62911. Опубл.:</w:t>
      </w:r>
      <w:r w:rsidRPr="00CE0A20">
        <w:rPr>
          <w:rFonts w:ascii="Times New Roman" w:eastAsia="Times New Roman" w:hAnsi="Times New Roman" w:cs="Times New Roman"/>
          <w:color w:val="000000" w:themeColor="text1"/>
          <w:lang w:val="uk-UA"/>
        </w:rPr>
        <w:t xml:space="preserve"> Бюл.№ 18 від 26.09.2011.</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Бабюк ИА, Яковленко АВ, Кришталь ЕВ,  Цветкова ПД, Абдряхимова ЦБ, Барлова ЛА, и др. Андрогенный дефицит у мужчин: коррекция эректильной и репродуктивной дисфункций. Междуна</w:t>
      </w:r>
      <w:r w:rsidRPr="00CE0A20">
        <w:rPr>
          <w:rFonts w:ascii="Times New Roman" w:hAnsi="Times New Roman" w:cs="Times New Roman"/>
          <w:color w:val="000000" w:themeColor="text1"/>
          <w:lang w:val="uk-UA"/>
        </w:rPr>
        <w:softHyphen/>
        <w:t>родный Медицинский Журнал. 2011;3:18-22.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Божедомов ВА, Гузов ИИ, Теодорович ОВ. Иммунологические причины бездетного брака (обзор литературы). Пробл. репродукции. 2004;6:57-62.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f4"/>
          <w:rFonts w:ascii="Times New Roman" w:hAnsi="Times New Roman" w:cs="Times New Roman"/>
          <w:b w:val="0"/>
          <w:color w:val="000000" w:themeColor="text1"/>
          <w:bdr w:val="none" w:sz="0" w:space="0" w:color="auto" w:frame="1"/>
          <w:lang w:val="uk-UA"/>
        </w:rPr>
        <w:t>Бойко МІ,</w:t>
      </w:r>
      <w:r w:rsidRPr="00CE0A20">
        <w:rPr>
          <w:rFonts w:ascii="Times New Roman" w:hAnsi="Times New Roman" w:cs="Times New Roman"/>
          <w:color w:val="000000" w:themeColor="text1"/>
          <w:lang w:val="uk-UA"/>
        </w:rPr>
        <w:t xml:space="preserve"> </w:t>
      </w:r>
      <w:r w:rsidRPr="00CE0A20">
        <w:rPr>
          <w:rStyle w:val="af4"/>
          <w:rFonts w:ascii="Times New Roman" w:hAnsi="Times New Roman" w:cs="Times New Roman"/>
          <w:b w:val="0"/>
          <w:color w:val="000000" w:themeColor="text1"/>
          <w:bdr w:val="none" w:sz="0" w:space="0" w:color="auto" w:frame="1"/>
          <w:lang w:val="uk-UA"/>
        </w:rPr>
        <w:t xml:space="preserve"> Чорнокульський ІС, Бойко ОМ,</w:t>
      </w:r>
      <w:r w:rsidRPr="00CE0A20">
        <w:rPr>
          <w:rFonts w:ascii="Times New Roman" w:hAnsi="Times New Roman" w:cs="Times New Roman"/>
          <w:color w:val="000000" w:themeColor="text1"/>
          <w:lang w:val="uk-UA"/>
        </w:rPr>
        <w:t xml:space="preserve"> </w:t>
      </w:r>
      <w:r w:rsidRPr="00CE0A20">
        <w:rPr>
          <w:rStyle w:val="af4"/>
          <w:rFonts w:ascii="Times New Roman" w:hAnsi="Times New Roman" w:cs="Times New Roman"/>
          <w:b w:val="0"/>
          <w:color w:val="000000" w:themeColor="text1"/>
          <w:bdr w:val="none" w:sz="0" w:space="0" w:color="auto" w:frame="1"/>
          <w:lang w:val="uk-UA"/>
        </w:rPr>
        <w:t xml:space="preserve"> Giovanni B</w:t>
      </w:r>
      <w:r w:rsidRPr="00CE0A20">
        <w:rPr>
          <w:rFonts w:ascii="Times New Roman" w:hAnsi="Times New Roman" w:cs="Times New Roman"/>
          <w:color w:val="000000" w:themeColor="text1"/>
          <w:lang w:val="uk-UA"/>
        </w:rPr>
        <w:t xml:space="preserve">, </w:t>
      </w:r>
      <w:r w:rsidRPr="00CE0A20">
        <w:rPr>
          <w:rStyle w:val="af4"/>
          <w:rFonts w:ascii="Times New Roman" w:hAnsi="Times New Roman" w:cs="Times New Roman"/>
          <w:b w:val="0"/>
          <w:color w:val="000000" w:themeColor="text1"/>
          <w:bdr w:val="none" w:sz="0" w:space="0" w:color="auto" w:frame="1"/>
          <w:lang w:val="uk-UA"/>
        </w:rPr>
        <w:t xml:space="preserve"> Зарубін ЄВ. </w:t>
      </w:r>
      <w:r w:rsidRPr="00CE0A20">
        <w:rPr>
          <w:rFonts w:ascii="Times New Roman" w:hAnsi="Times New Roman" w:cs="Times New Roman"/>
          <w:color w:val="000000" w:themeColor="text1"/>
          <w:lang w:val="uk-UA"/>
        </w:rPr>
        <w:t xml:space="preserve">Динаміка показників спермограми при лікуванні ідіопатичної чоловічої неплідності препаратом Новофертил. </w:t>
      </w:r>
      <w:r w:rsidRPr="00CE0A20">
        <w:rPr>
          <w:rFonts w:ascii="Times New Roman" w:hAnsi="Times New Roman" w:cs="Times New Roman"/>
          <w:color w:val="000000" w:themeColor="text1"/>
          <w:kern w:val="36"/>
          <w:lang w:val="uk-UA" w:eastAsia="ru-RU"/>
        </w:rPr>
        <w:t>Медичні аспекти здоров’я чоловіка. 201</w:t>
      </w:r>
      <w:r w:rsidRPr="00CE0A20">
        <w:rPr>
          <w:rFonts w:ascii="Times New Roman" w:hAnsi="Times New Roman" w:cs="Times New Roman"/>
          <w:color w:val="000000" w:themeColor="text1"/>
          <w:lang w:val="uk-UA"/>
        </w:rPr>
        <w:t>6</w:t>
      </w:r>
      <w:r w:rsidRPr="00CE0A20">
        <w:rPr>
          <w:rFonts w:ascii="Times New Roman" w:hAnsi="Times New Roman" w:cs="Times New Roman"/>
          <w:color w:val="000000" w:themeColor="text1"/>
          <w:kern w:val="36"/>
          <w:lang w:val="uk-UA" w:eastAsia="ru-RU"/>
        </w:rPr>
        <w:t xml:space="preserve">; </w:t>
      </w:r>
      <w:r w:rsidRPr="00CE0A20">
        <w:rPr>
          <w:rFonts w:ascii="Times New Roman" w:hAnsi="Times New Roman" w:cs="Times New Roman"/>
          <w:color w:val="000000" w:themeColor="text1"/>
          <w:lang w:val="uk-UA"/>
        </w:rPr>
        <w:t>3</w:t>
      </w:r>
      <w:r w:rsidRPr="00CE0A20">
        <w:rPr>
          <w:rFonts w:ascii="Times New Roman" w:hAnsi="Times New Roman" w:cs="Times New Roman"/>
          <w:color w:val="000000" w:themeColor="text1"/>
          <w:kern w:val="36"/>
          <w:lang w:val="uk-UA" w:eastAsia="ru-RU"/>
        </w:rPr>
        <w:t>(</w:t>
      </w:r>
      <w:r w:rsidRPr="00CE0A20">
        <w:rPr>
          <w:rFonts w:ascii="Times New Roman" w:hAnsi="Times New Roman" w:cs="Times New Roman"/>
          <w:color w:val="000000" w:themeColor="text1"/>
          <w:lang w:val="uk-UA"/>
        </w:rPr>
        <w:t>22</w:t>
      </w:r>
      <w:r w:rsidRPr="00CE0A20">
        <w:rPr>
          <w:rFonts w:ascii="Times New Roman" w:hAnsi="Times New Roman" w:cs="Times New Roman"/>
          <w:color w:val="000000" w:themeColor="text1"/>
          <w:kern w:val="36"/>
          <w:lang w:val="uk-UA" w:eastAsia="ru-RU"/>
        </w:rPr>
        <w:t xml:space="preserve">): </w:t>
      </w:r>
      <w:r w:rsidRPr="00CE0A20">
        <w:rPr>
          <w:rFonts w:ascii="Times New Roman" w:hAnsi="Times New Roman" w:cs="Times New Roman"/>
          <w:color w:val="000000" w:themeColor="text1"/>
          <w:lang w:val="uk-UA"/>
        </w:rPr>
        <w:t>61-66.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Бойко МІ. Чоловіча безплідність. Нова медицина. 2002;4:36–39.</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Боровий ІА, Малюкін ЮВ, Семиноженко ВП, Щегельська ОА, Микулинський ЮЮ, Хвисюк ОМ, Дьомін ЮА, П’ятикоп ВО, Антонян ІМ. Спосіб одержання суправітально забарвлених клітин різних типів біологічних тканин. Деклараційний патент на корисну модель  №13724 Опубл.: Бюл. № 4 від 17.04.2006</w:t>
      </w:r>
    </w:p>
    <w:p w:rsidR="001C43D0" w:rsidRPr="00CE0A20" w:rsidRDefault="001C43D0" w:rsidP="00631D82">
      <w:pPr>
        <w:pStyle w:val="a3"/>
        <w:numPr>
          <w:ilvl w:val="0"/>
          <w:numId w:val="40"/>
        </w:numPr>
        <w:tabs>
          <w:tab w:val="left" w:pos="1276"/>
        </w:tabs>
        <w:ind w:right="141"/>
        <w:jc w:val="both"/>
        <w:rPr>
          <w:rFonts w:ascii="Times New Roman" w:eastAsia="Newton-Regular" w:hAnsi="Times New Roman" w:cs="Times New Roman"/>
          <w:color w:val="000000" w:themeColor="text1"/>
          <w:lang w:val="uk-UA"/>
        </w:rPr>
      </w:pPr>
      <w:r w:rsidRPr="00CE0A20">
        <w:rPr>
          <w:rFonts w:ascii="Times New Roman" w:eastAsia="Newton-Italic" w:hAnsi="Times New Roman" w:cs="Times New Roman"/>
          <w:color w:val="000000" w:themeColor="text1"/>
          <w:lang w:val="uk-UA"/>
        </w:rPr>
        <w:t xml:space="preserve">Верткин АЛ, Аринина ЕН, Адонина ЕВ. </w:t>
      </w:r>
      <w:r w:rsidRPr="00CE0A20">
        <w:rPr>
          <w:rFonts w:ascii="Times New Roman" w:eastAsia="Newton-Regular" w:hAnsi="Times New Roman" w:cs="Times New Roman"/>
          <w:color w:val="000000" w:themeColor="text1"/>
          <w:lang w:val="uk-UA"/>
        </w:rPr>
        <w:t>Мужское здоровье: вопросы инволюции и революционные решения. Фарматека. 2008;9:39–43.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Вивчення гонадотоксичної дії нових лікарських засобів та їх впливу на репродуктивну функцію тварин: метод. рекомендації. К. 2000: 24.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162"/>
          <w:i w:val="0"/>
          <w:color w:val="000000" w:themeColor="text1"/>
          <w:spacing w:val="0"/>
          <w:sz w:val="28"/>
          <w:szCs w:val="28"/>
          <w:lang w:val="uk-UA"/>
        </w:rPr>
        <w:t>Возианов АФ</w:t>
      </w:r>
      <w:r w:rsidRPr="00CE0A20">
        <w:rPr>
          <w:rFonts w:ascii="Times New Roman" w:hAnsi="Times New Roman" w:cs="Times New Roman"/>
          <w:color w:val="000000" w:themeColor="text1"/>
          <w:lang w:val="uk-UA"/>
        </w:rPr>
        <w:t>, Горпинченко ИИ.  Эректильная дисфункция: диагностика и современные методы лечения. Сексология и андрология. 2002;6:С. 3-6.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Гаврилюк АМ, Чоп’як ВВ, Наконечний АЙ, Курпіш М. Чоловічий фактор у патогенезі жіночого непліддя. </w:t>
      </w:r>
      <w:r w:rsidRPr="00CE0A20">
        <w:rPr>
          <w:rFonts w:ascii="Times New Roman" w:hAnsi="Times New Roman" w:cs="Times New Roman"/>
          <w:color w:val="000000" w:themeColor="text1"/>
          <w:kern w:val="36"/>
          <w:lang w:val="uk-UA" w:eastAsia="ru-RU"/>
        </w:rPr>
        <w:t>Медичні аспекти здоров’я чоловіка. 2012;</w:t>
      </w:r>
      <w:r w:rsidRPr="00CE0A20">
        <w:rPr>
          <w:rFonts w:ascii="Times New Roman" w:hAnsi="Times New Roman" w:cs="Times New Roman"/>
          <w:color w:val="000000" w:themeColor="text1"/>
          <w:lang w:val="uk-UA"/>
        </w:rPr>
        <w:t>1</w:t>
      </w:r>
      <w:r w:rsidRPr="00CE0A20">
        <w:rPr>
          <w:rFonts w:ascii="Times New Roman" w:hAnsi="Times New Roman" w:cs="Times New Roman"/>
          <w:color w:val="000000" w:themeColor="text1"/>
          <w:kern w:val="36"/>
          <w:lang w:val="uk-UA" w:eastAsia="ru-RU"/>
        </w:rPr>
        <w:t>(</w:t>
      </w:r>
      <w:r w:rsidRPr="00CE0A20">
        <w:rPr>
          <w:rFonts w:ascii="Times New Roman" w:hAnsi="Times New Roman" w:cs="Times New Roman"/>
          <w:color w:val="000000" w:themeColor="text1"/>
          <w:lang w:val="uk-UA"/>
        </w:rPr>
        <w:t>3</w:t>
      </w:r>
      <w:r w:rsidRPr="00CE0A20">
        <w:rPr>
          <w:rFonts w:ascii="Times New Roman" w:hAnsi="Times New Roman" w:cs="Times New Roman"/>
          <w:color w:val="000000" w:themeColor="text1"/>
          <w:kern w:val="36"/>
          <w:lang w:val="uk-UA" w:eastAsia="ru-RU"/>
        </w:rPr>
        <w:t>):</w:t>
      </w:r>
      <w:r w:rsidRPr="00CE0A20">
        <w:rPr>
          <w:rFonts w:ascii="Times New Roman" w:hAnsi="Times New Roman" w:cs="Times New Roman"/>
          <w:color w:val="000000" w:themeColor="text1"/>
          <w:lang w:val="uk-UA"/>
        </w:rPr>
        <w:t>42-48.</w:t>
      </w:r>
    </w:p>
    <w:p w:rsidR="001C43D0" w:rsidRPr="00CE0A20" w:rsidRDefault="001C43D0" w:rsidP="00631D82">
      <w:pPr>
        <w:pStyle w:val="a3"/>
        <w:numPr>
          <w:ilvl w:val="0"/>
          <w:numId w:val="40"/>
        </w:numPr>
        <w:tabs>
          <w:tab w:val="left" w:pos="1276"/>
        </w:tabs>
        <w:ind w:right="141"/>
        <w:jc w:val="both"/>
        <w:rPr>
          <w:rStyle w:val="29pt"/>
          <w:rFonts w:ascii="Times New Roman" w:hAnsi="Times New Roman" w:cs="Times New Roman"/>
          <w:b w:val="0"/>
          <w:bCs w:val="0"/>
          <w:i w:val="0"/>
          <w:iCs w:val="0"/>
          <w:color w:val="000000" w:themeColor="text1"/>
          <w:sz w:val="28"/>
          <w:szCs w:val="28"/>
          <w:lang w:val="uk-UA"/>
        </w:rPr>
      </w:pPr>
      <w:r w:rsidRPr="00CE0A20">
        <w:rPr>
          <w:rStyle w:val="29pt"/>
          <w:rFonts w:ascii="Times New Roman" w:hAnsi="Times New Roman" w:cs="Times New Roman"/>
          <w:b w:val="0"/>
          <w:i w:val="0"/>
          <w:color w:val="000000" w:themeColor="text1"/>
          <w:sz w:val="28"/>
          <w:szCs w:val="28"/>
          <w:lang w:val="uk-UA"/>
        </w:rPr>
        <w:t>Галимов ШН, Амирова ЗК, Галимова  ЭФ. «Кризис сперматозоида» и техногенное загрязнение окружающей среды: факты и гипотезы. Проблемы репродукции. 2005;2:19-24.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Горпинченко ИИ, Гурженко </w:t>
      </w:r>
      <w:r w:rsidRPr="00CE0A20">
        <w:rPr>
          <w:rFonts w:ascii="Times New Roman" w:hAnsi="Times New Roman" w:cs="Times New Roman"/>
          <w:color w:val="000000" w:themeColor="text1"/>
          <w:shd w:val="clear" w:color="auto" w:fill="F9F9F9"/>
          <w:lang w:val="uk-UA"/>
        </w:rPr>
        <w:t xml:space="preserve">ЮН, Корниенко АМ, Гусейнов ЭФ.  </w:t>
      </w:r>
      <w:r w:rsidRPr="00CE0A20">
        <w:rPr>
          <w:rFonts w:ascii="Times New Roman" w:hAnsi="Times New Roman" w:cs="Times New Roman"/>
          <w:bCs/>
          <w:color w:val="000000" w:themeColor="text1"/>
          <w:lang w:val="uk-UA"/>
        </w:rPr>
        <w:t>Современное лечение эректильной дисфункции. Использование ингибиторов фосфодиэстеразы 5-го типа</w:t>
      </w:r>
      <w:r w:rsidRPr="00CE0A20">
        <w:rPr>
          <w:rFonts w:ascii="Times New Roman" w:hAnsi="Times New Roman" w:cs="Times New Roman"/>
          <w:color w:val="000000" w:themeColor="text1"/>
          <w:shd w:val="clear" w:color="auto" w:fill="F9F9F9"/>
          <w:lang w:val="uk-UA"/>
        </w:rPr>
        <w:t xml:space="preserve"> . </w:t>
      </w:r>
      <w:r w:rsidRPr="00CE0A20">
        <w:rPr>
          <w:rFonts w:ascii="Times New Roman" w:hAnsi="Times New Roman" w:cs="Times New Roman"/>
          <w:color w:val="000000" w:themeColor="text1"/>
          <w:lang w:val="uk-UA"/>
        </w:rPr>
        <w:t>Здоровье мужчины</w:t>
      </w:r>
      <w:r w:rsidRPr="00CE0A20">
        <w:rPr>
          <w:rFonts w:ascii="Times New Roman" w:hAnsi="Times New Roman" w:cs="Times New Roman"/>
          <w:color w:val="000000" w:themeColor="text1"/>
          <w:shd w:val="clear" w:color="auto" w:fill="F9F9F9"/>
          <w:lang w:val="uk-UA"/>
        </w:rPr>
        <w:t>. 2013; 3: 87-90. Доступно на: </w:t>
      </w:r>
      <w:r w:rsidRPr="00CE0A20">
        <w:rPr>
          <w:rFonts w:ascii="Times New Roman" w:hAnsi="Times New Roman" w:cs="Times New Roman"/>
          <w:color w:val="000000" w:themeColor="text1"/>
          <w:lang w:val="uk-UA"/>
        </w:rPr>
        <w:t>http://nbuv.gov.ua/UJRN/Zdmu_2013_3_19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Горпинченко ИИ, Спиридоненко ВВ. Частичный возрастной андрогенный дефицит. Здоровье мужчины. 2017;1(60):8-14.</w:t>
      </w:r>
    </w:p>
    <w:p w:rsidR="001C43D0" w:rsidRPr="00CE0A20" w:rsidRDefault="001C43D0" w:rsidP="00631D82">
      <w:pPr>
        <w:pStyle w:val="a3"/>
        <w:numPr>
          <w:ilvl w:val="0"/>
          <w:numId w:val="40"/>
        </w:numPr>
        <w:tabs>
          <w:tab w:val="left" w:pos="1276"/>
        </w:tabs>
        <w:ind w:right="141"/>
        <w:jc w:val="both"/>
        <w:rPr>
          <w:rStyle w:val="29pt"/>
          <w:rFonts w:ascii="Times New Roman" w:hAnsi="Times New Roman" w:cs="Times New Roman"/>
          <w:b w:val="0"/>
          <w:bCs w:val="0"/>
          <w:i w:val="0"/>
          <w:iCs w:val="0"/>
          <w:color w:val="000000" w:themeColor="text1"/>
          <w:sz w:val="28"/>
          <w:szCs w:val="28"/>
          <w:lang w:val="uk-UA"/>
        </w:rPr>
      </w:pPr>
      <w:r w:rsidRPr="00CE0A20">
        <w:rPr>
          <w:rFonts w:ascii="Times New Roman" w:hAnsi="Times New Roman" w:cs="Times New Roman"/>
          <w:color w:val="000000" w:themeColor="text1"/>
          <w:lang w:val="uk-UA"/>
        </w:rPr>
        <w:t>Горпинченко ИИ. Возрастной андрогенный дефицит. Здоровье мужчины. 2007;1:93–96.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34"/>
          <w:color w:val="000000" w:themeColor="text1"/>
          <w:sz w:val="28"/>
          <w:szCs w:val="28"/>
          <w:lang w:val="ru-RU"/>
        </w:rPr>
        <w:t>Горпинченко ИИ: редактор.</w:t>
      </w:r>
      <w:r w:rsidRPr="00CE0A20">
        <w:rPr>
          <w:rFonts w:ascii="Times New Roman" w:hAnsi="Times New Roman" w:cs="Times New Roman"/>
          <w:color w:val="000000" w:themeColor="text1"/>
          <w:lang w:val="uk-UA"/>
        </w:rPr>
        <w:t xml:space="preserve"> Лечение эректильной дисфункции. К.: Профессионал, 2008; 191 с.</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eastAsia="Times New Roman" w:hAnsi="Times New Roman" w:cs="Times New Roman"/>
          <w:iCs/>
          <w:color w:val="000000" w:themeColor="text1"/>
          <w:lang w:val="uk-UA"/>
        </w:rPr>
        <w:t xml:space="preserve">Горпинченко ИИ, Ситенко АМ. </w:t>
      </w:r>
      <w:r w:rsidRPr="00CE0A20">
        <w:rPr>
          <w:rFonts w:ascii="Times New Roman" w:eastAsia="Times New Roman" w:hAnsi="Times New Roman" w:cs="Times New Roman"/>
          <w:bCs/>
          <w:color w:val="000000" w:themeColor="text1"/>
          <w:lang w:val="uk-UA"/>
        </w:rPr>
        <w:t xml:space="preserve">Интракавернознозная трансплантация при эректильной дисфункции: модификация адгезивных свойств молекулами syt1/syt2 усиливает способность стволовых клеток восстанавливать сократительную и фосфатазную активность пещеристой ткани, поврежденной в результате гіперглікемії. </w:t>
      </w:r>
      <w:r w:rsidRPr="00CE0A20">
        <w:rPr>
          <w:rFonts w:ascii="Times New Roman" w:hAnsi="Times New Roman" w:cs="Times New Roman"/>
          <w:color w:val="000000" w:themeColor="text1"/>
          <w:lang w:val="uk-UA"/>
        </w:rPr>
        <w:t>Здоровье мужчины. 2017; 4(63): 77-80.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shd w:val="clear" w:color="auto" w:fill="FFFFFF"/>
          <w:lang w:val="uk-UA"/>
        </w:rPr>
        <w:t>Горпинченко ІІ, Ситенко АМ, Бухтіарова ТА, Ядловський ОЄ, Матвієнко АВ, Попандопуло АГ, Кавеліна АС. Вплив інтракавернозних ін’єкцій кістковомозкових мезенхімальних стовбурових клітин на морфологію та фосфатазну активність печеристої тканини щурів-самців із стретозотоциніндукованим цукровим діабетом. Здоровье мужчины. 2013; 4 (47): 142-145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Грачева ОО. </w:t>
      </w:r>
      <w:r w:rsidRPr="00CE0A20">
        <w:rPr>
          <w:rFonts w:ascii="Times New Roman" w:hAnsi="Times New Roman" w:cs="Times New Roman"/>
          <w:color w:val="000000" w:themeColor="text1"/>
          <w:kern w:val="36"/>
          <w:lang w:val="uk-UA"/>
        </w:rPr>
        <w:t>Андропауза: современное состояние проблемы</w:t>
      </w:r>
      <w:r w:rsidRPr="00CE0A20">
        <w:rPr>
          <w:rFonts w:ascii="Times New Roman" w:hAnsi="Times New Roman" w:cs="Times New Roman"/>
          <w:color w:val="000000" w:themeColor="text1"/>
          <w:lang w:val="uk-UA"/>
        </w:rPr>
        <w:t xml:space="preserve">. </w:t>
      </w:r>
      <w:r w:rsidRPr="00CE0A20">
        <w:rPr>
          <w:rFonts w:ascii="Times New Roman" w:hAnsi="Times New Roman" w:cs="Times New Roman"/>
          <w:color w:val="000000" w:themeColor="text1"/>
          <w:kern w:val="36"/>
          <w:lang w:val="uk-UA"/>
        </w:rPr>
        <w:t>Медичні аспекти здоров’ячоловіка. 2012;3(5):29-33.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Гринчук ОВ. Чоловічий фактор у безплідному шлюбі. Здоровье мужчины. 2007;2:183–187.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f4"/>
          <w:rFonts w:ascii="Times New Roman" w:hAnsi="Times New Roman" w:cs="Times New Roman"/>
          <w:b w:val="0"/>
          <w:color w:val="000000" w:themeColor="text1"/>
          <w:bdr w:val="none" w:sz="0" w:space="0" w:color="auto" w:frame="1"/>
          <w:lang w:val="uk-UA"/>
        </w:rPr>
        <w:t xml:space="preserve">Грицай ВС. </w:t>
      </w:r>
      <w:r w:rsidRPr="00CE0A20">
        <w:rPr>
          <w:rFonts w:ascii="Times New Roman" w:hAnsi="Times New Roman" w:cs="Times New Roman"/>
          <w:color w:val="000000" w:themeColor="text1"/>
          <w:lang w:val="uk-UA"/>
        </w:rPr>
        <w:t xml:space="preserve">Модели сексуального поведения мужчин на фоне медикаментозного лечения эректильной дисфункции. </w:t>
      </w:r>
      <w:r w:rsidRPr="00CE0A20">
        <w:rPr>
          <w:rFonts w:ascii="Times New Roman" w:hAnsi="Times New Roman" w:cs="Times New Roman"/>
          <w:color w:val="000000" w:themeColor="text1"/>
          <w:kern w:val="36"/>
          <w:lang w:val="uk-UA" w:eastAsia="ru-RU"/>
        </w:rPr>
        <w:t>Медичні аспекти здоров’я чоловіка. 201</w:t>
      </w:r>
      <w:r w:rsidRPr="00CE0A20">
        <w:rPr>
          <w:rFonts w:ascii="Times New Roman" w:hAnsi="Times New Roman" w:cs="Times New Roman"/>
          <w:color w:val="000000" w:themeColor="text1"/>
          <w:lang w:val="uk-UA"/>
        </w:rPr>
        <w:t>7</w:t>
      </w:r>
      <w:r w:rsidRPr="00CE0A20">
        <w:rPr>
          <w:rFonts w:ascii="Times New Roman" w:hAnsi="Times New Roman" w:cs="Times New Roman"/>
          <w:color w:val="000000" w:themeColor="text1"/>
          <w:kern w:val="36"/>
          <w:lang w:val="uk-UA" w:eastAsia="ru-RU"/>
        </w:rPr>
        <w:t>;</w:t>
      </w:r>
      <w:r w:rsidRPr="00CE0A20">
        <w:rPr>
          <w:rFonts w:ascii="Times New Roman" w:hAnsi="Times New Roman" w:cs="Times New Roman"/>
          <w:color w:val="000000" w:themeColor="text1"/>
          <w:lang w:val="uk-UA"/>
        </w:rPr>
        <w:t>1</w:t>
      </w:r>
      <w:r w:rsidRPr="00CE0A20">
        <w:rPr>
          <w:rFonts w:ascii="Times New Roman" w:hAnsi="Times New Roman" w:cs="Times New Roman"/>
          <w:color w:val="000000" w:themeColor="text1"/>
          <w:kern w:val="36"/>
          <w:lang w:val="uk-UA" w:eastAsia="ru-RU"/>
        </w:rPr>
        <w:t>(</w:t>
      </w:r>
      <w:r w:rsidRPr="00CE0A20">
        <w:rPr>
          <w:rFonts w:ascii="Times New Roman" w:hAnsi="Times New Roman" w:cs="Times New Roman"/>
          <w:color w:val="000000" w:themeColor="text1"/>
          <w:lang w:val="uk-UA"/>
        </w:rPr>
        <w:t>24</w:t>
      </w:r>
      <w:r w:rsidRPr="00CE0A20">
        <w:rPr>
          <w:rFonts w:ascii="Times New Roman" w:hAnsi="Times New Roman" w:cs="Times New Roman"/>
          <w:color w:val="000000" w:themeColor="text1"/>
          <w:kern w:val="36"/>
          <w:lang w:val="uk-UA" w:eastAsia="ru-RU"/>
        </w:rPr>
        <w:t>):</w:t>
      </w:r>
      <w:r w:rsidRPr="00CE0A20">
        <w:rPr>
          <w:rFonts w:ascii="Times New Roman" w:hAnsi="Times New Roman" w:cs="Times New Roman"/>
          <w:color w:val="000000" w:themeColor="text1"/>
          <w:lang w:val="uk-UA"/>
        </w:rPr>
        <w:t>24-31.</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Грищенко ВІ, Прокопюк ОС, Антонян ІМ, Лазуренко ВВ. Спосіб лікування еректильної дисфункції. Деклараційний патент на корисну модель  №3777 Опубл.: Бюл. № 12 від 15.12.2004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Microsoft Sans Serif"/>
          <w:i w:val="0"/>
          <w:color w:val="000000" w:themeColor="text1"/>
          <w:sz w:val="28"/>
          <w:szCs w:val="28"/>
          <w:lang w:val="uk-UA"/>
        </w:rPr>
        <w:t>Грищенко ВІ.</w:t>
      </w:r>
      <w:r w:rsidRPr="00CE0A20">
        <w:rPr>
          <w:rFonts w:ascii="Times New Roman" w:hAnsi="Times New Roman" w:cs="Times New Roman"/>
          <w:color w:val="000000" w:themeColor="text1"/>
          <w:lang w:val="uk-UA"/>
        </w:rPr>
        <w:t xml:space="preserve"> Клітинна і тканинна терапія: сучасне й майбутнє // Трансплантологія. – 2000. – Т. 1, № 1. – С. 15–17</w:t>
      </w:r>
    </w:p>
    <w:p w:rsidR="001C43D0" w:rsidRPr="00CE0A20" w:rsidRDefault="001C43D0" w:rsidP="00631D82">
      <w:pPr>
        <w:pStyle w:val="a3"/>
        <w:numPr>
          <w:ilvl w:val="0"/>
          <w:numId w:val="40"/>
        </w:numPr>
        <w:tabs>
          <w:tab w:val="left" w:pos="1276"/>
        </w:tabs>
        <w:ind w:right="141"/>
        <w:jc w:val="both"/>
        <w:rPr>
          <w:rStyle w:val="29pt"/>
          <w:rFonts w:ascii="Times New Roman" w:hAnsi="Times New Roman" w:cs="Times New Roman"/>
          <w:b w:val="0"/>
          <w:bCs w:val="0"/>
          <w:i w:val="0"/>
          <w:iCs w:val="0"/>
          <w:color w:val="000000" w:themeColor="text1"/>
          <w:sz w:val="28"/>
          <w:szCs w:val="28"/>
          <w:lang w:val="uk-UA"/>
        </w:rPr>
      </w:pPr>
      <w:r w:rsidRPr="00CE0A20">
        <w:rPr>
          <w:rStyle w:val="29pt1"/>
          <w:rFonts w:ascii="Times New Roman" w:hAnsi="Times New Roman" w:cs="Times New Roman"/>
          <w:b w:val="0"/>
          <w:color w:val="000000" w:themeColor="text1"/>
          <w:sz w:val="28"/>
          <w:szCs w:val="28"/>
          <w:lang w:val="uk-UA"/>
        </w:rPr>
        <w:t>Громенко ДС, Громенко ЮЮ.</w:t>
      </w:r>
      <w:r w:rsidRPr="00CE0A20">
        <w:rPr>
          <w:rStyle w:val="29pt"/>
          <w:rFonts w:ascii="Times New Roman" w:hAnsi="Times New Roman" w:cs="Times New Roman"/>
          <w:b w:val="0"/>
          <w:i w:val="0"/>
          <w:color w:val="000000" w:themeColor="text1"/>
          <w:sz w:val="28"/>
          <w:szCs w:val="28"/>
          <w:lang w:val="uk-UA"/>
        </w:rPr>
        <w:t xml:space="preserve"> Лечение идиопатического мужского бесплодия у пациентов с эректильными расстройствами. Врачебное сословие. 2006;7:37-40.</w:t>
      </w:r>
    </w:p>
    <w:p w:rsidR="001C43D0" w:rsidRPr="00CE0A20" w:rsidRDefault="001C43D0" w:rsidP="00631D82">
      <w:pPr>
        <w:pStyle w:val="a3"/>
        <w:numPr>
          <w:ilvl w:val="0"/>
          <w:numId w:val="40"/>
        </w:numPr>
        <w:tabs>
          <w:tab w:val="left" w:pos="1276"/>
        </w:tabs>
        <w:ind w:right="141"/>
        <w:jc w:val="both"/>
        <w:rPr>
          <w:rStyle w:val="a5"/>
          <w:rFonts w:ascii="Times New Roman" w:hAnsi="Times New Roman" w:cs="Times New Roman"/>
          <w:color w:val="000000" w:themeColor="text1"/>
          <w:lang w:val="uk-UA"/>
        </w:rPr>
      </w:pPr>
      <w:hyperlink r:id="rId135" w:tooltip="Пошук за автором" w:history="1">
        <w:r w:rsidRPr="00CE0A20">
          <w:rPr>
            <w:rStyle w:val="a5"/>
            <w:rFonts w:ascii="Times New Roman" w:hAnsi="Times New Roman" w:cs="Times New Roman"/>
            <w:color w:val="000000" w:themeColor="text1"/>
            <w:lang w:val="uk-UA"/>
          </w:rPr>
          <w:t>Гурженко ЮН.</w:t>
        </w:r>
      </w:hyperlink>
      <w:r w:rsidRPr="00CE0A20">
        <w:rPr>
          <w:rFonts w:ascii="Times New Roman" w:hAnsi="Times New Roman" w:cs="Times New Roman"/>
          <w:color w:val="000000" w:themeColor="text1"/>
          <w:shd w:val="clear" w:color="auto" w:fill="F9F9F9"/>
          <w:lang w:val="uk-UA"/>
        </w:rPr>
        <w:t> </w:t>
      </w:r>
      <w:r w:rsidRPr="00CE0A20">
        <w:rPr>
          <w:rFonts w:ascii="Times New Roman" w:hAnsi="Times New Roman" w:cs="Times New Roman"/>
          <w:bCs/>
          <w:color w:val="000000" w:themeColor="text1"/>
          <w:lang w:val="uk-UA"/>
        </w:rPr>
        <w:t xml:space="preserve">Современный взгляд на проблему эректильной дисфункции. </w:t>
      </w:r>
      <w:hyperlink r:id="rId136" w:tooltip="Періодичне видання" w:history="1">
        <w:r w:rsidRPr="00CE0A20">
          <w:rPr>
            <w:rStyle w:val="a5"/>
            <w:rFonts w:ascii="Times New Roman" w:hAnsi="Times New Roman" w:cs="Times New Roman"/>
            <w:color w:val="000000" w:themeColor="text1"/>
            <w:lang w:val="uk-UA"/>
          </w:rPr>
          <w:t>Здоровье мужчины</w:t>
        </w:r>
      </w:hyperlink>
      <w:r w:rsidRPr="00CE0A20">
        <w:rPr>
          <w:rFonts w:ascii="Times New Roman" w:hAnsi="Times New Roman" w:cs="Times New Roman"/>
          <w:color w:val="000000" w:themeColor="text1"/>
          <w:shd w:val="clear" w:color="auto" w:fill="F9F9F9"/>
          <w:lang w:val="uk-UA"/>
        </w:rPr>
        <w:t xml:space="preserve">. 2012; 1: 104-105. Доступно на: </w:t>
      </w:r>
      <w:hyperlink r:id="rId137" w:history="1">
        <w:r w:rsidRPr="00CE0A20">
          <w:rPr>
            <w:rStyle w:val="a5"/>
            <w:rFonts w:ascii="Times New Roman" w:hAnsi="Times New Roman" w:cs="Times New Roman"/>
            <w:color w:val="000000" w:themeColor="text1"/>
            <w:lang w:val="uk-UA"/>
          </w:rPr>
          <w:t>http://nbuv.gov.ua/UJRN/Zdmu_2012_1_25</w:t>
        </w:r>
      </w:hyperlink>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Гусакова ДА, Ефремов ЕА, Мельник ЯИ, Симаков ВВ. Роль окислительного стресса в патофизиологическом механизме эректильной дисфункции. Consilium Medicum. 2013;7:28-31.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Давидович ИМ, Маренин СН. Эректильная функция, андроген</w:t>
      </w:r>
      <w:r w:rsidRPr="00CE0A20">
        <w:rPr>
          <w:rFonts w:ascii="Times New Roman" w:hAnsi="Times New Roman" w:cs="Times New Roman"/>
          <w:color w:val="000000" w:themeColor="text1"/>
          <w:lang w:val="uk-UA"/>
        </w:rPr>
        <w:softHyphen/>
        <w:t>ный статус и эндотелий-зависимая вазодилатация пенильных артерий у мужчин молодого возраста с гипертонической болезнью. Дальневосточный медицинский журнал. 2013;3:20-24.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Microsoft Sans Serif"/>
          <w:i w:val="0"/>
          <w:color w:val="000000" w:themeColor="text1"/>
          <w:sz w:val="28"/>
          <w:szCs w:val="28"/>
          <w:lang w:val="uk-UA"/>
        </w:rPr>
        <w:t>Демин ЮА.</w:t>
      </w:r>
      <w:r w:rsidRPr="00CE0A20">
        <w:rPr>
          <w:rFonts w:ascii="Times New Roman" w:hAnsi="Times New Roman" w:cs="Times New Roman"/>
          <w:color w:val="000000" w:themeColor="text1"/>
          <w:lang w:val="uk-UA"/>
        </w:rPr>
        <w:t xml:space="preserve"> Трансплантация клеток в офтальмологии </w:t>
      </w:r>
      <w:r w:rsidRPr="00CE0A20">
        <w:rPr>
          <w:rFonts w:ascii="Times New Roman" w:eastAsia="Arial" w:hAnsi="Times New Roman" w:cs="Times New Roman"/>
          <w:color w:val="000000" w:themeColor="text1"/>
          <w:lang w:val="uk-UA"/>
        </w:rPr>
        <w:t xml:space="preserve">– </w:t>
      </w:r>
      <w:r w:rsidRPr="00CE0A20">
        <w:rPr>
          <w:rFonts w:ascii="Times New Roman" w:hAnsi="Times New Roman" w:cs="Times New Roman"/>
          <w:color w:val="000000" w:themeColor="text1"/>
          <w:lang w:val="uk-UA"/>
        </w:rPr>
        <w:t xml:space="preserve">реальность и перспективы развития. Трансплантология. 2004; 7(3):119–122.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Державна служба статистики України. [Демографічна ситуація у січні-квітні 2018 року. Експрес-випуск 18.06.2018 №143/0/10.2вн-18. Доступно на:  http://www.ukrstat.gov.ua/express/expr2018/06/101.pdf</w:t>
      </w:r>
    </w:p>
    <w:p w:rsidR="001C43D0" w:rsidRPr="00CE0A20" w:rsidRDefault="001C43D0" w:rsidP="00631D82">
      <w:pPr>
        <w:pStyle w:val="a3"/>
        <w:numPr>
          <w:ilvl w:val="0"/>
          <w:numId w:val="40"/>
        </w:numPr>
        <w:tabs>
          <w:tab w:val="left" w:pos="1276"/>
        </w:tabs>
        <w:ind w:right="141"/>
        <w:jc w:val="both"/>
        <w:rPr>
          <w:rStyle w:val="11"/>
          <w:color w:val="000000" w:themeColor="text1"/>
          <w:sz w:val="28"/>
          <w:szCs w:val="28"/>
          <w:lang w:val="uk-UA"/>
        </w:rPr>
      </w:pPr>
      <w:r w:rsidRPr="00CE0A20">
        <w:rPr>
          <w:rFonts w:ascii="Times New Roman" w:hAnsi="Times New Roman" w:cs="Times New Roman"/>
          <w:color w:val="000000" w:themeColor="text1"/>
          <w:lang w:val="uk-UA"/>
        </w:rPr>
        <w:t>Дриманова ВВ, Мірошніков ЯО.  Оцінка клінічної ефективності застосування суспензії кріоконсервованих клітин плаценти при секреторній формі чоловічого безпліддя.  Практична медицина. 2009; 5: 45–51.</w:t>
      </w:r>
      <w:r w:rsidRPr="00CE0A20">
        <w:rPr>
          <w:rStyle w:val="11"/>
          <w:rFonts w:eastAsia="Arial Unicode MS"/>
          <w:color w:val="000000" w:themeColor="text1"/>
          <w:sz w:val="28"/>
          <w:szCs w:val="28"/>
          <w:lang w:val="uk-UA"/>
        </w:rPr>
        <w:t xml:space="preserve">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kern w:val="2"/>
          <w:lang w:val="uk-UA"/>
        </w:rPr>
      </w:pPr>
      <w:r w:rsidRPr="00CE0A20">
        <w:rPr>
          <w:rFonts w:ascii="Times New Roman" w:hAnsi="Times New Roman" w:cs="Times New Roman"/>
          <w:color w:val="000000" w:themeColor="text1"/>
          <w:kern w:val="2"/>
          <w:lang w:val="uk-UA"/>
        </w:rPr>
        <w:t xml:space="preserve">Западнюк ІП, Западнюк ВІ, Захарія ЕА, Западнюк БВ. Лабораторні тварини. Розведення, утримання, використання в експерименті. Київ, Вища школа. 1983; 383.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Зачепило АВ, Аргифексов СБ. Особенности этиологии и патогенеза нарушений функций мужской репродуктивной системы, обусловленных экологическими факторами. Пробл. репродукции. – 2007;13(4):76.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Arial"/>
          <w:i w:val="0"/>
          <w:color w:val="000000" w:themeColor="text1"/>
          <w:sz w:val="28"/>
          <w:szCs w:val="28"/>
          <w:lang w:val="uk-UA"/>
        </w:rPr>
        <w:t>Зубкова ГА, Давыдова ТИ.</w:t>
      </w:r>
      <w:r w:rsidRPr="00CE0A20">
        <w:rPr>
          <w:rFonts w:ascii="Times New Roman" w:hAnsi="Times New Roman" w:cs="Times New Roman"/>
          <w:color w:val="000000" w:themeColor="text1"/>
          <w:lang w:val="uk-UA"/>
        </w:rPr>
        <w:t xml:space="preserve"> Ксенотрансплантация и общество. 2004; 4: 27-28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bCs/>
          <w:color w:val="000000" w:themeColor="text1"/>
          <w:lang w:val="uk-UA"/>
        </w:rPr>
        <w:t>Зыбин ДВ</w:t>
      </w:r>
      <w:r w:rsidRPr="00CE0A20">
        <w:rPr>
          <w:rStyle w:val="a5"/>
          <w:rFonts w:ascii="Times New Roman" w:hAnsi="Times New Roman" w:cs="Times New Roman"/>
          <w:bCs/>
          <w:color w:val="000000" w:themeColor="text1"/>
          <w:lang w:val="uk-UA"/>
        </w:rPr>
        <w:t xml:space="preserve">, </w:t>
      </w:r>
      <w:r w:rsidRPr="00CE0A20">
        <w:rPr>
          <w:rFonts w:ascii="Times New Roman" w:hAnsi="Times New Roman" w:cs="Times New Roman"/>
          <w:bCs/>
          <w:color w:val="000000" w:themeColor="text1"/>
          <w:lang w:val="uk-UA"/>
        </w:rPr>
        <w:t>Пригода АС</w:t>
      </w:r>
      <w:r w:rsidRPr="00CE0A20">
        <w:rPr>
          <w:rStyle w:val="a5"/>
          <w:rFonts w:ascii="Times New Roman" w:hAnsi="Times New Roman" w:cs="Times New Roman"/>
          <w:bCs/>
          <w:color w:val="000000" w:themeColor="text1"/>
          <w:lang w:val="uk-UA"/>
        </w:rPr>
        <w:t xml:space="preserve">, </w:t>
      </w:r>
      <w:r w:rsidRPr="00CE0A20">
        <w:rPr>
          <w:rFonts w:ascii="Times New Roman" w:hAnsi="Times New Roman" w:cs="Times New Roman"/>
          <w:bCs/>
          <w:color w:val="000000" w:themeColor="text1"/>
          <w:lang w:val="uk-UA"/>
        </w:rPr>
        <w:t>Васильев ВИ</w:t>
      </w:r>
      <w:r w:rsidRPr="00CE0A20">
        <w:rPr>
          <w:rStyle w:val="a5"/>
          <w:rFonts w:ascii="Times New Roman" w:hAnsi="Times New Roman" w:cs="Times New Roman"/>
          <w:bCs/>
          <w:color w:val="000000" w:themeColor="text1"/>
          <w:lang w:val="uk-UA"/>
        </w:rPr>
        <w:t xml:space="preserve">,  </w:t>
      </w:r>
      <w:r w:rsidRPr="00CE0A20">
        <w:rPr>
          <w:rFonts w:ascii="Times New Roman" w:hAnsi="Times New Roman" w:cs="Times New Roman"/>
          <w:bCs/>
          <w:color w:val="000000" w:themeColor="text1"/>
          <w:lang w:val="uk-UA"/>
        </w:rPr>
        <w:t>Акопян АС</w:t>
      </w:r>
      <w:r w:rsidRPr="00CE0A20">
        <w:rPr>
          <w:rStyle w:val="a5"/>
          <w:rFonts w:ascii="Times New Roman" w:hAnsi="Times New Roman" w:cs="Times New Roman"/>
          <w:bCs/>
          <w:color w:val="000000" w:themeColor="text1"/>
          <w:lang w:val="uk-UA"/>
        </w:rPr>
        <w:t xml:space="preserve">, </w:t>
      </w:r>
      <w:r w:rsidRPr="00CE0A20">
        <w:rPr>
          <w:rFonts w:ascii="Times New Roman" w:hAnsi="Times New Roman" w:cs="Times New Roman"/>
          <w:bCs/>
          <w:color w:val="000000" w:themeColor="text1"/>
          <w:lang w:val="uk-UA"/>
        </w:rPr>
        <w:t>Савицкий СС.</w:t>
      </w:r>
      <w:r w:rsidRPr="00CE0A20">
        <w:rPr>
          <w:rStyle w:val="a5"/>
          <w:rFonts w:ascii="Times New Roman" w:hAnsi="Times New Roman" w:cs="Times New Roman"/>
          <w:bCs/>
          <w:color w:val="000000" w:themeColor="text1"/>
          <w:lang w:val="uk-UA"/>
        </w:rPr>
        <w:t xml:space="preserve"> </w:t>
      </w:r>
      <w:r w:rsidRPr="00CE0A20">
        <w:rPr>
          <w:rFonts w:ascii="Times New Roman" w:hAnsi="Times New Roman" w:cs="Times New Roman"/>
          <w:bCs/>
          <w:color w:val="000000" w:themeColor="text1"/>
          <w:lang w:val="uk-UA"/>
        </w:rPr>
        <w:t xml:space="preserve">Способ лечения больных с нарушением мужской половой функции методом трансплантации. </w:t>
      </w:r>
      <w:r w:rsidRPr="00CE0A20">
        <w:rPr>
          <w:rFonts w:ascii="Times New Roman" w:hAnsi="Times New Roman" w:cs="Times New Roman"/>
          <w:color w:val="000000" w:themeColor="text1"/>
          <w:lang w:val="uk-UA"/>
        </w:rPr>
        <w:t>Патент РФ N 2026643 от 20.01.95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bCs/>
          <w:color w:val="000000" w:themeColor="text1"/>
          <w:lang w:val="uk-UA"/>
        </w:rPr>
      </w:pPr>
      <w:r w:rsidRPr="00CE0A20">
        <w:rPr>
          <w:rFonts w:ascii="Times New Roman" w:hAnsi="Times New Roman" w:cs="Times New Roman"/>
          <w:bCs/>
          <w:color w:val="000000" w:themeColor="text1"/>
          <w:lang w:val="uk-UA"/>
        </w:rPr>
        <w:t xml:space="preserve">Зыбин ДВ. Экспериментальная разработка и клиническое применение ксеногенной трансплантации клеток Лейдига для лечения тестостерондефицитных состояний у мужчин. Автореф. дис. к.м.н. М., 2000. 18 с. </w:t>
      </w:r>
    </w:p>
    <w:p w:rsidR="001C43D0" w:rsidRPr="00CE0A20" w:rsidRDefault="001C43D0" w:rsidP="00631D82">
      <w:pPr>
        <w:pStyle w:val="a3"/>
        <w:numPr>
          <w:ilvl w:val="0"/>
          <w:numId w:val="40"/>
        </w:numPr>
        <w:tabs>
          <w:tab w:val="left" w:pos="1276"/>
        </w:tabs>
        <w:ind w:right="141"/>
        <w:jc w:val="both"/>
        <w:rPr>
          <w:rStyle w:val="11"/>
          <w:color w:val="000000" w:themeColor="text1"/>
          <w:sz w:val="28"/>
          <w:szCs w:val="28"/>
          <w:lang w:val="uk-UA"/>
        </w:rPr>
      </w:pPr>
      <w:r w:rsidRPr="00CE0A20">
        <w:rPr>
          <w:rFonts w:ascii="Times New Roman" w:hAnsi="Times New Roman" w:cs="Times New Roman"/>
          <w:color w:val="000000" w:themeColor="text1"/>
          <w:lang w:val="uk-UA"/>
        </w:rPr>
        <w:t>Іванюта ЛІ, Іванюта СО. Неплідність у шлюбі. Здобутки та перспективи. - К.: Задруга, 2005; 339.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Калинченко СЮ. Проблема андрогенного дефицита у мужчин. Лечащий врач. 2009;1:25-28.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Калинченко СЮ. Современный взгляд на проблему возрастного андрогенного дефицита у мужчин. Лечащий врач. 2009;01. Доступно на: </w:t>
      </w:r>
      <w:hyperlink r:id="rId138" w:history="1">
        <w:r w:rsidRPr="00CE0A20">
          <w:rPr>
            <w:rStyle w:val="a5"/>
            <w:rFonts w:ascii="Times New Roman" w:hAnsi="Times New Roman" w:cs="Times New Roman"/>
            <w:color w:val="000000" w:themeColor="text1"/>
            <w:lang w:val="uk-UA"/>
          </w:rPr>
          <w:t>https://www.lvrach.ru/2009/01/5897877/</w:t>
        </w:r>
      </w:hyperlink>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Калинченко СЮ, Тюзиков ИА. Практическая андрология. М.: Практическая медицина, 2009. 399 с.</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Клебанова ЕМ, Балаболкин МИ. Гормоны жировой ткани и их роль в патогенезе сахарного диабета 2-го типа. Лечащий врач. 2010;11:27-33.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kern w:val="2"/>
          <w:lang w:val="uk-UA"/>
        </w:rPr>
      </w:pPr>
      <w:r w:rsidRPr="00CE0A20">
        <w:rPr>
          <w:rFonts w:ascii="Times New Roman" w:hAnsi="Times New Roman" w:cs="Times New Roman"/>
          <w:color w:val="000000" w:themeColor="text1"/>
          <w:kern w:val="2"/>
          <w:lang w:val="uk-UA"/>
        </w:rPr>
        <w:t xml:space="preserve">Кожем’якін ЮМ, Хромов ОС, Філоненко МА, Сайфетдінова ГА. Науково-практичні рекомендації з утримання лабораторних тварин та роботи з ними. Київ, Авіценна, 2002;156.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34"/>
          <w:color w:val="000000" w:themeColor="text1"/>
          <w:sz w:val="28"/>
          <w:szCs w:val="28"/>
          <w:lang w:val="ru-RU"/>
        </w:rPr>
        <w:t xml:space="preserve">Корнеев ИА. </w:t>
      </w:r>
      <w:r w:rsidRPr="00CE0A20">
        <w:rPr>
          <w:rFonts w:ascii="Times New Roman" w:hAnsi="Times New Roman" w:cs="Times New Roman"/>
          <w:color w:val="000000" w:themeColor="text1"/>
          <w:lang w:val="uk-UA"/>
        </w:rPr>
        <w:t>Достоверность методов оценки уровня тестостерона и резистентность андрогеновых рецепторов при диагностике возрастного дефицита андрогенов у мужчин. Андрология и генитальная хирургия. 2007;2:6-9.</w:t>
      </w:r>
    </w:p>
    <w:p w:rsidR="001C43D0" w:rsidRPr="00CE0A20" w:rsidRDefault="001C43D0" w:rsidP="00631D82">
      <w:pPr>
        <w:pStyle w:val="a3"/>
        <w:numPr>
          <w:ilvl w:val="0"/>
          <w:numId w:val="40"/>
        </w:numPr>
        <w:tabs>
          <w:tab w:val="left" w:pos="1276"/>
        </w:tabs>
        <w:ind w:right="141"/>
        <w:jc w:val="both"/>
        <w:rPr>
          <w:rStyle w:val="MicrosoftSansSerif"/>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lang w:val="uk-UA"/>
        </w:rPr>
        <w:t>Курбатов ДГ, Галстян ГР, Шварц ЯГ и др. Оценка эффективности ингибитора фосфодиэстеразы 5-го типа в терапии нейрогенной эректильной дисфункции у пациентов с СД 1-го типа. Проблемы эндо</w:t>
      </w:r>
      <w:r w:rsidRPr="00CE0A20">
        <w:rPr>
          <w:rStyle w:val="MicrosoftSansSerif"/>
          <w:rFonts w:ascii="Times New Roman" w:hAnsi="Times New Roman" w:cs="Times New Roman"/>
          <w:color w:val="000000" w:themeColor="text1"/>
          <w:sz w:val="28"/>
          <w:szCs w:val="28"/>
          <w:lang w:val="uk-UA"/>
        </w:rPr>
        <w:t>кринологии. 2015;61 (4):24-28.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Лар'яновська ЮБ, Котелевець НВ. Морфоструктура передміху</w:t>
      </w:r>
      <w:r w:rsidRPr="00CE0A20">
        <w:rPr>
          <w:rFonts w:ascii="Times New Roman" w:hAnsi="Times New Roman" w:cs="Times New Roman"/>
          <w:color w:val="000000" w:themeColor="text1"/>
          <w:lang w:val="uk-UA"/>
        </w:rPr>
        <w:softHyphen/>
        <w:t>рової залози білих лабораторних щурів.  Медицина сегодня и завтра. 2005; 1: 12-14</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Лесовой ВН, Андоньева НМ, Антонян ИМ, Ларьяновская ЮБ, Кешишян  СА. Применение стромальных стволовых клеток при эксперимен</w:t>
      </w:r>
      <w:r w:rsidRPr="00CE0A20">
        <w:rPr>
          <w:rFonts w:ascii="Times New Roman" w:eastAsia="Times New Roman" w:hAnsi="Times New Roman" w:cs="Times New Roman"/>
          <w:color w:val="000000" w:themeColor="text1"/>
          <w:lang w:val="uk-UA"/>
        </w:rPr>
        <w:softHyphen/>
        <w:t>тальном гипогонадизме. Медицина сьогодні і завтра. 2011; 1-2 (50-51): 132-140</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shd w:val="clear" w:color="auto" w:fill="FFFFFF"/>
          <w:lang w:val="uk-UA"/>
        </w:rPr>
        <w:t xml:space="preserve">Лесовой ВН, Андоньева НМ, Антонян ИМ, Ларьяновская  ЮБ, Кешишян СА.  Применение стромальных стволовых клеток при экспериментальном андрогенном дефиците. В зб.: Мат. V </w:t>
      </w:r>
      <w:r w:rsidRPr="00CE0A20">
        <w:rPr>
          <w:rFonts w:ascii="Times New Roman" w:eastAsia="Times New Roman" w:hAnsi="Times New Roman" w:cs="Times New Roman"/>
          <w:bCs/>
          <w:iCs/>
          <w:color w:val="000000" w:themeColor="text1"/>
          <w:shd w:val="clear" w:color="auto" w:fill="FFFFFF"/>
          <w:lang w:val="uk-UA"/>
        </w:rPr>
        <w:t>съезда трансплантологов Украины</w:t>
      </w:r>
      <w:r w:rsidRPr="00CE0A20">
        <w:rPr>
          <w:rFonts w:ascii="Times New Roman" w:eastAsia="Times New Roman" w:hAnsi="Times New Roman" w:cs="Times New Roman"/>
          <w:color w:val="000000" w:themeColor="text1"/>
          <w:shd w:val="clear" w:color="auto" w:fill="FFFFFF"/>
          <w:lang w:val="uk-UA"/>
        </w:rPr>
        <w:t xml:space="preserve">. Харьков, 2011.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Лесовой ВН, Антонян ИМ, Кешишян СА. </w:t>
      </w:r>
      <w:r w:rsidRPr="00CE0A20">
        <w:rPr>
          <w:rFonts w:ascii="Times New Roman" w:eastAsia="Times New Roman" w:hAnsi="Times New Roman" w:cs="Times New Roman"/>
          <w:bCs/>
          <w:color w:val="000000" w:themeColor="text1"/>
          <w:lang w:val="uk-UA"/>
        </w:rPr>
        <w:t>Есть ли альтернатива фармакотерапии при андрогенном дефиците?</w:t>
      </w:r>
      <w:r w:rsidRPr="00CE0A20">
        <w:rPr>
          <w:rFonts w:ascii="Times New Roman" w:eastAsia="Times New Roman" w:hAnsi="Times New Roman" w:cs="Times New Roman"/>
          <w:color w:val="000000" w:themeColor="text1"/>
          <w:shd w:val="clear" w:color="auto" w:fill="F9F9F9"/>
          <w:lang w:val="uk-UA"/>
        </w:rPr>
        <w:t xml:space="preserve"> </w:t>
      </w:r>
      <w:r w:rsidRPr="00CE0A20">
        <w:rPr>
          <w:rFonts w:ascii="Times New Roman" w:eastAsia="Times New Roman" w:hAnsi="Times New Roman" w:cs="Times New Roman"/>
          <w:color w:val="000000" w:themeColor="text1"/>
          <w:lang w:val="uk-UA"/>
        </w:rPr>
        <w:t xml:space="preserve"> Здоровье мужчины</w:t>
      </w:r>
      <w:r w:rsidRPr="00CE0A20">
        <w:rPr>
          <w:rFonts w:ascii="Times New Roman" w:eastAsia="Times New Roman" w:hAnsi="Times New Roman" w:cs="Times New Roman"/>
          <w:color w:val="000000" w:themeColor="text1"/>
          <w:shd w:val="clear" w:color="auto" w:fill="F9F9F9"/>
          <w:lang w:val="uk-UA"/>
        </w:rPr>
        <w:t>.</w:t>
      </w:r>
      <w:r w:rsidRPr="00CE0A20">
        <w:rPr>
          <w:rFonts w:ascii="Times New Roman" w:eastAsia="Times New Roman" w:hAnsi="Times New Roman" w:cs="Times New Roman"/>
          <w:color w:val="000000" w:themeColor="text1"/>
          <w:lang w:val="uk-UA"/>
        </w:rPr>
        <w:t xml:space="preserve"> 2012; 3:31-33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Arial" w:hAnsi="Times New Roman" w:cs="Times New Roman"/>
          <w:iCs/>
          <w:color w:val="000000" w:themeColor="text1"/>
          <w:lang w:val="uk-UA"/>
        </w:rPr>
        <w:t xml:space="preserve">Лесовой ВН, Антонян ИМ, Ларьяновская ЮБ. </w:t>
      </w:r>
      <w:r w:rsidRPr="00CE0A20">
        <w:rPr>
          <w:rFonts w:ascii="Times New Roman" w:eastAsia="Arial" w:hAnsi="Times New Roman" w:cs="Times New Roman"/>
          <w:color w:val="000000" w:themeColor="text1"/>
          <w:lang w:val="uk-UA"/>
        </w:rPr>
        <w:t xml:space="preserve">Изменения гормонального статуса и морфометрических показателей под действием культуры стромальных клеток при экспериментальном гипогонадизме. Експериментальна і клінічна медицина.  2012; 4 (57):6-12.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Лісовий ВМ, Антонян ІМ, Волчік ІВ, Лар'яновська ЮБ.  Вплив одно- та двобічного інтратестикулярного введення різної кількості стовбурових клітин на стан щурів з експериментальною моделлю вторинного андрогенного дефіциту. Медицина сьогодні і завтра. 2013;  1: 5-15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Лісовий ВМ, Антонян ІМ, Микулінський ЮЮ. Вплив різної кількості стовбурових клітин на гормональний статус самців щурів і стан їх антиоксидантного захисту на моделі андрогенного дефіциту. Експерим. і клініч. медицина. 2011; 4: 31-34</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Лісовий ВМ, Антонян ІМ. Визначення шляхів введення культури стовбурових клітин і їх кількості для лікування вторинного андрогенного дефіциту у самців щурів. Експерим. і клініч. медицина. 2011;3 (52):26-29. </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Лісовий ВМ, Антонян ІМ. Зміни показників копулятивної поведінки самців щурів з експериментальним гіпогонадизмом під впливом клітинної терапії. Експериментальна і клінічна медицина. 2013; 2: 18-22. </w:t>
      </w:r>
    </w:p>
    <w:p w:rsidR="001C43D0" w:rsidRPr="00CE0A20" w:rsidRDefault="001C43D0" w:rsidP="00631D82">
      <w:pPr>
        <w:pStyle w:val="a3"/>
        <w:numPr>
          <w:ilvl w:val="0"/>
          <w:numId w:val="40"/>
        </w:numPr>
        <w:tabs>
          <w:tab w:val="left" w:pos="1276"/>
        </w:tabs>
        <w:ind w:right="141"/>
        <w:jc w:val="both"/>
        <w:rPr>
          <w:rStyle w:val="29pt"/>
          <w:rFonts w:ascii="Times New Roman" w:hAnsi="Times New Roman" w:cs="Times New Roman"/>
          <w:b w:val="0"/>
          <w:bCs w:val="0"/>
          <w:i w:val="0"/>
          <w:iCs w:val="0"/>
          <w:color w:val="000000" w:themeColor="text1"/>
          <w:sz w:val="28"/>
          <w:szCs w:val="28"/>
          <w:lang w:val="uk-UA"/>
        </w:rPr>
      </w:pPr>
      <w:r w:rsidRPr="00CE0A20">
        <w:rPr>
          <w:rStyle w:val="29pt"/>
          <w:rFonts w:ascii="Times New Roman" w:hAnsi="Times New Roman" w:cs="Times New Roman"/>
          <w:b w:val="0"/>
          <w:i w:val="0"/>
          <w:color w:val="000000" w:themeColor="text1"/>
          <w:sz w:val="28"/>
          <w:szCs w:val="28"/>
          <w:lang w:val="uk-UA"/>
        </w:rPr>
        <w:t xml:space="preserve">Лісовий ВМ, Панасовський МЛ, Аркатов АВ.  та ін.  Особливості гормональної регуляції репродуктивної функції у пацієнтів з непрохідністю сім'явикидаючих проток. Експерим. і клін. медицина. 2010;1:171-174.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Лісовий ВМ, Панасовський МЛ, Гарагатий ІА. та ін. Анамнестично-соціальні аспекти розвитку обтураційного чоловічого безпліддя. Медицина сьогодні і завтра. 2009;3–4:106-110.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Лучицький ВЄ. Лікування еректильної дисфункції в чоловіків, хворих на цукровий діабет 2-го типу. Международный эндокринологический журнал. 2015;8(72):95-101.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Microsoft Sans Serif"/>
          <w:i w:val="0"/>
          <w:color w:val="000000" w:themeColor="text1"/>
          <w:sz w:val="28"/>
          <w:szCs w:val="28"/>
          <w:lang w:val="uk-UA"/>
        </w:rPr>
        <w:t>Малайцев ВВ, Богданова ИМ, Сухих ГТ.</w:t>
      </w:r>
      <w:r w:rsidRPr="00CE0A20">
        <w:rPr>
          <w:rFonts w:ascii="Times New Roman" w:hAnsi="Times New Roman" w:cs="Times New Roman"/>
          <w:color w:val="000000" w:themeColor="text1"/>
          <w:lang w:val="uk-UA"/>
        </w:rPr>
        <w:t xml:space="preserve"> Современные представ</w:t>
      </w:r>
      <w:r w:rsidRPr="00CE0A20">
        <w:rPr>
          <w:rFonts w:ascii="Times New Roman" w:hAnsi="Times New Roman" w:cs="Times New Roman"/>
          <w:color w:val="000000" w:themeColor="text1"/>
          <w:lang w:val="uk-UA"/>
        </w:rPr>
        <w:softHyphen/>
        <w:t>ления о биологии стволовой клетки. Арх. патологии. 2002; 64(4): 7–11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М</w:t>
      </w:r>
      <w:r w:rsidRPr="00CE0A20">
        <w:rPr>
          <w:rFonts w:ascii="Times New Roman" w:eastAsia="OptimaMS" w:hAnsi="Times New Roman" w:cs="Times New Roman"/>
          <w:color w:val="000000" w:themeColor="text1"/>
          <w:lang w:val="uk-UA"/>
        </w:rPr>
        <w:t xml:space="preserve">амедгасанов РМ, Мехтиев ТВ. </w:t>
      </w:r>
      <w:r w:rsidRPr="00CE0A20">
        <w:rPr>
          <w:rFonts w:ascii="Times New Roman" w:hAnsi="Times New Roman" w:cs="Times New Roman"/>
          <w:color w:val="000000" w:themeColor="text1"/>
          <w:lang w:val="uk-UA"/>
        </w:rPr>
        <w:t xml:space="preserve">Возрастной андрогенный дефицит и эректильная дисфункция у мужчин репродуктивного возраста с сахарным диабетом 2-го типа. </w:t>
      </w:r>
      <w:r w:rsidRPr="00CE0A20">
        <w:rPr>
          <w:rFonts w:ascii="Times New Roman" w:eastAsia="OptimaMS" w:hAnsi="Times New Roman" w:cs="Times New Roman"/>
          <w:color w:val="000000" w:themeColor="text1"/>
          <w:lang w:val="uk-UA"/>
        </w:rPr>
        <w:t>П</w:t>
      </w:r>
      <w:r w:rsidRPr="00CE0A20">
        <w:rPr>
          <w:rFonts w:ascii="Times New Roman" w:hAnsi="Times New Roman" w:cs="Times New Roman"/>
          <w:color w:val="000000" w:themeColor="text1"/>
          <w:lang w:val="uk-UA"/>
        </w:rPr>
        <w:t>роблемы эндокринологии.  2013;1:3-7.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Минухин АС, Бондаренко ВА.  Показатели андрогенизации у мужчин молодого возраста с различным состоянием эректильной фунции. Здоровье мужчины. 2009;2:63-65.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Михалевич СИ, Михалевич КИ, Андреева НЛ. Мужское бесплодие. Здравоохранение. 2004;8:29-30.</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Мікулинський ЮЮ, Хвисюк ОМ, Забірник АС, Панібратцева СГ, Кульшин ВЕ, Омельченко ОА, Антонян ІМ. Спосіб отримання клітин нервової тканини із мезенхімальних клітин тканини ссавців. </w:t>
      </w:r>
      <w:r w:rsidRPr="00CE0A20">
        <w:rPr>
          <w:rFonts w:ascii="Times New Roman" w:eastAsia="Times New Roman" w:hAnsi="Times New Roman" w:cs="Times New Roman"/>
          <w:bCs/>
          <w:color w:val="000000" w:themeColor="text1"/>
          <w:lang w:val="uk-UA"/>
        </w:rPr>
        <w:t xml:space="preserve">Деклараційний патент на корисну модель №48553 . Опубл.: </w:t>
      </w:r>
      <w:r w:rsidRPr="00CE0A20">
        <w:rPr>
          <w:rFonts w:ascii="Times New Roman" w:eastAsia="Times New Roman" w:hAnsi="Times New Roman" w:cs="Times New Roman"/>
          <w:color w:val="000000" w:themeColor="text1"/>
          <w:lang w:val="uk-UA"/>
        </w:rPr>
        <w:t xml:space="preserve"> Бюл.№ 6 від 25.03.10 р.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Мірошников ЯО. Трансплантація пуповинної крові у лікуванні порушень сперматогенезу при чоловічому безплідді. Медична психологія. 2010; 4: 91-93.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Мірошніков ЯО, Дриманова ВВ. Оцінка ефективності застосування екстракту плаценти у хворих на секреторне безпліддя. Практична медицина. 2009; 6: 77-84.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Мкртумян АМ, Егшатян ЛВ. Влияние андрогенного дефицита на состояние углеводного обмена у мужчин. Ожирение и метаболизм. 2017; 4(3):19-24.</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iCs/>
          <w:color w:val="000000" w:themeColor="text1"/>
          <w:lang w:val="uk-UA"/>
        </w:rPr>
      </w:pPr>
      <w:r w:rsidRPr="00CE0A20">
        <w:rPr>
          <w:rFonts w:ascii="Times New Roman" w:eastAsia="Times New Roman" w:hAnsi="Times New Roman" w:cs="Times New Roman"/>
          <w:iCs/>
          <w:color w:val="000000" w:themeColor="text1"/>
          <w:lang w:val="uk-UA"/>
        </w:rPr>
        <w:t>Моргунов ЛЮ. Обзор применения силденафила в лечении эректильной дисфункции при любой сочетанной патологии. РМЖ. 2016; 8: 488-49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Нишлаг Э, Бере ГМ: редакт. Андрология. Мужское здоровье и дисфункция репродуктивной системы. Пер. с англ. – М. : Медицинское информационное агентство. 2005;551.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Нікітін ОД. Андрологічні аспекти безплідного шлюбу: стан проблеми, епідеміологія, класифікація (огляд літератури) [Текст]. Здоровье мужчины. 2010;3:108-116.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Нікітін ОД. Соціально-медичні аспекти безплідного шлюбу. Вісник вінницького національного медично</w:t>
      </w:r>
      <w:r w:rsidRPr="00CE0A20">
        <w:rPr>
          <w:rFonts w:ascii="Times New Roman" w:hAnsi="Times New Roman" w:cs="Times New Roman"/>
          <w:color w:val="000000" w:themeColor="text1"/>
          <w:lang w:val="uk-UA"/>
        </w:rPr>
        <w:softHyphen/>
        <w:t>го університету. 2009;13(2): 571-586.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shd w:val="clear" w:color="auto" w:fill="F9F9F9"/>
          <w:lang w:val="uk-UA"/>
        </w:rPr>
      </w:pPr>
      <w:r w:rsidRPr="00CE0A20">
        <w:rPr>
          <w:rFonts w:ascii="Times New Roman" w:hAnsi="Times New Roman" w:cs="Times New Roman"/>
          <w:color w:val="000000" w:themeColor="text1"/>
          <w:shd w:val="clear" w:color="auto" w:fill="F9F9F9"/>
          <w:lang w:val="uk-UA"/>
        </w:rPr>
        <w:t>Нікітін ОД. Чоловічий фактор безплідного шлюбу в Україні (епідеміологічні особливості). Здоровье мужчины. 2013;3:12-15, Режим доступу: http://nbuv.gov.ua/UJRN/Zdmu_2013_3_4.</w:t>
      </w:r>
    </w:p>
    <w:p w:rsidR="001C43D0" w:rsidRPr="00CE0A20" w:rsidRDefault="001C43D0" w:rsidP="00631D82">
      <w:pPr>
        <w:pStyle w:val="a3"/>
        <w:numPr>
          <w:ilvl w:val="0"/>
          <w:numId w:val="40"/>
        </w:numPr>
        <w:tabs>
          <w:tab w:val="left" w:pos="1276"/>
        </w:tabs>
        <w:ind w:right="141"/>
        <w:jc w:val="both"/>
        <w:rPr>
          <w:rStyle w:val="29pt"/>
          <w:rFonts w:ascii="Times New Roman" w:hAnsi="Times New Roman" w:cs="Times New Roman"/>
          <w:b w:val="0"/>
          <w:bCs w:val="0"/>
          <w:i w:val="0"/>
          <w:iCs w:val="0"/>
          <w:color w:val="000000" w:themeColor="text1"/>
          <w:sz w:val="28"/>
          <w:szCs w:val="28"/>
          <w:lang w:val="uk-UA"/>
        </w:rPr>
      </w:pPr>
      <w:r w:rsidRPr="00CE0A20">
        <w:rPr>
          <w:rStyle w:val="29pt1"/>
          <w:rFonts w:ascii="Times New Roman" w:hAnsi="Times New Roman" w:cs="Times New Roman"/>
          <w:b w:val="0"/>
          <w:color w:val="000000" w:themeColor="text1"/>
          <w:sz w:val="28"/>
          <w:szCs w:val="28"/>
          <w:lang w:val="uk-UA"/>
        </w:rPr>
        <w:t>Нуриманов КР.</w:t>
      </w:r>
      <w:r w:rsidRPr="00CE0A20">
        <w:rPr>
          <w:rStyle w:val="29pt"/>
          <w:rFonts w:ascii="Times New Roman" w:hAnsi="Times New Roman" w:cs="Times New Roman"/>
          <w:b w:val="0"/>
          <w:i w:val="0"/>
          <w:color w:val="000000" w:themeColor="text1"/>
          <w:sz w:val="28"/>
          <w:szCs w:val="28"/>
          <w:lang w:val="uk-UA"/>
        </w:rPr>
        <w:t xml:space="preserve"> Клинико-лабораторная характеристика мужского бесплодия при азооспермии. Здоровье мужчины. 2004;4(11):139-140.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Охоботов ДА, Камалов АА, Зарайский ЕИ, Павлова ГВ. </w:t>
      </w:r>
      <w:r w:rsidRPr="00CE0A20">
        <w:rPr>
          <w:rStyle w:val="af4"/>
          <w:rFonts w:ascii="Times New Roman" w:hAnsi="Times New Roman" w:cs="Times New Roman"/>
          <w:b w:val="0"/>
          <w:color w:val="000000" w:themeColor="text1"/>
          <w:lang w:val="uk-UA"/>
        </w:rPr>
        <w:t xml:space="preserve">Трансплантация сперматогенных стволовых клеток в эксперименте и клинической практике (аллогенная, ксеногенная, сингенная). </w:t>
      </w:r>
      <w:r w:rsidRPr="00CE0A20">
        <w:rPr>
          <w:rFonts w:ascii="Times New Roman" w:hAnsi="Times New Roman" w:cs="Times New Roman"/>
          <w:color w:val="000000" w:themeColor="text1"/>
          <w:lang w:val="uk-UA"/>
        </w:rPr>
        <w:t>Аспирант и соискатель. 2007; 5:108-119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Охоботов ДА. Влияние культур, обогащенных стволовыми клетками, на сперматогенез при экспериментальном двухстороннем крипторхизме : автореф. дис. на соискание уч. степени канд. мед. наук: спец. 14.00.40  М., 2008;36.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i w:val="0"/>
          <w:color w:val="000000" w:themeColor="text1"/>
          <w:sz w:val="28"/>
          <w:szCs w:val="28"/>
          <w:lang w:val="uk-UA"/>
        </w:rPr>
        <w:t>Павиченко ОВ, Калимам ПА.</w:t>
      </w:r>
      <w:r w:rsidRPr="00CE0A20">
        <w:rPr>
          <w:rFonts w:ascii="Times New Roman" w:hAnsi="Times New Roman" w:cs="Times New Roman"/>
          <w:color w:val="000000" w:themeColor="text1"/>
          <w:lang w:val="uk-UA"/>
        </w:rPr>
        <w:t xml:space="preserve"> Влияние хлорида кадмия на развитие оксидативного стресса в легких крыс. Сучасні проблеми токсикології. 2003;3:42-45. </w:t>
      </w:r>
    </w:p>
    <w:p w:rsidR="001C43D0" w:rsidRPr="00CE0A20" w:rsidRDefault="001C43D0" w:rsidP="00631D82">
      <w:pPr>
        <w:pStyle w:val="a3"/>
        <w:numPr>
          <w:ilvl w:val="0"/>
          <w:numId w:val="40"/>
        </w:numPr>
        <w:tabs>
          <w:tab w:val="left" w:pos="1276"/>
          <w:tab w:val="left" w:pos="694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Пахомов АВ, Божок ГА, Легач ЕИ, Бондаренко ТП. Гормонопродуцирующая способность клеток интерстиция семенников и органотипической культуры семенников новорожденных поросят после криоконсервирования. Проблемы криобиологии. 2007;17(2):179-185.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Пахомов АВ, Божок ГА, Легач ЕИ. Гормонпродуцирующая способность oрганной культуры семенников  взрослых  крыс  при   совместных культивировании и аллотранплантации. Проблемы криобиоло</w:t>
      </w:r>
      <w:r w:rsidRPr="00CE0A20">
        <w:rPr>
          <w:rFonts w:ascii="Times New Roman" w:hAnsi="Times New Roman" w:cs="Times New Roman"/>
          <w:color w:val="000000" w:themeColor="text1"/>
          <w:lang w:val="uk-UA"/>
        </w:rPr>
        <w:softHyphen/>
        <w:t xml:space="preserve">гии. 2004;3:32-38.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Пашкова ЕЮ, Рождественская ОА. Возрастной андрогенный дефицит у мужчин: этиология, клиника, диагностика, лечение. Андрология и генитальная хирургия, 2015;1:95-101.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Поворознюк МВ. </w:t>
      </w:r>
      <w:r w:rsidRPr="00CE0A20">
        <w:rPr>
          <w:rFonts w:ascii="Times New Roman" w:hAnsi="Times New Roman" w:cs="Times New Roman"/>
          <w:color w:val="000000" w:themeColor="text1"/>
          <w:kern w:val="36"/>
          <w:lang w:val="uk-UA"/>
        </w:rPr>
        <w:t>Поширеність та основні причини безпліддя у чоловіківі. Медичні аспекти здоров’я чоловіка. 2012;</w:t>
      </w:r>
      <w:r w:rsidRPr="00CE0A20">
        <w:rPr>
          <w:rFonts w:ascii="Times New Roman" w:hAnsi="Times New Roman" w:cs="Times New Roman"/>
          <w:color w:val="000000" w:themeColor="text1"/>
          <w:lang w:val="uk-UA"/>
        </w:rPr>
        <w:t>3</w:t>
      </w:r>
      <w:r w:rsidRPr="00CE0A20">
        <w:rPr>
          <w:rFonts w:ascii="Times New Roman" w:hAnsi="Times New Roman" w:cs="Times New Roman"/>
          <w:color w:val="000000" w:themeColor="text1"/>
          <w:kern w:val="36"/>
          <w:lang w:val="uk-UA"/>
        </w:rPr>
        <w:t>(</w:t>
      </w:r>
      <w:r w:rsidRPr="00CE0A20">
        <w:rPr>
          <w:rFonts w:ascii="Times New Roman" w:hAnsi="Times New Roman" w:cs="Times New Roman"/>
          <w:color w:val="000000" w:themeColor="text1"/>
          <w:lang w:val="uk-UA"/>
        </w:rPr>
        <w:t>5</w:t>
      </w:r>
      <w:r w:rsidRPr="00CE0A20">
        <w:rPr>
          <w:rFonts w:ascii="Times New Roman" w:hAnsi="Times New Roman" w:cs="Times New Roman"/>
          <w:color w:val="000000" w:themeColor="text1"/>
          <w:kern w:val="36"/>
          <w:lang w:val="uk-UA"/>
        </w:rPr>
        <w:t>):</w:t>
      </w:r>
      <w:r w:rsidRPr="00CE0A20">
        <w:rPr>
          <w:rFonts w:ascii="Times New Roman" w:hAnsi="Times New Roman" w:cs="Times New Roman"/>
          <w:color w:val="000000" w:themeColor="text1"/>
          <w:lang w:val="uk-UA"/>
        </w:rPr>
        <w:t>62-73.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Поворознюк МВ. </w:t>
      </w:r>
      <w:r w:rsidRPr="00CE0A20">
        <w:rPr>
          <w:rFonts w:ascii="Times New Roman" w:hAnsi="Times New Roman" w:cs="Times New Roman"/>
          <w:color w:val="000000" w:themeColor="text1"/>
          <w:kern w:val="36"/>
          <w:lang w:val="uk-UA"/>
        </w:rPr>
        <w:t>Фактори, що впливають на стан фертильності у чоловіків з непліддям у шлюбі. Медичні аспекти здоров’я чоловіка. 2017;</w:t>
      </w:r>
      <w:r w:rsidRPr="00CE0A20">
        <w:rPr>
          <w:rFonts w:ascii="Times New Roman" w:hAnsi="Times New Roman" w:cs="Times New Roman"/>
          <w:color w:val="000000" w:themeColor="text1"/>
          <w:lang w:val="uk-UA"/>
        </w:rPr>
        <w:t>2</w:t>
      </w:r>
      <w:r w:rsidRPr="00CE0A20">
        <w:rPr>
          <w:rFonts w:ascii="Times New Roman" w:hAnsi="Times New Roman" w:cs="Times New Roman"/>
          <w:color w:val="000000" w:themeColor="text1"/>
          <w:kern w:val="36"/>
          <w:lang w:val="uk-UA"/>
        </w:rPr>
        <w:t>(</w:t>
      </w:r>
      <w:r w:rsidRPr="00CE0A20">
        <w:rPr>
          <w:rFonts w:ascii="Times New Roman" w:hAnsi="Times New Roman" w:cs="Times New Roman"/>
          <w:color w:val="000000" w:themeColor="text1"/>
          <w:lang w:val="uk-UA"/>
        </w:rPr>
        <w:t>17</w:t>
      </w:r>
      <w:r w:rsidRPr="00CE0A20">
        <w:rPr>
          <w:rFonts w:ascii="Times New Roman" w:hAnsi="Times New Roman" w:cs="Times New Roman"/>
          <w:color w:val="000000" w:themeColor="text1"/>
          <w:kern w:val="36"/>
          <w:lang w:val="uk-UA"/>
        </w:rPr>
        <w:t>):</w:t>
      </w:r>
      <w:r w:rsidRPr="00CE0A20">
        <w:rPr>
          <w:rFonts w:ascii="Times New Roman" w:hAnsi="Times New Roman" w:cs="Times New Roman"/>
          <w:color w:val="000000" w:themeColor="text1"/>
          <w:lang w:val="uk-UA"/>
        </w:rPr>
        <w:t>63-68.</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iCs/>
          <w:color w:val="000000" w:themeColor="text1"/>
          <w:lang w:val="uk-UA"/>
        </w:rPr>
      </w:pPr>
      <w:r w:rsidRPr="00CE0A20">
        <w:rPr>
          <w:rFonts w:ascii="Times New Roman" w:eastAsia="Times New Roman" w:hAnsi="Times New Roman" w:cs="Times New Roman"/>
          <w:iCs/>
          <w:color w:val="000000" w:themeColor="text1"/>
          <w:lang w:val="uk-UA"/>
        </w:rPr>
        <w:t xml:space="preserve">Попко АС, Локшин КЛ. Современные возможности медикаментозной терапии больных с эректильной дисфункцией. РМЖ. 2015; 26: 1574–1575; </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Пушкарь ДЮ, Камалов АА, Аль-Шукри С.Х, Анализ результатов эпидемиологического исследования распространенности эректильной дисфункции в Российской Федерации. Урология. 2012; 6: 5-9;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Рекомендации по мужской сексуальной дисфункции: эректильная дисфункция и преждевременная эякуляция: Руководство Европейской ассоциации урологии (EAU). Члены группы по составлению рекомендаций: E. Wespes, E. Amar, I. Eardley, F. Giuliano, D. Hatzichristou, K. Hatzimouratidis, F. Montorsi, Y. Vardi Medix. Anti-Aging. 2012; 1 (25): 28-31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Роживанов РВ, Лепетухин АЕ, Дубский СА, Курбатов ДГ. Особенности коррекции сексуальной дисфункции у мужчин, больных сахарным диабетом. Сахарный диабет. 2010;3:30-31.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Роживанов РВ. Синдром гипогонадизма у мужчин. Ожирение и метаболизм. 2014;2:30-34. DOI: 10.14341/OMET2014230-34.</w:t>
      </w:r>
    </w:p>
    <w:p w:rsidR="001C43D0" w:rsidRPr="00CE0A20" w:rsidRDefault="001C43D0" w:rsidP="00631D82">
      <w:pPr>
        <w:pStyle w:val="a3"/>
        <w:numPr>
          <w:ilvl w:val="0"/>
          <w:numId w:val="40"/>
        </w:numPr>
        <w:tabs>
          <w:tab w:val="left" w:pos="1276"/>
        </w:tabs>
        <w:ind w:right="141"/>
        <w:jc w:val="both"/>
        <w:rPr>
          <w:rStyle w:val="bigtext"/>
          <w:rFonts w:ascii="Times New Roman" w:hAnsi="Times New Roman" w:cs="Times New Roman"/>
          <w:bCs/>
          <w:color w:val="000000" w:themeColor="text1"/>
          <w:lang w:val="uk-UA"/>
        </w:rPr>
      </w:pPr>
      <w:r w:rsidRPr="00CE0A20">
        <w:rPr>
          <w:rFonts w:ascii="Times New Roman" w:hAnsi="Times New Roman" w:cs="Times New Roman"/>
          <w:bCs/>
          <w:color w:val="000000" w:themeColor="text1"/>
          <w:lang w:val="uk-UA"/>
        </w:rPr>
        <w:t>Сайдакова НА</w:t>
      </w:r>
      <w:r w:rsidRPr="00CE0A20">
        <w:rPr>
          <w:rFonts w:ascii="Times New Roman" w:hAnsi="Times New Roman" w:cs="Times New Roman"/>
          <w:color w:val="000000" w:themeColor="text1"/>
          <w:lang w:val="uk-UA"/>
        </w:rPr>
        <w:t>, </w:t>
      </w:r>
      <w:r w:rsidRPr="00CE0A20">
        <w:rPr>
          <w:rFonts w:ascii="Times New Roman" w:hAnsi="Times New Roman" w:cs="Times New Roman"/>
          <w:bCs/>
          <w:color w:val="000000" w:themeColor="text1"/>
          <w:lang w:val="uk-UA"/>
        </w:rPr>
        <w:t>Стусь ВП</w:t>
      </w:r>
      <w:r w:rsidRPr="00CE0A20">
        <w:rPr>
          <w:rFonts w:ascii="Times New Roman" w:hAnsi="Times New Roman" w:cs="Times New Roman"/>
          <w:color w:val="000000" w:themeColor="text1"/>
          <w:lang w:val="uk-UA"/>
        </w:rPr>
        <w:t>, </w:t>
      </w:r>
      <w:r w:rsidRPr="00CE0A20">
        <w:rPr>
          <w:rFonts w:ascii="Times New Roman" w:hAnsi="Times New Roman" w:cs="Times New Roman"/>
          <w:bCs/>
          <w:color w:val="000000" w:themeColor="text1"/>
          <w:lang w:val="uk-UA"/>
        </w:rPr>
        <w:t xml:space="preserve">Полион НЮ. </w:t>
      </w:r>
      <w:r w:rsidRPr="00CE0A20">
        <w:rPr>
          <w:rStyle w:val="bigtext"/>
          <w:rFonts w:ascii="Times New Roman" w:hAnsi="Times New Roman" w:cs="Times New Roman"/>
          <w:bCs/>
          <w:color w:val="000000" w:themeColor="text1"/>
          <w:lang w:val="uk-UA"/>
        </w:rPr>
        <w:t>Эпидемиология мужского бесплодия в Украине: особенности, тенденции. Урологія. 2016; 20 (2): 42-52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bCs/>
          <w:color w:val="000000" w:themeColor="text1"/>
          <w:lang w:val="uk-UA"/>
        </w:rPr>
      </w:pPr>
      <w:r w:rsidRPr="00CE0A20">
        <w:rPr>
          <w:rFonts w:ascii="Times New Roman" w:hAnsi="Times New Roman" w:cs="Times New Roman"/>
          <w:color w:val="000000" w:themeColor="text1"/>
          <w:lang w:val="uk-UA"/>
        </w:rPr>
        <w:t>Салех ДжМАбуЖаяб. Корекція андрогенної функції у експеримен</w:t>
      </w:r>
      <w:r w:rsidRPr="00CE0A20">
        <w:rPr>
          <w:rFonts w:ascii="Times New Roman" w:hAnsi="Times New Roman" w:cs="Times New Roman"/>
          <w:color w:val="000000" w:themeColor="text1"/>
          <w:lang w:val="uk-UA"/>
        </w:rPr>
        <w:softHyphen/>
        <w:t>тальних тварин шляхом трансплантації нативних і кріоконсервованих органних культур сім’яників. Автореф. дисертації: 14.01.14 – ендокринологія. Харків, Інститут проблем кріобіології і кріомедицини НАН України. 2004;19.</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Саричев ЛП, Пустовойт ГЛ, Саричев ЯВ. Інформативність комплексу інтима-медіа як маркера ендотеліальної дисфункції при віковому андрогенному дефіциті у чоловіків. Здоровье мужчины. 2014; 2: 126-128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Сериков ВД, Куйперс Ф. Плацента человека как источник гемопоэтических стволовых клеток. Клеточная трансплантология и тканевая инженерия.  2008; 3 (2): 45-50,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5"/>
          <w:rFonts w:cs="Times New Roman"/>
          <w:color w:val="000000" w:themeColor="text1"/>
          <w:sz w:val="28"/>
        </w:rPr>
        <w:t>Сирман ВМ, Сирман ЯВ.</w:t>
      </w:r>
      <w:r w:rsidRPr="00CE0A20">
        <w:rPr>
          <w:rFonts w:ascii="Times New Roman" w:hAnsi="Times New Roman" w:cs="Times New Roman"/>
          <w:color w:val="000000" w:themeColor="text1"/>
          <w:lang w:val="uk-UA"/>
        </w:rPr>
        <w:t xml:space="preserve"> Ограничения, опасности и осложнения клеточной трансплантации. Doctor. 2004; 4:41-45.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bCs/>
          <w:color w:val="000000" w:themeColor="text1"/>
          <w:lang w:val="uk-UA"/>
        </w:rPr>
      </w:pPr>
      <w:r w:rsidRPr="00CE0A20">
        <w:rPr>
          <w:rFonts w:ascii="Times New Roman" w:hAnsi="Times New Roman" w:cs="Times New Roman"/>
          <w:color w:val="000000" w:themeColor="text1"/>
          <w:lang w:val="uk-UA"/>
        </w:rPr>
        <w:t>Стусь ВП, Білецька ЕМ, Онул НМ, Поліон МЮ. Клініко-епідеміологічна характеристика сексуальних розладів безплідних чоловіків. Український науково-практичний журнал урологів, андрологів та нефрологів.  2014; 1: 25-30</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Сухих ГТ, Божедомов ВА. Мужское бесплодие. Этиология, патогенез и классификация нарушений репродуктивной функции мужчин. М., 2009. С. 13–85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Тишова ЮА, Калинченко СЮ. Роль коррекции гипогонадизма в лечении метаболического синдрома у мужчин и аспекты безопасности терапии препаратом тестостерона пролонгированного действия (результаты двойного слепого рандомизированного плацебоконтроли</w:t>
      </w:r>
      <w:r w:rsidRPr="00CE0A20">
        <w:rPr>
          <w:rFonts w:ascii="Times New Roman" w:hAnsi="Times New Roman" w:cs="Times New Roman"/>
          <w:color w:val="000000" w:themeColor="text1"/>
          <w:lang w:val="uk-UA"/>
        </w:rPr>
        <w:softHyphen/>
        <w:t>руемого исследо</w:t>
      </w:r>
      <w:r w:rsidRPr="00CE0A20">
        <w:rPr>
          <w:rFonts w:ascii="Times New Roman" w:hAnsi="Times New Roman" w:cs="Times New Roman"/>
          <w:color w:val="000000" w:themeColor="text1"/>
          <w:lang w:val="uk-UA"/>
        </w:rPr>
        <w:softHyphen/>
        <w:t>вания). Ожирение и метаболизм, 2010;2:36-43.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Arial"/>
          <w:i w:val="0"/>
          <w:color w:val="000000" w:themeColor="text1"/>
          <w:sz w:val="28"/>
          <w:szCs w:val="28"/>
          <w:lang w:val="uk-UA"/>
        </w:rPr>
        <w:t>Турчин ИС, Дроздович ИИ.</w:t>
      </w:r>
      <w:r w:rsidRPr="00CE0A20">
        <w:rPr>
          <w:rFonts w:ascii="Times New Roman" w:hAnsi="Times New Roman" w:cs="Times New Roman"/>
          <w:color w:val="000000" w:themeColor="text1"/>
          <w:lang w:val="uk-UA"/>
        </w:rPr>
        <w:t xml:space="preserve"> Биологические свойства органных культур эндокринных желез. Доктор. 2004; 4: 29-30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Турчин ІС, Ларін ОС, Бугаєв ВМ. та ін.  Трансплантація клітин та тканин в Україні. Трансплантологія. 2003; 4(1):190-192.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Хайбулина ЭТ, Полупанова ЮС, Колосова ЕС, Аринина ЕН. Роль дефицита андрогенов в патогенезе эректильной дисфункции у больных сахарным диабетом. Международный медицинский журнал. 2005;4:38-42.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rPr>
        <w:t>Хрипун</w:t>
      </w:r>
      <w:r w:rsidRPr="00CE0A20">
        <w:rPr>
          <w:rFonts w:ascii="Times New Roman" w:hAnsi="Times New Roman" w:cs="Times New Roman"/>
          <w:color w:val="000000" w:themeColor="text1"/>
          <w:lang w:val="uk-UA"/>
        </w:rPr>
        <w:t xml:space="preserve"> </w:t>
      </w:r>
      <w:r w:rsidRPr="00CE0A20">
        <w:rPr>
          <w:rFonts w:ascii="Times New Roman" w:hAnsi="Times New Roman" w:cs="Times New Roman"/>
          <w:color w:val="000000" w:themeColor="text1"/>
        </w:rPr>
        <w:t>ИА, Гусова</w:t>
      </w:r>
      <w:r w:rsidRPr="00CE0A20">
        <w:rPr>
          <w:rFonts w:ascii="Times New Roman" w:hAnsi="Times New Roman" w:cs="Times New Roman"/>
          <w:color w:val="000000" w:themeColor="text1"/>
          <w:lang w:val="uk-UA"/>
        </w:rPr>
        <w:t xml:space="preserve"> </w:t>
      </w:r>
      <w:r w:rsidRPr="00CE0A20">
        <w:rPr>
          <w:rFonts w:ascii="Times New Roman" w:hAnsi="Times New Roman" w:cs="Times New Roman"/>
          <w:color w:val="000000" w:themeColor="text1"/>
        </w:rPr>
        <w:t>ЗР, Дзантиева</w:t>
      </w:r>
      <w:r w:rsidRPr="00CE0A20">
        <w:rPr>
          <w:rFonts w:ascii="Times New Roman" w:hAnsi="Times New Roman" w:cs="Times New Roman"/>
          <w:color w:val="000000" w:themeColor="text1"/>
          <w:lang w:val="uk-UA"/>
        </w:rPr>
        <w:t xml:space="preserve"> </w:t>
      </w:r>
      <w:r w:rsidRPr="00CE0A20">
        <w:rPr>
          <w:rFonts w:ascii="Times New Roman" w:hAnsi="Times New Roman" w:cs="Times New Roman"/>
          <w:color w:val="000000" w:themeColor="text1"/>
        </w:rPr>
        <w:t>ЕО, Пузырева</w:t>
      </w:r>
      <w:r w:rsidRPr="00CE0A20">
        <w:rPr>
          <w:rFonts w:ascii="Times New Roman" w:hAnsi="Times New Roman" w:cs="Times New Roman"/>
          <w:color w:val="000000" w:themeColor="text1"/>
          <w:lang w:val="uk-UA"/>
        </w:rPr>
        <w:t xml:space="preserve"> </w:t>
      </w:r>
      <w:r w:rsidRPr="00CE0A20">
        <w:rPr>
          <w:rFonts w:ascii="Times New Roman" w:hAnsi="Times New Roman" w:cs="Times New Roman"/>
          <w:color w:val="000000" w:themeColor="text1"/>
        </w:rPr>
        <w:t>ВП, Белоусов</w:t>
      </w:r>
      <w:r w:rsidRPr="00CE0A20">
        <w:rPr>
          <w:rFonts w:ascii="Times New Roman" w:hAnsi="Times New Roman" w:cs="Times New Roman"/>
          <w:color w:val="000000" w:themeColor="text1"/>
          <w:lang w:val="uk-UA"/>
        </w:rPr>
        <w:t xml:space="preserve"> </w:t>
      </w:r>
      <w:r w:rsidRPr="00CE0A20">
        <w:rPr>
          <w:rFonts w:ascii="Times New Roman" w:hAnsi="Times New Roman" w:cs="Times New Roman"/>
          <w:color w:val="000000" w:themeColor="text1"/>
        </w:rPr>
        <w:t>ИИ, Воробьев</w:t>
      </w:r>
      <w:r w:rsidRPr="00CE0A20">
        <w:rPr>
          <w:rFonts w:ascii="Times New Roman" w:hAnsi="Times New Roman" w:cs="Times New Roman"/>
          <w:color w:val="000000" w:themeColor="text1"/>
          <w:lang w:val="uk-UA"/>
        </w:rPr>
        <w:t xml:space="preserve"> </w:t>
      </w:r>
      <w:r w:rsidRPr="00CE0A20">
        <w:rPr>
          <w:rFonts w:ascii="Times New Roman" w:hAnsi="Times New Roman" w:cs="Times New Roman"/>
          <w:color w:val="000000" w:themeColor="text1"/>
        </w:rPr>
        <w:t>СВ. Тестостерон как инструмент метаболического контроля мужского здоровья (обзор литературы). Медицинский вестник Юга России. 2014</w:t>
      </w:r>
      <w:r w:rsidRPr="00CE0A20">
        <w:rPr>
          <w:rFonts w:ascii="Times New Roman" w:hAnsi="Times New Roman" w:cs="Times New Roman"/>
          <w:color w:val="000000" w:themeColor="text1"/>
          <w:lang w:val="uk-UA"/>
        </w:rPr>
        <w:t>;</w:t>
      </w:r>
      <w:r w:rsidRPr="00CE0A20">
        <w:rPr>
          <w:rFonts w:ascii="Times New Roman" w:hAnsi="Times New Roman" w:cs="Times New Roman"/>
          <w:color w:val="000000" w:themeColor="text1"/>
        </w:rPr>
        <w:t>19-22</w:t>
      </w:r>
      <w:r w:rsidRPr="00CE0A20">
        <w:rPr>
          <w:rFonts w:ascii="Times New Roman" w:hAnsi="Times New Roman" w:cs="Times New Roman"/>
          <w:color w:val="000000" w:themeColor="text1"/>
          <w:lang w:val="uk-UA"/>
        </w:rPr>
        <w:t>.</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Хоцанян ЧВ, Голухова ЕЗ. Эректильная дисфункция как ранний предиктор ишемической болезни сердца. Креативная кардиология. 2016;10(1):37-5.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Arial"/>
          <w:i w:val="0"/>
          <w:color w:val="000000" w:themeColor="text1"/>
          <w:sz w:val="28"/>
          <w:szCs w:val="28"/>
          <w:lang w:val="uk-UA"/>
        </w:rPr>
        <w:t xml:space="preserve">Щегельская ЕА, Микулинский ЮЕ, Ревищин АВ, </w:t>
      </w:r>
      <w:r w:rsidRPr="00CE0A20">
        <w:rPr>
          <w:rFonts w:ascii="Times New Roman" w:hAnsi="Times New Roman" w:cs="Times New Roman"/>
          <w:color w:val="000000" w:themeColor="text1"/>
          <w:lang w:val="uk-UA"/>
        </w:rPr>
        <w:t>и др. Плюрипотентность клеток стромы костного мозга и перспективы их использования в клеточной терапии. Онтогенез. 2003; 34( 3): 228-235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Щегельська ОА, Микулинський ЮЮ, Омельченко ОА та ін. Технології виділення клітин строми кісткового мозку людини, розмноження in vitro та індукції в нервові клітини та остеобласти: метод. рек.  ХМАПО. Харків, 2004;7-10.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Microsoft Sans Serif"/>
          <w:i w:val="0"/>
          <w:color w:val="000000" w:themeColor="text1"/>
          <w:sz w:val="28"/>
          <w:szCs w:val="28"/>
          <w:lang w:val="uk-UA"/>
        </w:rPr>
        <w:t xml:space="preserve">Щегельська ОА, Мікулінський ЮЮ, Кульшин BC, Омельченко ОА, Грищенко ВІ.  </w:t>
      </w:r>
      <w:r w:rsidRPr="00CE0A20">
        <w:rPr>
          <w:rFonts w:ascii="Times New Roman" w:hAnsi="Times New Roman" w:cs="Times New Roman"/>
          <w:color w:val="000000" w:themeColor="text1"/>
          <w:lang w:val="uk-UA"/>
        </w:rPr>
        <w:t xml:space="preserve">Диференцировка in vitro клітин строми кісткового мозку миші в клітини-попередники нейронів і гепатоцитів. Експериментальна і клінічна медицина. 2002; 1: </w:t>
      </w:r>
      <w:r w:rsidRPr="00CE0A20">
        <w:rPr>
          <w:rStyle w:val="210pt"/>
          <w:color w:val="000000" w:themeColor="text1"/>
          <w:sz w:val="28"/>
          <w:szCs w:val="28"/>
          <w:lang w:val="uk-UA"/>
        </w:rPr>
        <w:t>16–20</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Щепелев ПА, Гарин НН. Андропауза - актуальная проблема современной андрологии. Міжнародний ендокринологічний журнал. 2008;4:93-96.</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Abolyosr A., Elsagheer G.A., Abdel-Kader MS, Hassan AM, Abou-Zeid AM. Evaluation of the effect of sildenafil and/or doxazosin on Benign prostatic hyperplasia-related lower urinary tract symptoms and erectile dysfunction. Urol Ann.  2013; 5 (4): 237–240</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Agledahl I, Hansen JB, Svartberg J. </w:t>
      </w:r>
      <w:r w:rsidRPr="00CE0A20">
        <w:rPr>
          <w:rStyle w:val="ref-title"/>
          <w:rFonts w:ascii="Times New Roman" w:hAnsi="Times New Roman" w:cs="Times New Roman"/>
          <w:color w:val="000000" w:themeColor="text1"/>
          <w:lang w:val="uk-UA"/>
        </w:rPr>
        <w:t>Impact of testosterone treatment on postprandial triglyceride metabolism in elderly men with subnormal testosterone levels</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Scand J Clin Lab Invest</w:t>
      </w:r>
      <w:r w:rsidRPr="00CE0A20">
        <w:rPr>
          <w:rStyle w:val="mixed-citation"/>
          <w:rFonts w:ascii="Times New Roman" w:hAnsi="Times New Roman" w:cs="Times New Roman"/>
          <w:color w:val="000000" w:themeColor="text1"/>
          <w:lang w:val="uk-UA"/>
        </w:rPr>
        <w:t xml:space="preserve"> 2008;</w:t>
      </w:r>
      <w:r w:rsidRPr="00CE0A20">
        <w:rPr>
          <w:rStyle w:val="ref-vol"/>
          <w:rFonts w:ascii="Times New Roman" w:hAnsi="Times New Roman" w:cs="Times New Roman"/>
          <w:color w:val="000000" w:themeColor="text1"/>
          <w:lang w:val="uk-UA"/>
        </w:rPr>
        <w:t>68</w:t>
      </w:r>
      <w:r w:rsidRPr="00CE0A20">
        <w:rPr>
          <w:rStyle w:val="mixed-citation"/>
          <w:rFonts w:ascii="Times New Roman" w:hAnsi="Times New Roman" w:cs="Times New Roman"/>
          <w:color w:val="000000" w:themeColor="text1"/>
          <w:lang w:val="uk-UA"/>
        </w:rPr>
        <w:t>:641–648.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Al Hayek A, Ajlouni K, Khader Y, Jafal S, Khawaja N, Robert A. Prevalence of low testosterone levels in men with type 2 diabetes mellitus: a cross-sectional study. Journal of Family and Community Medicine. 2013; 20(3):179. doi: 10.4103/2230-8229.122006</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Alhathal N, Elshal AM, Carrier S. </w:t>
      </w:r>
      <w:r w:rsidRPr="00CE0A20">
        <w:rPr>
          <w:rFonts w:ascii="Times New Roman" w:eastAsia="Times New Roman" w:hAnsi="Times New Roman" w:cs="Times New Roman"/>
          <w:bCs/>
          <w:color w:val="000000" w:themeColor="text1"/>
          <w:kern w:val="36"/>
          <w:lang w:val="uk-UA"/>
        </w:rPr>
        <w:t xml:space="preserve">Synergetic effect of testosterone and phophodiesterase-5 inhibitors in hypogonadal men with erectile dysfunction: A systematic review. </w:t>
      </w:r>
      <w:r w:rsidRPr="00CE0A20">
        <w:rPr>
          <w:rFonts w:ascii="Times New Roman" w:eastAsia="Times New Roman" w:hAnsi="Times New Roman" w:cs="Times New Roman"/>
          <w:color w:val="000000" w:themeColor="text1"/>
          <w:lang w:val="uk-UA"/>
        </w:rPr>
        <w:t>Can Urol Assoc J. 2012 Aug;6(4):269-74. doi: 10.5489/cuaj.11291</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Allan CA, McLachlan RI. </w:t>
      </w:r>
      <w:r w:rsidRPr="00CE0A20">
        <w:rPr>
          <w:rStyle w:val="ref-title"/>
          <w:rFonts w:ascii="Times New Roman" w:hAnsi="Times New Roman" w:cs="Times New Roman"/>
          <w:color w:val="000000" w:themeColor="text1"/>
          <w:lang w:val="uk-UA"/>
        </w:rPr>
        <w:t>Androgens and obesity</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Curr Opin Endocrinol Diabetes Obes.</w:t>
      </w:r>
      <w:r w:rsidRPr="00CE0A20">
        <w:rPr>
          <w:rStyle w:val="mixed-citation"/>
          <w:rFonts w:ascii="Times New Roman" w:hAnsi="Times New Roman" w:cs="Times New Roman"/>
          <w:color w:val="000000" w:themeColor="text1"/>
          <w:lang w:val="uk-UA"/>
        </w:rPr>
        <w:t xml:space="preserve"> 2010;</w:t>
      </w:r>
      <w:r w:rsidRPr="00CE0A20">
        <w:rPr>
          <w:rStyle w:val="ref-vol"/>
          <w:rFonts w:ascii="Times New Roman" w:hAnsi="Times New Roman" w:cs="Times New Roman"/>
          <w:color w:val="000000" w:themeColor="text1"/>
          <w:lang w:val="uk-UA"/>
        </w:rPr>
        <w:t>17</w:t>
      </w:r>
      <w:r w:rsidRPr="00CE0A20">
        <w:rPr>
          <w:rStyle w:val="mixed-citation"/>
          <w:rFonts w:ascii="Times New Roman" w:hAnsi="Times New Roman" w:cs="Times New Roman"/>
          <w:color w:val="000000" w:themeColor="text1"/>
          <w:lang w:val="uk-UA"/>
        </w:rPr>
        <w:t>:224–232.</w:t>
      </w:r>
    </w:p>
    <w:p w:rsidR="001C43D0" w:rsidRPr="00CE0A20" w:rsidRDefault="001C43D0" w:rsidP="00631D82">
      <w:pPr>
        <w:pStyle w:val="a3"/>
        <w:numPr>
          <w:ilvl w:val="0"/>
          <w:numId w:val="40"/>
        </w:numPr>
        <w:tabs>
          <w:tab w:val="left" w:pos="1276"/>
        </w:tabs>
        <w:ind w:right="141"/>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Alves-Lopes RU, Neves KB, Silva MA, Olivon VC, Ruginsk SG, Antunes-Rodrigues J, et al. Functional and structural changes in internal pudendal arteries underlie </w:t>
      </w:r>
      <w:r w:rsidRPr="00CE0A20">
        <w:rPr>
          <w:rFonts w:ascii="Times New Roman" w:hAnsi="Times New Roman" w:cs="Times New Roman"/>
          <w:bCs/>
          <w:color w:val="000000" w:themeColor="text1"/>
          <w:lang w:val="uk-UA"/>
        </w:rPr>
        <w:t>erectile</w:t>
      </w:r>
      <w:r w:rsidRPr="00CE0A20">
        <w:rPr>
          <w:rFonts w:ascii="Times New Roman" w:hAnsi="Times New Roman" w:cs="Times New Roman"/>
          <w:color w:val="000000" w:themeColor="text1"/>
          <w:lang w:val="uk-UA"/>
        </w:rPr>
        <w:t xml:space="preserve"> </w:t>
      </w:r>
      <w:r w:rsidRPr="00CE0A20">
        <w:rPr>
          <w:rFonts w:ascii="Times New Roman" w:hAnsi="Times New Roman" w:cs="Times New Roman"/>
          <w:bCs/>
          <w:color w:val="000000" w:themeColor="text1"/>
          <w:lang w:val="uk-UA"/>
        </w:rPr>
        <w:t>dysfunction</w:t>
      </w:r>
      <w:r w:rsidRPr="00CE0A20">
        <w:rPr>
          <w:rFonts w:ascii="Times New Roman" w:hAnsi="Times New Roman" w:cs="Times New Roman"/>
          <w:color w:val="000000" w:themeColor="text1"/>
          <w:lang w:val="uk-UA"/>
        </w:rPr>
        <w:t xml:space="preserve"> induced by </w:t>
      </w:r>
      <w:r w:rsidRPr="00CE0A20">
        <w:rPr>
          <w:rFonts w:ascii="Times New Roman" w:hAnsi="Times New Roman" w:cs="Times New Roman"/>
          <w:bCs/>
          <w:color w:val="000000" w:themeColor="text1"/>
          <w:lang w:val="uk-UA"/>
        </w:rPr>
        <w:t>androgen</w:t>
      </w:r>
      <w:r w:rsidRPr="00CE0A20">
        <w:rPr>
          <w:rFonts w:ascii="Times New Roman" w:hAnsi="Times New Roman" w:cs="Times New Roman"/>
          <w:color w:val="000000" w:themeColor="text1"/>
          <w:lang w:val="uk-UA"/>
        </w:rPr>
        <w:t xml:space="preserve"> deprivation.  </w:t>
      </w:r>
      <w:r w:rsidRPr="00CE0A20">
        <w:rPr>
          <w:rStyle w:val="jrnl"/>
          <w:rFonts w:ascii="Times New Roman" w:hAnsi="Times New Roman" w:cs="Times New Roman"/>
          <w:color w:val="000000" w:themeColor="text1"/>
          <w:lang w:val="uk-UA"/>
        </w:rPr>
        <w:t>Asian J Androl</w:t>
      </w:r>
      <w:r w:rsidRPr="00CE0A20">
        <w:rPr>
          <w:rFonts w:ascii="Times New Roman" w:hAnsi="Times New Roman" w:cs="Times New Roman"/>
          <w:color w:val="000000" w:themeColor="text1"/>
          <w:lang w:val="uk-UA"/>
        </w:rPr>
        <w:t>. 2017; 19(5): 526-532. doi: 10.4103/1008-682X.173935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i w:val="0"/>
          <w:color w:val="000000" w:themeColor="text1"/>
          <w:sz w:val="28"/>
          <w:szCs w:val="28"/>
          <w:lang w:val="uk-UA"/>
        </w:rPr>
        <w:t>Ana P, Ardais AP, Santos FW, Nogueira СW.</w:t>
      </w:r>
      <w:r w:rsidRPr="00CE0A20">
        <w:rPr>
          <w:rFonts w:ascii="Times New Roman" w:hAnsi="Times New Roman" w:cs="Times New Roman"/>
          <w:color w:val="000000" w:themeColor="text1"/>
          <w:lang w:val="uk-UA"/>
        </w:rPr>
        <w:t xml:space="preserve"> Ebselen attenuates cadmium-induced testicular damage in mice. Journal of applied toxicology. 2008;28:322–328.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Andersson DP, Ekström U, Lehtihet M. Rigiscan evaluation of men with </w:t>
      </w:r>
      <w:r w:rsidRPr="00CE0A20">
        <w:rPr>
          <w:rStyle w:val="highlight"/>
          <w:rFonts w:ascii="Times New Roman" w:hAnsi="Times New Roman" w:cs="Times New Roman"/>
          <w:color w:val="000000" w:themeColor="text1"/>
          <w:lang w:val="uk-UA"/>
        </w:rPr>
        <w:t>diabetes mellitus</w:t>
      </w:r>
      <w:r w:rsidRPr="00CE0A20">
        <w:rPr>
          <w:rFonts w:ascii="Times New Roman" w:hAnsi="Times New Roman" w:cs="Times New Roman"/>
          <w:color w:val="000000" w:themeColor="text1"/>
          <w:lang w:val="uk-UA"/>
        </w:rPr>
        <w:t xml:space="preserve"> and </w:t>
      </w:r>
      <w:r w:rsidRPr="00CE0A20">
        <w:rPr>
          <w:rStyle w:val="highlight"/>
          <w:rFonts w:ascii="Times New Roman" w:hAnsi="Times New Roman" w:cs="Times New Roman"/>
          <w:color w:val="000000" w:themeColor="text1"/>
          <w:lang w:val="uk-UA"/>
        </w:rPr>
        <w:t>erectile dysfunction</w:t>
      </w:r>
      <w:r w:rsidRPr="00CE0A20">
        <w:rPr>
          <w:rFonts w:ascii="Times New Roman" w:hAnsi="Times New Roman" w:cs="Times New Roman"/>
          <w:color w:val="000000" w:themeColor="text1"/>
          <w:lang w:val="uk-UA"/>
        </w:rPr>
        <w:t xml:space="preserve"> and correlation with </w:t>
      </w:r>
      <w:r w:rsidRPr="00CE0A20">
        <w:rPr>
          <w:rStyle w:val="highlight"/>
          <w:rFonts w:ascii="Times New Roman" w:hAnsi="Times New Roman" w:cs="Times New Roman"/>
          <w:color w:val="000000" w:themeColor="text1"/>
          <w:lang w:val="uk-UA"/>
        </w:rPr>
        <w:t>diabetes</w:t>
      </w:r>
      <w:r w:rsidRPr="00CE0A20">
        <w:rPr>
          <w:rFonts w:ascii="Times New Roman" w:hAnsi="Times New Roman" w:cs="Times New Roman"/>
          <w:color w:val="000000" w:themeColor="text1"/>
          <w:lang w:val="uk-UA"/>
        </w:rPr>
        <w:t xml:space="preserve"> duration, age, BMI, lipids and HbA1c. PLoS One. 2015; 10(7):e0133121. doi: 10.1371/journal.pone.0133121;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Antonio L, Wu FCW, O'Neill TW, Pye SR, Ahern TB, Laurent MR et al. European Male Ageing Study Study Group. Low free testosterone is associated with hypogonadal signs and symptoms in men with normal total testosterone.</w:t>
      </w:r>
      <w:r w:rsidRPr="00CE0A20">
        <w:rPr>
          <w:rStyle w:val="142"/>
          <w:rFonts w:ascii="Times New Roman" w:hAnsi="Times New Roman" w:cs="Times New Roman"/>
          <w:i w:val="0"/>
          <w:color w:val="000000" w:themeColor="text1"/>
          <w:sz w:val="28"/>
          <w:szCs w:val="28"/>
          <w:lang w:val="uk-UA"/>
        </w:rPr>
        <w:t xml:space="preserve"> J Clin Endocrinol Metab.</w:t>
      </w:r>
      <w:r w:rsidRPr="00CE0A20">
        <w:rPr>
          <w:rFonts w:ascii="Times New Roman" w:hAnsi="Times New Roman" w:cs="Times New Roman"/>
          <w:color w:val="000000" w:themeColor="text1"/>
          <w:lang w:val="uk-UA"/>
        </w:rPr>
        <w:t xml:space="preserve"> 2016</w:t>
      </w:r>
      <w:r w:rsidRPr="00CE0A20">
        <w:rPr>
          <w:rStyle w:val="143"/>
          <w:rFonts w:ascii="Times New Roman" w:hAnsi="Times New Roman" w:cs="Times New Roman"/>
          <w:b w:val="0"/>
          <w:color w:val="000000" w:themeColor="text1"/>
          <w:sz w:val="28"/>
          <w:szCs w:val="28"/>
          <w:lang w:val="uk-UA"/>
        </w:rPr>
        <w:t>;101</w:t>
      </w:r>
      <w:r w:rsidRPr="00CE0A20">
        <w:rPr>
          <w:rFonts w:ascii="Times New Roman" w:hAnsi="Times New Roman" w:cs="Times New Roman"/>
          <w:color w:val="000000" w:themeColor="text1"/>
          <w:lang w:val="uk-UA"/>
        </w:rPr>
        <w:t>(7):2647-2657.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Apostolovic S, Stanojevic D, Jankovic-Tomasevic R, Salinger-Martinovic S, Kostic T, Perisic Z. Erectile dysfunction as a predictor of two-year prognosis in acute myocardial infarction. Cardiol J. 2017; 24, 4: 393-402.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Aprioku JS. Pharmacology of free radicals and the impact of reactive oxygen species on the testis. J Reprod Infertil. 2013;14(4):158-72.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Araki E, Nishikawa T. Oxidative stress: A cause and therapeutic target of diabetic complications. J Diabetes Investig. 2010;1(3):90-6.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Araujo AB, Esche GR, Kupelian V, O′Donnell AB, Travison TG, et al. Prevalence of symptomatic androgen deficiency in men. J Clin Endocrinol Metab. 2007; 92: 4241-4247.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Araujo AB, O′Donnell AB, Brambilla DJ, Simpson WB, Longcope C, et al. Prevalence and incidence of androgen deficiency in middle-aged and older men: estimates from the Massachusetts Male Aging Study. J Clin Endocrinol Metab. 2004; 89: 5920-5926.</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Arora H, Zutti MSSR, Nahar B, Hare JM, </w:t>
      </w:r>
      <w:r w:rsidRPr="00CE0A20">
        <w:rPr>
          <w:rFonts w:ascii="Times New Roman" w:hAnsi="Times New Roman" w:cs="Times New Roman"/>
          <w:color w:val="000000" w:themeColor="text1"/>
          <w:lang w:val="uk-UA"/>
        </w:rPr>
        <w:t xml:space="preserve">Miami </w:t>
      </w:r>
      <w:r w:rsidRPr="00CE0A20">
        <w:rPr>
          <w:rFonts w:ascii="Times New Roman" w:eastAsia="Times New Roman" w:hAnsi="Times New Roman" w:cs="Times New Roman"/>
          <w:color w:val="000000" w:themeColor="text1"/>
          <w:lang w:val="uk-UA"/>
        </w:rPr>
        <w:t xml:space="preserve">RR. Leydig stem cell isolation and differentiation from human testis biopsies: potential modality to increase serum testosterone. Journal of Urology. 2017; 197 (4): e1090 </w:t>
      </w:r>
      <w:r w:rsidRPr="00CE0A20">
        <w:rPr>
          <w:rFonts w:ascii="Times New Roman" w:eastAsia="Times New Roman" w:hAnsi="Times New Roman" w:cs="Times New Roman"/>
          <w:bCs/>
          <w:color w:val="000000" w:themeColor="text1"/>
          <w:lang w:val="uk-UA"/>
        </w:rPr>
        <w:t>DOI:</w:t>
      </w:r>
      <w:r w:rsidRPr="00CE0A20">
        <w:rPr>
          <w:rFonts w:ascii="Times New Roman" w:eastAsia="Times New Roman" w:hAnsi="Times New Roman" w:cs="Times New Roman"/>
          <w:color w:val="000000" w:themeColor="text1"/>
          <w:lang w:val="uk-UA"/>
        </w:rPr>
        <w:t xml:space="preserve"> </w:t>
      </w:r>
      <w:r w:rsidRPr="00CE0A20">
        <w:rPr>
          <w:rFonts w:ascii="Times New Roman" w:eastAsia="Times New Roman" w:hAnsi="Times New Roman" w:cs="Times New Roman"/>
          <w:color w:val="000000" w:themeColor="text1"/>
          <w:lang w:val="uk-UA" w:eastAsia="ru-RU"/>
        </w:rPr>
        <w:t>http://dx.doi.org/10.1016/j.juro.2017.02.2530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Arver S, Lehtihet M. Current Guidelines for the Diagnosis of Testosterone Deficiency. Advances in the Management of Testosterone Deficiency. Front Horm Res. Basel, Karger. 2009;37: 5-20.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Aytac I A, Mc Kinlay RJ, Krane RI. The likely worldwide increase in erectile dysfunction between 1995 and 2025 and some possible policy consequences. BJU Int. 1999;84:50–56.</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Bajos N, Wellings K, Laborde C, Moreau C; CSF Group </w:t>
      </w:r>
      <w:r w:rsidRPr="00CE0A20">
        <w:rPr>
          <w:rStyle w:val="ref-title"/>
          <w:rFonts w:ascii="Times New Roman" w:hAnsi="Times New Roman" w:cs="Times New Roman"/>
          <w:color w:val="000000" w:themeColor="text1"/>
          <w:lang w:val="uk-UA"/>
        </w:rPr>
        <w:t>Sexuality and obesity, a gender perspective: results from French national random probability survey of sexual behaviours</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BMJ.</w:t>
      </w:r>
      <w:r w:rsidRPr="00CE0A20">
        <w:rPr>
          <w:rStyle w:val="mixed-citation"/>
          <w:rFonts w:ascii="Times New Roman" w:hAnsi="Times New Roman" w:cs="Times New Roman"/>
          <w:color w:val="000000" w:themeColor="text1"/>
          <w:lang w:val="uk-UA"/>
        </w:rPr>
        <w:t xml:space="preserve"> 2010;</w:t>
      </w:r>
      <w:r w:rsidRPr="00CE0A20">
        <w:rPr>
          <w:rStyle w:val="ref-vol"/>
          <w:rFonts w:ascii="Times New Roman" w:hAnsi="Times New Roman" w:cs="Times New Roman"/>
          <w:color w:val="000000" w:themeColor="text1"/>
          <w:lang w:val="uk-UA"/>
        </w:rPr>
        <w:t>340</w:t>
      </w:r>
      <w:r w:rsidRPr="00CE0A20">
        <w:rPr>
          <w:rStyle w:val="mixed-citation"/>
          <w:rFonts w:ascii="Times New Roman" w:hAnsi="Times New Roman" w:cs="Times New Roman"/>
          <w:color w:val="000000" w:themeColor="text1"/>
          <w:lang w:val="uk-UA"/>
        </w:rPr>
        <w:t>: 2573.</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Bal K, Oder M, Sahin AS, et al. </w:t>
      </w:r>
      <w:r w:rsidRPr="00CE0A20">
        <w:rPr>
          <w:rStyle w:val="ref-title"/>
          <w:rFonts w:ascii="Times New Roman" w:hAnsi="Times New Roman" w:cs="Times New Roman"/>
          <w:color w:val="000000" w:themeColor="text1"/>
          <w:lang w:val="uk-UA"/>
        </w:rPr>
        <w:t>Prevalence of metabolic syndrome and its association with erectile dysfunction among urologic patients: metabolic backgrounds of erectile dysfunction</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 xml:space="preserve">Urology. </w:t>
      </w:r>
      <w:r w:rsidRPr="00CE0A20">
        <w:rPr>
          <w:rStyle w:val="mixed-citation"/>
          <w:rFonts w:ascii="Times New Roman" w:hAnsi="Times New Roman" w:cs="Times New Roman"/>
          <w:color w:val="000000" w:themeColor="text1"/>
          <w:lang w:val="uk-UA"/>
        </w:rPr>
        <w:t>2007;</w:t>
      </w:r>
      <w:r w:rsidRPr="00CE0A20">
        <w:rPr>
          <w:rStyle w:val="ref-vol"/>
          <w:rFonts w:ascii="Times New Roman" w:hAnsi="Times New Roman" w:cs="Times New Roman"/>
          <w:color w:val="000000" w:themeColor="text1"/>
          <w:lang w:val="uk-UA"/>
        </w:rPr>
        <w:t>69</w:t>
      </w:r>
      <w:r w:rsidRPr="00CE0A20">
        <w:rPr>
          <w:rStyle w:val="mixed-citation"/>
          <w:rFonts w:ascii="Times New Roman" w:hAnsi="Times New Roman" w:cs="Times New Roman"/>
          <w:color w:val="000000" w:themeColor="text1"/>
          <w:lang w:val="uk-UA"/>
        </w:rPr>
        <w:t>:356–360.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Barde I, Salmon P, Trono D.  Production and titration of lentiviral vectors. </w:t>
      </w:r>
      <w:r w:rsidRPr="00CE0A20">
        <w:rPr>
          <w:rStyle w:val="jrnl"/>
          <w:rFonts w:ascii="Times New Roman" w:hAnsi="Times New Roman" w:cs="Times New Roman"/>
          <w:color w:val="000000" w:themeColor="text1"/>
          <w:lang w:val="uk-UA"/>
        </w:rPr>
        <w:t>Curr. Protoc. Neurosci</w:t>
      </w:r>
      <w:r w:rsidRPr="00CE0A20">
        <w:rPr>
          <w:rFonts w:ascii="Times New Roman" w:hAnsi="Times New Roman" w:cs="Times New Roman"/>
          <w:color w:val="000000" w:themeColor="text1"/>
          <w:lang w:val="uk-UA"/>
        </w:rPr>
        <w:t>. 2010;4: 4.21. doi: 10.1002/0471142301.ns0421s53.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Bhasin S, Brito JP, Cunningham GR, Hayes FJ, Hodis HN, Matsumoto AM, et al. </w:t>
      </w:r>
      <w:r w:rsidRPr="00CE0A20">
        <w:rPr>
          <w:rStyle w:val="highlight"/>
          <w:rFonts w:ascii="Times New Roman" w:hAnsi="Times New Roman" w:cs="Times New Roman"/>
          <w:color w:val="000000" w:themeColor="text1"/>
          <w:lang w:val="uk-UA"/>
        </w:rPr>
        <w:t xml:space="preserve">Testosterone Therapy </w:t>
      </w:r>
      <w:r w:rsidRPr="00CE0A20">
        <w:rPr>
          <w:rFonts w:ascii="Times New Roman" w:hAnsi="Times New Roman" w:cs="Times New Roman"/>
          <w:color w:val="000000" w:themeColor="text1"/>
          <w:lang w:val="uk-UA"/>
        </w:rPr>
        <w:t>in Men With Hypogonadism: An Endocrine Society Clinical Practice Guideline. J Clin Endocrinol Metab. 2018;103(5):1–30. https://academic.oup.com/jcem. doi: 10.1210/jc.2018-00229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Bhasin S, Pencina M, Jasuja GK, Travison TG, Coviello A, Orwoll E, et al. Reference ranges for testos</w:t>
      </w:r>
      <w:r w:rsidRPr="00CE0A20">
        <w:rPr>
          <w:rFonts w:ascii="Times New Roman" w:hAnsi="Times New Roman" w:cs="Times New Roman"/>
          <w:color w:val="000000" w:themeColor="text1"/>
          <w:lang w:val="uk-UA"/>
        </w:rPr>
        <w:softHyphen/>
        <w:t>terone in men generated using liquid chromato</w:t>
      </w:r>
      <w:r w:rsidRPr="00CE0A20">
        <w:rPr>
          <w:rFonts w:ascii="Times New Roman" w:hAnsi="Times New Roman" w:cs="Times New Roman"/>
          <w:color w:val="000000" w:themeColor="text1"/>
          <w:lang w:val="uk-UA"/>
        </w:rPr>
        <w:softHyphen/>
        <w:t>graphy tandem mass spectrometry in a community - based sample of healthy nonobese young men in the Framingham Heart Study and applied to three geographically distinct cohorts. J Clin Endocrinol Metab. 2011; 96(8):2430-9. doi: 10.1210/jc.2010- 3012.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Microsoft Sans Serif"/>
          <w:i w:val="0"/>
          <w:color w:val="000000" w:themeColor="text1"/>
          <w:sz w:val="28"/>
          <w:szCs w:val="28"/>
          <w:lang w:val="uk-UA"/>
        </w:rPr>
        <w:t>Bhatia NN, Ho МН.</w:t>
      </w:r>
      <w:r w:rsidRPr="00CE0A20">
        <w:rPr>
          <w:rFonts w:ascii="Times New Roman" w:hAnsi="Times New Roman" w:cs="Times New Roman"/>
          <w:color w:val="000000" w:themeColor="text1"/>
          <w:lang w:val="uk-UA"/>
        </w:rPr>
        <w:t xml:space="preserve"> Stem cell therapy for urinary incontinence and pelvic floor disorders: a novel approach. Curr. Opin. Obstet. Gynecl. 2004; 16(5): 397–398 </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Blouin K, Nadeau M, Perreault M, Veilleux A, Drolet R, et al. Effects of androgens on adipocyte differentiation and adipose tissue explant metabolism in men and women. </w:t>
      </w:r>
      <w:r w:rsidRPr="00CE0A20">
        <w:rPr>
          <w:rStyle w:val="ref-journal"/>
          <w:rFonts w:ascii="Times New Roman" w:hAnsi="Times New Roman" w:cs="Times New Roman"/>
          <w:color w:val="000000" w:themeColor="text1"/>
          <w:lang w:val="uk-UA"/>
        </w:rPr>
        <w:t xml:space="preserve">Clin Endocrinol (Oxf) </w:t>
      </w:r>
      <w:r w:rsidRPr="00CE0A20">
        <w:rPr>
          <w:rStyle w:val="element-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72</w:t>
      </w:r>
      <w:r w:rsidRPr="00CE0A20">
        <w:rPr>
          <w:rStyle w:val="element-citation"/>
          <w:rFonts w:ascii="Times New Roman" w:hAnsi="Times New Roman" w:cs="Times New Roman"/>
          <w:color w:val="000000" w:themeColor="text1"/>
          <w:lang w:val="uk-UA"/>
        </w:rPr>
        <w:t>:176–188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Bolona ER, UragaMV, Haddad RM. et al. Testosterone use in men with sexual dysfunction: a systematic review and metaanalysis of randomized placebo-controlled trials. Mayo Clin. Proc. 2007;82(1):20–28.</w:t>
      </w:r>
    </w:p>
    <w:p w:rsidR="001C43D0" w:rsidRPr="00CE0A20" w:rsidRDefault="001C43D0" w:rsidP="00631D82">
      <w:pPr>
        <w:pStyle w:val="a3"/>
        <w:numPr>
          <w:ilvl w:val="0"/>
          <w:numId w:val="40"/>
        </w:numPr>
        <w:tabs>
          <w:tab w:val="left" w:pos="1276"/>
        </w:tabs>
        <w:ind w:right="141"/>
        <w:contextualSpacing/>
        <w:jc w:val="both"/>
        <w:rPr>
          <w:rFonts w:ascii="Times New Roman" w:hAnsi="Times New Roman" w:cs="Times New Roman"/>
          <w:iCs/>
          <w:color w:val="000000" w:themeColor="text1"/>
          <w:lang w:val="uk-UA"/>
        </w:rPr>
      </w:pPr>
      <w:r w:rsidRPr="00CE0A20">
        <w:rPr>
          <w:rFonts w:ascii="Times New Roman" w:hAnsi="Times New Roman" w:cs="Times New Roman"/>
          <w:iCs/>
          <w:color w:val="000000" w:themeColor="text1"/>
          <w:lang w:val="uk-UA"/>
        </w:rPr>
        <w:t>Boolell M, Allen MJ, Ballard SA et al. Sildenafil: an orally active type 5 cyclic GMP-specific phosphodiesterase inhibitor for the treatment of penile erectile dysfunction. Int J Impot Res 1996; 8: 47–52</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Brand JS, van der Tweel I, Grobbee DE, Emmelot-Vonk MH, van der Schouw YT. </w:t>
      </w:r>
      <w:r w:rsidRPr="00CE0A20">
        <w:rPr>
          <w:rStyle w:val="ref-title"/>
          <w:rFonts w:ascii="Times New Roman" w:hAnsi="Times New Roman" w:cs="Times New Roman"/>
          <w:color w:val="000000" w:themeColor="text1"/>
          <w:lang w:val="uk-UA"/>
        </w:rPr>
        <w:t>Testosterone, sex hormone-binding globulin and the metabolic syndrome: a systematic review and meta-analysis of observational studies</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Int J Epidemiol</w:t>
      </w:r>
      <w:r w:rsidRPr="00CE0A20">
        <w:rPr>
          <w:rStyle w:val="mixed-citation"/>
          <w:rFonts w:ascii="Times New Roman" w:hAnsi="Times New Roman" w:cs="Times New Roman"/>
          <w:color w:val="000000" w:themeColor="text1"/>
          <w:lang w:val="uk-UA"/>
        </w:rPr>
        <w:t xml:space="preserve"> 2011;</w:t>
      </w:r>
      <w:r w:rsidRPr="00CE0A20">
        <w:rPr>
          <w:rStyle w:val="ref-vol"/>
          <w:rFonts w:ascii="Times New Roman" w:hAnsi="Times New Roman" w:cs="Times New Roman"/>
          <w:color w:val="000000" w:themeColor="text1"/>
          <w:lang w:val="uk-UA"/>
        </w:rPr>
        <w:t>40</w:t>
      </w:r>
      <w:r w:rsidRPr="00CE0A20">
        <w:rPr>
          <w:rStyle w:val="mixed-citation"/>
          <w:rFonts w:ascii="Times New Roman" w:hAnsi="Times New Roman" w:cs="Times New Roman"/>
          <w:color w:val="000000" w:themeColor="text1"/>
          <w:lang w:val="uk-UA"/>
        </w:rPr>
        <w:t>:189–207.</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Buvat J, Hatzichristou D, Maggi M et al. Efficacy, tolerability and satisfaction with sildenafil citrate 100-mg titration compared with continued 50-mg dose treatment in men with erectile dysfunction. BJU Int. 2008; 102 (11): 1645–1650</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Buvat J, Montorsi F, Maggi M, Porst H, Kaipia A, Colson MH. </w:t>
      </w:r>
      <w:r w:rsidRPr="00CE0A20">
        <w:rPr>
          <w:rFonts w:ascii="Times New Roman" w:eastAsia="Times New Roman" w:hAnsi="Times New Roman" w:cs="Times New Roman"/>
          <w:bCs/>
          <w:color w:val="000000" w:themeColor="text1"/>
          <w:kern w:val="36"/>
          <w:lang w:val="uk-UA"/>
        </w:rPr>
        <w:t xml:space="preserve">Hypogonadal men nonresponders to the PDE5 inhibitor tadalafil benefit from normalization of testosterone levels with a 1% hydroalcoholic testosterone gel in the treatment of erectile dysfunction (TADTEST study). </w:t>
      </w:r>
      <w:r w:rsidRPr="00CE0A20">
        <w:rPr>
          <w:rFonts w:ascii="Times New Roman" w:eastAsia="Times New Roman" w:hAnsi="Times New Roman" w:cs="Times New Roman"/>
          <w:color w:val="000000" w:themeColor="text1"/>
          <w:lang w:val="uk-UA"/>
        </w:rPr>
        <w:t>J Sex Med. 2011;8(1):284-93. doi: 10.1111/j.1743-6109.2010.01956.x.</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Cai X, Tian Y, Wu T, Cao CX, Li H, Wang KJ. Metabolic effects of testosterone replacement therapy on hypogonadal men with type 2 diabetes mellitus: a systematic review and meta-analysis of randomized controlled trials. Asian J Androl. 2014;16(1):146–152</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Camacho EM, Huhtaniemi IT, O’Neill TW, Finn JD, Pye SR, et al. Age-associated changes in hypothalamic-pituitary-testicular function in middle-aged and older men are modified by weight change and lifestyle factors: longitudinal results from the European Male Ageing Study. </w:t>
      </w:r>
      <w:r w:rsidRPr="00CE0A20">
        <w:rPr>
          <w:rStyle w:val="ref-journal"/>
          <w:rFonts w:ascii="Times New Roman" w:hAnsi="Times New Roman" w:cs="Times New Roman"/>
          <w:color w:val="000000" w:themeColor="text1"/>
          <w:lang w:val="uk-UA"/>
        </w:rPr>
        <w:t xml:space="preserve">Eur J Endocrinol. </w:t>
      </w:r>
      <w:r w:rsidRPr="00CE0A20">
        <w:rPr>
          <w:rStyle w:val="element-citation"/>
          <w:rFonts w:ascii="Times New Roman" w:hAnsi="Times New Roman" w:cs="Times New Roman"/>
          <w:color w:val="000000" w:themeColor="text1"/>
          <w:lang w:val="uk-UA"/>
        </w:rPr>
        <w:t>2013;</w:t>
      </w:r>
      <w:r w:rsidRPr="00CE0A20">
        <w:rPr>
          <w:rStyle w:val="ref-vol"/>
          <w:rFonts w:ascii="Times New Roman" w:hAnsi="Times New Roman" w:cs="Times New Roman"/>
          <w:color w:val="000000" w:themeColor="text1"/>
          <w:lang w:val="uk-UA"/>
        </w:rPr>
        <w:t>168</w:t>
      </w:r>
      <w:r w:rsidRPr="00CE0A20">
        <w:rPr>
          <w:rStyle w:val="element-citation"/>
          <w:rFonts w:ascii="Times New Roman" w:hAnsi="Times New Roman" w:cs="Times New Roman"/>
          <w:color w:val="000000" w:themeColor="text1"/>
          <w:lang w:val="uk-UA"/>
        </w:rPr>
        <w:t>:445–455</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Cao J, Chen TM, Hao WJ, Li J, Liu L, et al. Correlation between sex hormone levels and obesity in the elderly male. </w:t>
      </w:r>
      <w:r w:rsidRPr="00CE0A20">
        <w:rPr>
          <w:rStyle w:val="ref-journal"/>
          <w:rFonts w:ascii="Times New Roman" w:hAnsi="Times New Roman" w:cs="Times New Roman"/>
          <w:color w:val="000000" w:themeColor="text1"/>
          <w:lang w:val="uk-UA"/>
        </w:rPr>
        <w:t xml:space="preserve">Aging Male. </w:t>
      </w:r>
      <w:r w:rsidRPr="00CE0A20">
        <w:rPr>
          <w:rStyle w:val="element-citation"/>
          <w:rFonts w:ascii="Times New Roman" w:hAnsi="Times New Roman" w:cs="Times New Roman"/>
          <w:color w:val="000000" w:themeColor="text1"/>
          <w:lang w:val="uk-UA"/>
        </w:rPr>
        <w:t>2012;</w:t>
      </w:r>
      <w:r w:rsidRPr="00CE0A20">
        <w:rPr>
          <w:rStyle w:val="ref-vol"/>
          <w:rFonts w:ascii="Times New Roman" w:hAnsi="Times New Roman" w:cs="Times New Roman"/>
          <w:color w:val="000000" w:themeColor="text1"/>
          <w:lang w:val="uk-UA"/>
        </w:rPr>
        <w:t>15</w:t>
      </w:r>
      <w:r w:rsidRPr="00CE0A20">
        <w:rPr>
          <w:rStyle w:val="element-citation"/>
          <w:rFonts w:ascii="Times New Roman" w:hAnsi="Times New Roman" w:cs="Times New Roman"/>
          <w:color w:val="000000" w:themeColor="text1"/>
          <w:lang w:val="uk-UA"/>
        </w:rPr>
        <w:t xml:space="preserve">:85–9; Allan CA, McLachlan RI. Androgens and obesity. </w:t>
      </w:r>
      <w:r w:rsidRPr="00CE0A20">
        <w:rPr>
          <w:rStyle w:val="ref-journal"/>
          <w:rFonts w:ascii="Times New Roman" w:hAnsi="Times New Roman" w:cs="Times New Roman"/>
          <w:color w:val="000000" w:themeColor="text1"/>
          <w:lang w:val="uk-UA"/>
        </w:rPr>
        <w:t xml:space="preserve">Curr Opin Endocrinol Diabetes Obes. </w:t>
      </w:r>
      <w:r w:rsidRPr="00CE0A20">
        <w:rPr>
          <w:rStyle w:val="element-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17</w:t>
      </w:r>
      <w:r w:rsidRPr="00CE0A20">
        <w:rPr>
          <w:rStyle w:val="element-citation"/>
          <w:rFonts w:ascii="Times New Roman" w:hAnsi="Times New Roman" w:cs="Times New Roman"/>
          <w:color w:val="000000" w:themeColor="text1"/>
          <w:lang w:val="uk-UA"/>
        </w:rPr>
        <w:t>:224–232</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Cappelleri JC, Tseng LJ, Luo X. et al. Simplified Interpretation of the Erectile Function Domain of the International Index of Erectile Function. J Sex Med. 2016; 13 (4): 690–696. doi: 10.1016/j.jsxm.2016.02.159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Carruthers M. Time for international action on treating testosterone deficiency syndrome. </w:t>
      </w:r>
      <w:r w:rsidRPr="00CE0A20">
        <w:rPr>
          <w:rStyle w:val="ref-journal"/>
          <w:rFonts w:ascii="Times New Roman" w:hAnsi="Times New Roman" w:cs="Times New Roman"/>
          <w:color w:val="000000" w:themeColor="text1"/>
          <w:lang w:val="uk-UA"/>
        </w:rPr>
        <w:t xml:space="preserve">Aging Male. </w:t>
      </w:r>
      <w:r w:rsidRPr="00CE0A20">
        <w:rPr>
          <w:rStyle w:val="element-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12</w:t>
      </w:r>
      <w:r w:rsidRPr="00CE0A20">
        <w:rPr>
          <w:rStyle w:val="element-citation"/>
          <w:rFonts w:ascii="Times New Roman" w:hAnsi="Times New Roman" w:cs="Times New Roman"/>
          <w:color w:val="000000" w:themeColor="text1"/>
          <w:lang w:val="uk-UA"/>
        </w:rPr>
        <w:t>:21–28</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Carson CC. 3rd. Sildenafil: a 4-year update in the treatment of 20 million erectile dysfunction patients. Curr. Urol. Rep. 2003; 4(6): 488–496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Cereda-Valery В, Pressman GS, Figueredo VM, Romero-Coral A. Impact of obesity on total and cardiovascular morality - fat or fiction? Nat. Res. Cardiol. 2011;8(4):233-237.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Chang C.M., Kao C.L., ChangY.L. et al.  Placenta-derived multipotentstem cells induced to differentiate into insulin-positive cells. Biochem. Biophys. Res. Commun. 2007; 357(2): 414-420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Chen H,  Jin S,  Huang S, Folmer J, Liu J,  Ge R,  Zirkin BR. Transplantation of Alginate-Encapsulated Seminiferous Tubules and Interstitial Tissue into Adult Rats: Leydig Stem Cell Differentiation In Vivo?</w:t>
      </w:r>
      <w:r w:rsidRPr="00CE0A20">
        <w:rPr>
          <w:rStyle w:val="cit"/>
          <w:rFonts w:ascii="Times New Roman" w:hAnsi="Times New Roman" w:cs="Times New Roman"/>
          <w:color w:val="000000" w:themeColor="text1"/>
          <w:lang w:val="uk-UA"/>
        </w:rPr>
        <w:t>Mol Cell Endocrinol. 2016;436:250–258.</w:t>
      </w:r>
      <w:r w:rsidRPr="00CE0A20">
        <w:rPr>
          <w:rStyle w:val="doi"/>
          <w:rFonts w:ascii="Times New Roman" w:hAnsi="Times New Roman" w:cs="Times New Roman"/>
          <w:color w:val="000000" w:themeColor="text1"/>
          <w:lang w:val="uk-UA"/>
        </w:rPr>
        <w:t xml:space="preserve"> doi:  </w:t>
      </w:r>
      <w:r w:rsidRPr="00CE0A20">
        <w:rPr>
          <w:rFonts w:ascii="Times New Roman" w:hAnsi="Times New Roman" w:cs="Times New Roman"/>
          <w:color w:val="000000" w:themeColor="text1"/>
          <w:lang w:val="uk-UA"/>
        </w:rPr>
        <w:t>10.1016/j.mce.2016.08.046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Chu NV, Edelman SV. Erectile dysfunction and diabetes. Curr.Diab. Rep. 2002;2(1):60-66.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rFonts w:eastAsia="Arial"/>
          <w:i w:val="0"/>
          <w:color w:val="000000" w:themeColor="text1"/>
          <w:sz w:val="28"/>
          <w:szCs w:val="28"/>
          <w:lang w:val="uk-UA"/>
        </w:rPr>
        <w:t>Cogen C, Jonsen AR.</w:t>
      </w:r>
      <w:r w:rsidRPr="00CE0A20">
        <w:rPr>
          <w:rFonts w:ascii="Times New Roman" w:hAnsi="Times New Roman" w:cs="Times New Roman"/>
          <w:color w:val="000000" w:themeColor="text1"/>
          <w:lang w:val="uk-UA"/>
        </w:rPr>
        <w:t xml:space="preserve"> The future of the fetal tissue bank. Sciences. 1993; 262:1663-1665</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Colangelo LA, Ouyang P, Liu K, et al. </w:t>
      </w:r>
      <w:r w:rsidRPr="00CE0A20">
        <w:rPr>
          <w:rStyle w:val="ref-title"/>
          <w:rFonts w:ascii="Times New Roman" w:hAnsi="Times New Roman" w:cs="Times New Roman"/>
          <w:color w:val="000000" w:themeColor="text1"/>
          <w:lang w:val="uk-UA"/>
        </w:rPr>
        <w:t>Association of endogenous sex hormones with diabetes and impaired fasting glucose in men: multi-ethnic study of atherosclerosis</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Diabetes Care</w:t>
      </w:r>
      <w:r w:rsidRPr="00CE0A20">
        <w:rPr>
          <w:rStyle w:val="mixed-citation"/>
          <w:rFonts w:ascii="Times New Roman" w:hAnsi="Times New Roman" w:cs="Times New Roman"/>
          <w:color w:val="000000" w:themeColor="text1"/>
          <w:lang w:val="uk-UA"/>
        </w:rPr>
        <w:t xml:space="preserve"> 2009;</w:t>
      </w:r>
      <w:r w:rsidRPr="00CE0A20">
        <w:rPr>
          <w:rStyle w:val="ref-vol"/>
          <w:rFonts w:ascii="Times New Roman" w:hAnsi="Times New Roman" w:cs="Times New Roman"/>
          <w:color w:val="000000" w:themeColor="text1"/>
          <w:lang w:val="uk-UA"/>
        </w:rPr>
        <w:t>32</w:t>
      </w:r>
      <w:r w:rsidRPr="00CE0A20">
        <w:rPr>
          <w:rStyle w:val="mixed-citation"/>
          <w:rFonts w:ascii="Times New Roman" w:hAnsi="Times New Roman" w:cs="Times New Roman"/>
          <w:color w:val="000000" w:themeColor="text1"/>
          <w:lang w:val="uk-UA"/>
        </w:rPr>
        <w:t>:1049–1051.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Comhaire F, Mahmoud A.  Эндокринная регуляция. В кн.: Шила В-Б, Комхаира Ф, Харгрива Т.  редакт. Клиническая андрология. М., ГЭОТАР–Медиа. 2011;367-371.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Corona G, Mannucci E, Forti G, Maggi M. Hypogonadism, ED, metabolic syndromeand obesity: a pathological link supporting cardiovascular diseases. Int J Androl. 2009;32(6):587-598. doi: 10.1111/j.1365-2605.2008.00951.x</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Corona G, Mannucci E, Petrone L, et al. </w:t>
      </w:r>
      <w:r w:rsidRPr="00CE0A20">
        <w:rPr>
          <w:rStyle w:val="ref-title"/>
          <w:rFonts w:ascii="Times New Roman" w:hAnsi="Times New Roman" w:cs="Times New Roman"/>
          <w:color w:val="000000" w:themeColor="text1"/>
          <w:lang w:val="uk-UA"/>
        </w:rPr>
        <w:t>Association of hypogonadism and type II diabetes in men attending an outpatient erectile dysfunction clinic</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Int J Impot Res</w:t>
      </w:r>
      <w:r w:rsidRPr="00CE0A20">
        <w:rPr>
          <w:rStyle w:val="mixed-citation"/>
          <w:rFonts w:ascii="Times New Roman" w:hAnsi="Times New Roman" w:cs="Times New Roman"/>
          <w:color w:val="000000" w:themeColor="text1"/>
          <w:lang w:val="uk-UA"/>
        </w:rPr>
        <w:t xml:space="preserve"> 2006;</w:t>
      </w:r>
      <w:r w:rsidRPr="00CE0A20">
        <w:rPr>
          <w:rStyle w:val="ref-vol"/>
          <w:rFonts w:ascii="Times New Roman" w:hAnsi="Times New Roman" w:cs="Times New Roman"/>
          <w:color w:val="000000" w:themeColor="text1"/>
          <w:lang w:val="uk-UA"/>
        </w:rPr>
        <w:t>18</w:t>
      </w:r>
      <w:r w:rsidRPr="00CE0A20">
        <w:rPr>
          <w:rStyle w:val="mixed-citation"/>
          <w:rFonts w:ascii="Times New Roman" w:hAnsi="Times New Roman" w:cs="Times New Roman"/>
          <w:color w:val="000000" w:themeColor="text1"/>
          <w:lang w:val="uk-UA"/>
        </w:rPr>
        <w:t>:190–197.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Corona G, Monami M, Rastrelli G, Aversa A, Sforza A, Lenzi A et al. Type 2 diabetes mellitus and testosterone: a meta-analysis study.</w:t>
      </w:r>
      <w:r w:rsidRPr="00CE0A20">
        <w:rPr>
          <w:rStyle w:val="142"/>
          <w:rFonts w:ascii="Times New Roman" w:hAnsi="Times New Roman" w:cs="Times New Roman"/>
          <w:i w:val="0"/>
          <w:color w:val="000000" w:themeColor="text1"/>
          <w:sz w:val="28"/>
          <w:szCs w:val="28"/>
          <w:lang w:val="uk-UA"/>
        </w:rPr>
        <w:t xml:space="preserve"> Int J Androl.</w:t>
      </w:r>
      <w:r w:rsidRPr="00CE0A20">
        <w:rPr>
          <w:rFonts w:ascii="Times New Roman" w:hAnsi="Times New Roman" w:cs="Times New Roman"/>
          <w:color w:val="000000" w:themeColor="text1"/>
          <w:lang w:val="uk-UA"/>
        </w:rPr>
        <w:t xml:space="preserve"> 2011</w:t>
      </w:r>
      <w:r w:rsidRPr="00CE0A20">
        <w:rPr>
          <w:rStyle w:val="143"/>
          <w:rFonts w:ascii="Times New Roman" w:hAnsi="Times New Roman" w:cs="Times New Roman"/>
          <w:b w:val="0"/>
          <w:color w:val="000000" w:themeColor="text1"/>
          <w:sz w:val="28"/>
          <w:szCs w:val="28"/>
          <w:lang w:val="uk-UA"/>
        </w:rPr>
        <w:t>;34</w:t>
      </w:r>
      <w:r w:rsidRPr="00CE0A20">
        <w:rPr>
          <w:rFonts w:ascii="Times New Roman" w:hAnsi="Times New Roman" w:cs="Times New Roman"/>
          <w:color w:val="000000" w:themeColor="text1"/>
          <w:lang w:val="uk-UA"/>
        </w:rPr>
        <w:t>(6 Pt 1): 528-540.</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Corona G, Mondaini N, Ungar A. et al. Phosphodiesterase type 5 (PDE5) inhibitors in erectile dysfunction: the proper drug for the proper patient. J. Sex. Med. 2011; 8(12): 3418–3432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Corona J, Mannucci E, Petrone L et al. NCEP-ATPIII – defined metabolic syndrome, type 2 diabetes mellitus, and prevalence of hypogonadism in male patients with sexual dysfunction. J. Sex. Med. 2007;4:1038-1045.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Cuellar de Leon AJ, GarciaVR, Gonzalez JCC et al. Prevalence erectile dysfunction in patients withhypertension. Med. Clin. (Barc.). 2002;119(14):521-526.</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Cui H., Liu B., Song Z. et al. Efficacy and safety of long-term tadalafil 5 mg once daily combined with sildenafil 50 mg as needed at the early stage of treatment for patients with erectile dysfunction. Andrologia. 2014;  doi: 10.1111/and.12216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Davidoff MS, Middendorff R, Müller D, Holstein AF. The neuro</w:t>
      </w:r>
      <w:r w:rsidRPr="00CE0A20">
        <w:rPr>
          <w:rFonts w:ascii="Times New Roman" w:hAnsi="Times New Roman" w:cs="Times New Roman"/>
          <w:color w:val="000000" w:themeColor="text1"/>
          <w:lang w:val="uk-UA"/>
        </w:rPr>
        <w:softHyphen/>
        <w:t>endocrine Leydig cells and their stem cell progenitors, the pericytes. Adv Anat Embryol Cell Biol. 2009; 205:1-107.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De Berardis G, Franciosi M, Belfiglio M et al. Erectile dysfunction and quality of life in type 2 diabetic patients: A serious problem too often overlooked. Diabetes Care. 2002;25:84-91.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De Maddalena C, Vodo S, Petroni A, Aloisi AM. Impact of testosteroneon body fat composition. J Cell Physiol. 2012;227(12):3744-3748. doi: 10.1002/jcp.24096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De Young L, Yu D, Bateman RM, Brock GB. Oxidative stress and antioxidant therapy: their impact in diabetes-associated erectile dysfunction. J Androl. 2004;25(5):830–6.</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Deyoung L, Chung E, Kovac JR et al. Daily use of sildenafil improves endothelial function in men with type 2 diabetes. J Androl. 2012; 33 (2): 176–201</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Dhindsa S, Furlanetto R, Vora M, Ghanim H, Chaudhuri A, et al. Low estradiol concentrations in men with subnormal testosterone concentrations and type 2 diabetes. </w:t>
      </w:r>
      <w:r w:rsidRPr="00CE0A20">
        <w:rPr>
          <w:rStyle w:val="ref-journal"/>
          <w:rFonts w:ascii="Times New Roman" w:hAnsi="Times New Roman" w:cs="Times New Roman"/>
          <w:color w:val="000000" w:themeColor="text1"/>
          <w:lang w:val="uk-UA"/>
        </w:rPr>
        <w:t xml:space="preserve">Diabetes Care. </w:t>
      </w:r>
      <w:r w:rsidRPr="00CE0A20">
        <w:rPr>
          <w:rStyle w:val="element-citation"/>
          <w:rFonts w:ascii="Times New Roman" w:hAnsi="Times New Roman" w:cs="Times New Roman"/>
          <w:color w:val="000000" w:themeColor="text1"/>
          <w:lang w:val="uk-UA"/>
        </w:rPr>
        <w:t>2011;</w:t>
      </w:r>
      <w:r w:rsidRPr="00CE0A20">
        <w:rPr>
          <w:rStyle w:val="ref-vol"/>
          <w:rFonts w:ascii="Times New Roman" w:hAnsi="Times New Roman" w:cs="Times New Roman"/>
          <w:color w:val="000000" w:themeColor="text1"/>
          <w:lang w:val="uk-UA"/>
        </w:rPr>
        <w:t>34</w:t>
      </w:r>
      <w:r w:rsidRPr="00CE0A20">
        <w:rPr>
          <w:rStyle w:val="element-citation"/>
          <w:rFonts w:ascii="Times New Roman" w:hAnsi="Times New Roman" w:cs="Times New Roman"/>
          <w:color w:val="000000" w:themeColor="text1"/>
          <w:lang w:val="uk-UA"/>
        </w:rPr>
        <w:t xml:space="preserve">:1854–1859 </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Dhindsa S, Miller MG, McWhirter CL, Mager DE, Ghanim H, et al. Testosterone concentrations in diabetic and nondiabetic obese men. </w:t>
      </w:r>
      <w:r w:rsidRPr="00CE0A20">
        <w:rPr>
          <w:rStyle w:val="ref-journal"/>
          <w:rFonts w:ascii="Times New Roman" w:hAnsi="Times New Roman" w:cs="Times New Roman"/>
          <w:color w:val="000000" w:themeColor="text1"/>
          <w:lang w:val="uk-UA"/>
        </w:rPr>
        <w:t xml:space="preserve">Diabetes Care. </w:t>
      </w:r>
      <w:r w:rsidRPr="00CE0A20">
        <w:rPr>
          <w:rStyle w:val="element-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33</w:t>
      </w:r>
      <w:r w:rsidRPr="00CE0A20">
        <w:rPr>
          <w:rStyle w:val="element-citation"/>
          <w:rFonts w:ascii="Times New Roman" w:hAnsi="Times New Roman" w:cs="Times New Roman"/>
          <w:color w:val="000000" w:themeColor="text1"/>
          <w:lang w:val="uk-UA"/>
        </w:rPr>
        <w:t>:1186–1192</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Diaz-Arjonilla M, Schwarcz M, Swerdloff RS, Wang C. </w:t>
      </w:r>
      <w:r w:rsidRPr="00CE0A20">
        <w:rPr>
          <w:rStyle w:val="ref-title"/>
          <w:rFonts w:ascii="Times New Roman" w:hAnsi="Times New Roman" w:cs="Times New Roman"/>
          <w:color w:val="000000" w:themeColor="text1"/>
          <w:lang w:val="uk-UA"/>
        </w:rPr>
        <w:t>Obesity, low testosterone levels and erectile dysfunction</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Int J Impot Res.</w:t>
      </w:r>
      <w:r w:rsidRPr="00CE0A20">
        <w:rPr>
          <w:rStyle w:val="mixed-citation"/>
          <w:rFonts w:ascii="Times New Roman" w:hAnsi="Times New Roman" w:cs="Times New Roman"/>
          <w:color w:val="000000" w:themeColor="text1"/>
          <w:lang w:val="uk-UA"/>
        </w:rPr>
        <w:t xml:space="preserve"> 2009;</w:t>
      </w:r>
      <w:r w:rsidRPr="00CE0A20">
        <w:rPr>
          <w:rStyle w:val="ref-vol"/>
          <w:rFonts w:ascii="Times New Roman" w:hAnsi="Times New Roman" w:cs="Times New Roman"/>
          <w:color w:val="000000" w:themeColor="text1"/>
          <w:lang w:val="uk-UA"/>
        </w:rPr>
        <w:t>21</w:t>
      </w:r>
      <w:r w:rsidRPr="00CE0A20">
        <w:rPr>
          <w:rStyle w:val="mixed-citation"/>
          <w:rFonts w:ascii="Times New Roman" w:hAnsi="Times New Roman" w:cs="Times New Roman"/>
          <w:color w:val="000000" w:themeColor="text1"/>
          <w:lang w:val="uk-UA"/>
        </w:rPr>
        <w:t>:89–98.</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Dimitriadis F, Giannakis D, Pardalidis N, Zikopoulos K, Paraskevaidis E, Giotitsas N et al. </w:t>
      </w:r>
      <w:r w:rsidRPr="00CE0A20">
        <w:rPr>
          <w:rFonts w:ascii="Times New Roman" w:eastAsia="Times New Roman" w:hAnsi="Times New Roman" w:cs="Times New Roman"/>
          <w:bCs/>
          <w:color w:val="000000" w:themeColor="text1"/>
          <w:kern w:val="36"/>
          <w:lang w:val="uk-UA"/>
        </w:rPr>
        <w:t xml:space="preserve">Effects of phosphodiesterase-5 inhibitors on sperm parameters and fertilizing capacity. </w:t>
      </w:r>
      <w:r w:rsidRPr="00CE0A20">
        <w:rPr>
          <w:rFonts w:ascii="Times New Roman" w:eastAsia="Times New Roman" w:hAnsi="Times New Roman" w:cs="Times New Roman"/>
          <w:color w:val="000000" w:themeColor="text1"/>
          <w:lang w:val="uk-UA"/>
        </w:rPr>
        <w:t>Asian J Androl. 2008;10(1):115-133.</w:t>
      </w:r>
    </w:p>
    <w:p w:rsidR="001C43D0" w:rsidRPr="00CE0A20" w:rsidRDefault="001C43D0" w:rsidP="00631D82">
      <w:pPr>
        <w:pStyle w:val="a3"/>
        <w:numPr>
          <w:ilvl w:val="0"/>
          <w:numId w:val="40"/>
        </w:numPr>
        <w:tabs>
          <w:tab w:val="left" w:pos="1276"/>
        </w:tabs>
        <w:ind w:right="141"/>
        <w:jc w:val="both"/>
        <w:rPr>
          <w:rStyle w:val="31"/>
          <w:color w:val="000000" w:themeColor="text1"/>
          <w:sz w:val="28"/>
          <w:szCs w:val="28"/>
          <w:lang w:val="uk-UA"/>
        </w:rPr>
      </w:pPr>
      <w:r w:rsidRPr="00CE0A20">
        <w:rPr>
          <w:rFonts w:ascii="Times New Roman" w:hAnsi="Times New Roman" w:cs="Times New Roman"/>
          <w:color w:val="000000" w:themeColor="text1"/>
          <w:lang w:val="uk-UA"/>
        </w:rPr>
        <w:t xml:space="preserve">Dong JY, Zhang YH, Qin LQ. Erectile dysfunction and risk of cardiovascular disease: meta-analysis of prospective cohort studies. J Am Coll Cardiol. 2011; 58(13): 1378-1385, doi: </w:t>
      </w:r>
      <w:r w:rsidRPr="00CE0A20">
        <w:rPr>
          <w:rStyle w:val="31"/>
          <w:color w:val="000000" w:themeColor="text1"/>
          <w:sz w:val="28"/>
          <w:szCs w:val="28"/>
          <w:lang w:val="uk-UA"/>
        </w:rPr>
        <w:t>10.1016/j. jacc.2011.06.024</w:t>
      </w:r>
    </w:p>
    <w:p w:rsidR="001C43D0" w:rsidRPr="00CE0A20" w:rsidRDefault="001C43D0" w:rsidP="00631D82">
      <w:pPr>
        <w:pStyle w:val="a3"/>
        <w:numPr>
          <w:ilvl w:val="0"/>
          <w:numId w:val="40"/>
        </w:numPr>
        <w:tabs>
          <w:tab w:val="left" w:pos="1276"/>
        </w:tabs>
        <w:ind w:right="141"/>
        <w:jc w:val="both"/>
        <w:rPr>
          <w:rStyle w:val="a5"/>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Donner DG, Elliott GE, Beck BR, Bulmer AC, Du Toit EF.  Impact of diet-induced obesity and testosterone deficiency on the cardiovascular system: a novel rodent model representative of males with testosterone-deficient metabolic syndrome (TDMetS). </w:t>
      </w:r>
      <w:r w:rsidRPr="00CE0A20">
        <w:rPr>
          <w:rFonts w:ascii="Times New Roman" w:hAnsi="Times New Roman" w:cs="Times New Roman"/>
          <w:color w:val="000000" w:themeColor="text1"/>
          <w:shd w:val="clear" w:color="auto" w:fill="FFFFFF"/>
          <w:lang w:val="uk-UA"/>
        </w:rPr>
        <w:t xml:space="preserve">PLoS One.   2015; 14;10(9):e0138019. Available on line: </w:t>
      </w:r>
      <w:r w:rsidRPr="00CE0A20">
        <w:rPr>
          <w:rFonts w:ascii="Times New Roman" w:hAnsi="Times New Roman" w:cs="Times New Roman"/>
          <w:color w:val="000000" w:themeColor="text1"/>
          <w:lang w:val="uk-UA"/>
        </w:rPr>
        <w:t>http://journals.plos.org/plosone/article?id=10.1371/</w:t>
      </w:r>
      <w:r w:rsidRPr="00CE0A20">
        <w:rPr>
          <w:rStyle w:val="a5"/>
          <w:rFonts w:ascii="Times New Roman" w:hAnsi="Times New Roman" w:cs="Times New Roman"/>
          <w:color w:val="000000" w:themeColor="text1"/>
          <w:lang w:val="uk-UA"/>
        </w:rPr>
        <w:t xml:space="preserve"> </w:t>
      </w:r>
      <w:r w:rsidRPr="00CE0A20">
        <w:rPr>
          <w:rFonts w:ascii="Times New Roman" w:hAnsi="Times New Roman" w:cs="Times New Roman"/>
          <w:color w:val="000000" w:themeColor="text1"/>
          <w:lang w:val="uk-UA"/>
        </w:rPr>
        <w:t>journal.pone.0138019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Drummond ES, Harvey AR, Martins RN. Androgens and Alzheimer’s disease. </w:t>
      </w:r>
      <w:r w:rsidRPr="00CE0A20">
        <w:rPr>
          <w:rStyle w:val="ref-journal"/>
          <w:rFonts w:ascii="Times New Roman" w:hAnsi="Times New Roman" w:cs="Times New Roman"/>
          <w:color w:val="000000" w:themeColor="text1"/>
          <w:lang w:val="uk-UA"/>
        </w:rPr>
        <w:t xml:space="preserve">Curr Opin Endocrinol Diabetes Obes. </w:t>
      </w:r>
      <w:r w:rsidRPr="00CE0A20">
        <w:rPr>
          <w:rStyle w:val="element-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16</w:t>
      </w:r>
      <w:r w:rsidRPr="00CE0A20">
        <w:rPr>
          <w:rStyle w:val="element-citation"/>
          <w:rFonts w:ascii="Times New Roman" w:hAnsi="Times New Roman" w:cs="Times New Roman"/>
          <w:color w:val="000000" w:themeColor="text1"/>
          <w:lang w:val="uk-UA"/>
        </w:rPr>
        <w:t>:254–259</w:t>
      </w:r>
      <w:r w:rsidRPr="00CE0A20">
        <w:rPr>
          <w:rFonts w:ascii="Times New Roman" w:hAnsi="Times New Roman" w:cs="Times New Roman"/>
          <w:color w:val="000000" w:themeColor="text1"/>
          <w:lang w:val="uk-UA"/>
        </w:rPr>
        <w:t>.</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Efesoy O, Çayan S, Akbay E.</w:t>
      </w:r>
      <w:r w:rsidRPr="00CE0A20">
        <w:rPr>
          <w:rFonts w:ascii="Times New Roman" w:eastAsia="Times New Roman" w:hAnsi="Times New Roman" w:cs="Times New Roman"/>
          <w:bCs/>
          <w:color w:val="000000" w:themeColor="text1"/>
          <w:kern w:val="36"/>
          <w:lang w:val="uk-UA"/>
        </w:rPr>
        <w:t xml:space="preserve"> The Effect of Testosterone Replacement Therapy on Penile Hemodynamics in Hypogonadal Men With Erectile Dysfunction, Having Veno-Occlusive Dysfunction. </w:t>
      </w:r>
      <w:r w:rsidRPr="00CE0A20">
        <w:rPr>
          <w:rFonts w:ascii="Times New Roman" w:eastAsia="Times New Roman" w:hAnsi="Times New Roman" w:cs="Times New Roman"/>
          <w:color w:val="000000" w:themeColor="text1"/>
          <w:lang w:val="uk-UA"/>
        </w:rPr>
        <w:t>Am J Mens Health. 2018; 12(3): 634–638.  doi:  10.1177/1557988318754931</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El Saghier EOA, Shebl SE, Fawzy OA, Eltayeb IM, Bekhet LMA, Gharib A. </w:t>
      </w:r>
      <w:r w:rsidRPr="00CE0A20">
        <w:rPr>
          <w:rFonts w:ascii="Times New Roman" w:eastAsia="Times New Roman" w:hAnsi="Times New Roman" w:cs="Times New Roman"/>
          <w:bCs/>
          <w:color w:val="000000" w:themeColor="text1"/>
          <w:kern w:val="36"/>
          <w:lang w:val="uk-UA"/>
        </w:rPr>
        <w:t xml:space="preserve">Androgen Deficiency and Erectile Dysfunction in Patients with Type 2 Diabetes. </w:t>
      </w:r>
      <w:hyperlink r:id="rId139" w:history="1">
        <w:r w:rsidRPr="00CE0A20">
          <w:rPr>
            <w:rFonts w:ascii="Times New Roman" w:eastAsia="Times New Roman" w:hAnsi="Times New Roman" w:cs="Times New Roman"/>
            <w:color w:val="000000" w:themeColor="text1"/>
            <w:lang w:val="uk-UA"/>
          </w:rPr>
          <w:t>Clin Med Insights Endocrinol Diabetes</w:t>
        </w:r>
      </w:hyperlink>
      <w:r w:rsidRPr="00CE0A20">
        <w:rPr>
          <w:rFonts w:ascii="Times New Roman" w:eastAsia="Times New Roman" w:hAnsi="Times New Roman" w:cs="Times New Roman"/>
          <w:color w:val="000000" w:themeColor="text1"/>
          <w:lang w:val="uk-UA"/>
        </w:rPr>
        <w:t>. 2015; 8: 55–62. doi:10.4137/CMED.S27700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Emmelot-Vonk MH, Verhaar HJ, Nakhai Pour HR, Aleman A, LockTM, Bosch JL, et al. Effect of testos</w:t>
      </w:r>
      <w:r w:rsidRPr="00CE0A20">
        <w:rPr>
          <w:rFonts w:ascii="Times New Roman" w:hAnsi="Times New Roman" w:cs="Times New Roman"/>
          <w:color w:val="000000" w:themeColor="text1"/>
          <w:lang w:val="uk-UA"/>
        </w:rPr>
        <w:softHyphen/>
        <w:t>terone supplementation on functional mobility, cognition, and other parameters in older men: a random</w:t>
      </w:r>
      <w:r w:rsidRPr="00CE0A20">
        <w:rPr>
          <w:rFonts w:ascii="Times New Roman" w:hAnsi="Times New Roman" w:cs="Times New Roman"/>
          <w:color w:val="000000" w:themeColor="text1"/>
          <w:lang w:val="uk-UA"/>
        </w:rPr>
        <w:softHyphen/>
        <w:t xml:space="preserve">ized controlled trial. JAMA: the journal of the American Medical Association. 2008; 299(1):39-52. doi: 10.1001/jama.2007.51PMID: 18167405,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kern w:val="2"/>
          <w:lang w:val="uk-UA"/>
        </w:rPr>
      </w:pPr>
      <w:r w:rsidRPr="00CE0A20">
        <w:rPr>
          <w:rFonts w:ascii="Times New Roman" w:hAnsi="Times New Roman" w:cs="Times New Roman"/>
          <w:color w:val="000000" w:themeColor="text1"/>
          <w:lang w:val="en-US"/>
        </w:rPr>
        <w:t xml:space="preserve">European Association of Urology guidelines on Male Infertility: the 2012 update. </w:t>
      </w:r>
      <w:r w:rsidRPr="00CE0A20">
        <w:rPr>
          <w:rStyle w:val="highlight"/>
          <w:rFonts w:ascii="Times New Roman" w:hAnsi="Times New Roman" w:cs="Times New Roman"/>
          <w:color w:val="000000" w:themeColor="text1"/>
          <w:lang w:val="en-US"/>
        </w:rPr>
        <w:t>Jungwirth A</w:t>
      </w:r>
      <w:r w:rsidRPr="00CE0A20">
        <w:rPr>
          <w:rFonts w:ascii="Times New Roman" w:hAnsi="Times New Roman" w:cs="Times New Roman"/>
          <w:color w:val="000000" w:themeColor="text1"/>
          <w:lang w:val="en-US"/>
        </w:rPr>
        <w:t xml:space="preserve"> et al. European Association of Urology Working Group on Male Infertility/ Eur Urol. 2012 Aug;62(2):324-32. doi: 10.1016/j.eururo.2012.04.048</w:t>
      </w:r>
      <w:r w:rsidRPr="00CE0A20">
        <w:rPr>
          <w:rFonts w:ascii="Times New Roman" w:hAnsi="Times New Roman" w:cs="Times New Roman"/>
          <w:color w:val="000000" w:themeColor="text1"/>
          <w:kern w:val="2"/>
          <w:lang w:val="uk-UA"/>
        </w:rPr>
        <w:t>.</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Fatani AJ, Al-Rejaie SS, Abuohashish HM, Al-Assaf A, Parmar MY, Ahmed MM. Lutein dietary supplementation attenuates streptozotocin-induced testicular damage and oxidative stress in diabetic rats. BMC Complement Altern Med. 2015;15:204.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Fedele D, Bortolotti A, Coscelli C. et al. Erectile dysfunction in type 1 and type 2 diabetics in Italy.// Int J Epidemiol. 2000;29:524 – 531.</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Feeley R, Saad F, Guay A, Traish A. Testosterone in men’s health: a new role for an old hormone. </w:t>
      </w:r>
      <w:r w:rsidRPr="00CE0A20">
        <w:rPr>
          <w:rStyle w:val="ref-journal"/>
          <w:rFonts w:ascii="Times New Roman" w:hAnsi="Times New Roman" w:cs="Times New Roman"/>
          <w:color w:val="000000" w:themeColor="text1"/>
          <w:lang w:val="uk-UA"/>
        </w:rPr>
        <w:t xml:space="preserve">J Men’s Health. </w:t>
      </w:r>
      <w:r w:rsidRPr="00CE0A20">
        <w:rPr>
          <w:rStyle w:val="element-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6</w:t>
      </w:r>
      <w:r w:rsidRPr="00CE0A20">
        <w:rPr>
          <w:rStyle w:val="element-citation"/>
          <w:rFonts w:ascii="Times New Roman" w:hAnsi="Times New Roman" w:cs="Times New Roman"/>
          <w:color w:val="000000" w:themeColor="text1"/>
          <w:lang w:val="uk-UA"/>
        </w:rPr>
        <w:t>:169–176.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Feldman HA, Longcope C, Derby CA. Age trends in the level of serum testosterone and other hormones in middle-aged men: longitudinal results from the Massachusetts male aging study. J. Clin. Endocrinol. Metab. 2002; 87 (2): 589–598.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Fink HA, Ewing SK, Ensrud KE, Barrett-Connor E, Taylor BC, Cauley JA et al. Association of testosterone and estradiol deficiency with osteoporosis and rapid bone loss in older men. </w:t>
      </w:r>
      <w:r w:rsidRPr="00CE0A20">
        <w:rPr>
          <w:rStyle w:val="ref-journal"/>
          <w:rFonts w:ascii="Times New Roman" w:hAnsi="Times New Roman" w:cs="Times New Roman"/>
          <w:color w:val="000000" w:themeColor="text1"/>
          <w:lang w:val="uk-UA"/>
        </w:rPr>
        <w:t xml:space="preserve">J Clin Endocrinol Metab. </w:t>
      </w:r>
      <w:r w:rsidRPr="00CE0A20">
        <w:rPr>
          <w:rStyle w:val="element-citation"/>
          <w:rFonts w:ascii="Times New Roman" w:hAnsi="Times New Roman" w:cs="Times New Roman"/>
          <w:color w:val="000000" w:themeColor="text1"/>
          <w:lang w:val="uk-UA"/>
        </w:rPr>
        <w:t xml:space="preserve">2006; </w:t>
      </w:r>
      <w:r w:rsidRPr="00CE0A20">
        <w:rPr>
          <w:rStyle w:val="ref-vol"/>
          <w:rFonts w:ascii="Times New Roman" w:hAnsi="Times New Roman" w:cs="Times New Roman"/>
          <w:color w:val="000000" w:themeColor="text1"/>
          <w:lang w:val="uk-UA"/>
        </w:rPr>
        <w:t>1</w:t>
      </w:r>
      <w:r w:rsidRPr="00CE0A20">
        <w:rPr>
          <w:rStyle w:val="element-citation"/>
          <w:rFonts w:ascii="Times New Roman" w:hAnsi="Times New Roman" w:cs="Times New Roman"/>
          <w:color w:val="000000" w:themeColor="text1"/>
          <w:lang w:val="uk-UA"/>
        </w:rPr>
        <w:t>:3908–3915</w:t>
      </w:r>
      <w:r w:rsidRPr="00CE0A20">
        <w:rPr>
          <w:rFonts w:ascii="Times New Roman" w:hAnsi="Times New Roman" w:cs="Times New Roman"/>
          <w:color w:val="000000" w:themeColor="text1"/>
          <w:lang w:val="uk-UA"/>
        </w:rPr>
        <w:t>.</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Francis SH, Corbin JD. Molecular mechanisms and pharmacokinetics of phosphodiesterase-5 antagonists // Curr Urol Rep. 2003. Vol. 4. Р. 457–465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Francomano D, Lenzi A, Aversa A. Effects of Five-Year Treatment with Testosterone Undecanoate on Metabolic and Hormonal Parameters in Ageing Men with Metabolic Syndrome. Int J Endocrinol. 2014; 2014: 1-9. doi: 10.1155/2014/527470; 17-19.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rFonts w:eastAsia="Arial"/>
          <w:i w:val="0"/>
          <w:color w:val="000000" w:themeColor="text1"/>
          <w:sz w:val="28"/>
          <w:szCs w:val="28"/>
          <w:lang w:val="uk-UA"/>
        </w:rPr>
        <w:t>Friedenstein AJ, Shapiro-Piatetzky II, Petrakova КV.</w:t>
      </w:r>
      <w:r w:rsidRPr="00CE0A20">
        <w:rPr>
          <w:rFonts w:ascii="Times New Roman" w:hAnsi="Times New Roman" w:cs="Times New Roman"/>
          <w:color w:val="000000" w:themeColor="text1"/>
          <w:lang w:val="uk-UA"/>
        </w:rPr>
        <w:t xml:space="preserve"> Osteogenesis in transplants of bone marrow cells // J. Embriol. Exp. Morphol. - 1966. - Vol. 16. - P. 381-390</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Gales BJ, Gales MA. Phosphodiesterase-5 inhibitors for lower urinary tract symptoms in men. Ann Pharmacother. 2008; 42 (1): 111–115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Gandaglia G, Briganti A, Jackson G, et al. A systematic review of the association between erectile dysfunction and cardiovascular disease. Eur Urol. 2014; 65(5): 968-978, doi: </w:t>
      </w:r>
      <w:r w:rsidRPr="00CE0A20">
        <w:rPr>
          <w:rStyle w:val="31"/>
          <w:color w:val="000000" w:themeColor="text1"/>
          <w:sz w:val="28"/>
          <w:szCs w:val="28"/>
          <w:lang w:val="uk-UA"/>
        </w:rPr>
        <w:t>10.1016/j. eururo.2013.08.023.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Gaylis FD, Lin DW, Ignatoff JM. et al. Prostate cancer in men using testosterone supplementation. J. Urol. 2005;174:534-538.</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Ghazy S, Zohdy W, ElKhiate Y, Shamloul R. Serum testosterone levels in diabetic men with and without erectile dysfunction. Andrologia. 2012;44(6):373–380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Giagulli VA, Carbone MD, Ramunni MI, Licchelli B, De Pergola G, Sabbà C, Guastamacchia E, Triggiani V. Adding liraglutide to lifestyle changes, metformin and testosterone therapy boosts erectile function in diabetic obese men with overt hypogonadism. Andrology. 2015; 3(6):1094-103. Available on line: https://onlinelibrary.wiley.com/doi/abs/10.1111/andr.12099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Gianatti EJ, Dupuis P, Hoermann R, Strauss BJ, Wentworth JM, Zajac JD et al. Effect of testosterone treatment on glucose metabolism in men with type 2 diabetes: a randomized controlled trial. Diabetes Care. 2014; 37(8): 2098-107.</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Goldfischer ER, Kim ED, Seftel AD, Baygani SK, Burns PR. </w:t>
      </w:r>
      <w:r w:rsidRPr="00CE0A20">
        <w:rPr>
          <w:rFonts w:ascii="Times New Roman" w:eastAsia="Times New Roman" w:hAnsi="Times New Roman" w:cs="Times New Roman"/>
          <w:bCs/>
          <w:color w:val="000000" w:themeColor="text1"/>
          <w:kern w:val="36"/>
          <w:lang w:val="uk-UA"/>
        </w:rPr>
        <w:t xml:space="preserve">Impact of low testosterone on response to treatment with tadalafil 5 mg once daily for erectile dysfunction. </w:t>
      </w:r>
      <w:r w:rsidRPr="00CE0A20">
        <w:rPr>
          <w:rFonts w:ascii="Times New Roman" w:eastAsia="Times New Roman" w:hAnsi="Times New Roman" w:cs="Times New Roman"/>
          <w:color w:val="000000" w:themeColor="text1"/>
          <w:lang w:val="uk-UA"/>
        </w:rPr>
        <w:t>Urology. 2014;83(6):1326-1333. doi: 10.1016/j.urology.2014.02.019</w:t>
      </w:r>
    </w:p>
    <w:p w:rsidR="001C43D0" w:rsidRPr="00CE0A20" w:rsidRDefault="001C43D0" w:rsidP="00631D82">
      <w:pPr>
        <w:pStyle w:val="a3"/>
        <w:numPr>
          <w:ilvl w:val="0"/>
          <w:numId w:val="40"/>
        </w:numPr>
        <w:tabs>
          <w:tab w:val="left" w:pos="1276"/>
          <w:tab w:val="left" w:pos="3828"/>
        </w:tabs>
        <w:ind w:right="141"/>
        <w:contextualSpacing/>
        <w:jc w:val="both"/>
        <w:rPr>
          <w:rFonts w:ascii="Times New Roman" w:hAnsi="Times New Roman" w:cs="Times New Roman"/>
          <w:iCs/>
          <w:color w:val="000000" w:themeColor="text1"/>
          <w:lang w:val="uk-UA"/>
        </w:rPr>
      </w:pPr>
      <w:r w:rsidRPr="00CE0A20">
        <w:rPr>
          <w:rFonts w:ascii="Times New Roman" w:hAnsi="Times New Roman" w:cs="Times New Roman"/>
          <w:iCs/>
          <w:color w:val="000000" w:themeColor="text1"/>
          <w:lang w:val="uk-UA"/>
        </w:rPr>
        <w:t>Goldstein I, Lue TF, Padma-Nathan H et al. Oral sildenafil in the treatment of erectile dysfunction. Sildenafil Study Group. N Engl J Med 1998; 338: 1397–1404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Microsoft Sans Serif"/>
          <w:i w:val="0"/>
          <w:color w:val="000000" w:themeColor="text1"/>
          <w:sz w:val="28"/>
          <w:szCs w:val="28"/>
          <w:lang w:val="uk-UA"/>
        </w:rPr>
        <w:t>Golgman S.A.</w:t>
      </w:r>
      <w:r w:rsidRPr="00CE0A20">
        <w:rPr>
          <w:rFonts w:ascii="Times New Roman" w:hAnsi="Times New Roman" w:cs="Times New Roman"/>
          <w:color w:val="000000" w:themeColor="text1"/>
          <w:lang w:val="uk-UA"/>
        </w:rPr>
        <w:t xml:space="preserve"> Neurology and the stem cell debate. Neurology. 2005; 64 (10): 1675–1676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34"/>
          <w:color w:val="000000" w:themeColor="text1"/>
          <w:sz w:val="28"/>
          <w:szCs w:val="28"/>
        </w:rPr>
        <w:t>Gore J, Rajfer J.</w:t>
      </w:r>
      <w:r w:rsidRPr="00CE0A20">
        <w:rPr>
          <w:rFonts w:ascii="Times New Roman" w:hAnsi="Times New Roman" w:cs="Times New Roman"/>
          <w:color w:val="000000" w:themeColor="text1"/>
          <w:lang w:val="uk-UA"/>
        </w:rPr>
        <w:t xml:space="preserve"> Rising PSA During testosterone replacement therapy. MD reviews in urology. 2004;6(6):41-43.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Goulis DG, Tarlatzis BC.Metabolic syndrome and reproduction: I. testicular function. Gynecol Endocrinol. 2008; 24(1): 33-9. doi: 10.1080/09513590701582273.</w:t>
      </w:r>
    </w:p>
    <w:p w:rsidR="001C43D0" w:rsidRPr="00CE0A20" w:rsidRDefault="001C43D0" w:rsidP="00631D82">
      <w:pPr>
        <w:pStyle w:val="a3"/>
        <w:numPr>
          <w:ilvl w:val="0"/>
          <w:numId w:val="40"/>
        </w:numPr>
        <w:tabs>
          <w:tab w:val="left" w:pos="1276"/>
        </w:tabs>
        <w:ind w:right="141"/>
        <w:contextualSpacing/>
        <w:jc w:val="both"/>
        <w:rPr>
          <w:rStyle w:val="a5"/>
          <w:rFonts w:ascii="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Greco EA, Spera G, Aversa A. Combining testosterone and PDE5 inhibitors in erectile dysfunction: basic rationale and clinical evidences. Eur Urol. 2006;50:940–947. </w:t>
      </w:r>
      <w:r w:rsidRPr="00CE0A20">
        <w:rPr>
          <w:rFonts w:ascii="Times New Roman" w:hAnsi="Times New Roman" w:cs="Times New Roman"/>
          <w:color w:val="000000" w:themeColor="text1"/>
          <w:lang w:val="uk-UA"/>
        </w:rPr>
        <w:t>http://dx.doi.org/10.1016/j.eururo.2006.06.049</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Greenstein A, Mabjeesh NJ, Sofer M, Kaver I, Matzkin H, Chen J. Dose sildenafil combined with testosterone gel improved erectile dysfunction in hypogonadal men in whom testosterone therapy alone failed. J Urol. 2005;173:530–532</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Gresser U, Gleiter CH. Erectile dysfunction: comparison of efficacy and side effects of the PDE–5 inhibitors sildenafil, vardenafil, and tadalafil review of the literature. Eur J Med Res. 2002; 7: 435–446</w:t>
      </w:r>
    </w:p>
    <w:p w:rsidR="001C43D0" w:rsidRPr="00CE0A20" w:rsidRDefault="001C43D0" w:rsidP="00631D82">
      <w:pPr>
        <w:pStyle w:val="a3"/>
        <w:numPr>
          <w:ilvl w:val="0"/>
          <w:numId w:val="40"/>
        </w:numPr>
        <w:tabs>
          <w:tab w:val="left" w:pos="1276"/>
        </w:tabs>
        <w:ind w:right="141"/>
        <w:contextualSpacing/>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Grossmann M, Gianatti EJ, Zajac JD. Testosterone and type 2 diabetes. </w:t>
      </w:r>
      <w:r w:rsidRPr="00CE0A20">
        <w:rPr>
          <w:rStyle w:val="ref-journal"/>
          <w:rFonts w:ascii="Times New Roman" w:hAnsi="Times New Roman" w:cs="Times New Roman"/>
          <w:color w:val="000000" w:themeColor="text1"/>
          <w:lang w:val="uk-UA"/>
        </w:rPr>
        <w:t xml:space="preserve">Curr Opin Endocrinol Diabetes Obes. </w:t>
      </w:r>
      <w:r w:rsidRPr="00CE0A20">
        <w:rPr>
          <w:rStyle w:val="element-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17</w:t>
      </w:r>
      <w:r w:rsidRPr="00CE0A20">
        <w:rPr>
          <w:rStyle w:val="element-citation"/>
          <w:rFonts w:ascii="Times New Roman" w:hAnsi="Times New Roman" w:cs="Times New Roman"/>
          <w:color w:val="000000" w:themeColor="text1"/>
          <w:lang w:val="uk-UA"/>
        </w:rPr>
        <w:t>:247–256</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Grossmann M, Wu FC. Male androgen deficiency: a multisystem syndrome. Asian J Androl. 2014;16(2):159–160</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Grossmann M. Diagnosis and treatment of hypogonadism in older men: proceed with caution. </w:t>
      </w:r>
      <w:r w:rsidRPr="00CE0A20">
        <w:rPr>
          <w:rStyle w:val="ref-journal"/>
          <w:rFonts w:ascii="Times New Roman" w:hAnsi="Times New Roman" w:cs="Times New Roman"/>
          <w:color w:val="000000" w:themeColor="text1"/>
          <w:lang w:val="uk-UA"/>
        </w:rPr>
        <w:t xml:space="preserve">Asian J Androl. </w:t>
      </w:r>
      <w:r w:rsidRPr="00CE0A20">
        <w:rPr>
          <w:rStyle w:val="element-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12</w:t>
      </w:r>
      <w:r w:rsidRPr="00CE0A20">
        <w:rPr>
          <w:rStyle w:val="element-citation"/>
          <w:rFonts w:ascii="Times New Roman" w:hAnsi="Times New Roman" w:cs="Times New Roman"/>
          <w:color w:val="000000" w:themeColor="text1"/>
          <w:lang w:val="uk-UA"/>
        </w:rPr>
        <w:t>:783–786</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Grossmann M. Low testosterone in men with type 2 diabetes: significance and treatment. </w:t>
      </w:r>
      <w:r w:rsidRPr="00CE0A20">
        <w:rPr>
          <w:rStyle w:val="ref-journal"/>
          <w:rFonts w:ascii="Times New Roman" w:hAnsi="Times New Roman" w:cs="Times New Roman"/>
          <w:color w:val="000000" w:themeColor="text1"/>
          <w:lang w:val="uk-UA"/>
        </w:rPr>
        <w:t xml:space="preserve">J Clin Endocrinol Metab. </w:t>
      </w:r>
      <w:r w:rsidRPr="00CE0A20">
        <w:rPr>
          <w:rStyle w:val="element-citation"/>
          <w:rFonts w:ascii="Times New Roman" w:hAnsi="Times New Roman" w:cs="Times New Roman"/>
          <w:color w:val="000000" w:themeColor="text1"/>
          <w:lang w:val="uk-UA"/>
        </w:rPr>
        <w:t>2011;</w:t>
      </w:r>
      <w:r w:rsidRPr="00CE0A20">
        <w:rPr>
          <w:rStyle w:val="ref-vol"/>
          <w:rFonts w:ascii="Times New Roman" w:hAnsi="Times New Roman" w:cs="Times New Roman"/>
          <w:color w:val="000000" w:themeColor="text1"/>
          <w:lang w:val="uk-UA"/>
        </w:rPr>
        <w:t>96</w:t>
      </w:r>
      <w:r w:rsidRPr="00CE0A20">
        <w:rPr>
          <w:rStyle w:val="element-citation"/>
          <w:rFonts w:ascii="Times New Roman" w:hAnsi="Times New Roman" w:cs="Times New Roman"/>
          <w:color w:val="000000" w:themeColor="text1"/>
          <w:lang w:val="uk-UA"/>
        </w:rPr>
        <w:t xml:space="preserve">:2341–2353 </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Grossmann M. Testosterone and glucose metabolism in men: current concepts and controversies. J Endocrinol. 2014; 220: R37–R55</w:t>
      </w:r>
    </w:p>
    <w:p w:rsidR="001C43D0" w:rsidRPr="00CE0A20" w:rsidRDefault="001C43D0" w:rsidP="00631D82">
      <w:pPr>
        <w:pStyle w:val="a3"/>
        <w:numPr>
          <w:ilvl w:val="0"/>
          <w:numId w:val="40"/>
        </w:numPr>
        <w:tabs>
          <w:tab w:val="left" w:pos="1276"/>
        </w:tabs>
        <w:ind w:right="141"/>
        <w:jc w:val="both"/>
        <w:rPr>
          <w:rStyle w:val="31"/>
          <w:color w:val="000000" w:themeColor="text1"/>
          <w:sz w:val="28"/>
          <w:szCs w:val="28"/>
          <w:lang w:val="uk-UA"/>
        </w:rPr>
      </w:pPr>
      <w:r w:rsidRPr="00CE0A20">
        <w:rPr>
          <w:rFonts w:ascii="Times New Roman" w:hAnsi="Times New Roman" w:cs="Times New Roman"/>
          <w:color w:val="000000" w:themeColor="text1"/>
          <w:lang w:val="uk-UA"/>
        </w:rPr>
        <w:t xml:space="preserve">Guo W, Liao C, Zou Y, et al. Erectile dysfunction and risk of clinical cardiovascular events: a meta-analysis of seven cohort studies. J Sex Med. 2010;7(8):2805-2816. doi: </w:t>
      </w:r>
      <w:r w:rsidRPr="00CE0A20">
        <w:rPr>
          <w:rStyle w:val="31"/>
          <w:color w:val="000000" w:themeColor="text1"/>
          <w:sz w:val="28"/>
          <w:szCs w:val="28"/>
          <w:lang w:val="uk-UA"/>
        </w:rPr>
        <w:t>10.1111/j.1743- 6109.2010.01792.x</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Gurbuz N, Mammadov E, Usta MF. Hypogonadism and erectile dysfunction: an overview. Asian J Androl. 2008;10(1):36–43</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Guzik TJ, Mangalat D, Korbut R. </w:t>
      </w:r>
      <w:r w:rsidRPr="00CE0A20">
        <w:rPr>
          <w:rStyle w:val="ref-title"/>
          <w:rFonts w:ascii="Times New Roman" w:hAnsi="Times New Roman" w:cs="Times New Roman"/>
          <w:color w:val="000000" w:themeColor="text1"/>
          <w:lang w:val="uk-UA"/>
        </w:rPr>
        <w:t xml:space="preserve">Adipocytokines: novel link between inflammation and vascular function? </w:t>
      </w:r>
      <w:r w:rsidRPr="00CE0A20">
        <w:rPr>
          <w:rStyle w:val="ref-journal"/>
          <w:rFonts w:ascii="Times New Roman" w:hAnsi="Times New Roman" w:cs="Times New Roman"/>
          <w:color w:val="000000" w:themeColor="text1"/>
          <w:lang w:val="uk-UA"/>
        </w:rPr>
        <w:t>J Physiol Pharmacol.</w:t>
      </w:r>
      <w:r w:rsidRPr="00CE0A20">
        <w:rPr>
          <w:rStyle w:val="mixed-citation"/>
          <w:rFonts w:ascii="Times New Roman" w:hAnsi="Times New Roman" w:cs="Times New Roman"/>
          <w:color w:val="000000" w:themeColor="text1"/>
          <w:lang w:val="uk-UA"/>
        </w:rPr>
        <w:t xml:space="preserve"> 2006;</w:t>
      </w:r>
      <w:r w:rsidRPr="00CE0A20">
        <w:rPr>
          <w:rStyle w:val="ref-vol"/>
          <w:rFonts w:ascii="Times New Roman" w:hAnsi="Times New Roman" w:cs="Times New Roman"/>
          <w:color w:val="000000" w:themeColor="text1"/>
          <w:lang w:val="uk-UA"/>
        </w:rPr>
        <w:t>57</w:t>
      </w:r>
      <w:r w:rsidRPr="00CE0A20">
        <w:rPr>
          <w:rStyle w:val="mixed-citation"/>
          <w:rFonts w:ascii="Times New Roman" w:hAnsi="Times New Roman" w:cs="Times New Roman"/>
          <w:color w:val="000000" w:themeColor="text1"/>
          <w:lang w:val="uk-UA"/>
        </w:rPr>
        <w:t>:505–528.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Haider A, Saad F, Doros G, Gooren L. Hypogonadal obese men with and without diabetes mellitus type 2 lose weight and show improvement in cardiovascular risk factors when treated with testosterone: An observational study. Obesity Research &amp; Clinical Practice. 2014; 8(4): e339-e49. doi: 10.1016/j.orcp.2013.10.005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Haider A, Yassin A, Doros G, Saad F. Effects of Long-Term Testosterone Therapy on Patients with "Diabesity": Results of Observational Studies of Pooled Analyses in Obese Hypogonadal Men with Type 2 Diabetes. Int J Endocrinol. 2014; 2014:1-15. doi: 10.1155/2014/683515;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Haider SG. </w:t>
      </w:r>
      <w:r w:rsidRPr="00CE0A20">
        <w:rPr>
          <w:rFonts w:ascii="Times New Roman" w:hAnsi="Times New Roman" w:cs="Times New Roman"/>
          <w:color w:val="000000" w:themeColor="text1"/>
          <w:kern w:val="36"/>
          <w:lang w:val="uk-UA"/>
        </w:rPr>
        <w:t xml:space="preserve">Cell biology of Leydig cells in the testis. </w:t>
      </w:r>
      <w:r w:rsidRPr="00CE0A20">
        <w:rPr>
          <w:rFonts w:ascii="Times New Roman" w:hAnsi="Times New Roman" w:cs="Times New Roman"/>
          <w:color w:val="000000" w:themeColor="text1"/>
          <w:lang w:val="uk-UA"/>
        </w:rPr>
        <w:t>Int Rev Cytol. 2004;233:181-241.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Hall SA, Araujo AB, Esche GR, Williams RE, Clark RV, et al. Treatment of symptomatic androgen deficiency: results from the Boston Area Community Health Survey. Arch Intern Med. 2008;168:1070-1076.</w:t>
      </w:r>
    </w:p>
    <w:p w:rsidR="001C43D0" w:rsidRPr="00CE0A20" w:rsidRDefault="001C43D0" w:rsidP="00631D82">
      <w:pPr>
        <w:pStyle w:val="a3"/>
        <w:numPr>
          <w:ilvl w:val="0"/>
          <w:numId w:val="40"/>
        </w:numPr>
        <w:tabs>
          <w:tab w:val="left" w:pos="1276"/>
        </w:tabs>
        <w:ind w:right="141"/>
        <w:jc w:val="both"/>
        <w:rPr>
          <w:rStyle w:val="82"/>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lang w:val="uk-UA"/>
        </w:rPr>
        <w:t>Hall SA, Esche GR, Araujo AB, Travison TG, Clark RV, Williams RE, et al. Correlates of low testosterone and symptomatic androgen deficiency in a population-based sample. J Clin Endocrinol Metab. 2008;93(10):3870-7. doi: 10.1210/jc.2008-0021</w:t>
      </w:r>
    </w:p>
    <w:p w:rsidR="001C43D0" w:rsidRPr="00CE0A20" w:rsidRDefault="001C43D0" w:rsidP="00631D82">
      <w:pPr>
        <w:pStyle w:val="a3"/>
        <w:numPr>
          <w:ilvl w:val="0"/>
          <w:numId w:val="40"/>
        </w:numPr>
        <w:tabs>
          <w:tab w:val="left" w:pos="1276"/>
        </w:tabs>
        <w:ind w:right="141"/>
        <w:jc w:val="both"/>
        <w:rPr>
          <w:rStyle w:val="53"/>
          <w:color w:val="000000" w:themeColor="text1"/>
          <w:sz w:val="28"/>
          <w:szCs w:val="28"/>
          <w:lang w:val="uk-UA"/>
        </w:rPr>
      </w:pPr>
      <w:r w:rsidRPr="00CE0A20">
        <w:rPr>
          <w:rFonts w:ascii="Times New Roman" w:hAnsi="Times New Roman" w:cs="Times New Roman"/>
          <w:color w:val="000000" w:themeColor="text1"/>
          <w:lang w:val="uk-UA"/>
        </w:rPr>
        <w:t>Haring R, Ittermann T, Volzke H, Krebs A, Zygmunt M, Felix SB, et al. Prevalence, incidence and risk factors of testosterone deficiency in a population-based cohort of men: results from the study of health in Pomerania. Aging Male. 2010;13(4):247-57. doi: 10.3109/13685538.2010.487553</w:t>
      </w:r>
    </w:p>
    <w:p w:rsidR="001C43D0" w:rsidRPr="00CE0A20" w:rsidRDefault="001C43D0" w:rsidP="00631D82">
      <w:pPr>
        <w:pStyle w:val="a3"/>
        <w:numPr>
          <w:ilvl w:val="0"/>
          <w:numId w:val="40"/>
        </w:numPr>
        <w:tabs>
          <w:tab w:val="left" w:pos="1276"/>
        </w:tabs>
        <w:ind w:right="141"/>
        <w:contextualSpacing/>
        <w:jc w:val="both"/>
        <w:rPr>
          <w:rStyle w:val="a5"/>
          <w:rFonts w:ascii="Times New Roman" w:hAnsi="Times New Roman" w:cs="Times New Roman"/>
          <w:iCs/>
          <w:color w:val="000000" w:themeColor="text1"/>
          <w:shd w:val="clear" w:color="auto" w:fill="F5F5F5"/>
          <w:lang w:val="uk-UA"/>
        </w:rPr>
      </w:pPr>
      <w:r w:rsidRPr="00CE0A20">
        <w:rPr>
          <w:rFonts w:ascii="Times New Roman" w:hAnsi="Times New Roman" w:cs="Times New Roman"/>
          <w:iCs/>
          <w:color w:val="000000" w:themeColor="text1"/>
          <w:shd w:val="clear" w:color="auto" w:fill="F5F5F5"/>
          <w:lang w:val="uk-UA"/>
        </w:rPr>
        <w:t xml:space="preserve">Hatzimouratidis K, Giuliano F, Moncada I, Muneer A, Salonia A, Verze P.  Guideline Associates: Parnham A, Serefoglu  EC. </w:t>
      </w:r>
      <w:r w:rsidRPr="00CE0A20">
        <w:rPr>
          <w:rFonts w:ascii="Times New Roman" w:hAnsi="Times New Roman" w:cs="Times New Roman"/>
          <w:color w:val="000000" w:themeColor="text1"/>
          <w:lang w:val="uk-UA"/>
        </w:rPr>
        <w:t>Guidelines on male sexual dysfunction.</w:t>
      </w:r>
      <w:r w:rsidRPr="00CE0A20">
        <w:rPr>
          <w:rFonts w:ascii="Times New Roman" w:hAnsi="Times New Roman" w:cs="Times New Roman"/>
          <w:iCs/>
          <w:color w:val="000000" w:themeColor="text1"/>
          <w:shd w:val="clear" w:color="auto" w:fill="F5F5F5"/>
          <w:lang w:val="uk-UA"/>
        </w:rPr>
        <w:t xml:space="preserve"> EAU Guidelines. Edn. presented at the EAU Annual Congress Copenhagen 2018. ISBN 978-90-79754-91-5. Available on line: http://uroweb.org/guideline/male-sexual-dysfunction/#1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Helmy MM, Senbel AM. Evaluation of vitamin E in the treatment of erectile dysfunction in aged rats. Life Sci. 2012;90(13–14):489–94.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Heufelder AE, Saad F, Bunck MC, Gooren L. </w:t>
      </w:r>
      <w:r w:rsidRPr="00CE0A20">
        <w:rPr>
          <w:rStyle w:val="ref-title"/>
          <w:rFonts w:ascii="Times New Roman" w:hAnsi="Times New Roman" w:cs="Times New Roman"/>
          <w:color w:val="000000" w:themeColor="text1"/>
          <w:lang w:val="uk-UA"/>
        </w:rPr>
        <w:t>Fifty-two-week treatment with diet and exercise plus transdermal testosterone reverses the metabolic syndrome and improves glycemic control in men with newly diagnosed type 2 diabetes and subnormal plasma testosterone</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J Androl</w:t>
      </w:r>
      <w:r w:rsidRPr="00CE0A20">
        <w:rPr>
          <w:rStyle w:val="mixed-citation"/>
          <w:rFonts w:ascii="Times New Roman" w:hAnsi="Times New Roman" w:cs="Times New Roman"/>
          <w:color w:val="000000" w:themeColor="text1"/>
          <w:lang w:val="uk-UA"/>
        </w:rPr>
        <w:t xml:space="preserve"> 2009;</w:t>
      </w:r>
      <w:r w:rsidRPr="00CE0A20">
        <w:rPr>
          <w:rStyle w:val="ref-vol"/>
          <w:rFonts w:ascii="Times New Roman" w:hAnsi="Times New Roman" w:cs="Times New Roman"/>
          <w:color w:val="000000" w:themeColor="text1"/>
          <w:lang w:val="uk-UA"/>
        </w:rPr>
        <w:t>30</w:t>
      </w:r>
      <w:r w:rsidRPr="00CE0A20">
        <w:rPr>
          <w:rStyle w:val="mixed-citation"/>
          <w:rFonts w:ascii="Times New Roman" w:hAnsi="Times New Roman" w:cs="Times New Roman"/>
          <w:color w:val="000000" w:themeColor="text1"/>
          <w:lang w:val="uk-UA"/>
        </w:rPr>
        <w:t>:726–733</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i w:val="0"/>
          <w:color w:val="000000" w:themeColor="text1"/>
          <w:sz w:val="28"/>
          <w:szCs w:val="28"/>
          <w:lang w:val="uk-UA"/>
        </w:rPr>
        <w:t>Hew KW, Georgia IH, Asmina HJ,</w:t>
      </w:r>
      <w:r w:rsidRPr="00CE0A20">
        <w:rPr>
          <w:rFonts w:ascii="Times New Roman" w:hAnsi="Times New Roman" w:cs="Times New Roman"/>
          <w:color w:val="000000" w:themeColor="text1"/>
          <w:lang w:val="uk-UA"/>
        </w:rPr>
        <w:t xml:space="preserve"> et al. Cadmium in vivo causes disruption of tight junction-assotіated microfilaments in rat</w:t>
      </w:r>
      <w:r w:rsidRPr="00CE0A20">
        <w:rPr>
          <w:rStyle w:val="9pt"/>
          <w:color w:val="000000" w:themeColor="text1"/>
          <w:sz w:val="28"/>
          <w:szCs w:val="28"/>
          <w:lang w:val="uk-UA"/>
        </w:rPr>
        <w:t xml:space="preserve"> Sertoli</w:t>
      </w:r>
      <w:r w:rsidRPr="00CE0A20">
        <w:rPr>
          <w:rFonts w:ascii="Times New Roman" w:hAnsi="Times New Roman" w:cs="Times New Roman"/>
          <w:color w:val="000000" w:themeColor="text1"/>
          <w:lang w:val="uk-UA"/>
        </w:rPr>
        <w:t xml:space="preserve"> cells. Bioligy of reproduction. 1993; 49: 840–849.</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Huhtaniemi IT, Tajar A, Lee DM, O’Neill TW, Finn JD, et al. Comparison of serum testosterone and estradiol measurements in 3174 European men using platform immunoassay and mass spectrometry; relevance for the diagnostics in aging men. </w:t>
      </w:r>
      <w:r w:rsidRPr="00CE0A20">
        <w:rPr>
          <w:rStyle w:val="ref-journal"/>
          <w:rFonts w:ascii="Times New Roman" w:hAnsi="Times New Roman" w:cs="Times New Roman"/>
          <w:color w:val="000000" w:themeColor="text1"/>
          <w:lang w:val="uk-UA"/>
        </w:rPr>
        <w:t xml:space="preserve">Eur J Endocrinol. </w:t>
      </w:r>
      <w:r w:rsidRPr="00CE0A20">
        <w:rPr>
          <w:rStyle w:val="element-citation"/>
          <w:rFonts w:ascii="Times New Roman" w:hAnsi="Times New Roman" w:cs="Times New Roman"/>
          <w:color w:val="000000" w:themeColor="text1"/>
          <w:lang w:val="uk-UA"/>
        </w:rPr>
        <w:t>2012;</w:t>
      </w:r>
      <w:r w:rsidRPr="00CE0A20">
        <w:rPr>
          <w:rStyle w:val="ref-vol"/>
          <w:rFonts w:ascii="Times New Roman" w:hAnsi="Times New Roman" w:cs="Times New Roman"/>
          <w:color w:val="000000" w:themeColor="text1"/>
          <w:lang w:val="uk-UA"/>
        </w:rPr>
        <w:t>166</w:t>
      </w:r>
      <w:r w:rsidRPr="00CE0A20">
        <w:rPr>
          <w:rStyle w:val="element-citation"/>
          <w:rFonts w:ascii="Times New Roman" w:hAnsi="Times New Roman" w:cs="Times New Roman"/>
          <w:color w:val="000000" w:themeColor="text1"/>
          <w:lang w:val="uk-UA"/>
        </w:rPr>
        <w:t xml:space="preserve">:983–991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Jardí F, Laurent MR, Dubois V, Kim N, Khalil R, Decallonne B et al. Androgen and estrogen actions on male physical activity: a story beyond muscle. J Endocrinol. 2018; 238(1):31-52. doi: 10.1530/JOE-18-0125.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Jeremy JY, Angelini GD, Khan M et al. Platelets, oxidant stress and erectile dysfunction: an hypothesis. Review. Cardiovasc Res 2000;46(1):50–4.</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Jiang MH, Cai B, Tuo Y, Wang J, Zang ZJ, Tu X et al. Characterization of Nestin-positive stem Leydig cells as a potential source for the treatment of testicular Leydig cell dysfunction. </w:t>
      </w:r>
      <w:r w:rsidRPr="00CE0A20">
        <w:rPr>
          <w:rStyle w:val="ref-journal"/>
          <w:rFonts w:ascii="Times New Roman" w:hAnsi="Times New Roman" w:cs="Times New Roman"/>
          <w:color w:val="000000" w:themeColor="text1"/>
          <w:lang w:val="uk-UA"/>
        </w:rPr>
        <w:t xml:space="preserve">Cell Res. </w:t>
      </w:r>
      <w:r w:rsidRPr="00CE0A20">
        <w:rPr>
          <w:rStyle w:val="element-citation"/>
          <w:rFonts w:ascii="Times New Roman" w:hAnsi="Times New Roman" w:cs="Times New Roman"/>
          <w:color w:val="000000" w:themeColor="text1"/>
          <w:lang w:val="uk-UA"/>
        </w:rPr>
        <w:t>2014;</w:t>
      </w:r>
      <w:r w:rsidRPr="00CE0A20">
        <w:rPr>
          <w:rStyle w:val="ref-vol"/>
          <w:rFonts w:ascii="Times New Roman" w:hAnsi="Times New Roman" w:cs="Times New Roman"/>
          <w:color w:val="000000" w:themeColor="text1"/>
          <w:lang w:val="uk-UA"/>
        </w:rPr>
        <w:t>24</w:t>
      </w:r>
      <w:r w:rsidRPr="00CE0A20">
        <w:rPr>
          <w:rStyle w:val="element-citation"/>
          <w:rFonts w:ascii="Times New Roman" w:hAnsi="Times New Roman" w:cs="Times New Roman"/>
          <w:color w:val="000000" w:themeColor="text1"/>
          <w:lang w:val="uk-UA"/>
        </w:rPr>
        <w:t>:1466–1485.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i w:val="0"/>
          <w:color w:val="000000" w:themeColor="text1"/>
          <w:sz w:val="28"/>
          <w:szCs w:val="28"/>
          <w:lang w:val="uk-UA"/>
        </w:rPr>
        <w:t>Johnston DS,</w:t>
      </w:r>
      <w:r w:rsidRPr="00CE0A20">
        <w:rPr>
          <w:rFonts w:ascii="Times New Roman" w:hAnsi="Times New Roman" w:cs="Times New Roman"/>
          <w:color w:val="000000" w:themeColor="text1"/>
          <w:lang w:val="uk-UA"/>
        </w:rPr>
        <w:t xml:space="preserve"> Russell LD, Griswold MD. Advances in spermatogonial stem cell transplantation. Rev. Reprod. 2000; 5: 183-188. </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Jones TH, Arver S, Behre HM, et al. </w:t>
      </w:r>
      <w:r w:rsidRPr="00CE0A20">
        <w:rPr>
          <w:rStyle w:val="ref-title"/>
          <w:rFonts w:ascii="Times New Roman" w:hAnsi="Times New Roman" w:cs="Times New Roman"/>
          <w:color w:val="000000" w:themeColor="text1"/>
          <w:lang w:val="uk-UA"/>
        </w:rPr>
        <w:t>Testosterone replacement in hypogonadal men with type 2 diabetes and/or metabolic syndrome (The TIMES2 Study)</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Diabetes Care</w:t>
      </w:r>
      <w:r w:rsidRPr="00CE0A20">
        <w:rPr>
          <w:rStyle w:val="mixed-citation"/>
          <w:rFonts w:ascii="Times New Roman" w:hAnsi="Times New Roman" w:cs="Times New Roman"/>
          <w:color w:val="000000" w:themeColor="text1"/>
          <w:lang w:val="uk-UA"/>
        </w:rPr>
        <w:t xml:space="preserve"> 2011;</w:t>
      </w:r>
      <w:r w:rsidRPr="00CE0A20">
        <w:rPr>
          <w:rStyle w:val="ref-vol"/>
          <w:rFonts w:ascii="Times New Roman" w:hAnsi="Times New Roman" w:cs="Times New Roman"/>
          <w:color w:val="000000" w:themeColor="text1"/>
          <w:lang w:val="uk-UA"/>
        </w:rPr>
        <w:t>34</w:t>
      </w:r>
      <w:r w:rsidRPr="00CE0A20">
        <w:rPr>
          <w:rStyle w:val="mixed-citation"/>
          <w:rFonts w:ascii="Times New Roman" w:hAnsi="Times New Roman" w:cs="Times New Roman"/>
          <w:color w:val="000000" w:themeColor="text1"/>
          <w:lang w:val="uk-UA"/>
        </w:rPr>
        <w:t xml:space="preserve">:828–837. </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Kalinchenko SY, Tishova YA, Mskhalaya GJ, Gooren LJ, Giltay EJ, Saad F. </w:t>
      </w:r>
      <w:r w:rsidRPr="00CE0A20">
        <w:rPr>
          <w:rStyle w:val="ref-title"/>
          <w:rFonts w:ascii="Times New Roman" w:hAnsi="Times New Roman" w:cs="Times New Roman"/>
          <w:color w:val="000000" w:themeColor="text1"/>
          <w:lang w:val="uk-UA"/>
        </w:rPr>
        <w:t>Effects of testosterone supplementation on markers of the metabolic syndrome and inflammation in hypogonadal men with the metabolic syndrome: the double-blinded placebo-controlled Moscow study</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Clin Endocrinol (Oxf)</w:t>
      </w:r>
      <w:r w:rsidRPr="00CE0A20">
        <w:rPr>
          <w:rStyle w:val="mixed-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73</w:t>
      </w:r>
      <w:r w:rsidRPr="00CE0A20">
        <w:rPr>
          <w:rStyle w:val="mixed-citation"/>
          <w:rFonts w:ascii="Times New Roman" w:hAnsi="Times New Roman" w:cs="Times New Roman"/>
          <w:color w:val="000000" w:themeColor="text1"/>
          <w:lang w:val="uk-UA"/>
        </w:rPr>
        <w:t>:602–612.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i w:val="0"/>
          <w:color w:val="000000" w:themeColor="text1"/>
          <w:sz w:val="28"/>
          <w:szCs w:val="28"/>
          <w:lang w:val="uk-UA"/>
        </w:rPr>
        <w:t>Kanatsu-Shinohara M, Takehashi M, Shinohara T.</w:t>
      </w:r>
      <w:r w:rsidRPr="00CE0A20">
        <w:rPr>
          <w:rFonts w:ascii="Times New Roman" w:hAnsi="Times New Roman" w:cs="Times New Roman"/>
          <w:color w:val="000000" w:themeColor="text1"/>
          <w:lang w:val="uk-UA"/>
        </w:rPr>
        <w:t xml:space="preserve"> Brief history, pitfalls and prospects of mammalian spermatogonial stem cell research. Cold Spring Haiti. Symp. Quant. Biol. 2008; 73: 17-23.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Kaneto H, Katakami N, Matsuhisa M, Matsuoka TA. Role of reactive oxygen species in the progression of type 2 diabetes and atherosclerosis. Mediators Inflamm 2010;2010:453–92.</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Kapoor D, Aldred H, Clark S, Channer KS, Jones TH. </w:t>
      </w:r>
      <w:r w:rsidRPr="00CE0A20">
        <w:rPr>
          <w:rStyle w:val="ref-title"/>
          <w:rFonts w:ascii="Times New Roman" w:hAnsi="Times New Roman" w:cs="Times New Roman"/>
          <w:color w:val="000000" w:themeColor="text1"/>
          <w:lang w:val="uk-UA"/>
        </w:rPr>
        <w:t>Clinical and biochemical assessment of hypogonadism in men with type 2 diabetes: correlations with bioavailable testosterone and visceral adiposity</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Diabetes Care</w:t>
      </w:r>
      <w:r w:rsidRPr="00CE0A20">
        <w:rPr>
          <w:rStyle w:val="mixed-citation"/>
          <w:rFonts w:ascii="Times New Roman" w:hAnsi="Times New Roman" w:cs="Times New Roman"/>
          <w:color w:val="000000" w:themeColor="text1"/>
          <w:lang w:val="uk-UA"/>
        </w:rPr>
        <w:t xml:space="preserve"> 2007;</w:t>
      </w:r>
      <w:r w:rsidRPr="00CE0A20">
        <w:rPr>
          <w:rStyle w:val="ref-vol"/>
          <w:rFonts w:ascii="Times New Roman" w:hAnsi="Times New Roman" w:cs="Times New Roman"/>
          <w:color w:val="000000" w:themeColor="text1"/>
          <w:lang w:val="uk-UA"/>
        </w:rPr>
        <w:t>30</w:t>
      </w:r>
      <w:r w:rsidRPr="00CE0A20">
        <w:rPr>
          <w:rStyle w:val="mixed-citation"/>
          <w:rFonts w:ascii="Times New Roman" w:hAnsi="Times New Roman" w:cs="Times New Roman"/>
          <w:color w:val="000000" w:themeColor="text1"/>
          <w:lang w:val="uk-UA"/>
        </w:rPr>
        <w:t>:911–917.</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Kapoor D, Clarke S, Channer KS, Jones TH. </w:t>
      </w:r>
      <w:r w:rsidRPr="00CE0A20">
        <w:rPr>
          <w:rStyle w:val="ref-title"/>
          <w:rFonts w:ascii="Times New Roman" w:hAnsi="Times New Roman" w:cs="Times New Roman"/>
          <w:color w:val="000000" w:themeColor="text1"/>
          <w:lang w:val="uk-UA"/>
        </w:rPr>
        <w:t>Erectile dysfunction is associated with low bioactive testosterone levels and visceral adiposity in men with type 2 diabetes</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Int J Androl</w:t>
      </w:r>
      <w:r w:rsidRPr="00CE0A20">
        <w:rPr>
          <w:rStyle w:val="mixed-citation"/>
          <w:rFonts w:ascii="Times New Roman" w:hAnsi="Times New Roman" w:cs="Times New Roman"/>
          <w:color w:val="000000" w:themeColor="text1"/>
          <w:lang w:val="uk-UA"/>
        </w:rPr>
        <w:t xml:space="preserve"> 2007;</w:t>
      </w:r>
      <w:r w:rsidRPr="00CE0A20">
        <w:rPr>
          <w:rStyle w:val="ref-vol"/>
          <w:rFonts w:ascii="Times New Roman" w:hAnsi="Times New Roman" w:cs="Times New Roman"/>
          <w:color w:val="000000" w:themeColor="text1"/>
          <w:lang w:val="uk-UA"/>
        </w:rPr>
        <w:t>30</w:t>
      </w:r>
      <w:r w:rsidRPr="00CE0A20">
        <w:rPr>
          <w:rStyle w:val="mixed-citation"/>
          <w:rFonts w:ascii="Times New Roman" w:hAnsi="Times New Roman" w:cs="Times New Roman"/>
          <w:color w:val="000000" w:themeColor="text1"/>
          <w:lang w:val="uk-UA"/>
        </w:rPr>
        <w:t>:500–507.</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Kapoor D, Goodwin E, Channer KS, Jones TH. </w:t>
      </w:r>
      <w:r w:rsidRPr="00CE0A20">
        <w:rPr>
          <w:rStyle w:val="ref-title"/>
          <w:rFonts w:ascii="Times New Roman" w:hAnsi="Times New Roman" w:cs="Times New Roman"/>
          <w:color w:val="000000" w:themeColor="text1"/>
          <w:lang w:val="uk-UA"/>
        </w:rPr>
        <w:t>Testosterone replacement therapy improves insulin resistance, glycaemic control, visceral adiposity and hypercholesterolaemia in hypogonadal men with type 2 diabetes</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Eur J Endocrinol</w:t>
      </w:r>
      <w:r w:rsidRPr="00CE0A20">
        <w:rPr>
          <w:rStyle w:val="mixed-citation"/>
          <w:rFonts w:ascii="Times New Roman" w:hAnsi="Times New Roman" w:cs="Times New Roman"/>
          <w:color w:val="000000" w:themeColor="text1"/>
          <w:lang w:val="uk-UA"/>
        </w:rPr>
        <w:t xml:space="preserve"> 2006;</w:t>
      </w:r>
      <w:r w:rsidRPr="00CE0A20">
        <w:rPr>
          <w:rStyle w:val="ref-vol"/>
          <w:rFonts w:ascii="Times New Roman" w:hAnsi="Times New Roman" w:cs="Times New Roman"/>
          <w:color w:val="000000" w:themeColor="text1"/>
          <w:lang w:val="uk-UA"/>
        </w:rPr>
        <w:t>154</w:t>
      </w:r>
      <w:r w:rsidRPr="00CE0A20">
        <w:rPr>
          <w:rStyle w:val="mixed-citation"/>
          <w:rFonts w:ascii="Times New Roman" w:hAnsi="Times New Roman" w:cs="Times New Roman"/>
          <w:color w:val="000000" w:themeColor="text1"/>
          <w:lang w:val="uk-UA"/>
        </w:rPr>
        <w:t>:899–906.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Karpman E, Lipshultz LI, Williams DH. The therapeutic challenges of hypogonadism and its comorbidities. Managed Care Consultant. 1st report. 2006: 8.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Kaufman JM, Vermeulen A. The decline of androgen levels in elderly men and its clinical and therapeutic implications. Endocr Rev. 2005;26:833-76.</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Kennedy SH, Dugré H, Defoy I. A multicenter, double-blind, placebo-controlled study of sildenafil citrate in Canadian men with erectile dysfunction and untreated symptoms of depression, in the absence of major depressive disorder. Int Clin Psychopharmacol. 2011; 26 (3): 151-158</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Khan I, Kant C, Samaria A. Assessment of hypogonadism with reference to clinical features and serum testosterone levels in Asian-Indian male type 2 diabetics. Indian J Clin Practice. 2012; 23: 2</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Kilcoyne KR, Smith LB, Atanassova N, Macpherson S, McKinnell C, van den Driesche S et al. Fetal programming of adult Leydig cell function by androgenic effects on stem/progenitor cells. </w:t>
      </w:r>
      <w:r w:rsidRPr="00CE0A20">
        <w:rPr>
          <w:rStyle w:val="ref-journal"/>
          <w:rFonts w:ascii="Times New Roman" w:hAnsi="Times New Roman" w:cs="Times New Roman"/>
          <w:color w:val="000000" w:themeColor="text1"/>
          <w:lang w:val="uk-UA"/>
        </w:rPr>
        <w:t xml:space="preserve">Proc Natl Acad Sci USA. </w:t>
      </w:r>
      <w:r w:rsidRPr="00CE0A20">
        <w:rPr>
          <w:rStyle w:val="element-citation"/>
          <w:rFonts w:ascii="Times New Roman" w:hAnsi="Times New Roman" w:cs="Times New Roman"/>
          <w:color w:val="000000" w:themeColor="text1"/>
          <w:lang w:val="uk-UA"/>
        </w:rPr>
        <w:t>2014;</w:t>
      </w:r>
      <w:r w:rsidRPr="00CE0A20">
        <w:rPr>
          <w:rStyle w:val="ref-vol"/>
          <w:rFonts w:ascii="Times New Roman" w:hAnsi="Times New Roman" w:cs="Times New Roman"/>
          <w:color w:val="000000" w:themeColor="text1"/>
          <w:lang w:val="uk-UA"/>
        </w:rPr>
        <w:t>11</w:t>
      </w:r>
      <w:r w:rsidRPr="00CE0A20">
        <w:rPr>
          <w:rStyle w:val="element-citation"/>
          <w:rFonts w:ascii="Times New Roman" w:hAnsi="Times New Roman" w:cs="Times New Roman"/>
          <w:color w:val="000000" w:themeColor="text1"/>
          <w:lang w:val="uk-UA"/>
        </w:rPr>
        <w:t>:1924–1932.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Kirilyuk M. Late-onset androgen deficiency syndrome in males. Modern approaches to diagnosis and treatment. Clinical endocrinology and endocrinology surgery. 2013;3(44): 61–68.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Kliesch S. Testosterone and infertility. Urologe A. 2010;49(1):32-6.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Klotz L. Testosterone therapy and prostate cancer--safety concerns are well founded. </w:t>
      </w:r>
      <w:r w:rsidRPr="00CE0A20">
        <w:rPr>
          <w:rStyle w:val="ref-journal"/>
          <w:rFonts w:ascii="Times New Roman" w:hAnsi="Times New Roman" w:cs="Times New Roman"/>
          <w:color w:val="000000" w:themeColor="text1"/>
          <w:lang w:val="uk-UA"/>
        </w:rPr>
        <w:t xml:space="preserve">Nat Rev Urol. </w:t>
      </w:r>
      <w:r w:rsidRPr="00CE0A20">
        <w:rPr>
          <w:rStyle w:val="element-citation"/>
          <w:rFonts w:ascii="Times New Roman" w:hAnsi="Times New Roman" w:cs="Times New Roman"/>
          <w:color w:val="000000" w:themeColor="text1"/>
          <w:lang w:val="uk-UA"/>
        </w:rPr>
        <w:t>2015;</w:t>
      </w:r>
      <w:r w:rsidRPr="00CE0A20">
        <w:rPr>
          <w:rStyle w:val="ref-vol"/>
          <w:rFonts w:ascii="Times New Roman" w:hAnsi="Times New Roman" w:cs="Times New Roman"/>
          <w:color w:val="000000" w:themeColor="text1"/>
          <w:lang w:val="uk-UA"/>
        </w:rPr>
        <w:t>12</w:t>
      </w:r>
      <w:r w:rsidRPr="00CE0A20">
        <w:rPr>
          <w:rStyle w:val="element-citation"/>
          <w:rFonts w:ascii="Times New Roman" w:hAnsi="Times New Roman" w:cs="Times New Roman"/>
          <w:color w:val="000000" w:themeColor="text1"/>
          <w:lang w:val="uk-UA"/>
        </w:rPr>
        <w:t>:48–54</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Kovacheva EL, Hikim AP, Shen R, Sinha I, Sinha-Hikim I. Testosterone supplementation reverses sarcopenia in aging through regulation of myostatin, c-Jun NH2-terminal kinase, Notch, and Akt signaling pathways. Endocrinology. 2010;151(2):628-38. doi: 10.1210/en.2009-1177PMID: 20022929</w:t>
      </w:r>
      <w:r w:rsidRPr="00CE0A20">
        <w:rPr>
          <w:rStyle w:val="6"/>
          <w:color w:val="000000" w:themeColor="text1"/>
          <w:sz w:val="28"/>
          <w:szCs w:val="28"/>
          <w:lang w:val="uk-UA"/>
        </w:rPr>
        <w:t xml:space="preserve"> </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Kramer MR. Combination treatment in pulmonary arterial hypertension. Harefuah. 2011; 150(4): 383–388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Kupelian V, Shabsigh R, Araujo AB, et al. Erectile Dysfunction as a Predictorof the Metabolic Syndrome in Aging Men: Results From the MassachusettsMale Aging Study. The Journal of Urology. 2006;176(1):222-226.doi: 10.1016/s0022-5347(06)00503-9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Lang PO Samaras D, Samaras N. Testosterone replacement therapy in reversing “andropause”: what is the proof-of-principle? </w:t>
      </w:r>
      <w:r w:rsidRPr="00CE0A20">
        <w:rPr>
          <w:rStyle w:val="ref-journal"/>
          <w:rFonts w:ascii="Times New Roman" w:hAnsi="Times New Roman" w:cs="Times New Roman"/>
          <w:color w:val="000000" w:themeColor="text1"/>
          <w:lang w:val="uk-UA"/>
        </w:rPr>
        <w:t xml:space="preserve">Rejuvenation Res. </w:t>
      </w:r>
      <w:r w:rsidRPr="00CE0A20">
        <w:rPr>
          <w:rStyle w:val="element-citation"/>
          <w:rFonts w:ascii="Times New Roman" w:hAnsi="Times New Roman" w:cs="Times New Roman"/>
          <w:color w:val="000000" w:themeColor="text1"/>
          <w:lang w:val="uk-UA"/>
        </w:rPr>
        <w:t>2012;</w:t>
      </w:r>
      <w:r w:rsidRPr="00CE0A20">
        <w:rPr>
          <w:rStyle w:val="ref-vol"/>
          <w:rFonts w:ascii="Times New Roman" w:hAnsi="Times New Roman" w:cs="Times New Roman"/>
          <w:color w:val="000000" w:themeColor="text1"/>
          <w:lang w:val="uk-UA"/>
        </w:rPr>
        <w:t>15</w:t>
      </w:r>
      <w:r w:rsidRPr="00CE0A20">
        <w:rPr>
          <w:rStyle w:val="element-citation"/>
          <w:rFonts w:ascii="Times New Roman" w:hAnsi="Times New Roman" w:cs="Times New Roman"/>
          <w:color w:val="000000" w:themeColor="text1"/>
          <w:lang w:val="uk-UA"/>
        </w:rPr>
        <w:t>:453–65</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Lapauw B, Ouwens M,  Hart LM, Wuyts B, Holst JJ, T'Sjoen G et al. </w:t>
      </w:r>
      <w:r w:rsidRPr="00CE0A20">
        <w:rPr>
          <w:rStyle w:val="ref-title"/>
          <w:rFonts w:ascii="Times New Roman" w:hAnsi="Times New Roman" w:cs="Times New Roman"/>
          <w:color w:val="000000" w:themeColor="text1"/>
          <w:lang w:val="uk-UA"/>
        </w:rPr>
        <w:t>Sex steroids affect triglyceride handling, glucose-dependent insulinotropic polypeptide, and insulin sensitivity: a 1-week randomized clinical trial in healthy young men</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Diabetes Care</w:t>
      </w:r>
      <w:r w:rsidRPr="00CE0A20">
        <w:rPr>
          <w:rStyle w:val="mixed-citation"/>
          <w:rFonts w:ascii="Times New Roman" w:hAnsi="Times New Roman" w:cs="Times New Roman"/>
          <w:color w:val="000000" w:themeColor="text1"/>
          <w:lang w:val="uk-UA"/>
        </w:rPr>
        <w:t xml:space="preserve"> 2010;</w:t>
      </w:r>
      <w:r w:rsidRPr="00CE0A20">
        <w:rPr>
          <w:rStyle w:val="ref-vol"/>
          <w:rFonts w:ascii="Times New Roman" w:hAnsi="Times New Roman" w:cs="Times New Roman"/>
          <w:color w:val="000000" w:themeColor="text1"/>
          <w:lang w:val="uk-UA"/>
        </w:rPr>
        <w:t>33</w:t>
      </w:r>
      <w:r w:rsidRPr="00CE0A20">
        <w:rPr>
          <w:rStyle w:val="mixed-citation"/>
          <w:rFonts w:ascii="Times New Roman" w:hAnsi="Times New Roman" w:cs="Times New Roman"/>
          <w:color w:val="000000" w:themeColor="text1"/>
          <w:lang w:val="uk-UA"/>
        </w:rPr>
        <w:t>:1831–1833.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i w:val="0"/>
          <w:color w:val="000000" w:themeColor="text1"/>
          <w:sz w:val="28"/>
          <w:szCs w:val="28"/>
          <w:lang w:val="uk-UA"/>
        </w:rPr>
        <w:t>Le Guuvel R, Petit FG, Le Goff P,</w:t>
      </w:r>
      <w:r w:rsidRPr="00CE0A20">
        <w:rPr>
          <w:rFonts w:ascii="Times New Roman" w:hAnsi="Times New Roman" w:cs="Times New Roman"/>
          <w:color w:val="000000" w:themeColor="text1"/>
          <w:lang w:val="uk-UA"/>
        </w:rPr>
        <w:t xml:space="preserve"> et al. Inhibition of rainbow trout (oncolhynchus mykiss) estrogen receptor activity by cadmium. Biology of reproduction. 2000;63:259-266.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7"/>
          <w:iCs/>
          <w:color w:val="000000" w:themeColor="text1"/>
          <w:sz w:val="28"/>
          <w:szCs w:val="28"/>
          <w:lang w:val="uk-UA"/>
        </w:rPr>
        <w:t xml:space="preserve">Lee J, Kanatsu-Shinohara M, Morimoto H, et al. </w:t>
      </w:r>
      <w:r w:rsidRPr="00CE0A20">
        <w:rPr>
          <w:rFonts w:ascii="Times New Roman" w:hAnsi="Times New Roman" w:cs="Times New Roman"/>
          <w:color w:val="000000" w:themeColor="text1"/>
          <w:lang w:val="uk-UA"/>
        </w:rPr>
        <w:t xml:space="preserve">Genetic reconstruction of mouse spermatogonial stem </w:t>
      </w:r>
      <w:r w:rsidRPr="00CE0A20">
        <w:rPr>
          <w:rStyle w:val="a7"/>
          <w:iCs/>
          <w:color w:val="000000" w:themeColor="text1"/>
          <w:sz w:val="28"/>
          <w:szCs w:val="28"/>
          <w:lang w:val="uk-UA"/>
        </w:rPr>
        <w:t>cell self-renewal in vitro by Ras-cyclin D2 activation. Cell. Stem. Cell. 2009; 5(1): 76-86.</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Leonardi R, Alemanni M. The management of erectile dysfunction: innovations and future perspectives. Arch Ital Urol Androl. 2011; 83 (1): 60-62</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Leslie SJ et al. No adverse hemodynamic interaction between sildenafil and red wine. Clin Pharmacol Ther. 2004; 76: 365–370</w:t>
      </w:r>
    </w:p>
    <w:p w:rsidR="001C43D0" w:rsidRPr="00CE0A20" w:rsidRDefault="001C43D0" w:rsidP="00631D82">
      <w:pPr>
        <w:pStyle w:val="a3"/>
        <w:numPr>
          <w:ilvl w:val="0"/>
          <w:numId w:val="40"/>
        </w:numPr>
        <w:tabs>
          <w:tab w:val="left" w:pos="1276"/>
        </w:tabs>
        <w:ind w:right="141"/>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Lewis RW, Mills TM. Effect of androgens on penile tissue. Endocrine. 2004; 23(2-3):101-105. DOI: 10.1385/ENDO:23:2-3:101</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Li H, Bai G, Zhang X et al. Effects of Two Different Dosages of Sildenafil on Patients With Erectile Dysfunction. Am J Mens Health. 2015; pii: 1557988315620467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Li J, Lai H, Chen S, Zhu H, Lai S. Interaction of sex steroid hormones and obesity on insulin resistance and type 2 </w:t>
      </w:r>
      <w:r w:rsidRPr="00CE0A20">
        <w:rPr>
          <w:rStyle w:val="highlight"/>
          <w:rFonts w:ascii="Times New Roman" w:eastAsia="Batang" w:hAnsi="Times New Roman" w:cs="Times New Roman"/>
          <w:color w:val="000000" w:themeColor="text1"/>
          <w:lang w:val="uk-UA"/>
        </w:rPr>
        <w:t>diabetes</w:t>
      </w:r>
      <w:r w:rsidRPr="00CE0A20">
        <w:rPr>
          <w:rFonts w:ascii="Times New Roman" w:hAnsi="Times New Roman" w:cs="Times New Roman"/>
          <w:color w:val="000000" w:themeColor="text1"/>
          <w:lang w:val="uk-UA"/>
        </w:rPr>
        <w:t xml:space="preserve"> in men: the Third National Health and Nutrition Examination Survey.J </w:t>
      </w:r>
      <w:r w:rsidRPr="00CE0A20">
        <w:rPr>
          <w:rStyle w:val="highlight"/>
          <w:rFonts w:ascii="Times New Roman" w:hAnsi="Times New Roman" w:cs="Times New Roman"/>
          <w:color w:val="000000" w:themeColor="text1"/>
          <w:lang w:val="uk-UA"/>
        </w:rPr>
        <w:t>Diabetes</w:t>
      </w:r>
      <w:r w:rsidRPr="00CE0A20">
        <w:rPr>
          <w:rFonts w:ascii="Times New Roman" w:hAnsi="Times New Roman" w:cs="Times New Roman"/>
          <w:color w:val="000000" w:themeColor="text1"/>
          <w:lang w:val="uk-UA"/>
        </w:rPr>
        <w:t xml:space="preserve"> Complications. 2017;31(2):318-327. doi: 10.1016/j.jdiacomp.2016.10.022.</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Li X, Wang Z, Jiang Z, Guo J, Zhang Y, Li C et al. Regulation of seminiferous tubule-associated stem Leydig cells in adult rat testes. </w:t>
      </w:r>
      <w:r w:rsidRPr="00CE0A20">
        <w:rPr>
          <w:rStyle w:val="ref-journal"/>
          <w:rFonts w:ascii="Times New Roman" w:hAnsi="Times New Roman" w:cs="Times New Roman"/>
          <w:color w:val="000000" w:themeColor="text1"/>
          <w:lang w:val="uk-UA"/>
        </w:rPr>
        <w:t xml:space="preserve">Proc Natl Acad Sci U S A. </w:t>
      </w:r>
      <w:r w:rsidRPr="00CE0A20">
        <w:rPr>
          <w:rStyle w:val="element-citation"/>
          <w:rFonts w:ascii="Times New Roman" w:hAnsi="Times New Roman" w:cs="Times New Roman"/>
          <w:color w:val="000000" w:themeColor="text1"/>
          <w:lang w:val="uk-UA"/>
        </w:rPr>
        <w:t>2016;</w:t>
      </w:r>
      <w:r w:rsidRPr="00CE0A20">
        <w:rPr>
          <w:rStyle w:val="ref-vol"/>
          <w:rFonts w:ascii="Times New Roman" w:hAnsi="Times New Roman" w:cs="Times New Roman"/>
          <w:color w:val="000000" w:themeColor="text1"/>
          <w:lang w:val="uk-UA"/>
        </w:rPr>
        <w:t>113</w:t>
      </w:r>
      <w:r w:rsidRPr="00CE0A20">
        <w:rPr>
          <w:rStyle w:val="element-citation"/>
          <w:rFonts w:ascii="Times New Roman" w:hAnsi="Times New Roman" w:cs="Times New Roman"/>
          <w:color w:val="000000" w:themeColor="text1"/>
          <w:lang w:val="uk-UA"/>
        </w:rPr>
        <w:t>:2666–71.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Lobo MV, Arenas MI, Alonso FJ, Gomez G, Bazán E, Paíno CL, et al. </w:t>
      </w:r>
      <w:r w:rsidRPr="00CE0A20">
        <w:rPr>
          <w:rFonts w:ascii="Times New Roman" w:hAnsi="Times New Roman" w:cs="Times New Roman"/>
          <w:color w:val="000000" w:themeColor="text1"/>
          <w:kern w:val="36"/>
          <w:lang w:val="uk-UA"/>
        </w:rPr>
        <w:t>Nestin, a neuroectodermal stem cell marker molecule, is expressed in Leydig cells of the human testis and in some specific cell types from human testicular tumours.</w:t>
      </w:r>
      <w:r w:rsidRPr="00CE0A20">
        <w:rPr>
          <w:rFonts w:ascii="Times New Roman" w:hAnsi="Times New Roman" w:cs="Times New Roman"/>
          <w:color w:val="000000" w:themeColor="text1"/>
          <w:lang w:val="uk-UA"/>
        </w:rPr>
        <w:t>Cell Tissue Res. 2004 Jun;316(3):369-76.</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Loves S, Ruinemans-Koerts J, de Boer H. </w:t>
      </w:r>
      <w:r w:rsidRPr="00CE0A20">
        <w:rPr>
          <w:rStyle w:val="ref-title"/>
          <w:rFonts w:ascii="Times New Roman" w:hAnsi="Times New Roman" w:cs="Times New Roman"/>
          <w:color w:val="000000" w:themeColor="text1"/>
          <w:lang w:val="uk-UA"/>
        </w:rPr>
        <w:t>Letrozole once a week normalizes serum testosterone in obesity-related male hypogonadism</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Eur J Endocrinol</w:t>
      </w:r>
      <w:r w:rsidRPr="00CE0A20">
        <w:rPr>
          <w:rStyle w:val="mixed-citation"/>
          <w:rFonts w:ascii="Times New Roman" w:hAnsi="Times New Roman" w:cs="Times New Roman"/>
          <w:color w:val="000000" w:themeColor="text1"/>
          <w:lang w:val="uk-UA"/>
        </w:rPr>
        <w:t xml:space="preserve"> 2008;</w:t>
      </w:r>
      <w:r w:rsidRPr="00CE0A20">
        <w:rPr>
          <w:rStyle w:val="ref-vol"/>
          <w:rFonts w:ascii="Times New Roman" w:hAnsi="Times New Roman" w:cs="Times New Roman"/>
          <w:color w:val="000000" w:themeColor="text1"/>
          <w:lang w:val="uk-UA"/>
        </w:rPr>
        <w:t>158</w:t>
      </w:r>
      <w:r w:rsidRPr="00CE0A20">
        <w:rPr>
          <w:rStyle w:val="mixed-citation"/>
          <w:rFonts w:ascii="Times New Roman" w:hAnsi="Times New Roman" w:cs="Times New Roman"/>
          <w:color w:val="000000" w:themeColor="text1"/>
          <w:lang w:val="uk-UA"/>
        </w:rPr>
        <w:t>:741–747.</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Lue Y, Erkkila K, Liu PY, Ma K, Wang C, Hikim AS et al. Fate of bone marrow stem cells transplanted into the testis: potential implication for men with testicular failure. </w:t>
      </w:r>
      <w:r w:rsidRPr="00CE0A20">
        <w:rPr>
          <w:rStyle w:val="ref-journal"/>
          <w:rFonts w:ascii="Times New Roman" w:hAnsi="Times New Roman" w:cs="Times New Roman"/>
          <w:color w:val="000000" w:themeColor="text1"/>
          <w:lang w:val="uk-UA"/>
        </w:rPr>
        <w:t xml:space="preserve">Am J Pathol. </w:t>
      </w:r>
      <w:r w:rsidRPr="00CE0A20">
        <w:rPr>
          <w:rStyle w:val="element-citation"/>
          <w:rFonts w:ascii="Times New Roman" w:hAnsi="Times New Roman" w:cs="Times New Roman"/>
          <w:color w:val="000000" w:themeColor="text1"/>
          <w:lang w:val="uk-UA"/>
        </w:rPr>
        <w:t>2007;</w:t>
      </w:r>
      <w:r w:rsidRPr="00CE0A20">
        <w:rPr>
          <w:rStyle w:val="ref-vol"/>
          <w:rFonts w:ascii="Times New Roman" w:hAnsi="Times New Roman" w:cs="Times New Roman"/>
          <w:color w:val="000000" w:themeColor="text1"/>
          <w:lang w:val="uk-UA"/>
        </w:rPr>
        <w:t>170</w:t>
      </w:r>
      <w:r w:rsidRPr="00CE0A20">
        <w:rPr>
          <w:rStyle w:val="element-citation"/>
          <w:rFonts w:ascii="Times New Roman" w:hAnsi="Times New Roman" w:cs="Times New Roman"/>
          <w:color w:val="000000" w:themeColor="text1"/>
          <w:lang w:val="uk-UA"/>
        </w:rPr>
        <w:t>:899–908.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Lunenfeld B., Mskhalaya G., Zitzmann M., Arver S., Kalinchenko S., Tishova Y et al. Recommen</w:t>
      </w:r>
      <w:r w:rsidRPr="00CE0A20">
        <w:rPr>
          <w:rFonts w:ascii="Times New Roman" w:hAnsi="Times New Roman" w:cs="Times New Roman"/>
          <w:color w:val="000000" w:themeColor="text1"/>
          <w:lang w:val="uk-UA"/>
        </w:rPr>
        <w:softHyphen/>
        <w:t>dations on the diagnosis, treatment and monitoring of hypogonadism in men. Aging Male. 2015. Early Online: 1-11. DOI: 10.3109/13685538.2015.1004049</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MacDonald AA, Herbison GP, Showell M, Farquhar CM. </w:t>
      </w:r>
      <w:r w:rsidRPr="00CE0A20">
        <w:rPr>
          <w:rStyle w:val="ref-title"/>
          <w:rFonts w:ascii="Times New Roman" w:hAnsi="Times New Roman" w:cs="Times New Roman"/>
          <w:color w:val="000000" w:themeColor="text1"/>
          <w:lang w:val="uk-UA"/>
        </w:rPr>
        <w:t>The impact of body mass index on semen parameters and reproductive hormones in human males: a systematic review with meta-analysis</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Hum Reprod Update</w:t>
      </w:r>
      <w:r w:rsidRPr="00CE0A20">
        <w:rPr>
          <w:rStyle w:val="mixed-citation"/>
          <w:rFonts w:ascii="Times New Roman" w:hAnsi="Times New Roman" w:cs="Times New Roman"/>
          <w:color w:val="000000" w:themeColor="text1"/>
          <w:lang w:val="uk-UA"/>
        </w:rPr>
        <w:t xml:space="preserve"> 2010;</w:t>
      </w:r>
      <w:r w:rsidRPr="00CE0A20">
        <w:rPr>
          <w:rStyle w:val="ref-vol"/>
          <w:rFonts w:ascii="Times New Roman" w:hAnsi="Times New Roman" w:cs="Times New Roman"/>
          <w:color w:val="000000" w:themeColor="text1"/>
          <w:lang w:val="uk-UA"/>
        </w:rPr>
        <w:t>16</w:t>
      </w:r>
      <w:r w:rsidRPr="00CE0A20">
        <w:rPr>
          <w:rStyle w:val="mixed-citation"/>
          <w:rFonts w:ascii="Times New Roman" w:hAnsi="Times New Roman" w:cs="Times New Roman"/>
          <w:color w:val="000000" w:themeColor="text1"/>
          <w:lang w:val="uk-UA"/>
        </w:rPr>
        <w:t>:293–311.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Mah PM, Wittert GA. Obesity and testicular function. Mol Cell Endocrinol. 2010 Mar 25;316(2):180-6. doi: 10.1016/j.mce.2009.06.007.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Makhlouf AA, Mohamed MA, Seftel AD, Neiderberger C. Hypogonadism is associated with overt depression symptoms in men with erectile dysfunction. </w:t>
      </w:r>
      <w:r w:rsidRPr="00CE0A20">
        <w:rPr>
          <w:rStyle w:val="ref-journal"/>
          <w:rFonts w:ascii="Times New Roman" w:hAnsi="Times New Roman" w:cs="Times New Roman"/>
          <w:color w:val="000000" w:themeColor="text1"/>
          <w:lang w:val="uk-UA"/>
        </w:rPr>
        <w:t xml:space="preserve">Int J Impot Res. </w:t>
      </w:r>
      <w:r w:rsidRPr="00CE0A20">
        <w:rPr>
          <w:rStyle w:val="element-citation"/>
          <w:rFonts w:ascii="Times New Roman" w:hAnsi="Times New Roman" w:cs="Times New Roman"/>
          <w:color w:val="000000" w:themeColor="text1"/>
          <w:lang w:val="uk-UA"/>
        </w:rPr>
        <w:t>2008;</w:t>
      </w:r>
      <w:r w:rsidRPr="00CE0A20">
        <w:rPr>
          <w:rStyle w:val="ref-vol"/>
          <w:rFonts w:ascii="Times New Roman" w:hAnsi="Times New Roman" w:cs="Times New Roman"/>
          <w:color w:val="000000" w:themeColor="text1"/>
          <w:lang w:val="uk-UA"/>
        </w:rPr>
        <w:t>20</w:t>
      </w:r>
      <w:r w:rsidRPr="00CE0A20">
        <w:rPr>
          <w:rStyle w:val="element-citation"/>
          <w:rFonts w:ascii="Times New Roman" w:hAnsi="Times New Roman" w:cs="Times New Roman"/>
          <w:color w:val="000000" w:themeColor="text1"/>
          <w:lang w:val="uk-UA"/>
        </w:rPr>
        <w:t>:157–161</w:t>
      </w:r>
      <w:r w:rsidRPr="00CE0A20">
        <w:rPr>
          <w:rFonts w:ascii="Times New Roman" w:hAnsi="Times New Roman" w:cs="Times New Roman"/>
          <w:color w:val="000000" w:themeColor="text1"/>
          <w:lang w:val="uk-UA"/>
        </w:rPr>
        <w:t>.</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Malavige LS, Jayaratne SD, Kathriarachchi ST, Sivayogan S, Fernando DJ, Levy JC. </w:t>
      </w:r>
      <w:r w:rsidRPr="00CE0A20">
        <w:rPr>
          <w:rStyle w:val="ref-title"/>
          <w:rFonts w:ascii="Times New Roman" w:hAnsi="Times New Roman" w:cs="Times New Roman"/>
          <w:color w:val="000000" w:themeColor="text1"/>
          <w:lang w:val="uk-UA"/>
        </w:rPr>
        <w:t>Erectile dysfunction among men with diabetes is strongly associated with premature ejaculation and reduced libido</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J Sex Med</w:t>
      </w:r>
      <w:r w:rsidRPr="00CE0A20">
        <w:rPr>
          <w:rStyle w:val="mixed-citation"/>
          <w:rFonts w:ascii="Times New Roman" w:hAnsi="Times New Roman" w:cs="Times New Roman"/>
          <w:color w:val="000000" w:themeColor="text1"/>
          <w:lang w:val="uk-UA"/>
        </w:rPr>
        <w:t xml:space="preserve"> 2008;</w:t>
      </w:r>
      <w:r w:rsidRPr="00CE0A20">
        <w:rPr>
          <w:rStyle w:val="ref-vol"/>
          <w:rFonts w:ascii="Times New Roman" w:hAnsi="Times New Roman" w:cs="Times New Roman"/>
          <w:color w:val="000000" w:themeColor="text1"/>
          <w:lang w:val="uk-UA"/>
        </w:rPr>
        <w:t>5</w:t>
      </w:r>
      <w:r w:rsidRPr="00CE0A20">
        <w:rPr>
          <w:rStyle w:val="mixed-citation"/>
          <w:rFonts w:ascii="Times New Roman" w:hAnsi="Times New Roman" w:cs="Times New Roman"/>
          <w:color w:val="000000" w:themeColor="text1"/>
          <w:lang w:val="uk-UA"/>
        </w:rPr>
        <w:t>:2125–2134.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Malavige LS, Levy JC. Erectile dysfunction in diabetes mellitus. J. Sex. Med. 2009;6:1232-1247.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Mammi C, Calanchini M, Antelmi A, Cinti F, Rosano GM, Lenzi A, etal. Androgens and adipose tissue in males: a complex and reciprocal interplay. Int J Endocrinol. 2012; 2012:789653. Epub 2012/01/12. doi: 10.1155/2012/789653PMID: 22235202</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McCullough AR. Four-year review of sildenafil citrate. Rev Urol. 2002; 4(3): 26–38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McGill JJ, Shoskes DA, Sabanegh ES. Androgen deficiency in older men: indications, advantages, and pitfalls of testosterone replacement therapy. Cleve Clin J Med. 2012;79:797-806.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Mendis-Handagama SM, Ariyaratne HB. </w:t>
      </w:r>
      <w:r w:rsidRPr="00CE0A20">
        <w:rPr>
          <w:rFonts w:ascii="Times New Roman" w:hAnsi="Times New Roman" w:cs="Times New Roman"/>
          <w:color w:val="000000" w:themeColor="text1"/>
          <w:kern w:val="36"/>
          <w:lang w:val="uk-UA"/>
        </w:rPr>
        <w:t xml:space="preserve">Differentiation of the adult Leydig cell population in the postnatal testis. </w:t>
      </w:r>
      <w:r w:rsidRPr="00CE0A20">
        <w:rPr>
          <w:rFonts w:ascii="Times New Roman" w:hAnsi="Times New Roman" w:cs="Times New Roman"/>
          <w:color w:val="000000" w:themeColor="text1"/>
          <w:lang w:val="uk-UA"/>
        </w:rPr>
        <w:t>Biol Reprod. 2001;65(3):660-671.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Michalakis K, Mintziori G, Kaprara A, Tarlatzis BC, Goulis DG. The complex interaction between obesity, metabolic syndrome and reproductive axis: a narrative review. Metabolism. 2013;62(4):457-78. doi: 10.1016/j.metabol.2012.08.012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Miroshnikov Ya. О. Umbilical blood transplantation in treatment of sperma</w:t>
      </w:r>
      <w:r w:rsidRPr="00CE0A20">
        <w:rPr>
          <w:rFonts w:ascii="Times New Roman" w:hAnsi="Times New Roman" w:cs="Times New Roman"/>
          <w:color w:val="000000" w:themeColor="text1"/>
          <w:lang w:val="uk-UA"/>
        </w:rPr>
        <w:softHyphen/>
        <w:t>to</w:t>
      </w:r>
      <w:r w:rsidRPr="00CE0A20">
        <w:rPr>
          <w:rFonts w:ascii="Times New Roman" w:hAnsi="Times New Roman" w:cs="Times New Roman"/>
          <w:color w:val="000000" w:themeColor="text1"/>
          <w:lang w:val="uk-UA"/>
        </w:rPr>
        <w:softHyphen/>
        <w:t>genesis disorders at male sterility. Medical psychology. 2010;4:91-93.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Mirzaei MR, Amini M, Aminorroaya A. The prevalence of hypogonadism in diabetic men in Isfahan Endocrine and Metabolism Research Center, Isfahan, Iran. Journal of research in medical sciences: the official journal of Isfahan University of Medical Sciences. 2012;17(7):602.</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Mitkov MD, Aleksandrova IY, Orbetzova MM. Effect of transdermal testosterone or alpha-lipoic acid on erectile dysfunction and quality of life in patients with type 2 diabetes mellitus. Folia Medica. 2013;55 (1):55-63.</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Miyabayashi K, Katoh-Fukui Y, Ogawa H, Baba T, Shima Y, Sugiyama N et al. Aristaless related homeobox gene, Arx, is implicated in mouse fetal Leydig cell differentiation possibly through expressing in the progenitor cells. </w:t>
      </w:r>
      <w:r w:rsidRPr="00CE0A20">
        <w:rPr>
          <w:rStyle w:val="ref-journal"/>
          <w:rFonts w:ascii="Times New Roman" w:hAnsi="Times New Roman" w:cs="Times New Roman"/>
          <w:color w:val="000000" w:themeColor="text1"/>
          <w:lang w:val="uk-UA"/>
        </w:rPr>
        <w:t xml:space="preserve">PLoS One. </w:t>
      </w:r>
      <w:r w:rsidRPr="00CE0A20">
        <w:rPr>
          <w:rStyle w:val="element-citation"/>
          <w:rFonts w:ascii="Times New Roman" w:hAnsi="Times New Roman" w:cs="Times New Roman"/>
          <w:color w:val="000000" w:themeColor="text1"/>
          <w:lang w:val="uk-UA"/>
        </w:rPr>
        <w:t>2013;</w:t>
      </w:r>
      <w:r w:rsidRPr="00CE0A20">
        <w:rPr>
          <w:rStyle w:val="ref-vol"/>
          <w:rFonts w:ascii="Times New Roman" w:hAnsi="Times New Roman" w:cs="Times New Roman"/>
          <w:color w:val="000000" w:themeColor="text1"/>
          <w:lang w:val="uk-UA"/>
        </w:rPr>
        <w:t>8</w:t>
      </w:r>
      <w:r w:rsidRPr="00CE0A20">
        <w:rPr>
          <w:rStyle w:val="element-citation"/>
          <w:rFonts w:ascii="Times New Roman" w:hAnsi="Times New Roman" w:cs="Times New Roman"/>
          <w:color w:val="000000" w:themeColor="text1"/>
          <w:lang w:val="uk-UA"/>
        </w:rPr>
        <w:t>:e68050.</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hAnsi="Times New Roman" w:cs="Times New Roman"/>
          <w:color w:val="000000" w:themeColor="text1"/>
          <w:shd w:val="clear" w:color="auto" w:fill="FFFFFF"/>
          <w:lang w:val="uk-UA"/>
        </w:rPr>
        <w:t xml:space="preserve">Morales A. Androgens are fundamental in the maintenance of male sexual health. </w:t>
      </w:r>
      <w:r w:rsidRPr="00CE0A20">
        <w:rPr>
          <w:rStyle w:val="ref-journal"/>
          <w:rFonts w:ascii="Times New Roman" w:hAnsi="Times New Roman" w:cs="Times New Roman"/>
          <w:color w:val="000000" w:themeColor="text1"/>
          <w:shd w:val="clear" w:color="auto" w:fill="FFFFFF"/>
          <w:lang w:val="uk-UA"/>
        </w:rPr>
        <w:t xml:space="preserve">Curr Urol Rep. </w:t>
      </w:r>
      <w:r w:rsidRPr="00CE0A20">
        <w:rPr>
          <w:rFonts w:ascii="Times New Roman" w:hAnsi="Times New Roman" w:cs="Times New Roman"/>
          <w:color w:val="000000" w:themeColor="text1"/>
          <w:shd w:val="clear" w:color="auto" w:fill="FFFFFF"/>
          <w:lang w:val="uk-UA"/>
        </w:rPr>
        <w:t>2011;</w:t>
      </w:r>
      <w:r w:rsidRPr="00CE0A20">
        <w:rPr>
          <w:rStyle w:val="ref-vol"/>
          <w:rFonts w:ascii="Times New Roman" w:hAnsi="Times New Roman" w:cs="Times New Roman"/>
          <w:color w:val="000000" w:themeColor="text1"/>
          <w:lang w:val="uk-UA"/>
        </w:rPr>
        <w:t>12</w:t>
      </w:r>
      <w:r w:rsidRPr="00CE0A20">
        <w:rPr>
          <w:rFonts w:ascii="Times New Roman" w:hAnsi="Times New Roman" w:cs="Times New Roman"/>
          <w:color w:val="000000" w:themeColor="text1"/>
          <w:shd w:val="clear" w:color="auto" w:fill="FFFFFF"/>
          <w:lang w:val="uk-UA"/>
        </w:rPr>
        <w:t xml:space="preserve">:453–460 </w:t>
      </w:r>
      <w:r w:rsidRPr="00CE0A20">
        <w:rPr>
          <w:rFonts w:ascii="Times New Roman" w:eastAsia="Times New Roman" w:hAnsi="Times New Roman" w:cs="Times New Roman"/>
          <w:color w:val="000000" w:themeColor="text1"/>
          <w:lang w:val="uk-UA"/>
        </w:rPr>
        <w:t>DOI: 10.1007/s11934-011-0202-4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eastAsia="Newton-Italic" w:hAnsi="Times New Roman" w:cs="Times New Roman"/>
          <w:color w:val="000000" w:themeColor="text1"/>
          <w:lang w:val="uk-UA"/>
        </w:rPr>
        <w:t xml:space="preserve">Morales A., Lunenfeld B. </w:t>
      </w:r>
      <w:r w:rsidRPr="00CE0A20">
        <w:rPr>
          <w:rFonts w:ascii="Times New Roman" w:eastAsia="Newton-Regular" w:hAnsi="Times New Roman" w:cs="Times New Roman"/>
          <w:color w:val="000000" w:themeColor="text1"/>
          <w:lang w:val="uk-UA"/>
        </w:rPr>
        <w:t>International Society for the Study of the Aging Male. Investigation, treatment and monitoring of late onset hypogonadism of males. Official recommendations of IS-SAM. International Society for the Study of the Aging Male. Aging Male 2002;5(2):74–86.</w:t>
      </w:r>
    </w:p>
    <w:p w:rsidR="001C43D0" w:rsidRPr="00CE0A20" w:rsidRDefault="001C43D0" w:rsidP="00631D82">
      <w:pPr>
        <w:pStyle w:val="a3"/>
        <w:numPr>
          <w:ilvl w:val="0"/>
          <w:numId w:val="40"/>
        </w:numPr>
        <w:tabs>
          <w:tab w:val="left" w:pos="1276"/>
        </w:tabs>
        <w:ind w:right="141"/>
        <w:contextualSpacing/>
        <w:jc w:val="both"/>
        <w:rPr>
          <w:rStyle w:val="a5"/>
          <w:rFonts w:ascii="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Morelli A, Filippi S, Mancina R, Luconi M, Vignozzi L, Marini M, et al. Androgens regulate phosphodiesterase type 5 expression and functional activity in corpora cavernosa. Endocrinology. 2004; 45(5): 253–263.  </w:t>
      </w:r>
      <w:r w:rsidRPr="00CE0A20">
        <w:rPr>
          <w:rFonts w:ascii="Times New Roman" w:hAnsi="Times New Roman" w:cs="Times New Roman"/>
          <w:color w:val="000000" w:themeColor="text1"/>
          <w:lang w:val="uk-UA"/>
        </w:rPr>
        <w:t>http://dx.doi.org/10.1210/en.2003-1699</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Morris PD, Channer KS. Testosterone and cardiovascular disease in men. </w:t>
      </w:r>
      <w:r w:rsidRPr="00CE0A20">
        <w:rPr>
          <w:rStyle w:val="ref-journal"/>
          <w:rFonts w:ascii="Times New Roman" w:hAnsi="Times New Roman" w:cs="Times New Roman"/>
          <w:color w:val="000000" w:themeColor="text1"/>
          <w:lang w:val="uk-UA"/>
        </w:rPr>
        <w:t xml:space="preserve">Asian J Androl. </w:t>
      </w:r>
      <w:r w:rsidRPr="00CE0A20">
        <w:rPr>
          <w:rStyle w:val="element-citation"/>
          <w:rFonts w:ascii="Times New Roman" w:hAnsi="Times New Roman" w:cs="Times New Roman"/>
          <w:color w:val="000000" w:themeColor="text1"/>
          <w:lang w:val="uk-UA"/>
        </w:rPr>
        <w:t>2012;</w:t>
      </w:r>
      <w:r w:rsidRPr="00CE0A20">
        <w:rPr>
          <w:rStyle w:val="ref-vol"/>
          <w:rFonts w:ascii="Times New Roman" w:hAnsi="Times New Roman" w:cs="Times New Roman"/>
          <w:color w:val="000000" w:themeColor="text1"/>
          <w:lang w:val="uk-UA"/>
        </w:rPr>
        <w:t>14</w:t>
      </w:r>
      <w:r w:rsidRPr="00CE0A20">
        <w:rPr>
          <w:rStyle w:val="element-citation"/>
          <w:rFonts w:ascii="Times New Roman" w:hAnsi="Times New Roman" w:cs="Times New Roman"/>
          <w:color w:val="000000" w:themeColor="text1"/>
          <w:lang w:val="uk-UA"/>
        </w:rPr>
        <w:t>:428–35.</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Mostafa T. Oral phosphodiesterase-5 inhibitors and sperm functions. J Impot Res. 2008; 20 (6): 530–536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Mulhall JP, Hassan TA, Rienow J. Understanding the sexual habits of men taking medication for erectile dysfunction: survey results from 7 countries. The Journal of Urology. 2016;195(4S):e951.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Mulligan Т, Frick MF, Zuraw QC, Stemhagen A, McWhirter C. Prevalence of hypogonadism in males aged at least 45 years: the HIM study. Int. J. Clin. Pract. 2006;60(7):762-769.</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Nagano M, Avarbock MR, Brinster RL. Pattern and kinetics of donor mouse spermatogonial stem cell colonization in recipient testes. Biol.Reprod. 1999; 60:1429-1436</w:t>
      </w:r>
    </w:p>
    <w:p w:rsidR="001C43D0" w:rsidRPr="00CE0A20" w:rsidRDefault="001C43D0" w:rsidP="00631D82">
      <w:pPr>
        <w:pStyle w:val="a3"/>
        <w:numPr>
          <w:ilvl w:val="0"/>
          <w:numId w:val="40"/>
        </w:numPr>
        <w:tabs>
          <w:tab w:val="left" w:pos="1276"/>
          <w:tab w:val="left" w:pos="1843"/>
        </w:tabs>
        <w:ind w:right="141"/>
        <w:jc w:val="both"/>
        <w:rPr>
          <w:rStyle w:val="29pt"/>
          <w:rFonts w:ascii="Times New Roman" w:hAnsi="Times New Roman" w:cs="Times New Roman"/>
          <w:b w:val="0"/>
          <w:bCs w:val="0"/>
          <w:i w:val="0"/>
          <w:iCs w:val="0"/>
          <w:color w:val="000000" w:themeColor="text1"/>
          <w:sz w:val="28"/>
          <w:szCs w:val="28"/>
          <w:lang w:val="uk-UA"/>
        </w:rPr>
      </w:pPr>
      <w:r w:rsidRPr="00CE0A20">
        <w:rPr>
          <w:rStyle w:val="29pt"/>
          <w:rFonts w:ascii="Times New Roman" w:hAnsi="Times New Roman" w:cs="Times New Roman"/>
          <w:b w:val="0"/>
          <w:i w:val="0"/>
          <w:color w:val="000000" w:themeColor="text1"/>
          <w:sz w:val="28"/>
          <w:szCs w:val="28"/>
          <w:lang w:val="uk-UA"/>
        </w:rPr>
        <w:t>Nieschlag E, Swerdloff R, Bekre HM, et al. Investigation, treatment and monitoring of late-onset hypogonadism in males: ISA. ISSAM. EAU recommendations. Intern. J. Andrology. 2005;28:125-127.</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Nusbaum MR. Erectile dysfunction: prevalence, etiology, and major risk factors. J. Am. Osteopath. Assoc. 2002;102(12):Suppl 4:1-6.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Odeh HM, Kleinguetl C, Ge R, Zirkin BR, Chen H. </w:t>
      </w:r>
      <w:r w:rsidRPr="00CE0A20">
        <w:rPr>
          <w:rFonts w:ascii="Times New Roman" w:hAnsi="Times New Roman" w:cs="Times New Roman"/>
          <w:color w:val="000000" w:themeColor="text1"/>
          <w:kern w:val="36"/>
          <w:lang w:val="uk-UA"/>
        </w:rPr>
        <w:t xml:space="preserve">Regulation of the proliferation and differentiation of Leydig stem cells in the adult testis. </w:t>
      </w:r>
      <w:r w:rsidRPr="00CE0A20">
        <w:rPr>
          <w:rFonts w:ascii="Times New Roman" w:hAnsi="Times New Roman" w:cs="Times New Roman"/>
          <w:color w:val="000000" w:themeColor="text1"/>
          <w:lang w:val="uk-UA"/>
        </w:rPr>
        <w:t>Biol Reprod. 2014;90(6):123. doi: 10.1095/biolreprod.114.117473.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ab"/>
          <w:i w:val="0"/>
          <w:color w:val="000000" w:themeColor="text1"/>
          <w:sz w:val="28"/>
          <w:szCs w:val="28"/>
          <w:lang w:val="uk-UA"/>
        </w:rPr>
        <w:t xml:space="preserve">Ogawa T, </w:t>
      </w:r>
      <w:r w:rsidRPr="00CE0A20">
        <w:rPr>
          <w:rFonts w:ascii="Times New Roman" w:hAnsi="Times New Roman" w:cs="Times New Roman"/>
          <w:color w:val="000000" w:themeColor="text1"/>
          <w:lang w:val="uk-UA"/>
        </w:rPr>
        <w:t>Ohmura M, Ohbo K. The niche for spermatogonial stem cells in the mammalian testis. Int. J. Hematol. 2005; 82(5): 381-388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Ogawa T, Ohmura M, Yumura Y, et al. Expansion of murine spermatogonial stem cells through serial transplantation. Biol. Reprod. 2003;  68: 316-322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O'Shaughnessy PJ, Baker PJ, Johnston H. </w:t>
      </w:r>
      <w:r w:rsidRPr="00CE0A20">
        <w:rPr>
          <w:rFonts w:ascii="Times New Roman" w:hAnsi="Times New Roman" w:cs="Times New Roman"/>
          <w:color w:val="000000" w:themeColor="text1"/>
          <w:kern w:val="36"/>
          <w:lang w:val="uk-UA"/>
        </w:rPr>
        <w:t xml:space="preserve">Neuroendocrine regulation of Leydig cell development. </w:t>
      </w:r>
      <w:r w:rsidRPr="00CE0A20">
        <w:rPr>
          <w:rFonts w:ascii="Times New Roman" w:hAnsi="Times New Roman" w:cs="Times New Roman"/>
          <w:color w:val="000000" w:themeColor="text1"/>
          <w:lang w:val="uk-UA"/>
        </w:rPr>
        <w:t>Ann N Y Acad Sci. 2005;1061:109-19.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O'Shaughnessy PJ, Morris ID, Huhtaniemi I, Baker PJ, Abel MH. </w:t>
      </w:r>
      <w:r w:rsidRPr="00CE0A20">
        <w:rPr>
          <w:rFonts w:ascii="Times New Roman" w:hAnsi="Times New Roman" w:cs="Times New Roman"/>
          <w:color w:val="000000" w:themeColor="text1"/>
          <w:kern w:val="36"/>
          <w:lang w:val="uk-UA"/>
        </w:rPr>
        <w:t xml:space="preserve">Role of androgen and gonadotrophins in the development and function of the Sertoli cells and Leydig cells: data from mutant and genetically modified mice. </w:t>
      </w:r>
      <w:r w:rsidRPr="00CE0A20">
        <w:rPr>
          <w:rFonts w:ascii="Times New Roman" w:hAnsi="Times New Roman" w:cs="Times New Roman"/>
          <w:color w:val="000000" w:themeColor="text1"/>
          <w:lang w:val="uk-UA"/>
        </w:rPr>
        <w:t>Mol Cell Endocrinol. 2009:10; 306(1-2):2-8. doi: 10.1016/j.mce.2008.11.005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Century Schoolbook"/>
          <w:i w:val="0"/>
          <w:color w:val="000000" w:themeColor="text1"/>
          <w:sz w:val="28"/>
          <w:szCs w:val="28"/>
          <w:lang w:val="uk-UA"/>
        </w:rPr>
        <w:t>Perin EC, Silva GV.</w:t>
      </w:r>
      <w:r w:rsidRPr="00CE0A20">
        <w:rPr>
          <w:rFonts w:ascii="Times New Roman" w:hAnsi="Times New Roman" w:cs="Times New Roman"/>
          <w:color w:val="000000" w:themeColor="text1"/>
          <w:lang w:val="uk-UA"/>
        </w:rPr>
        <w:t xml:space="preserve"> Stemm cell therapy cardiac disease. Cerr. Opin. Hematology. 2004; 11 (6): 399–403.</w:t>
      </w:r>
    </w:p>
    <w:p w:rsidR="001C43D0" w:rsidRPr="00CE0A20" w:rsidRDefault="001C43D0" w:rsidP="00631D82">
      <w:pPr>
        <w:pStyle w:val="a3"/>
        <w:numPr>
          <w:ilvl w:val="0"/>
          <w:numId w:val="40"/>
        </w:numPr>
        <w:tabs>
          <w:tab w:val="left" w:pos="1276"/>
        </w:tabs>
        <w:ind w:right="141"/>
        <w:jc w:val="both"/>
        <w:rPr>
          <w:rStyle w:val="italic"/>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Petroianu A, Alberti LR, Melo MAB, Almeida LM. </w:t>
      </w:r>
      <w:r w:rsidRPr="00CE0A20">
        <w:rPr>
          <w:rStyle w:val="italic"/>
          <w:rFonts w:ascii="Times New Roman" w:hAnsi="Times New Roman" w:cs="Times New Roman"/>
          <w:color w:val="000000" w:themeColor="text1"/>
          <w:bdr w:val="none" w:sz="0" w:space="0" w:color="auto" w:frame="1"/>
          <w:lang w:val="uk-UA"/>
        </w:rPr>
        <w:t>Relation between diabetes mellitus and male fertility, Einstein. 2009;7(4 Pt 1):407-10.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Pitteloud N, Hardin M, Dwyer AA, Valassi E, Yialamas M, Elahi D, et al. Increasing insulin resistance is associated with a decrease in Leydig cell testosterone secretion in men. J Clin Endocrinol Metab. 2005;90(5): 2636-2641.</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Porojan M, Poanta L, Dumitrascu DL. Assessing health related quality of life in diabetic patients. Rom. J. Intern. Med. 2012;50:27-31.</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Potter BJ, White M, Carrier M et al. Hemodynamic and clinical benefits associated with chronic sildenafil therapy in advanced heart failure: experience of the Montréal Heart Institute. Can. J. Cardiol. 2012; 28(1): 69–73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Prévost G, Eas F, Kuhn JM. Plasma </w:t>
      </w:r>
      <w:r w:rsidRPr="00CE0A20">
        <w:rPr>
          <w:rStyle w:val="highlight"/>
          <w:rFonts w:ascii="Times New Roman" w:eastAsia="Batang" w:hAnsi="Times New Roman" w:cs="Times New Roman"/>
          <w:color w:val="000000" w:themeColor="text1"/>
          <w:lang w:val="uk-UA"/>
        </w:rPr>
        <w:t>testosterone</w:t>
      </w:r>
      <w:r w:rsidRPr="00CE0A20">
        <w:rPr>
          <w:rFonts w:ascii="Times New Roman" w:hAnsi="Times New Roman" w:cs="Times New Roman"/>
          <w:color w:val="000000" w:themeColor="text1"/>
          <w:lang w:val="uk-UA"/>
        </w:rPr>
        <w:t xml:space="preserve">, obesity, metabolic syndrome and </w:t>
      </w:r>
      <w:r w:rsidRPr="00CE0A20">
        <w:rPr>
          <w:rStyle w:val="highlight"/>
          <w:rFonts w:ascii="Times New Roman" w:eastAsia="Batang" w:hAnsi="Times New Roman" w:cs="Times New Roman"/>
          <w:color w:val="000000" w:themeColor="text1"/>
          <w:lang w:val="uk-UA"/>
        </w:rPr>
        <w:t>diabetes</w:t>
      </w:r>
      <w:r w:rsidRPr="00CE0A20">
        <w:rPr>
          <w:rFonts w:ascii="Times New Roman" w:hAnsi="Times New Roman" w:cs="Times New Roman"/>
          <w:color w:val="000000" w:themeColor="text1"/>
          <w:lang w:val="uk-UA"/>
        </w:rPr>
        <w:t>. Article in French. Presse Med. 2014; 43(2):186-95. doi: 10.1016/j.lpm.2013.04.023</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Rana K, Fam BC, Clarke MV, Pang TP, Zajac JD, et al. Increased adiposity in DNA binding-dependent androgen receptor knockout male mice associated with decreased voluntary activity and not insulin resistance. </w:t>
      </w:r>
      <w:r w:rsidRPr="00CE0A20">
        <w:rPr>
          <w:rStyle w:val="ref-journal"/>
          <w:rFonts w:ascii="Times New Roman" w:hAnsi="Times New Roman" w:cs="Times New Roman"/>
          <w:color w:val="000000" w:themeColor="text1"/>
          <w:lang w:val="uk-UA"/>
        </w:rPr>
        <w:t xml:space="preserve">Am J Physiol Endocrinol Metab. </w:t>
      </w:r>
      <w:r w:rsidRPr="00CE0A20">
        <w:rPr>
          <w:rStyle w:val="element-citation"/>
          <w:rFonts w:ascii="Times New Roman" w:hAnsi="Times New Roman" w:cs="Times New Roman"/>
          <w:color w:val="000000" w:themeColor="text1"/>
          <w:lang w:val="uk-UA"/>
        </w:rPr>
        <w:t xml:space="preserve">2011; </w:t>
      </w:r>
      <w:r w:rsidRPr="00CE0A20">
        <w:rPr>
          <w:rStyle w:val="ref-vol"/>
          <w:rFonts w:ascii="Times New Roman" w:hAnsi="Times New Roman" w:cs="Times New Roman"/>
          <w:color w:val="000000" w:themeColor="text1"/>
          <w:lang w:val="uk-UA"/>
        </w:rPr>
        <w:t>301</w:t>
      </w:r>
      <w:r w:rsidRPr="00CE0A20">
        <w:rPr>
          <w:rStyle w:val="element-citation"/>
          <w:rFonts w:ascii="Times New Roman" w:hAnsi="Times New Roman" w:cs="Times New Roman"/>
          <w:color w:val="000000" w:themeColor="text1"/>
          <w:lang w:val="uk-UA"/>
        </w:rPr>
        <w:t xml:space="preserve">: E767–778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Rao PM, Kelly DM, Jones TH. Testosterone and insulin resistance in the metabolic syndrome and T2DM in men. Nat Rev Endocrinol. 2013;9(8):479-93.</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Rastrelli G, Corona G, Mannucci E, Maggi M. Vascular and Chronological Age in Men With Erectile Dysfunction: A Longitudinal Study. J Sex Med. 2016; 13 (2): 200-208. doi: 10.1016/j.jsxm.2015.11.014</w:t>
      </w:r>
    </w:p>
    <w:p w:rsidR="001C43D0" w:rsidRPr="00CE0A20" w:rsidRDefault="001C43D0" w:rsidP="00631D82">
      <w:pPr>
        <w:pStyle w:val="a3"/>
        <w:numPr>
          <w:ilvl w:val="0"/>
          <w:numId w:val="40"/>
        </w:numPr>
        <w:tabs>
          <w:tab w:val="left" w:pos="1276"/>
        </w:tabs>
        <w:ind w:right="141"/>
        <w:jc w:val="both"/>
        <w:rPr>
          <w:rStyle w:val="82"/>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lang w:val="uk-UA"/>
        </w:rPr>
        <w:t>Ray R, Novotny NM, Crisostomo PR, LahmT, Abarbanell A, Meldrum DR. Sex steroids and stem cell function. Molecular medicine. 2008;14(7-8):493-501. doi: 10.2119/2008-00004. Ray</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Reis JP, Macera CA, Araneta MR, et al. A comparison of overall obesity and body fat distribution in predicting risk of mortality.Obesity. 2008;17(6):1232-1239.</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Rey-Valzacchi GJ, Costanzo PR, Finger LA et al. Addition of metformin to sildenafil treatment for erectile dysfunction in eugonadal nondiabetic men with insulin resistance. A prospective, randomized, double-blind pilot study. J. Androl. 2012; 33(4): 608–614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Rhoden EL, Morgentaler A. Medical progress: Risks of Testosterone replacement therapy and recommendations of monitoring. NEJM. 2004;350:482-492.</w:t>
      </w:r>
    </w:p>
    <w:p w:rsidR="001C43D0" w:rsidRPr="00CE0A20" w:rsidRDefault="001C43D0" w:rsidP="00631D82">
      <w:pPr>
        <w:pStyle w:val="a3"/>
        <w:numPr>
          <w:ilvl w:val="0"/>
          <w:numId w:val="40"/>
        </w:numPr>
        <w:tabs>
          <w:tab w:val="left" w:pos="1276"/>
        </w:tabs>
        <w:ind w:right="141"/>
        <w:jc w:val="both"/>
        <w:rPr>
          <w:rStyle w:val="31"/>
          <w:color w:val="000000" w:themeColor="text1"/>
          <w:sz w:val="28"/>
          <w:szCs w:val="28"/>
          <w:lang w:val="uk-UA"/>
        </w:rPr>
      </w:pPr>
      <w:r w:rsidRPr="00CE0A20">
        <w:rPr>
          <w:rFonts w:ascii="Times New Roman" w:hAnsi="Times New Roman" w:cs="Times New Roman"/>
          <w:color w:val="000000" w:themeColor="text1"/>
          <w:lang w:val="uk-UA"/>
        </w:rPr>
        <w:t xml:space="preserve">Ritchie R, Sullivan M. Endothelins and erectile dysfunction. Pharmacol Res. 2011;63(6):496-501, doi: </w:t>
      </w:r>
      <w:r w:rsidRPr="00CE0A20">
        <w:rPr>
          <w:rStyle w:val="31"/>
          <w:color w:val="000000" w:themeColor="text1"/>
          <w:sz w:val="28"/>
          <w:szCs w:val="28"/>
          <w:lang w:val="uk-UA"/>
        </w:rPr>
        <w:t>10.1016/j.phrs.2010.12.006.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Century Schoolbook"/>
          <w:i w:val="0"/>
          <w:color w:val="000000" w:themeColor="text1"/>
          <w:sz w:val="28"/>
          <w:szCs w:val="28"/>
          <w:lang w:val="uk-UA"/>
        </w:rPr>
        <w:t>Robert E, Schwartz RE, Reyes M, et al.</w:t>
      </w:r>
      <w:r w:rsidRPr="00CE0A20">
        <w:rPr>
          <w:rFonts w:ascii="Times New Roman" w:hAnsi="Times New Roman" w:cs="Times New Roman"/>
          <w:color w:val="000000" w:themeColor="text1"/>
          <w:lang w:val="uk-UA"/>
        </w:rPr>
        <w:t xml:space="preserve">  Multipotent adult progenitor cells from bone marrow differentiate into functional hepatocyte-like cells. J.Clin.Invest. 2002; 109 (10): 1291–1302.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Rosen RC, Cappelleri JC, Smith MD, Lipsky J, Pena BM. Development and evaluation of an abridged, 5-item version of the International Index of Erectile Function (IIEF-5) as a diagnostic tool for erectile dysfunction. Int J Impot Res 1999;11:319–326.</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Rosen RC, Wing RR, Schneider S, et al. </w:t>
      </w:r>
      <w:r w:rsidRPr="00CE0A20">
        <w:rPr>
          <w:rStyle w:val="ref-title"/>
          <w:rFonts w:ascii="Times New Roman" w:hAnsi="Times New Roman" w:cs="Times New Roman"/>
          <w:color w:val="000000" w:themeColor="text1"/>
          <w:lang w:val="uk-UA"/>
        </w:rPr>
        <w:t>Erectile dysfunction in type 2 diabetic men: relationship to exercise fitness and cardiovascular risk factors in the Look AHEAD trial</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J Sex Med</w:t>
      </w:r>
      <w:r w:rsidRPr="00CE0A20">
        <w:rPr>
          <w:rStyle w:val="mixed-citation"/>
          <w:rFonts w:ascii="Times New Roman" w:hAnsi="Times New Roman" w:cs="Times New Roman"/>
          <w:color w:val="000000" w:themeColor="text1"/>
          <w:lang w:val="uk-UA"/>
        </w:rPr>
        <w:t xml:space="preserve"> 2009;</w:t>
      </w:r>
      <w:r w:rsidRPr="00CE0A20">
        <w:rPr>
          <w:rStyle w:val="ref-vol"/>
          <w:rFonts w:ascii="Times New Roman" w:hAnsi="Times New Roman" w:cs="Times New Roman"/>
          <w:color w:val="000000" w:themeColor="text1"/>
          <w:lang w:val="uk-UA"/>
        </w:rPr>
        <w:t>6</w:t>
      </w:r>
      <w:r w:rsidRPr="00CE0A20">
        <w:rPr>
          <w:rStyle w:val="mixed-citation"/>
          <w:rFonts w:ascii="Times New Roman" w:hAnsi="Times New Roman" w:cs="Times New Roman"/>
          <w:color w:val="000000" w:themeColor="text1"/>
          <w:lang w:val="uk-UA"/>
        </w:rPr>
        <w:t>:1414–1422.</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Sartorius G, Spasevska S, Idan A, Turner L, Forbes E, et al. Serum testosterone, dihydrotestosterone and estradiol concentrations in older men self-reporting very good health: the healthy man study. </w:t>
      </w:r>
      <w:r w:rsidRPr="00CE0A20">
        <w:rPr>
          <w:rStyle w:val="ref-journal"/>
          <w:rFonts w:ascii="Times New Roman" w:hAnsi="Times New Roman" w:cs="Times New Roman"/>
          <w:color w:val="000000" w:themeColor="text1"/>
          <w:lang w:val="uk-UA"/>
        </w:rPr>
        <w:t xml:space="preserve">Clin Endocrinol (Oxf) </w:t>
      </w:r>
      <w:r w:rsidRPr="00CE0A20">
        <w:rPr>
          <w:rStyle w:val="element-citation"/>
          <w:rFonts w:ascii="Times New Roman" w:hAnsi="Times New Roman" w:cs="Times New Roman"/>
          <w:color w:val="000000" w:themeColor="text1"/>
          <w:lang w:val="uk-UA"/>
        </w:rPr>
        <w:t>2012;</w:t>
      </w:r>
      <w:r w:rsidRPr="00CE0A20">
        <w:rPr>
          <w:rStyle w:val="ref-vol"/>
          <w:rFonts w:ascii="Times New Roman" w:hAnsi="Times New Roman" w:cs="Times New Roman"/>
          <w:color w:val="000000" w:themeColor="text1"/>
          <w:lang w:val="uk-UA"/>
        </w:rPr>
        <w:t>77</w:t>
      </w:r>
      <w:r w:rsidRPr="00CE0A20">
        <w:rPr>
          <w:rStyle w:val="element-citation"/>
          <w:rFonts w:ascii="Times New Roman" w:hAnsi="Times New Roman" w:cs="Times New Roman"/>
          <w:color w:val="000000" w:themeColor="text1"/>
          <w:lang w:val="uk-UA"/>
        </w:rPr>
        <w:t>:755–63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Schneider HJ, Sievers C, Klotsche J, BohlerS, Pittrow D, Lehnert H, et al. Prevalence of low male tes</w:t>
      </w:r>
      <w:r w:rsidRPr="00CE0A20">
        <w:rPr>
          <w:rFonts w:ascii="Times New Roman" w:hAnsi="Times New Roman" w:cs="Times New Roman"/>
          <w:color w:val="000000" w:themeColor="text1"/>
          <w:lang w:val="uk-UA"/>
        </w:rPr>
        <w:softHyphen/>
        <w:t>tosterone levels in primary care in Germany: cross-sectional results from the DETECT study. Clin Endocrinol (Oxf). 2009;70(3):446-54. doi: 10.1111/j.1365-2265.2008.03370.</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Seftel AD, Kathrins M, Niederberger C. Critical Update of the 2010 Endocrine Society Clinical Practice Guidelines for Male Hypogonadism: </w:t>
      </w:r>
      <w:r w:rsidRPr="00CE0A20">
        <w:rPr>
          <w:rStyle w:val="a8"/>
          <w:rFonts w:ascii="Times New Roman" w:hAnsi="Times New Roman" w:cs="Times New Roman"/>
          <w:color w:val="000000" w:themeColor="text1"/>
          <w:lang w:val="uk-UA"/>
        </w:rPr>
        <w:t>A Systematic Analysis</w:t>
      </w:r>
      <w:r w:rsidRPr="00CE0A20">
        <w:rPr>
          <w:rStyle w:val="element-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 xml:space="preserve">Mayo Clin Proc. </w:t>
      </w:r>
      <w:r w:rsidRPr="00CE0A20">
        <w:rPr>
          <w:rStyle w:val="element-citation"/>
          <w:rFonts w:ascii="Times New Roman" w:hAnsi="Times New Roman" w:cs="Times New Roman"/>
          <w:color w:val="000000" w:themeColor="text1"/>
          <w:lang w:val="uk-UA"/>
        </w:rPr>
        <w:t>2015;</w:t>
      </w:r>
      <w:r w:rsidRPr="00CE0A20">
        <w:rPr>
          <w:rStyle w:val="ref-vol"/>
          <w:rFonts w:ascii="Times New Roman" w:hAnsi="Times New Roman" w:cs="Times New Roman"/>
          <w:color w:val="000000" w:themeColor="text1"/>
          <w:lang w:val="uk-UA"/>
        </w:rPr>
        <w:t>90</w:t>
      </w:r>
      <w:r w:rsidRPr="00CE0A20">
        <w:rPr>
          <w:rStyle w:val="element-citation"/>
          <w:rFonts w:ascii="Times New Roman" w:hAnsi="Times New Roman" w:cs="Times New Roman"/>
          <w:color w:val="000000" w:themeColor="text1"/>
          <w:lang w:val="uk-UA"/>
        </w:rPr>
        <w:t>:1104–1115.</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Semirale AA, Zhang XW, Wiren KM. Body composition changes and inhibition of fat development </w:t>
      </w:r>
      <w:r w:rsidRPr="00CE0A20">
        <w:rPr>
          <w:rStyle w:val="a8"/>
          <w:rFonts w:ascii="Times New Roman" w:hAnsi="Times New Roman" w:cs="Times New Roman"/>
          <w:color w:val="000000" w:themeColor="text1"/>
          <w:lang w:val="uk-UA"/>
        </w:rPr>
        <w:t>in vivo</w:t>
      </w:r>
      <w:r w:rsidRPr="00CE0A20">
        <w:rPr>
          <w:rStyle w:val="element-citation"/>
          <w:rFonts w:ascii="Times New Roman" w:hAnsi="Times New Roman" w:cs="Times New Roman"/>
          <w:color w:val="000000" w:themeColor="text1"/>
          <w:lang w:val="uk-UA"/>
        </w:rPr>
        <w:t xml:space="preserve"> implicates androgen in regulation of stem cell lineage allocation. </w:t>
      </w:r>
      <w:r w:rsidRPr="00CE0A20">
        <w:rPr>
          <w:rStyle w:val="ref-journal"/>
          <w:rFonts w:ascii="Times New Roman" w:hAnsi="Times New Roman" w:cs="Times New Roman"/>
          <w:color w:val="000000" w:themeColor="text1"/>
          <w:lang w:val="uk-UA"/>
        </w:rPr>
        <w:t xml:space="preserve">J Cell Biochem. </w:t>
      </w:r>
      <w:r w:rsidRPr="00CE0A20">
        <w:rPr>
          <w:rStyle w:val="element-citation"/>
          <w:rFonts w:ascii="Times New Roman" w:hAnsi="Times New Roman" w:cs="Times New Roman"/>
          <w:color w:val="000000" w:themeColor="text1"/>
          <w:lang w:val="uk-UA"/>
        </w:rPr>
        <w:t>2011;</w:t>
      </w:r>
      <w:r w:rsidRPr="00CE0A20">
        <w:rPr>
          <w:rStyle w:val="ref-vol"/>
          <w:rFonts w:ascii="Times New Roman" w:hAnsi="Times New Roman" w:cs="Times New Roman"/>
          <w:color w:val="000000" w:themeColor="text1"/>
          <w:lang w:val="uk-UA"/>
        </w:rPr>
        <w:t>112</w:t>
      </w:r>
      <w:r w:rsidRPr="00CE0A20">
        <w:rPr>
          <w:rStyle w:val="element-citation"/>
          <w:rFonts w:ascii="Times New Roman" w:hAnsi="Times New Roman" w:cs="Times New Roman"/>
          <w:color w:val="000000" w:themeColor="text1"/>
          <w:lang w:val="uk-UA"/>
        </w:rPr>
        <w:t>:1773–1786</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Shabsigh R, Kaufman JM, Steidle C, et al. Randomized study of testosterone gel as adjunctive therapy to sildenafil in hypogonadal men with erectile dysfunction who do not respond to sildenafil alone. J Urol. 2004;172:658–663. </w:t>
      </w:r>
      <w:r w:rsidRPr="00CE0A20">
        <w:rPr>
          <w:rFonts w:ascii="Times New Roman" w:hAnsi="Times New Roman" w:cs="Times New Roman"/>
          <w:color w:val="000000" w:themeColor="text1"/>
          <w:lang w:val="uk-UA"/>
        </w:rPr>
        <w:t>http://dx.doi.org/10.1097/01.ju.0000132389.97804.d7</w:t>
      </w:r>
      <w:r w:rsidRPr="00CE0A20">
        <w:rPr>
          <w:rFonts w:ascii="Times New Roman" w:eastAsia="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Shabsigh R. The use of testosterone preparations for erectile dysfunction. Aging Mal. 2004;7:P. 312-318.</w:t>
      </w:r>
    </w:p>
    <w:p w:rsidR="001C43D0" w:rsidRPr="00CE0A20" w:rsidRDefault="001C43D0" w:rsidP="00631D82">
      <w:pPr>
        <w:pStyle w:val="a3"/>
        <w:numPr>
          <w:ilvl w:val="0"/>
          <w:numId w:val="40"/>
        </w:numPr>
        <w:tabs>
          <w:tab w:val="left" w:pos="1276"/>
        </w:tabs>
        <w:ind w:right="141"/>
        <w:jc w:val="both"/>
        <w:rPr>
          <w:rStyle w:val="font111"/>
          <w:color w:val="000000" w:themeColor="text1"/>
          <w:sz w:val="28"/>
          <w:szCs w:val="28"/>
          <w:lang w:val="uk-UA"/>
        </w:rPr>
      </w:pPr>
      <w:r w:rsidRPr="00CE0A20">
        <w:rPr>
          <w:rStyle w:val="font111"/>
          <w:iCs/>
          <w:color w:val="000000" w:themeColor="text1"/>
          <w:sz w:val="28"/>
          <w:szCs w:val="28"/>
          <w:lang w:val="uk-UA"/>
        </w:rPr>
        <w:t xml:space="preserve">Shabsigh R., Padma-Nathan H., Gittleman M. et al. </w:t>
      </w:r>
      <w:r w:rsidRPr="00CE0A20">
        <w:rPr>
          <w:rStyle w:val="font111"/>
          <w:color w:val="000000" w:themeColor="text1"/>
          <w:sz w:val="28"/>
          <w:szCs w:val="28"/>
          <w:lang w:val="uk-UA"/>
        </w:rPr>
        <w:t>Intracavernous</w:t>
      </w:r>
      <w:r w:rsidRPr="00CE0A20">
        <w:rPr>
          <w:rFonts w:ascii="Times New Roman" w:hAnsi="Times New Roman" w:cs="Times New Roman"/>
          <w:color w:val="000000" w:themeColor="text1"/>
          <w:lang w:val="uk-UA"/>
        </w:rPr>
        <w:t xml:space="preserve"> </w:t>
      </w:r>
      <w:r w:rsidRPr="00CE0A20">
        <w:rPr>
          <w:rStyle w:val="font111"/>
          <w:color w:val="000000" w:themeColor="text1"/>
          <w:sz w:val="28"/>
          <w:szCs w:val="28"/>
          <w:lang w:val="uk-UA"/>
        </w:rPr>
        <w:t>alpostadil alfadex (EDEX/VIRIDAL) is effective and safe in patients with erectile</w:t>
      </w:r>
      <w:r w:rsidRPr="00CE0A20">
        <w:rPr>
          <w:rFonts w:ascii="Times New Roman" w:hAnsi="Times New Roman" w:cs="Times New Roman"/>
          <w:color w:val="000000" w:themeColor="text1"/>
          <w:lang w:val="uk-UA"/>
        </w:rPr>
        <w:t xml:space="preserve"> </w:t>
      </w:r>
      <w:r w:rsidRPr="00CE0A20">
        <w:rPr>
          <w:rStyle w:val="font111"/>
          <w:color w:val="000000" w:themeColor="text1"/>
          <w:sz w:val="28"/>
          <w:szCs w:val="28"/>
          <w:lang w:val="uk-UA"/>
        </w:rPr>
        <w:t xml:space="preserve">dysfunctionafter failing sildenafil (Viagra). Urology. 2000; 55: 477-480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Shaw JE, Sicree RA, Zimmet PZ. Global estimates of the prevalence of diabetes for 2010 and 2030. Diabetes Res. Clin. Pract. 2010;87(1):4-14.</w:t>
      </w:r>
    </w:p>
    <w:p w:rsidR="001C43D0" w:rsidRPr="00CE0A20" w:rsidRDefault="001C43D0" w:rsidP="00631D82">
      <w:pPr>
        <w:pStyle w:val="a3"/>
        <w:numPr>
          <w:ilvl w:val="0"/>
          <w:numId w:val="40"/>
        </w:numPr>
        <w:tabs>
          <w:tab w:val="left" w:pos="1276"/>
        </w:tabs>
        <w:ind w:right="141"/>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Shinohara T, Orwig KE, Avarbock MR, Brinster RL. Restoration of spermatogenesis in infertile mice by Sertoli cell transplantation. Biology of reproduction. 2003; 68: 1064-1071</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Shores MM, Matsumoto AM, Sloan KL, Kivlahan DR. Low serum testosterone and mortality in male veterans. </w:t>
      </w:r>
      <w:r w:rsidRPr="00CE0A20">
        <w:rPr>
          <w:rStyle w:val="ref-journal"/>
          <w:rFonts w:ascii="Times New Roman" w:hAnsi="Times New Roman" w:cs="Times New Roman"/>
          <w:color w:val="000000" w:themeColor="text1"/>
          <w:lang w:val="uk-UA"/>
        </w:rPr>
        <w:t xml:space="preserve">Arch Intern Med. </w:t>
      </w:r>
      <w:r w:rsidRPr="00CE0A20">
        <w:rPr>
          <w:rStyle w:val="element-citation"/>
          <w:rFonts w:ascii="Times New Roman" w:hAnsi="Times New Roman" w:cs="Times New Roman"/>
          <w:color w:val="000000" w:themeColor="text1"/>
          <w:lang w:val="uk-UA"/>
        </w:rPr>
        <w:t>2006;</w:t>
      </w:r>
      <w:r w:rsidRPr="00CE0A20">
        <w:rPr>
          <w:rStyle w:val="ref-vol"/>
          <w:rFonts w:ascii="Times New Roman" w:hAnsi="Times New Roman" w:cs="Times New Roman"/>
          <w:color w:val="000000" w:themeColor="text1"/>
          <w:lang w:val="uk-UA"/>
        </w:rPr>
        <w:t>166</w:t>
      </w:r>
      <w:r w:rsidRPr="00CE0A20">
        <w:rPr>
          <w:rStyle w:val="element-citation"/>
          <w:rFonts w:ascii="Times New Roman" w:hAnsi="Times New Roman" w:cs="Times New Roman"/>
          <w:color w:val="000000" w:themeColor="text1"/>
          <w:lang w:val="uk-UA"/>
        </w:rPr>
        <w:t>:1660–1665.</w:t>
      </w:r>
    </w:p>
    <w:p w:rsidR="001C43D0" w:rsidRPr="00CE0A20" w:rsidRDefault="001C43D0" w:rsidP="00631D82">
      <w:pPr>
        <w:pStyle w:val="a3"/>
        <w:numPr>
          <w:ilvl w:val="0"/>
          <w:numId w:val="40"/>
        </w:numPr>
        <w:tabs>
          <w:tab w:val="left" w:pos="1276"/>
        </w:tabs>
        <w:ind w:right="141"/>
        <w:jc w:val="both"/>
        <w:rPr>
          <w:rStyle w:val="144"/>
          <w:rFonts w:ascii="Times New Roman" w:hAnsi="Times New Roman" w:cs="Times New Roman"/>
          <w:color w:val="000000" w:themeColor="text1"/>
          <w:sz w:val="28"/>
          <w:szCs w:val="28"/>
          <w:lang w:val="uk-UA"/>
        </w:rPr>
      </w:pPr>
      <w:r w:rsidRPr="00CE0A20">
        <w:rPr>
          <w:rFonts w:ascii="Times New Roman" w:hAnsi="Times New Roman" w:cs="Times New Roman"/>
          <w:color w:val="000000" w:themeColor="text1"/>
          <w:lang w:val="uk-UA"/>
        </w:rPr>
        <w:t>Singh R, Artaza JN, Taylor WE, Braga M, Yuan X, Gonzalez-Cadavid NF, et al. Testosterone inhibits adipogenic differentiation in 3T3-L1 cells: nuclear translocation of androgen receptor complex with beta-catenin and T-cell factor 4 may bypass canonical Wnt signaling to down-regulate adipogenic tran</w:t>
      </w:r>
      <w:r w:rsidRPr="00CE0A20">
        <w:rPr>
          <w:rFonts w:ascii="Times New Roman" w:hAnsi="Times New Roman" w:cs="Times New Roman"/>
          <w:color w:val="000000" w:themeColor="text1"/>
          <w:lang w:val="uk-UA"/>
        </w:rPr>
        <w:softHyphen/>
        <w:t xml:space="preserve">scription factors. Endocrinology. 2006;147(1):141-54. doi: </w:t>
      </w:r>
      <w:r w:rsidRPr="00CE0A20">
        <w:rPr>
          <w:rStyle w:val="132"/>
          <w:rFonts w:ascii="Times New Roman" w:hAnsi="Times New Roman" w:cs="Times New Roman"/>
          <w:color w:val="000000" w:themeColor="text1"/>
          <w:sz w:val="28"/>
          <w:szCs w:val="28"/>
          <w:lang w:val="uk-UA"/>
        </w:rPr>
        <w:t>10.1210/en.2004-1649</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Singh R, Artaza JN, Taylor WE, Gonzalez-Cadavid NF, Bhasin S. Androgens stimulate myogenic differentiation and inhibit adipogenesis in C3H 10T1/2 pluripotent cells through an androgen receptor-mediated pathway. </w:t>
      </w:r>
      <w:r w:rsidRPr="00CE0A20">
        <w:rPr>
          <w:rStyle w:val="ref-journal"/>
          <w:rFonts w:ascii="Times New Roman" w:hAnsi="Times New Roman" w:cs="Times New Roman"/>
          <w:color w:val="000000" w:themeColor="text1"/>
          <w:lang w:val="uk-UA"/>
        </w:rPr>
        <w:t xml:space="preserve">Endocrinology. </w:t>
      </w:r>
      <w:r w:rsidRPr="00CE0A20">
        <w:rPr>
          <w:rStyle w:val="element-citation"/>
          <w:rFonts w:ascii="Times New Roman" w:hAnsi="Times New Roman" w:cs="Times New Roman"/>
          <w:color w:val="000000" w:themeColor="text1"/>
          <w:lang w:val="uk-UA"/>
        </w:rPr>
        <w:t>2003;</w:t>
      </w:r>
      <w:r w:rsidRPr="00CE0A20">
        <w:rPr>
          <w:rStyle w:val="ref-vol"/>
          <w:rFonts w:ascii="Times New Roman" w:hAnsi="Times New Roman" w:cs="Times New Roman"/>
          <w:color w:val="000000" w:themeColor="text1"/>
          <w:lang w:val="uk-UA"/>
        </w:rPr>
        <w:t>144</w:t>
      </w:r>
      <w:r w:rsidRPr="00CE0A20">
        <w:rPr>
          <w:rStyle w:val="element-citation"/>
          <w:rFonts w:ascii="Times New Roman" w:hAnsi="Times New Roman" w:cs="Times New Roman"/>
          <w:color w:val="000000" w:themeColor="text1"/>
          <w:lang w:val="uk-UA"/>
        </w:rPr>
        <w:t>:5081–5088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Siu SC, Lo SK, Wong KW, et al. Prevalence of and risk factors for erectile dysfunction in Hong Kong diabetic patients. Diabet Med. 2001;18(9):732- 738.</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Spitzer M, Bhasin S, Travison TG. et al. Andrology.Sildenafil increases serum testosterone levels by a direct action on the testes. 2013; 1 (6): 913–918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Srinivas-Shankar U, Roberts SA, Connolly MJ, O’Connell MD, Adams JE, Oldham JA et al. Effects of testosterone on muscle strength, physical function, body composition, and quality of life in intermediate-frail and frail elderly men: a randomized, double-blind, placebo-controlled study. </w:t>
      </w:r>
      <w:r w:rsidRPr="00CE0A20">
        <w:rPr>
          <w:rStyle w:val="ref-journal"/>
          <w:rFonts w:ascii="Times New Roman" w:hAnsi="Times New Roman" w:cs="Times New Roman"/>
          <w:color w:val="000000" w:themeColor="text1"/>
          <w:lang w:val="uk-UA"/>
        </w:rPr>
        <w:t xml:space="preserve">J Clin Endocrinol Metab. </w:t>
      </w:r>
      <w:r w:rsidRPr="00CE0A20">
        <w:rPr>
          <w:rStyle w:val="element-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95</w:t>
      </w:r>
      <w:r w:rsidRPr="00CE0A20">
        <w:rPr>
          <w:rStyle w:val="element-citation"/>
          <w:rFonts w:ascii="Times New Roman" w:hAnsi="Times New Roman" w:cs="Times New Roman"/>
          <w:color w:val="000000" w:themeColor="text1"/>
          <w:lang w:val="uk-UA"/>
        </w:rPr>
        <w:t>:639–650</w:t>
      </w:r>
      <w:r w:rsidRPr="00CE0A20">
        <w:rPr>
          <w:rFonts w:ascii="Times New Roman" w:hAnsi="Times New Roman" w:cs="Times New Roman"/>
          <w:color w:val="000000" w:themeColor="text1"/>
          <w:lang w:val="uk-UA"/>
        </w:rPr>
        <w:t>.</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Stanley E, Lin CY, Jin S, Liu J, Sottas CM, Ge R, Zirkin BR, Chen H. Identification, proliferation, and differentiation of adult Leydig stem cells. </w:t>
      </w:r>
      <w:r w:rsidRPr="00CE0A20">
        <w:rPr>
          <w:rStyle w:val="ref-journal"/>
          <w:rFonts w:ascii="Times New Roman" w:hAnsi="Times New Roman" w:cs="Times New Roman"/>
          <w:color w:val="000000" w:themeColor="text1"/>
          <w:lang w:val="uk-UA"/>
        </w:rPr>
        <w:t xml:space="preserve">Endocrinology. </w:t>
      </w:r>
      <w:r w:rsidRPr="00CE0A20">
        <w:rPr>
          <w:rStyle w:val="element-citation"/>
          <w:rFonts w:ascii="Times New Roman" w:hAnsi="Times New Roman" w:cs="Times New Roman"/>
          <w:color w:val="000000" w:themeColor="text1"/>
          <w:lang w:val="uk-UA"/>
        </w:rPr>
        <w:t>2012;</w:t>
      </w:r>
      <w:r w:rsidRPr="00CE0A20">
        <w:rPr>
          <w:rStyle w:val="ref-vol"/>
          <w:rFonts w:ascii="Times New Roman" w:hAnsi="Times New Roman" w:cs="Times New Roman"/>
          <w:color w:val="000000" w:themeColor="text1"/>
          <w:lang w:val="uk-UA"/>
        </w:rPr>
        <w:t>153</w:t>
      </w:r>
      <w:r w:rsidRPr="00CE0A20">
        <w:rPr>
          <w:rStyle w:val="element-citation"/>
          <w:rFonts w:ascii="Times New Roman" w:hAnsi="Times New Roman" w:cs="Times New Roman"/>
          <w:color w:val="000000" w:themeColor="text1"/>
          <w:lang w:val="uk-UA"/>
        </w:rPr>
        <w:t>:5002–5010.</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Stanworth R, Jones T. Testosterone in obesity, metabolic syndrome and type 2 diabetes. </w:t>
      </w:r>
      <w:r w:rsidRPr="00CE0A20">
        <w:rPr>
          <w:rStyle w:val="ref-journal"/>
          <w:rFonts w:ascii="Times New Roman" w:hAnsi="Times New Roman" w:cs="Times New Roman"/>
          <w:color w:val="000000" w:themeColor="text1"/>
          <w:lang w:val="uk-UA"/>
        </w:rPr>
        <w:t xml:space="preserve">Front Horm Res. </w:t>
      </w:r>
      <w:r w:rsidRPr="00CE0A20">
        <w:rPr>
          <w:rStyle w:val="element-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37</w:t>
      </w:r>
      <w:r w:rsidRPr="00CE0A20">
        <w:rPr>
          <w:rStyle w:val="element-citation"/>
          <w:rFonts w:ascii="Times New Roman" w:hAnsi="Times New Roman" w:cs="Times New Roman"/>
          <w:color w:val="000000" w:themeColor="text1"/>
          <w:lang w:val="uk-UA"/>
        </w:rPr>
        <w:t>:74–90.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210pt0"/>
          <w:rFonts w:eastAsia="Century Schoolbook"/>
          <w:i w:val="0"/>
          <w:color w:val="000000" w:themeColor="text1"/>
          <w:sz w:val="28"/>
          <w:szCs w:val="28"/>
          <w:lang w:val="uk-UA"/>
        </w:rPr>
        <w:t>Steers WD.</w:t>
      </w:r>
      <w:r w:rsidRPr="00CE0A20">
        <w:rPr>
          <w:rFonts w:ascii="Times New Roman" w:hAnsi="Times New Roman" w:cs="Times New Roman"/>
          <w:color w:val="000000" w:themeColor="text1"/>
          <w:lang w:val="uk-UA"/>
        </w:rPr>
        <w:t xml:space="preserve"> Use of neuronal stem cells to treat neurogenic bladder due to spinal cord injury. Journal of Urology. 2003;170 (4):1426.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Stellato RK, Feldman HA, Hamdy O, et al. Testosterone, sex hormone-bindingglobulin, and the development of type 2 diabetes in middle-aged men: prospectiveresults from the Massachusetts male aging study. Diabetes Care. 2000;23(4):490-494. doi: 10.2337/diacare.23.4.490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34"/>
          <w:color w:val="000000" w:themeColor="text1"/>
          <w:sz w:val="28"/>
          <w:szCs w:val="28"/>
        </w:rPr>
        <w:t>Stief C.</w:t>
      </w:r>
      <w:r w:rsidRPr="00CE0A20">
        <w:rPr>
          <w:rFonts w:ascii="Times New Roman" w:hAnsi="Times New Roman" w:cs="Times New Roman"/>
          <w:color w:val="000000" w:themeColor="text1"/>
          <w:lang w:val="uk-UA"/>
        </w:rPr>
        <w:t xml:space="preserve"> Testosterone and erection: practical management for the patient with erectile dysfunction. Eur. Urol. 2007;6:868-873. </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Sunwoo S, Kim YS, Cho BL et al. Оst-marketing surveillance study of the safety and efficacy of sildenafil prescribed in primary care to erectile dysfunction patients. Int J Impot Res. 2005; 17 (1): 71–75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Svartberg J, Agledahl I, Figenschau Y, Sildnes T, Waterloo K, Jorde R. Testosterone treatment in elderly men with subnormal testosterone levels improves body composition and BMD in the hip. Inter</w:t>
      </w:r>
      <w:r w:rsidRPr="00CE0A20">
        <w:rPr>
          <w:rFonts w:ascii="Times New Roman" w:hAnsi="Times New Roman" w:cs="Times New Roman"/>
          <w:color w:val="000000" w:themeColor="text1"/>
          <w:lang w:val="uk-UA"/>
        </w:rPr>
        <w:softHyphen/>
        <w:t>national journal of impotence research. 2008;20(4):378-87. doi: 10.1038/ijir.2008.19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Svechnikov K, Landreh L, Weisser J, Izzo G, Colón E, Svechnikova I, Söder O. Origin, development and regulation of human Leydig cells. </w:t>
      </w:r>
      <w:r w:rsidRPr="00CE0A20">
        <w:rPr>
          <w:rStyle w:val="ref-journal"/>
          <w:rFonts w:ascii="Times New Roman" w:hAnsi="Times New Roman" w:cs="Times New Roman"/>
          <w:color w:val="000000" w:themeColor="text1"/>
          <w:lang w:val="uk-UA"/>
        </w:rPr>
        <w:t xml:space="preserve">Horm Res Paediatr. </w:t>
      </w:r>
      <w:r w:rsidRPr="00CE0A20">
        <w:rPr>
          <w:rStyle w:val="element-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73</w:t>
      </w:r>
      <w:r w:rsidRPr="00CE0A20">
        <w:rPr>
          <w:rStyle w:val="element-citation"/>
          <w:rFonts w:ascii="Times New Roman" w:hAnsi="Times New Roman" w:cs="Times New Roman"/>
          <w:color w:val="000000" w:themeColor="text1"/>
          <w:lang w:val="uk-UA"/>
        </w:rPr>
        <w:t>:93–101</w:t>
      </w:r>
      <w:r w:rsidRPr="00CE0A20">
        <w:rPr>
          <w:rFonts w:ascii="Times New Roman" w:hAnsi="Times New Roman" w:cs="Times New Roman"/>
          <w:color w:val="000000" w:themeColor="text1"/>
          <w:lang w:val="uk-UA"/>
        </w:rPr>
        <w:t xml:space="preserve">. </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Tajar A, Forti G, O’Neill TW, Lee DM, Silman AJ, et al. Characteristics of secondary, primary, and compensated hypogonadism in aging men: evidence from the European Male Ageing Study. </w:t>
      </w:r>
      <w:r w:rsidRPr="00CE0A20">
        <w:rPr>
          <w:rStyle w:val="ref-journal"/>
          <w:rFonts w:ascii="Times New Roman" w:hAnsi="Times New Roman" w:cs="Times New Roman"/>
          <w:color w:val="000000" w:themeColor="text1"/>
          <w:lang w:val="uk-UA"/>
        </w:rPr>
        <w:t xml:space="preserve">J Clin Endocrinol Metab. </w:t>
      </w:r>
      <w:r w:rsidRPr="00CE0A20">
        <w:rPr>
          <w:rStyle w:val="element-citation"/>
          <w:rFonts w:ascii="Times New Roman" w:hAnsi="Times New Roman" w:cs="Times New Roman"/>
          <w:color w:val="000000" w:themeColor="text1"/>
          <w:lang w:val="uk-UA"/>
        </w:rPr>
        <w:t>2010;</w:t>
      </w:r>
      <w:r w:rsidRPr="00CE0A20">
        <w:rPr>
          <w:rStyle w:val="ref-vol"/>
          <w:rFonts w:ascii="Times New Roman" w:hAnsi="Times New Roman" w:cs="Times New Roman"/>
          <w:color w:val="000000" w:themeColor="text1"/>
          <w:lang w:val="uk-UA"/>
        </w:rPr>
        <w:t>95</w:t>
      </w:r>
      <w:r w:rsidRPr="00CE0A20">
        <w:rPr>
          <w:rStyle w:val="element-citation"/>
          <w:rFonts w:ascii="Times New Roman" w:hAnsi="Times New Roman" w:cs="Times New Roman"/>
          <w:color w:val="000000" w:themeColor="text1"/>
          <w:lang w:val="uk-UA"/>
        </w:rPr>
        <w:t>:1810–1818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Tajar A, Huhtaniemi IT, O'Neill TW, Finn JD, Pye SR, Lee DM, et al. Characteristics of androgen defi</w:t>
      </w:r>
      <w:r w:rsidRPr="00CE0A20">
        <w:rPr>
          <w:rFonts w:ascii="Times New Roman" w:hAnsi="Times New Roman" w:cs="Times New Roman"/>
          <w:color w:val="000000" w:themeColor="text1"/>
          <w:lang w:val="uk-UA"/>
        </w:rPr>
        <w:softHyphen/>
        <w:t>ciency in late-onset hypogonadism: results from the European Male Aging Study (EMAS). J Clin Endo</w:t>
      </w:r>
      <w:r w:rsidRPr="00CE0A20">
        <w:rPr>
          <w:rFonts w:ascii="Times New Roman" w:hAnsi="Times New Roman" w:cs="Times New Roman"/>
          <w:color w:val="000000" w:themeColor="text1"/>
          <w:lang w:val="uk-UA"/>
        </w:rPr>
        <w:softHyphen/>
        <w:t>crinol Metab. 2012; 97(5):1508-1516. doi: 10.1210/jc.2011-2513</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Taylor J. et al. Differences in side-effect duration and related bother levels between phosphodiesterase type 5 inhibitors. BJU Int. 2009; 103: 1392–1395; </w:t>
      </w:r>
    </w:p>
    <w:p w:rsidR="001C43D0" w:rsidRPr="00CE0A20" w:rsidRDefault="001C43D0" w:rsidP="00631D82">
      <w:pPr>
        <w:pStyle w:val="a3"/>
        <w:numPr>
          <w:ilvl w:val="0"/>
          <w:numId w:val="40"/>
        </w:numPr>
        <w:tabs>
          <w:tab w:val="left" w:pos="1276"/>
          <w:tab w:val="left" w:pos="6379"/>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Teerds KJ, Huhtaniemi IT. Morphological and functional maturation of Leydig cells: from rodent models to primates. </w:t>
      </w:r>
      <w:r w:rsidRPr="00CE0A20">
        <w:rPr>
          <w:rStyle w:val="ref-journal"/>
          <w:rFonts w:ascii="Times New Roman" w:hAnsi="Times New Roman" w:cs="Times New Roman"/>
          <w:color w:val="000000" w:themeColor="text1"/>
          <w:lang w:val="uk-UA"/>
        </w:rPr>
        <w:t xml:space="preserve">Hum Reprod Update. </w:t>
      </w:r>
      <w:r w:rsidRPr="00CE0A20">
        <w:rPr>
          <w:rStyle w:val="element-citation"/>
          <w:rFonts w:ascii="Times New Roman" w:hAnsi="Times New Roman" w:cs="Times New Roman"/>
          <w:color w:val="000000" w:themeColor="text1"/>
          <w:lang w:val="uk-UA"/>
        </w:rPr>
        <w:t xml:space="preserve">2015; </w:t>
      </w:r>
      <w:r w:rsidRPr="00CE0A20">
        <w:rPr>
          <w:rStyle w:val="ref-vol"/>
          <w:rFonts w:ascii="Times New Roman" w:hAnsi="Times New Roman" w:cs="Times New Roman"/>
          <w:color w:val="000000" w:themeColor="text1"/>
          <w:lang w:val="uk-UA"/>
        </w:rPr>
        <w:t>21</w:t>
      </w:r>
      <w:r w:rsidRPr="00CE0A20">
        <w:rPr>
          <w:rStyle w:val="element-citation"/>
          <w:rFonts w:ascii="Times New Roman" w:hAnsi="Times New Roman" w:cs="Times New Roman"/>
          <w:color w:val="000000" w:themeColor="text1"/>
          <w:lang w:val="uk-UA"/>
        </w:rPr>
        <w:t>:310–328.</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34"/>
          <w:color w:val="000000" w:themeColor="text1"/>
          <w:sz w:val="28"/>
          <w:szCs w:val="28"/>
        </w:rPr>
        <w:t>Tenover JL.</w:t>
      </w:r>
      <w:r w:rsidRPr="00CE0A20">
        <w:rPr>
          <w:rFonts w:ascii="Times New Roman" w:hAnsi="Times New Roman" w:cs="Times New Roman"/>
          <w:color w:val="000000" w:themeColor="text1"/>
          <w:lang w:val="uk-UA"/>
        </w:rPr>
        <w:t xml:space="preserve"> Male hormone replacement therapy including andropause. Endocrinol. Metab. Clin. North. Am. 1998;27:969-987. </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Traish A, Guay A, Feeley R, Saad F. The dark side of testosterone defi</w:t>
      </w:r>
      <w:r w:rsidRPr="00CE0A20">
        <w:rPr>
          <w:rStyle w:val="element-citation"/>
          <w:rFonts w:ascii="Times New Roman" w:hAnsi="Times New Roman" w:cs="Times New Roman"/>
          <w:color w:val="000000" w:themeColor="text1"/>
          <w:lang w:val="uk-UA"/>
        </w:rPr>
        <w:softHyphen/>
        <w:t xml:space="preserve">ciency. I. Metabolic syndrome and erectile dysfunction. </w:t>
      </w:r>
      <w:r w:rsidRPr="00CE0A20">
        <w:rPr>
          <w:rStyle w:val="ref-journal"/>
          <w:rFonts w:ascii="Times New Roman" w:hAnsi="Times New Roman" w:cs="Times New Roman"/>
          <w:color w:val="000000" w:themeColor="text1"/>
          <w:lang w:val="uk-UA"/>
        </w:rPr>
        <w:t xml:space="preserve">J Androl. </w:t>
      </w:r>
      <w:r w:rsidRPr="00CE0A20">
        <w:rPr>
          <w:rStyle w:val="element-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30</w:t>
      </w:r>
      <w:r w:rsidRPr="00CE0A20">
        <w:rPr>
          <w:rStyle w:val="element-citation"/>
          <w:rFonts w:ascii="Times New Roman" w:hAnsi="Times New Roman" w:cs="Times New Roman"/>
          <w:color w:val="000000" w:themeColor="text1"/>
          <w:lang w:val="uk-UA"/>
        </w:rPr>
        <w:t>:10–22.</w:t>
      </w:r>
    </w:p>
    <w:p w:rsidR="001C43D0" w:rsidRPr="00CE0A20" w:rsidRDefault="001C43D0" w:rsidP="00631D82">
      <w:pPr>
        <w:pStyle w:val="a3"/>
        <w:numPr>
          <w:ilvl w:val="0"/>
          <w:numId w:val="40"/>
        </w:numPr>
        <w:tabs>
          <w:tab w:val="left" w:pos="1276"/>
        </w:tabs>
        <w:ind w:right="141"/>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Traish A, Kim N. The physiological role of androgens in penile erection: regulation of corpus cavernosum structure and </w:t>
      </w:r>
      <w:r w:rsidRPr="00CE0A20">
        <w:rPr>
          <w:rStyle w:val="highlight"/>
          <w:rFonts w:ascii="Times New Roman" w:hAnsi="Times New Roman" w:cs="Times New Roman"/>
          <w:color w:val="000000" w:themeColor="text1"/>
          <w:lang w:val="uk-UA"/>
        </w:rPr>
        <w:t>function</w:t>
      </w:r>
      <w:r w:rsidRPr="00CE0A20">
        <w:rPr>
          <w:rFonts w:ascii="Times New Roman" w:hAnsi="Times New Roman" w:cs="Times New Roman"/>
          <w:color w:val="000000" w:themeColor="text1"/>
          <w:lang w:val="uk-UA"/>
        </w:rPr>
        <w:t>. J Sex Med. 2005; 2(6):759-770. DOI: 10.1111/j.1743-6109.2005.00094.x</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Traish A, Saad F, Feeley R, Guay A. The dark side of testosterone deficiency. III. Cardiovascular disease. </w:t>
      </w:r>
      <w:r w:rsidRPr="00CE0A20">
        <w:rPr>
          <w:rStyle w:val="ref-journal"/>
          <w:rFonts w:ascii="Times New Roman" w:hAnsi="Times New Roman" w:cs="Times New Roman"/>
          <w:color w:val="000000" w:themeColor="text1"/>
          <w:lang w:val="uk-UA"/>
        </w:rPr>
        <w:t xml:space="preserve">J Androl. </w:t>
      </w:r>
      <w:r w:rsidRPr="00CE0A20">
        <w:rPr>
          <w:rStyle w:val="element-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30</w:t>
      </w:r>
      <w:r w:rsidRPr="00CE0A20">
        <w:rPr>
          <w:rStyle w:val="element-citation"/>
          <w:rFonts w:ascii="Times New Roman" w:hAnsi="Times New Roman" w:cs="Times New Roman"/>
          <w:color w:val="000000" w:themeColor="text1"/>
          <w:lang w:val="uk-UA"/>
        </w:rPr>
        <w:t>:477–494</w:t>
      </w:r>
      <w:r w:rsidRPr="00CE0A20">
        <w:rPr>
          <w:rFonts w:ascii="Times New Roman" w:hAnsi="Times New Roman" w:cs="Times New Roman"/>
          <w:color w:val="000000" w:themeColor="text1"/>
          <w:lang w:val="uk-UA"/>
        </w:rPr>
        <w:t>.</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Traish A, Saad F, Guay A. The dark side of testosterone deficiency. II. Type 2 diabetes and insulin resistance. </w:t>
      </w:r>
      <w:r w:rsidRPr="00CE0A20">
        <w:rPr>
          <w:rStyle w:val="ref-journal"/>
          <w:rFonts w:ascii="Times New Roman" w:hAnsi="Times New Roman" w:cs="Times New Roman"/>
          <w:color w:val="000000" w:themeColor="text1"/>
          <w:lang w:val="uk-UA"/>
        </w:rPr>
        <w:t xml:space="preserve">J Androl. </w:t>
      </w:r>
      <w:r w:rsidRPr="00CE0A20">
        <w:rPr>
          <w:rStyle w:val="element-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30</w:t>
      </w:r>
      <w:r w:rsidRPr="00CE0A20">
        <w:rPr>
          <w:rStyle w:val="element-citation"/>
          <w:rFonts w:ascii="Times New Roman" w:hAnsi="Times New Roman" w:cs="Times New Roman"/>
          <w:color w:val="000000" w:themeColor="text1"/>
          <w:lang w:val="uk-UA"/>
        </w:rPr>
        <w:t>:23–32.</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Traish AM, Feeley RJ, Guay A. </w:t>
      </w:r>
      <w:r w:rsidRPr="00CE0A20">
        <w:rPr>
          <w:rStyle w:val="ref-title"/>
          <w:rFonts w:ascii="Times New Roman" w:hAnsi="Times New Roman" w:cs="Times New Roman"/>
          <w:color w:val="000000" w:themeColor="text1"/>
          <w:lang w:val="uk-UA"/>
        </w:rPr>
        <w:t>Mechanisms of obesity and related pathologies: androgen deficiency and endothelial dysfunction may be the link between obesity and erectile dysfunction</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 xml:space="preserve">FEBS J. </w:t>
      </w:r>
      <w:r w:rsidRPr="00CE0A20">
        <w:rPr>
          <w:rStyle w:val="mixed-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276</w:t>
      </w:r>
      <w:r w:rsidRPr="00CE0A20">
        <w:rPr>
          <w:rStyle w:val="mixed-citation"/>
          <w:rFonts w:ascii="Times New Roman" w:hAnsi="Times New Roman" w:cs="Times New Roman"/>
          <w:color w:val="000000" w:themeColor="text1"/>
          <w:lang w:val="uk-UA"/>
        </w:rPr>
        <w:t>:5755–5767.</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Traish AM, Goldstein I, Kim NN. </w:t>
      </w:r>
      <w:r w:rsidRPr="00CE0A20">
        <w:rPr>
          <w:rStyle w:val="ref-title"/>
          <w:rFonts w:ascii="Times New Roman" w:hAnsi="Times New Roman" w:cs="Times New Roman"/>
          <w:color w:val="000000" w:themeColor="text1"/>
          <w:lang w:val="uk-UA"/>
        </w:rPr>
        <w:t>Testosterone and erectile function: from basic research to a new clinical paradigm for managing men with androgen insufficiency and erectile dysfunction</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 xml:space="preserve">Eur Urol. </w:t>
      </w:r>
      <w:r w:rsidRPr="00CE0A20">
        <w:rPr>
          <w:rStyle w:val="mixed-citation"/>
          <w:rFonts w:ascii="Times New Roman" w:hAnsi="Times New Roman" w:cs="Times New Roman"/>
          <w:color w:val="000000" w:themeColor="text1"/>
          <w:lang w:val="uk-UA"/>
        </w:rPr>
        <w:t>2007;</w:t>
      </w:r>
      <w:r w:rsidRPr="00CE0A20">
        <w:rPr>
          <w:rStyle w:val="ref-vol"/>
          <w:rFonts w:ascii="Times New Roman" w:hAnsi="Times New Roman" w:cs="Times New Roman"/>
          <w:color w:val="000000" w:themeColor="text1"/>
          <w:lang w:val="uk-UA"/>
        </w:rPr>
        <w:t>52</w:t>
      </w:r>
      <w:r w:rsidRPr="00CE0A20">
        <w:rPr>
          <w:rStyle w:val="mixed-citation"/>
          <w:rFonts w:ascii="Times New Roman" w:hAnsi="Times New Roman" w:cs="Times New Roman"/>
          <w:color w:val="000000" w:themeColor="text1"/>
          <w:lang w:val="uk-UA"/>
        </w:rPr>
        <w:t>:54–70.</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Traish AM, Miner MM, Morgentaler A, Zitzmann M. Testosterone deficiency. Am J Med. 2011;124(7):578-587. doi: 10.1016/j.amjmed. 2010.12.027.</w:t>
      </w:r>
    </w:p>
    <w:p w:rsidR="001C43D0" w:rsidRPr="00CE0A20" w:rsidRDefault="001C43D0" w:rsidP="00631D82">
      <w:pPr>
        <w:pStyle w:val="a3"/>
        <w:numPr>
          <w:ilvl w:val="0"/>
          <w:numId w:val="40"/>
        </w:numPr>
        <w:tabs>
          <w:tab w:val="left" w:pos="1276"/>
        </w:tabs>
        <w:ind w:right="141"/>
        <w:contextualSpacing/>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Traish AM. Androgens play a pivotal role in maintaining penile tissue architecture and erection: a review. J Androl. 2009; 30(4): 363-369. doi: 10.2164/jandrol.108.006007</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Travison TG, Araujo AB, Kupelian V, O’Donnell AB, McKinlay JB. The relative contributions of aging, health, and lifestyle factors to serum testosterone decline in men. </w:t>
      </w:r>
      <w:r w:rsidRPr="00CE0A20">
        <w:rPr>
          <w:rStyle w:val="ref-journal"/>
          <w:rFonts w:ascii="Times New Roman" w:hAnsi="Times New Roman" w:cs="Times New Roman"/>
          <w:color w:val="000000" w:themeColor="text1"/>
          <w:lang w:val="uk-UA"/>
        </w:rPr>
        <w:t xml:space="preserve">J Clin Endocrinol Metab. </w:t>
      </w:r>
      <w:r w:rsidRPr="00CE0A20">
        <w:rPr>
          <w:rStyle w:val="element-citation"/>
          <w:rFonts w:ascii="Times New Roman" w:hAnsi="Times New Roman" w:cs="Times New Roman"/>
          <w:color w:val="000000" w:themeColor="text1"/>
          <w:lang w:val="uk-UA"/>
        </w:rPr>
        <w:t xml:space="preserve">2007; </w:t>
      </w:r>
      <w:r w:rsidRPr="00CE0A20">
        <w:rPr>
          <w:rStyle w:val="ref-vol"/>
          <w:rFonts w:ascii="Times New Roman" w:hAnsi="Times New Roman" w:cs="Times New Roman"/>
          <w:color w:val="000000" w:themeColor="text1"/>
          <w:lang w:val="uk-UA"/>
        </w:rPr>
        <w:t>92</w:t>
      </w:r>
      <w:r w:rsidRPr="00CE0A20">
        <w:rPr>
          <w:rStyle w:val="element-citation"/>
          <w:rFonts w:ascii="Times New Roman" w:hAnsi="Times New Roman" w:cs="Times New Roman"/>
          <w:color w:val="000000" w:themeColor="text1"/>
          <w:lang w:val="uk-UA"/>
        </w:rPr>
        <w:t xml:space="preserve">: 549–55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Travison TG, Shackelton R, Araujo AB, Hall SA, Williams RE, Clark RV, et al. The natural history of symptomatic androgen deficiency in men: onset, progression, and spontaneous remission. J Am Geriatr Soc. 2008; 56(5):831-9. doi: 10.1111/j.1532-5415.2008.01679.x;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Tsang CK, Liu Y, Thomas J, Zhang Y, Zheng XF. Superoxide dismu</w:t>
      </w:r>
      <w:r w:rsidRPr="00CE0A20">
        <w:rPr>
          <w:rFonts w:ascii="Times New Roman" w:hAnsi="Times New Roman" w:cs="Times New Roman"/>
          <w:color w:val="000000" w:themeColor="text1"/>
          <w:lang w:val="uk-UA"/>
        </w:rPr>
        <w:softHyphen/>
        <w:t>tase 1 acts as a nuclear transcription factor to regulate oxidative stress resistance. Nat Commun. 2014 Mar19,5:3446.</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en-US"/>
        </w:rPr>
        <w:t>Trinick TR, Feneley MR, Welford H, Carruthers M. International web survey shows high prevalence of symptomatic testosterone deficiency in men. Aging Male</w:t>
      </w:r>
      <w:r w:rsidRPr="00CE0A20">
        <w:rPr>
          <w:rStyle w:val="cit"/>
          <w:rFonts w:ascii="Times New Roman" w:hAnsi="Times New Roman" w:cs="Times New Roman"/>
          <w:color w:val="000000" w:themeColor="text1"/>
          <w:lang w:val="en-US"/>
        </w:rPr>
        <w:t xml:space="preserve">. 2011;14(1):10–15,. </w:t>
      </w:r>
      <w:r w:rsidRPr="00CE0A20">
        <w:rPr>
          <w:rStyle w:val="doi"/>
          <w:rFonts w:ascii="Times New Roman" w:hAnsi="Times New Roman" w:cs="Times New Roman"/>
          <w:color w:val="000000" w:themeColor="text1"/>
          <w:lang w:val="en-US"/>
        </w:rPr>
        <w:t xml:space="preserve">doi:  </w:t>
      </w:r>
      <w:r w:rsidRPr="00CE0A20">
        <w:rPr>
          <w:rFonts w:ascii="Times New Roman" w:hAnsi="Times New Roman" w:cs="Times New Roman"/>
          <w:color w:val="000000" w:themeColor="text1"/>
          <w:lang w:val="en-US"/>
        </w:rPr>
        <w:t>10.3109/13685538.2010.511325</w:t>
      </w:r>
      <w:r w:rsidRPr="00CE0A20">
        <w:rPr>
          <w:rFonts w:ascii="Times New Roman" w:hAnsi="Times New Roman" w:cs="Times New Roman"/>
          <w:color w:val="000000" w:themeColor="text1"/>
          <w:lang w:val="uk-UA"/>
        </w:rPr>
        <w:t>.</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Väätäinen S, Keinänen-Kiukaanniemi S, Saramies J. et al. Quality of life along the diabetes continuum: A cross-sectional view of health-related quality of life and general health status in middleaged and older Finns. Qual. Life Res. 2014;23:1935-1944.</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Ventimiglia E, Capogrosso P, Montorsi F, Salonia A. The safety of phosphodiesterase type 5 inhibitors for erectile dysfunction. Expert Opin Drug Saf. 2016; 15 (2): 141–152. doi: 10.1517/14740338.2016.1131818 </w:t>
      </w:r>
    </w:p>
    <w:p w:rsidR="001C43D0" w:rsidRPr="00CE0A20" w:rsidRDefault="001C43D0" w:rsidP="00631D82">
      <w:pPr>
        <w:pStyle w:val="a3"/>
        <w:numPr>
          <w:ilvl w:val="0"/>
          <w:numId w:val="40"/>
        </w:numPr>
        <w:tabs>
          <w:tab w:val="left" w:pos="1276"/>
        </w:tabs>
        <w:ind w:right="141"/>
        <w:jc w:val="both"/>
        <w:rPr>
          <w:rStyle w:val="31"/>
          <w:color w:val="000000" w:themeColor="text1"/>
          <w:sz w:val="28"/>
          <w:szCs w:val="28"/>
          <w:lang w:val="uk-UA"/>
        </w:rPr>
      </w:pPr>
      <w:r w:rsidRPr="00CE0A20">
        <w:rPr>
          <w:rFonts w:ascii="Times New Roman" w:hAnsi="Times New Roman" w:cs="Times New Roman"/>
          <w:color w:val="000000" w:themeColor="text1"/>
          <w:lang w:val="uk-UA"/>
        </w:rPr>
        <w:t xml:space="preserve">Vlachopoulos C, Jackson G, Stefanadis C, et al. Erectile dysfunction in the cardiovascular patient. Eur Heart J. 2013;34(27):2034-2046, doi: </w:t>
      </w:r>
      <w:r w:rsidRPr="00CE0A20">
        <w:rPr>
          <w:rStyle w:val="31"/>
          <w:color w:val="000000" w:themeColor="text1"/>
          <w:sz w:val="28"/>
          <w:szCs w:val="28"/>
          <w:lang w:val="uk-UA"/>
        </w:rPr>
        <w:t>10.1093/eurheartj/eht112.</w:t>
      </w:r>
    </w:p>
    <w:p w:rsidR="001C43D0" w:rsidRPr="00CE0A20" w:rsidRDefault="001C43D0" w:rsidP="00631D82">
      <w:pPr>
        <w:pStyle w:val="a3"/>
        <w:numPr>
          <w:ilvl w:val="0"/>
          <w:numId w:val="40"/>
        </w:numPr>
        <w:tabs>
          <w:tab w:val="left" w:pos="1276"/>
        </w:tabs>
        <w:ind w:right="141"/>
        <w:jc w:val="both"/>
        <w:rPr>
          <w:rStyle w:val="31"/>
          <w:color w:val="000000" w:themeColor="text1"/>
          <w:sz w:val="28"/>
          <w:szCs w:val="28"/>
          <w:lang w:val="uk-UA"/>
        </w:rPr>
      </w:pPr>
      <w:r w:rsidRPr="00CE0A20">
        <w:rPr>
          <w:rFonts w:ascii="Times New Roman" w:hAnsi="Times New Roman" w:cs="Times New Roman"/>
          <w:color w:val="000000" w:themeColor="text1"/>
          <w:lang w:val="uk-UA"/>
        </w:rPr>
        <w:t xml:space="preserve">Vlachopoulos CV Terentes-Printzios DG, Ioakeimidis NK, et al. Prediction of cardiovascular events and all-cause mortality with erectile dysfunction: a systematic review and meta-analysis of cohort studies. Circ Cardiovasc Qual Outcomes. 2013;6(1):99-109, doi: </w:t>
      </w:r>
      <w:r w:rsidRPr="00CE0A20">
        <w:rPr>
          <w:rStyle w:val="31"/>
          <w:color w:val="000000" w:themeColor="text1"/>
          <w:sz w:val="28"/>
          <w:szCs w:val="28"/>
          <w:lang w:val="uk-UA"/>
        </w:rPr>
        <w:t>10.1161/CIRCOUTCOMES.112.966903.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Walczak MK, LokhandwalaN, HodgeMB, Guay AT. Prevalence of cardiovascular risk factors in erectile dysfunction. J. Gend. Specif. Med. – 2002;5(6):19-24.</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Wang C, Jackson G, Jones TH, Matsumoto AM, Nehra A, Perelman MA et al. Low </w:t>
      </w:r>
      <w:r w:rsidRPr="00CE0A20">
        <w:rPr>
          <w:rStyle w:val="highlight"/>
          <w:rFonts w:ascii="Times New Roman" w:eastAsia="Batang" w:hAnsi="Times New Roman" w:cs="Times New Roman"/>
          <w:color w:val="000000" w:themeColor="text1"/>
          <w:lang w:val="uk-UA"/>
        </w:rPr>
        <w:t>testosterone</w:t>
      </w:r>
      <w:r w:rsidRPr="00CE0A20">
        <w:rPr>
          <w:rFonts w:ascii="Times New Roman" w:hAnsi="Times New Roman" w:cs="Times New Roman"/>
          <w:color w:val="000000" w:themeColor="text1"/>
          <w:lang w:val="uk-UA"/>
        </w:rPr>
        <w:t xml:space="preserve"> associated with obesity and the metabolic syndrome contributes to sexual dysfunction and cardiovascular disease risk in men with type 2 </w:t>
      </w:r>
      <w:r w:rsidRPr="00CE0A20">
        <w:rPr>
          <w:rStyle w:val="highlight"/>
          <w:rFonts w:ascii="Times New Roman" w:eastAsia="Batang" w:hAnsi="Times New Roman" w:cs="Times New Roman"/>
          <w:color w:val="000000" w:themeColor="text1"/>
          <w:lang w:val="uk-UA"/>
        </w:rPr>
        <w:t>diabetes</w:t>
      </w:r>
      <w:r w:rsidRPr="00CE0A20">
        <w:rPr>
          <w:rFonts w:ascii="Times New Roman" w:hAnsi="Times New Roman" w:cs="Times New Roman"/>
          <w:color w:val="000000" w:themeColor="text1"/>
          <w:lang w:val="uk-UA"/>
        </w:rPr>
        <w:t xml:space="preserve">. </w:t>
      </w:r>
      <w:r w:rsidRPr="00CE0A20">
        <w:rPr>
          <w:rStyle w:val="highlight"/>
          <w:rFonts w:ascii="Times New Roman" w:hAnsi="Times New Roman" w:cs="Times New Roman"/>
          <w:color w:val="000000" w:themeColor="text1"/>
          <w:lang w:val="uk-UA"/>
        </w:rPr>
        <w:t>Diabetes</w:t>
      </w:r>
      <w:r w:rsidRPr="00CE0A20">
        <w:rPr>
          <w:rFonts w:ascii="Times New Roman" w:hAnsi="Times New Roman" w:cs="Times New Roman"/>
          <w:color w:val="000000" w:themeColor="text1"/>
          <w:lang w:val="uk-UA"/>
        </w:rPr>
        <w:t xml:space="preserve"> Care. 2011;34(7):1669-75. doi: 10.2337/dc10-2339.</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Wang C, Nieschlag E, Swerdloff R, Behre HM, Hellstrom WJ, Gooren LJ, et al. Investigation, treatment, and monitoring of late-onset hypogo</w:t>
      </w:r>
      <w:r w:rsidRPr="00CE0A20">
        <w:rPr>
          <w:rFonts w:ascii="Times New Roman" w:hAnsi="Times New Roman" w:cs="Times New Roman"/>
          <w:color w:val="000000" w:themeColor="text1"/>
          <w:lang w:val="uk-UA"/>
        </w:rPr>
        <w:softHyphen/>
        <w:t>nadism in males: ISA, ISSAM, EAU, EAA, and ASA recommenda</w:t>
      </w:r>
      <w:r w:rsidRPr="00CE0A20">
        <w:rPr>
          <w:rFonts w:ascii="Times New Roman" w:hAnsi="Times New Roman" w:cs="Times New Roman"/>
          <w:color w:val="000000" w:themeColor="text1"/>
          <w:lang w:val="uk-UA"/>
        </w:rPr>
        <w:softHyphen/>
        <w:t xml:space="preserve">tions. European urology. 2009;55(1):121-30. doi: 10.1016/j.eururo.2008.08.033PMID: 18762364;  </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Wang XJ, Xu TY, Xia LL, Zhong S, Zhang XH, Zhu ZW, et al. </w:t>
      </w:r>
      <w:r w:rsidRPr="00CE0A20">
        <w:rPr>
          <w:rFonts w:ascii="Times New Roman" w:eastAsia="Times New Roman" w:hAnsi="Times New Roman" w:cs="Times New Roman"/>
          <w:bCs/>
          <w:color w:val="000000" w:themeColor="text1"/>
          <w:kern w:val="36"/>
          <w:lang w:val="uk-UA"/>
        </w:rPr>
        <w:t xml:space="preserve">Castration impairs erectile organ structure and function by inhibiting autophagy and promoting apoptosis of corpus cavernosum smooth muscle cells in rats. </w:t>
      </w:r>
      <w:r w:rsidRPr="00CE0A20">
        <w:rPr>
          <w:rFonts w:ascii="Times New Roman" w:eastAsia="Times New Roman" w:hAnsi="Times New Roman" w:cs="Times New Roman"/>
          <w:color w:val="000000" w:themeColor="text1"/>
          <w:lang w:val="uk-UA"/>
        </w:rPr>
        <w:t>Int Urol Nephrol. 2015; 47(7):1105-1115. doi: 10.1007/s11255-015-1011-3</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Wu F, Zitzmann M, Heiselman D, Donatucci C, Knorr J, Patel AB, KinchenK. Demographic and Clinical Correlates of Patient-Reported Improvement in Sex Drive, Erectile Function, and Energy With Testosterone Solution 2.J Sex Med. 2016;13(8):1212-9. doi: 10.1016/j.jsxm.2016.05.010</w:t>
      </w:r>
    </w:p>
    <w:p w:rsidR="001C43D0" w:rsidRPr="00CE0A20" w:rsidRDefault="001C43D0" w:rsidP="00631D82">
      <w:pPr>
        <w:pStyle w:val="a3"/>
        <w:numPr>
          <w:ilvl w:val="0"/>
          <w:numId w:val="40"/>
        </w:numPr>
        <w:tabs>
          <w:tab w:val="left" w:pos="1276"/>
        </w:tabs>
        <w:ind w:right="141"/>
        <w:jc w:val="both"/>
        <w:rPr>
          <w:rStyle w:val="mixed-citation"/>
          <w:rFonts w:ascii="Times New Roman"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Wu FC, Tajar A, Beynon JM, et al. </w:t>
      </w:r>
      <w:r w:rsidRPr="00CE0A20">
        <w:rPr>
          <w:rStyle w:val="ref-title"/>
          <w:rFonts w:ascii="Times New Roman" w:hAnsi="Times New Roman" w:cs="Times New Roman"/>
          <w:color w:val="000000" w:themeColor="text1"/>
          <w:lang w:val="uk-UA"/>
        </w:rPr>
        <w:t>Identification of late-onset hypogonadism in middle-aged and elderly men</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N Engl J Med.</w:t>
      </w:r>
      <w:r w:rsidRPr="00CE0A20">
        <w:rPr>
          <w:rStyle w:val="mixed-citation"/>
          <w:rFonts w:ascii="Times New Roman" w:hAnsi="Times New Roman" w:cs="Times New Roman"/>
          <w:color w:val="000000" w:themeColor="text1"/>
          <w:lang w:val="uk-UA"/>
        </w:rPr>
        <w:t xml:space="preserve"> 2010;</w:t>
      </w:r>
      <w:r w:rsidRPr="00CE0A20">
        <w:rPr>
          <w:rStyle w:val="ref-vol"/>
          <w:rFonts w:ascii="Times New Roman" w:hAnsi="Times New Roman" w:cs="Times New Roman"/>
          <w:color w:val="000000" w:themeColor="text1"/>
          <w:lang w:val="uk-UA"/>
        </w:rPr>
        <w:t>363</w:t>
      </w:r>
      <w:r w:rsidRPr="00CE0A20">
        <w:rPr>
          <w:rStyle w:val="mixed-citation"/>
          <w:rFonts w:ascii="Times New Roman" w:hAnsi="Times New Roman" w:cs="Times New Roman"/>
          <w:color w:val="000000" w:themeColor="text1"/>
          <w:lang w:val="uk-UA"/>
        </w:rPr>
        <w:t>:123–135.</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Wu FC, Tajar A, Pye SR, Silman AJ, Finn JD, et al. Hypothalamic-pituitary-testicular axis disruptions in older men are differentially linked to age and modifiable risk factors: the European Male Aging Study. </w:t>
      </w:r>
      <w:r w:rsidRPr="00CE0A20">
        <w:rPr>
          <w:rStyle w:val="ref-journal"/>
          <w:rFonts w:ascii="Times New Roman" w:hAnsi="Times New Roman" w:cs="Times New Roman"/>
          <w:color w:val="000000" w:themeColor="text1"/>
          <w:lang w:val="uk-UA"/>
        </w:rPr>
        <w:t xml:space="preserve">J Clin Endocrinol Metab. </w:t>
      </w:r>
      <w:r w:rsidRPr="00CE0A20">
        <w:rPr>
          <w:rStyle w:val="element-citation"/>
          <w:rFonts w:ascii="Times New Roman" w:hAnsi="Times New Roman" w:cs="Times New Roman"/>
          <w:color w:val="000000" w:themeColor="text1"/>
          <w:lang w:val="uk-UA"/>
        </w:rPr>
        <w:t>2008;</w:t>
      </w:r>
      <w:r w:rsidRPr="00CE0A20">
        <w:rPr>
          <w:rStyle w:val="ref-vol"/>
          <w:rFonts w:ascii="Times New Roman" w:hAnsi="Times New Roman" w:cs="Times New Roman"/>
          <w:color w:val="000000" w:themeColor="text1"/>
          <w:lang w:val="uk-UA"/>
        </w:rPr>
        <w:t>93</w:t>
      </w:r>
      <w:r w:rsidRPr="00CE0A20">
        <w:rPr>
          <w:rStyle w:val="element-citation"/>
          <w:rFonts w:ascii="Times New Roman" w:hAnsi="Times New Roman" w:cs="Times New Roman"/>
          <w:color w:val="000000" w:themeColor="text1"/>
          <w:lang w:val="uk-UA"/>
        </w:rPr>
        <w:t>:2737–2745</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Yang J, Zong X, Wu G, Lin S, Feng Y, Hu J. Taurine increases testicular function in aged rats by inhibiting oxidative stress and apoptosis. Amino Acids, 2015;47(8):1549-58. </w:t>
      </w:r>
    </w:p>
    <w:p w:rsidR="001C43D0" w:rsidRPr="00CE0A20" w:rsidRDefault="001C43D0" w:rsidP="00631D82">
      <w:pPr>
        <w:pStyle w:val="a3"/>
        <w:numPr>
          <w:ilvl w:val="0"/>
          <w:numId w:val="40"/>
        </w:numPr>
        <w:tabs>
          <w:tab w:val="left" w:pos="1276"/>
        </w:tabs>
        <w:ind w:right="141"/>
        <w:jc w:val="both"/>
        <w:rPr>
          <w:rFonts w:ascii="Times New Roman" w:hAnsi="Times New Roman" w:cs="Times New Roman"/>
          <w:color w:val="000000" w:themeColor="text1"/>
          <w:lang w:val="uk-UA"/>
        </w:rPr>
      </w:pPr>
      <w:r w:rsidRPr="00CE0A20">
        <w:rPr>
          <w:rFonts w:ascii="Times New Roman" w:hAnsi="Times New Roman" w:cs="Times New Roman"/>
          <w:color w:val="000000" w:themeColor="text1"/>
          <w:lang w:val="uk-UA"/>
        </w:rPr>
        <w:t xml:space="preserve">Yang Y,  Li Z, Wu X,  Chen H,  Xu W,  Xiang Q, et al.  </w:t>
      </w:r>
      <w:r w:rsidRPr="00CE0A20">
        <w:rPr>
          <w:rFonts w:ascii="Times New Roman" w:hAnsi="Times New Roman" w:cs="Times New Roman"/>
          <w:bCs/>
          <w:color w:val="000000" w:themeColor="text1"/>
          <w:lang w:val="uk-UA"/>
        </w:rPr>
        <w:t xml:space="preserve">Direct reprogramming of mouse fibroblasts toward leydig-like cells by defined factors/ </w:t>
      </w:r>
      <w:r w:rsidRPr="00CE0A20">
        <w:rPr>
          <w:rFonts w:ascii="Times New Roman" w:hAnsi="Times New Roman" w:cs="Times New Roman"/>
          <w:color w:val="000000" w:themeColor="text1"/>
          <w:lang w:val="uk-UA"/>
        </w:rPr>
        <w:t>Stem Cell Reports</w:t>
      </w:r>
      <w:r w:rsidRPr="00CE0A20">
        <w:rPr>
          <w:rStyle w:val="cit"/>
          <w:rFonts w:ascii="Times New Roman" w:hAnsi="Times New Roman" w:cs="Times New Roman"/>
          <w:color w:val="000000" w:themeColor="text1"/>
          <w:lang w:val="uk-UA"/>
        </w:rPr>
        <w:t xml:space="preserve">. 2017; 8(1): 39–53. </w:t>
      </w:r>
      <w:r w:rsidRPr="00CE0A20">
        <w:rPr>
          <w:rStyle w:val="doi"/>
          <w:rFonts w:ascii="Times New Roman" w:hAnsi="Times New Roman" w:cs="Times New Roman"/>
          <w:color w:val="000000" w:themeColor="text1"/>
          <w:lang w:val="uk-UA"/>
        </w:rPr>
        <w:t xml:space="preserve">doi:  </w:t>
      </w:r>
      <w:r w:rsidRPr="00CE0A20">
        <w:rPr>
          <w:rFonts w:ascii="Times New Roman" w:hAnsi="Times New Roman" w:cs="Times New Roman"/>
          <w:color w:val="000000" w:themeColor="text1"/>
          <w:lang w:val="uk-UA"/>
        </w:rPr>
        <w:t>10.1016/j.stemcr.2016.11.010</w:t>
      </w:r>
    </w:p>
    <w:p w:rsidR="001C43D0" w:rsidRPr="00CE0A20" w:rsidRDefault="001C43D0" w:rsidP="00631D82">
      <w:pPr>
        <w:pStyle w:val="a3"/>
        <w:numPr>
          <w:ilvl w:val="0"/>
          <w:numId w:val="40"/>
        </w:numPr>
        <w:tabs>
          <w:tab w:val="left" w:pos="1276"/>
        </w:tabs>
        <w:ind w:right="141"/>
        <w:contextualSpacing/>
        <w:jc w:val="both"/>
        <w:rPr>
          <w:rFonts w:ascii="Times New Roman" w:eastAsia="Times New Roman" w:hAnsi="Times New Roman" w:cs="Times New Roman"/>
          <w:color w:val="000000" w:themeColor="text1"/>
          <w:lang w:val="uk-UA"/>
        </w:rPr>
      </w:pPr>
      <w:r w:rsidRPr="00CE0A20">
        <w:rPr>
          <w:rFonts w:ascii="Times New Roman" w:eastAsia="Times New Roman" w:hAnsi="Times New Roman" w:cs="Times New Roman"/>
          <w:color w:val="000000" w:themeColor="text1"/>
          <w:lang w:val="uk-UA"/>
        </w:rPr>
        <w:t xml:space="preserve">Yassin AA, Akhras F, El-Sakka AI, Saad F. </w:t>
      </w:r>
      <w:r w:rsidRPr="00CE0A20">
        <w:rPr>
          <w:rFonts w:ascii="Times New Roman" w:eastAsia="Times New Roman" w:hAnsi="Times New Roman" w:cs="Times New Roman"/>
          <w:bCs/>
          <w:color w:val="000000" w:themeColor="text1"/>
          <w:kern w:val="36"/>
          <w:lang w:val="uk-UA"/>
        </w:rPr>
        <w:t xml:space="preserve">Cardiovascular diseases and erectile dysfunction: the two faces of the coin of androgen deficiency. </w:t>
      </w:r>
      <w:r w:rsidRPr="00CE0A20">
        <w:rPr>
          <w:rFonts w:ascii="Times New Roman" w:eastAsia="Times New Roman" w:hAnsi="Times New Roman" w:cs="Times New Roman"/>
          <w:color w:val="000000" w:themeColor="text1"/>
          <w:lang w:val="uk-UA"/>
        </w:rPr>
        <w:t>Andrologia. 2011 Feb;43(1):1-8. doi: 10.1111/j.1439-0272.2009.01021.x</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Yazawa T, Mizutani T, Yamada K, Kawata H, Sekiguchi T, Yoshino M, et al. Differentiation of adult stem cells derived from bone marrow stroma into Leydig or adrenocortical cells.</w:t>
      </w:r>
      <w:r w:rsidRPr="00CE0A20">
        <w:rPr>
          <w:rStyle w:val="ref-journal"/>
          <w:rFonts w:ascii="Times New Roman" w:hAnsi="Times New Roman" w:cs="Times New Roman"/>
          <w:color w:val="000000" w:themeColor="text1"/>
          <w:lang w:val="uk-UA"/>
        </w:rPr>
        <w:t xml:space="preserve">Endocrinology. </w:t>
      </w:r>
      <w:r w:rsidRPr="00CE0A20">
        <w:rPr>
          <w:rStyle w:val="element-citation"/>
          <w:rFonts w:ascii="Times New Roman" w:hAnsi="Times New Roman" w:cs="Times New Roman"/>
          <w:color w:val="000000" w:themeColor="text1"/>
          <w:lang w:val="uk-UA"/>
        </w:rPr>
        <w:t>2006;</w:t>
      </w:r>
      <w:r w:rsidRPr="00CE0A20">
        <w:rPr>
          <w:rStyle w:val="ref-vol"/>
          <w:rFonts w:ascii="Times New Roman" w:hAnsi="Times New Roman" w:cs="Times New Roman"/>
          <w:color w:val="000000" w:themeColor="text1"/>
          <w:lang w:val="uk-UA"/>
        </w:rPr>
        <w:t>147</w:t>
      </w:r>
      <w:r w:rsidRPr="00CE0A20">
        <w:rPr>
          <w:rStyle w:val="element-citation"/>
          <w:rFonts w:ascii="Times New Roman" w:hAnsi="Times New Roman" w:cs="Times New Roman"/>
          <w:color w:val="000000" w:themeColor="text1"/>
          <w:lang w:val="uk-UA"/>
        </w:rPr>
        <w:t>:4104–4111.</w:t>
      </w:r>
    </w:p>
    <w:p w:rsidR="001C43D0" w:rsidRPr="00CE0A20" w:rsidRDefault="001C43D0" w:rsidP="00631D82">
      <w:pPr>
        <w:pStyle w:val="a3"/>
        <w:numPr>
          <w:ilvl w:val="0"/>
          <w:numId w:val="40"/>
        </w:numPr>
        <w:tabs>
          <w:tab w:val="left" w:pos="1276"/>
        </w:tabs>
        <w:ind w:right="141"/>
        <w:contextualSpacing/>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Yeap BB, Chubb SA, Hyde Z, Jamrozik K, Hankey GJ, et al. Lower serum testosterone is independently associated with insulin resistance in non-diabetic older men: the Health In Men Study. </w:t>
      </w:r>
      <w:r w:rsidRPr="00CE0A20">
        <w:rPr>
          <w:rStyle w:val="ref-journal"/>
          <w:rFonts w:ascii="Times New Roman" w:hAnsi="Times New Roman" w:cs="Times New Roman"/>
          <w:color w:val="000000" w:themeColor="text1"/>
          <w:lang w:val="uk-UA"/>
        </w:rPr>
        <w:t xml:space="preserve">Eur J Endocrinol. </w:t>
      </w:r>
      <w:r w:rsidRPr="00CE0A20">
        <w:rPr>
          <w:rStyle w:val="element-citation"/>
          <w:rFonts w:ascii="Times New Roman" w:hAnsi="Times New Roman" w:cs="Times New Roman"/>
          <w:color w:val="000000" w:themeColor="text1"/>
          <w:lang w:val="uk-UA"/>
        </w:rPr>
        <w:t>2009;</w:t>
      </w:r>
      <w:r w:rsidRPr="00CE0A20">
        <w:rPr>
          <w:rStyle w:val="ref-vol"/>
          <w:rFonts w:ascii="Times New Roman" w:hAnsi="Times New Roman" w:cs="Times New Roman"/>
          <w:color w:val="000000" w:themeColor="text1"/>
          <w:lang w:val="uk-UA"/>
        </w:rPr>
        <w:t>161</w:t>
      </w:r>
      <w:r w:rsidRPr="00CE0A20">
        <w:rPr>
          <w:rStyle w:val="element-citation"/>
          <w:rFonts w:ascii="Times New Roman" w:hAnsi="Times New Roman" w:cs="Times New Roman"/>
          <w:color w:val="000000" w:themeColor="text1"/>
          <w:lang w:val="uk-UA"/>
        </w:rPr>
        <w:t>:591–598</w:t>
      </w:r>
    </w:p>
    <w:p w:rsidR="001C43D0" w:rsidRPr="00CE0A20" w:rsidRDefault="001C43D0" w:rsidP="00631D82">
      <w:pPr>
        <w:pStyle w:val="a3"/>
        <w:numPr>
          <w:ilvl w:val="0"/>
          <w:numId w:val="40"/>
        </w:numPr>
        <w:tabs>
          <w:tab w:val="left" w:pos="1276"/>
        </w:tabs>
        <w:ind w:right="141"/>
        <w:jc w:val="both"/>
        <w:rPr>
          <w:rStyle w:val="element-citation"/>
          <w:rFonts w:ascii="Times New Roman" w:hAnsi="Times New Roman" w:cs="Times New Roman"/>
          <w:color w:val="000000" w:themeColor="text1"/>
          <w:lang w:val="uk-UA"/>
        </w:rPr>
      </w:pPr>
      <w:r w:rsidRPr="00CE0A20">
        <w:rPr>
          <w:rStyle w:val="element-citation"/>
          <w:rFonts w:ascii="Times New Roman" w:hAnsi="Times New Roman" w:cs="Times New Roman"/>
          <w:color w:val="000000" w:themeColor="text1"/>
          <w:lang w:val="uk-UA"/>
        </w:rPr>
        <w:t xml:space="preserve">Yeap BB. Testosterone and cardiovascular disease risk. </w:t>
      </w:r>
      <w:r w:rsidRPr="00CE0A20">
        <w:rPr>
          <w:rStyle w:val="ref-journal"/>
          <w:rFonts w:ascii="Times New Roman" w:hAnsi="Times New Roman" w:cs="Times New Roman"/>
          <w:color w:val="000000" w:themeColor="text1"/>
          <w:lang w:val="uk-UA"/>
        </w:rPr>
        <w:t xml:space="preserve">Curr Opin Endocrinol Diabetes Obes. </w:t>
      </w:r>
      <w:r w:rsidRPr="00CE0A20">
        <w:rPr>
          <w:rStyle w:val="element-citation"/>
          <w:rFonts w:ascii="Times New Roman" w:hAnsi="Times New Roman" w:cs="Times New Roman"/>
          <w:color w:val="000000" w:themeColor="text1"/>
          <w:lang w:val="uk-UA"/>
        </w:rPr>
        <w:t>2015;</w:t>
      </w:r>
      <w:r w:rsidRPr="00CE0A20">
        <w:rPr>
          <w:rStyle w:val="ref-vol"/>
          <w:rFonts w:ascii="Times New Roman" w:hAnsi="Times New Roman" w:cs="Times New Roman"/>
          <w:color w:val="000000" w:themeColor="text1"/>
          <w:lang w:val="uk-UA"/>
        </w:rPr>
        <w:t>22</w:t>
      </w:r>
      <w:r w:rsidRPr="00CE0A20">
        <w:rPr>
          <w:rStyle w:val="element-citation"/>
          <w:rFonts w:ascii="Times New Roman" w:hAnsi="Times New Roman" w:cs="Times New Roman"/>
          <w:color w:val="000000" w:themeColor="text1"/>
          <w:lang w:val="uk-UA"/>
        </w:rPr>
        <w:t>:193–202.</w:t>
      </w:r>
    </w:p>
    <w:p w:rsidR="001C43D0" w:rsidRPr="00CE0A20" w:rsidRDefault="001C43D0" w:rsidP="00631D82">
      <w:pPr>
        <w:pStyle w:val="a3"/>
        <w:numPr>
          <w:ilvl w:val="0"/>
          <w:numId w:val="40"/>
        </w:numPr>
        <w:tabs>
          <w:tab w:val="left" w:pos="1276"/>
        </w:tabs>
        <w:ind w:right="141"/>
        <w:jc w:val="both"/>
        <w:rPr>
          <w:rStyle w:val="mixed-citation"/>
          <w:rFonts w:ascii="Times New Roman" w:eastAsia="Arial" w:hAnsi="Times New Roman" w:cs="Times New Roman"/>
          <w:color w:val="000000" w:themeColor="text1"/>
          <w:lang w:val="uk-UA"/>
        </w:rPr>
      </w:pPr>
      <w:r w:rsidRPr="00CE0A20">
        <w:rPr>
          <w:rStyle w:val="mixed-citation"/>
          <w:rFonts w:ascii="Times New Roman" w:hAnsi="Times New Roman" w:cs="Times New Roman"/>
          <w:color w:val="000000" w:themeColor="text1"/>
          <w:lang w:val="uk-UA"/>
        </w:rPr>
        <w:t xml:space="preserve">Yialamas MA, Dwyer AA, Hanley E, Lee H, Pitteloud N, Hayes FJ. </w:t>
      </w:r>
      <w:r w:rsidRPr="00CE0A20">
        <w:rPr>
          <w:rStyle w:val="ref-title"/>
          <w:rFonts w:ascii="Times New Roman" w:hAnsi="Times New Roman" w:cs="Times New Roman"/>
          <w:color w:val="000000" w:themeColor="text1"/>
          <w:lang w:val="uk-UA"/>
        </w:rPr>
        <w:t>Acute sex steroid withdrawal reduces insulin sensitivity in healthy men with idiopathic hypogonadotropic hypogonadism</w:t>
      </w:r>
      <w:r w:rsidRPr="00CE0A20">
        <w:rPr>
          <w:rStyle w:val="mixed-citation"/>
          <w:rFonts w:ascii="Times New Roman" w:hAnsi="Times New Roman" w:cs="Times New Roman"/>
          <w:color w:val="000000" w:themeColor="text1"/>
          <w:lang w:val="uk-UA"/>
        </w:rPr>
        <w:t xml:space="preserve">. </w:t>
      </w:r>
      <w:r w:rsidRPr="00CE0A20">
        <w:rPr>
          <w:rStyle w:val="ref-journal"/>
          <w:rFonts w:ascii="Times New Roman" w:hAnsi="Times New Roman" w:cs="Times New Roman"/>
          <w:color w:val="000000" w:themeColor="text1"/>
          <w:lang w:val="uk-UA"/>
        </w:rPr>
        <w:t>J Clin Endocrinol Metab</w:t>
      </w:r>
      <w:r w:rsidRPr="00CE0A20">
        <w:rPr>
          <w:rStyle w:val="mixed-citation"/>
          <w:rFonts w:ascii="Times New Roman" w:hAnsi="Times New Roman" w:cs="Times New Roman"/>
          <w:color w:val="000000" w:themeColor="text1"/>
          <w:lang w:val="uk-UA"/>
        </w:rPr>
        <w:t xml:space="preserve"> 2007;</w:t>
      </w:r>
      <w:r w:rsidRPr="00CE0A20">
        <w:rPr>
          <w:rStyle w:val="ref-vol"/>
          <w:rFonts w:ascii="Times New Roman" w:hAnsi="Times New Roman" w:cs="Times New Roman"/>
          <w:color w:val="000000" w:themeColor="text1"/>
          <w:lang w:val="uk-UA"/>
        </w:rPr>
        <w:t>92</w:t>
      </w:r>
      <w:r w:rsidRPr="00CE0A20">
        <w:rPr>
          <w:rStyle w:val="mixed-citation"/>
          <w:rFonts w:ascii="Times New Roman" w:hAnsi="Times New Roman" w:cs="Times New Roman"/>
          <w:color w:val="000000" w:themeColor="text1"/>
          <w:lang w:val="uk-UA"/>
        </w:rPr>
        <w:t>:4254–4259.</w:t>
      </w:r>
    </w:p>
    <w:p w:rsidR="001C43D0" w:rsidRPr="00CE0A20" w:rsidRDefault="001C43D0" w:rsidP="00631D82">
      <w:pPr>
        <w:pStyle w:val="a3"/>
        <w:numPr>
          <w:ilvl w:val="0"/>
          <w:numId w:val="40"/>
        </w:numPr>
        <w:tabs>
          <w:tab w:val="left" w:pos="1276"/>
        </w:tabs>
        <w:ind w:right="141"/>
        <w:jc w:val="both"/>
        <w:rPr>
          <w:rFonts w:ascii="Times New Roman" w:eastAsia="Arial" w:hAnsi="Times New Roman" w:cs="Times New Roman"/>
          <w:color w:val="000000" w:themeColor="text1"/>
          <w:lang w:val="uk-UA"/>
        </w:rPr>
      </w:pPr>
      <w:r w:rsidRPr="00CE0A20">
        <w:rPr>
          <w:rFonts w:ascii="Times New Roman" w:hAnsi="Times New Roman" w:cs="Times New Roman"/>
          <w:color w:val="000000" w:themeColor="text1"/>
          <w:lang w:val="uk-UA"/>
        </w:rPr>
        <w:t>Zhang L, Wu S, Ruan Y, Hong L, Xing X, Lai W. Testosterone suppresses oxidative stress via androgen receptor-independent pathway in murine cardiomyocytes. Mol Med Rep. 2011;4(6):1183-8.</w:t>
      </w:r>
    </w:p>
    <w:p w:rsidR="001C43D0" w:rsidRPr="00CE0A20" w:rsidRDefault="001C43D0" w:rsidP="00631D82">
      <w:pPr>
        <w:pStyle w:val="a3"/>
        <w:numPr>
          <w:ilvl w:val="0"/>
          <w:numId w:val="40"/>
        </w:numPr>
        <w:spacing w:after="200" w:line="276" w:lineRule="auto"/>
        <w:rPr>
          <w:rFonts w:ascii="Times New Roman" w:hAnsi="Times New Roman" w:cs="Times New Roman"/>
          <w:bCs/>
          <w:color w:val="000000" w:themeColor="text1"/>
          <w:lang w:val="uk-UA"/>
        </w:rPr>
      </w:pPr>
      <w:r w:rsidRPr="00CE0A20">
        <w:rPr>
          <w:rFonts w:ascii="Times New Roman" w:hAnsi="Times New Roman" w:cs="Times New Roman"/>
          <w:bCs/>
          <w:color w:val="000000" w:themeColor="text1"/>
          <w:lang w:val="uk-UA"/>
        </w:rPr>
        <w:br w:type="page"/>
      </w:r>
    </w:p>
    <w:p w:rsidR="001C43D0" w:rsidRPr="00CE0A20" w:rsidRDefault="001C43D0" w:rsidP="001C43D0">
      <w:pPr>
        <w:spacing w:line="360" w:lineRule="auto"/>
        <w:jc w:val="right"/>
        <w:rPr>
          <w:rFonts w:ascii="Times New Roman" w:eastAsia="MS Mincho" w:hAnsi="Times New Roman" w:cs="Times New Roman"/>
          <w:color w:val="auto"/>
          <w:sz w:val="28"/>
          <w:szCs w:val="28"/>
          <w:lang w:val="en-US" w:eastAsia="ja-JP"/>
        </w:rPr>
      </w:pPr>
      <w:r w:rsidRPr="00CE0A20">
        <w:rPr>
          <w:rFonts w:ascii="Times New Roman" w:eastAsia="MS Mincho" w:hAnsi="Times New Roman" w:cs="Times New Roman"/>
          <w:color w:val="auto"/>
          <w:sz w:val="28"/>
          <w:szCs w:val="28"/>
          <w:lang w:val="uk-UA" w:eastAsia="ja-JP"/>
        </w:rPr>
        <w:t>Додаток А</w:t>
      </w:r>
    </w:p>
    <w:p w:rsidR="001C43D0" w:rsidRPr="00CE0A20" w:rsidRDefault="001C43D0" w:rsidP="00CF7496">
      <w:pPr>
        <w:spacing w:line="360" w:lineRule="auto"/>
        <w:ind w:left="-567" w:firstLine="568"/>
        <w:jc w:val="center"/>
        <w:rPr>
          <w:rFonts w:ascii="Times New Roman" w:hAnsi="Times New Roman" w:cs="Times New Roman"/>
          <w:b/>
          <w:sz w:val="28"/>
          <w:szCs w:val="28"/>
          <w:lang w:val="uk-UA"/>
        </w:rPr>
      </w:pPr>
      <w:r w:rsidRPr="00CE0A20">
        <w:rPr>
          <w:rFonts w:ascii="Times New Roman" w:hAnsi="Times New Roman" w:cs="Times New Roman"/>
          <w:b/>
          <w:sz w:val="28"/>
          <w:szCs w:val="28"/>
          <w:lang w:val="uk-UA"/>
        </w:rPr>
        <w:t>СПИСОК ОПУБЛІКОВАНИХ ПРАЦЬ ЗА ТЕМОЮ ДИСЕРТАЦІЇ</w:t>
      </w:r>
    </w:p>
    <w:p w:rsidR="001C43D0" w:rsidRPr="00CE0A20" w:rsidRDefault="001C43D0" w:rsidP="00CF7496">
      <w:pPr>
        <w:spacing w:line="360" w:lineRule="auto"/>
        <w:ind w:left="-567" w:firstLine="568"/>
        <w:jc w:val="center"/>
        <w:rPr>
          <w:rFonts w:ascii="Times New Roman" w:hAnsi="Times New Roman" w:cs="Times New Roman"/>
          <w:b/>
          <w:sz w:val="28"/>
          <w:szCs w:val="28"/>
          <w:lang w:val="uk-UA"/>
        </w:rPr>
      </w:pPr>
      <w:r w:rsidRPr="00CE0A20">
        <w:rPr>
          <w:rFonts w:ascii="Times New Roman" w:hAnsi="Times New Roman" w:cs="Times New Roman"/>
          <w:b/>
          <w:sz w:val="28"/>
          <w:szCs w:val="28"/>
          <w:lang w:val="uk-UA"/>
        </w:rPr>
        <w:t>Праці, у яких опубліковані основні результати  дисертації:</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ИМ, Хвисюк АН. О становлении трансплантологии в Украине: юридические аспекты. Международный медицинский журнал. 2005; 2:148-151. (Здобувач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ИМ, Хвисюк АН, Микулинский ЮЕ, Антонян МИ Трансплантология: история и современность. Проблеми медичної науки та освіти.  2005;2:67-70. (Здобувач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ИМ. Регенерационная медицина: проблемы и решения. Харківська хірургічна школа. 2005; 3 (18):82-85.</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shd w:val="clear" w:color="auto" w:fill="FFFFFF"/>
        </w:rPr>
        <w:t xml:space="preserve">Антонян И.М., Хвисюк А.Н. Сегодня и завтра регенерационно-клеточной медицины. </w:t>
      </w:r>
      <w:r w:rsidRPr="00CE0A20">
        <w:rPr>
          <w:rFonts w:ascii="Times New Roman" w:hAnsi="Times New Roman" w:cs="Times New Roman"/>
          <w:bCs/>
          <w:shd w:val="clear" w:color="auto" w:fill="FFFFFF"/>
        </w:rPr>
        <w:t xml:space="preserve">Дерматовенерология, косметология, сексопатология. </w:t>
      </w:r>
      <w:r w:rsidRPr="00CE0A20">
        <w:rPr>
          <w:rFonts w:ascii="Times New Roman" w:hAnsi="Times New Roman" w:cs="Times New Roman"/>
          <w:shd w:val="clear" w:color="auto" w:fill="FFFFFF"/>
        </w:rPr>
        <w:t> </w:t>
      </w:r>
      <w:r w:rsidRPr="00CE0A20">
        <w:rPr>
          <w:rFonts w:ascii="Times New Roman" w:hAnsi="Times New Roman" w:cs="Times New Roman"/>
          <w:bCs/>
          <w:shd w:val="clear" w:color="auto" w:fill="FFFFFF"/>
        </w:rPr>
        <w:t xml:space="preserve">2005; 1/2: </w:t>
      </w:r>
      <w:r w:rsidRPr="00CE0A20">
        <w:rPr>
          <w:rFonts w:ascii="Times New Roman" w:hAnsi="Times New Roman" w:cs="Times New Roman"/>
          <w:shd w:val="clear" w:color="auto" w:fill="FFFFFF"/>
        </w:rPr>
        <w:t xml:space="preserve">201-204. </w:t>
      </w:r>
      <w:r w:rsidRPr="00CE0A20">
        <w:rPr>
          <w:rFonts w:ascii="Times New Roman" w:hAnsi="Times New Roman" w:cs="Times New Roman"/>
        </w:rPr>
        <w:t>(Здобувач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ИМ. Изучение ферментов перекисного окисления липидов в эксперименте по подбору эффективной дозы хлорида кадмия для создания модели мужского бесплодия у самцов крыс. Проблеми сучасної медичної науки та освіти. 2009;4:66-69.</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ИМ. Определение эффективной концентрации кадмия хлорида для создания модели необратимого бесплодия у самцов крыс. Проблеми сучасної медичної науки та освіти. 2010; 1:48-57.</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ІМ. Визначення ефективної кількості стовбурових клітин та методу введення для корекції гормональної дисфункції в експерименті на самцях щурів. Проблеми сучасної медичної науки та освіти. 2010;  4:74-76.</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ІМ. Використання культури стовбурових клітин для корекції андрогенного дефіциту в щурів. Проблеми безперервної медичної освіти та науки. 2011;1: 57-59.</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Лесовой ВН, Андоньева НМ, Антонян ИМ, Ларъяновская ЮБ, Кешишян  СА. Применение стромальных стволовых клеток при эксперимен</w:t>
      </w:r>
      <w:r w:rsidRPr="00CE0A20">
        <w:rPr>
          <w:rFonts w:ascii="Times New Roman" w:hAnsi="Times New Roman" w:cs="Times New Roman"/>
        </w:rPr>
        <w:softHyphen/>
        <w:t>тальном гипогонадизме. Медицина сьогодні і завтра. 2011; 1-2 (50-51): 132-140. (Здобувач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 xml:space="preserve">Лісовий ВМ, Антонян ІМ. Визначення шляхів введення культури стовбурових клітин і їх кількості для лікування вторинного андрогенного дефіциту у самців щурів. Експерим. і клініч. медицина. 2011;3 (52):26-29. (Дисертант  </w:t>
      </w:r>
      <w:r w:rsidRPr="00CE0A20">
        <w:rPr>
          <w:rStyle w:val="25"/>
          <w:rFonts w:cs="Times New Roman"/>
          <w:i w:val="0"/>
          <w:iCs/>
          <w:sz w:val="28"/>
        </w:rPr>
        <w:t>самостійно провів</w:t>
      </w:r>
      <w:r w:rsidRPr="00CE0A20">
        <w:rPr>
          <w:rStyle w:val="25"/>
          <w:rFonts w:cs="Times New Roman"/>
          <w:iCs/>
          <w:sz w:val="28"/>
        </w:rPr>
        <w:t xml:space="preserve"> </w:t>
      </w:r>
      <w:r w:rsidRPr="00CE0A20">
        <w:rPr>
          <w:rFonts w:ascii="Times New Roman" w:hAnsi="Times New Roman" w:cs="Times New Roman"/>
        </w:rPr>
        <w:t>аналіз ефективності застосованої лікувальної методики, систематизував отримані результати, написав основні розділи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 xml:space="preserve">Лісовий ВМ, Антонян ІМ, Микулінський ЮЮ. Вплив різної кількості стовбурових клітин на гормональний статус самців щурів і стан їх антиоксидантного захисту на моделі андрогенного дефіциту. Експерим. і клініч. медицина. 2011; 4: 31-34. (Дисертант  </w:t>
      </w:r>
      <w:r w:rsidRPr="00CE0A20">
        <w:rPr>
          <w:rStyle w:val="25"/>
          <w:rFonts w:cs="Times New Roman"/>
          <w:iCs/>
          <w:sz w:val="28"/>
        </w:rPr>
        <w:t xml:space="preserve">самостійно провів </w:t>
      </w:r>
      <w:r w:rsidRPr="00CE0A20">
        <w:rPr>
          <w:rFonts w:ascii="Times New Roman" w:hAnsi="Times New Roman" w:cs="Times New Roman"/>
        </w:rPr>
        <w:t>аналіз ефективності застосованої лікувальної методики, систематизував отримані результати, написав основні розділи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 xml:space="preserve">Антонян ІМ. Вивчення впливу інтратестікулярного введення культури стовбурових клітин на стан піддослідних щурів на тлі їх ураження двохлористим кадмієм. Світ медицини та біології.  2012;1: 114-119.  </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ІМ. Віддалені результати інтратестикулярного введення клітин строми кісткового мозку щурам з експериментальним гіпогонадизмом. Укр. морфол. альманах. 2012; 10( 2): 82-87.</w:t>
      </w:r>
      <w:r w:rsidRPr="00CE0A20">
        <w:rPr>
          <w:rFonts w:ascii="Times New Roman" w:hAnsi="Times New Roman" w:cs="Times New Roman"/>
          <w:i/>
        </w:rPr>
        <w:t xml:space="preserve"> </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ІМ, Волчік ІВ, Лар’яновська ЮБ. Вивчення морфоструктури сім’яників щурів під впливом стовбурових клітин на моделі вторинного андрогенного дефіциту. Український медичний альманах. 2012;15 (3): 18-23. (Автором особисто проаналізовані літературні джерела, виконано експериментальне дослідження  та підготовлений текст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ІМ. Дослідження морфоструктури тестикул самців щурів після введення клітин строми кісткового мозку на тлі ураження тварин токсином. Укр. мед. альманах. 2012; 15(4):  30-33.</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eastAsia="Arial" w:hAnsi="Times New Roman" w:cs="Times New Roman"/>
          <w:iCs/>
        </w:rPr>
        <w:t xml:space="preserve">Лесовой ВН, Антонян ИМ, Ларьяновская ЮБ. </w:t>
      </w:r>
      <w:r w:rsidRPr="00CE0A20">
        <w:rPr>
          <w:rFonts w:ascii="Times New Roman" w:eastAsia="Arial" w:hAnsi="Times New Roman" w:cs="Times New Roman"/>
        </w:rPr>
        <w:t xml:space="preserve">Изменения гормонального статуса и морфометрических показателей под действием культуры стромальных клеток при экспериментальном гипогонадизме. Експериментальна і клінічна медицина.  2012; 4 (57):6-12. </w:t>
      </w:r>
      <w:r w:rsidRPr="00CE0A20">
        <w:rPr>
          <w:rFonts w:ascii="Times New Roman" w:hAnsi="Times New Roman" w:cs="Times New Roman"/>
        </w:rPr>
        <w:t>(Автором особисто проаналізовані літературні джерела, виконано експериментальне дослідження  та підготовлений текст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ІМ. Зміни сперматогенного епітелію при застосуванні стовбурових клітин на моделі експериментального гіпогонадизму. Вісник проблем біології і медицини. 2012;1(91):88-90</w:t>
      </w:r>
      <w:r w:rsidRPr="00CE0A20">
        <w:rPr>
          <w:rFonts w:ascii="Times New Roman" w:hAnsi="Times New Roman" w:cs="Times New Roman"/>
          <w:i/>
        </w:rPr>
        <w:t xml:space="preserve"> </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 xml:space="preserve">Лесовой ВН, Антонян ИМ, Кешишян СА. </w:t>
      </w:r>
      <w:r w:rsidRPr="00CE0A20">
        <w:rPr>
          <w:rFonts w:ascii="Times New Roman" w:hAnsi="Times New Roman" w:cs="Times New Roman"/>
          <w:bCs/>
        </w:rPr>
        <w:t>Есть ли альтернатива фармакотерапии при андрогенном дефиците?</w:t>
      </w:r>
      <w:r w:rsidRPr="00CE0A20">
        <w:rPr>
          <w:rFonts w:ascii="Times New Roman" w:hAnsi="Times New Roman" w:cs="Times New Roman"/>
          <w:shd w:val="clear" w:color="auto" w:fill="F9F9F9"/>
        </w:rPr>
        <w:t> </w:t>
      </w:r>
      <w:r w:rsidRPr="00CE0A20">
        <w:rPr>
          <w:rFonts w:ascii="Times New Roman" w:hAnsi="Times New Roman" w:cs="Times New Roman"/>
        </w:rPr>
        <w:t xml:space="preserve"> Здоровье мужчины</w:t>
      </w:r>
      <w:r w:rsidRPr="00CE0A20">
        <w:rPr>
          <w:rFonts w:ascii="Times New Roman" w:hAnsi="Times New Roman" w:cs="Times New Roman"/>
          <w:shd w:val="clear" w:color="auto" w:fill="F9F9F9"/>
        </w:rPr>
        <w:t>.</w:t>
      </w:r>
      <w:r w:rsidRPr="00CE0A20">
        <w:rPr>
          <w:rFonts w:ascii="Times New Roman" w:hAnsi="Times New Roman" w:cs="Times New Roman"/>
        </w:rPr>
        <w:t xml:space="preserve"> 2012; 3:31-33 (Автором особисто проаналізовані літературні джерела, виконано клінічне дослідження  та підготовлений текст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 xml:space="preserve">Антонян ІМ. Вивчення впливу інтратестикулярного введення культури стовбурових клітин на стан піддослідних щурів на тлі їх ураження двохлористим кадмієм. Вісник проблем біології і медицини. 2012; 1(3): 125-130. </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eastAsia="Franklin Gothic Heavy" w:hAnsi="Times New Roman" w:cs="Times New Roman"/>
          <w:iCs/>
          <w:shd w:val="clear" w:color="auto" w:fill="FFFFFF"/>
        </w:rPr>
        <w:t>Антонян ИМ.</w:t>
      </w:r>
      <w:r w:rsidRPr="00CE0A20">
        <w:rPr>
          <w:rFonts w:ascii="Times New Roman" w:eastAsia="Franklin Gothic Heavy" w:hAnsi="Times New Roman" w:cs="Times New Roman"/>
          <w:iCs/>
          <w:shd w:val="clear" w:color="auto" w:fill="FFFFFF"/>
          <w:lang w:val="uk-UA"/>
        </w:rPr>
        <w:t xml:space="preserve"> </w:t>
      </w:r>
      <w:r w:rsidRPr="00CE0A20">
        <w:rPr>
          <w:rFonts w:ascii="Times New Roman" w:hAnsi="Times New Roman" w:cs="Times New Roman"/>
        </w:rPr>
        <w:t xml:space="preserve">Возможности применения стволовых клеток для коррекции вторичного андрогенного дефицита у крыс. Вісник проблем біологіїі і медицини. 2013;2 (100): 112-115. </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Лісовий ВМ, Антонян ІМ, Волчік ІВ, Лар'яновська ЮБ.  Вплив одно- та двобічного інтратестикулярного введення різної кількості стовбурових клітин на стан щурів з експериментальною моделлю вторинного андрогенного дефіциту. Медицина сьогодні і завтра. 2013;  1: 5-15 (Автором особисто проаналізовані літературні джерела, виконано експериментальне дослідження  та підготовлений текст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Лісовий ВМ, Антонян ІМ. Зміни показників копулятивної поведінки самців щурів з експериментальним гіпогонадизмом під впливом клітинної терапії. Експериментальна і клінічна медицина. 2013; 2: 18-22. (Автором особисто проаналізовані літературні джерела, виконано експериментальне дослідження  та підготовлений текст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ІМ, Волчік ІВ, Омельченко ОА. Використання клітинних технологій для корекції копулятивної поведінки тварин в експерименті.  Урологія. 2014; 18(2): 20-23.</w:t>
      </w:r>
      <w:r w:rsidRPr="00CE0A20">
        <w:rPr>
          <w:rFonts w:ascii="Times New Roman" w:hAnsi="Times New Roman" w:cs="Times New Roman"/>
          <w:i/>
        </w:rPr>
        <w:t xml:space="preserve"> </w:t>
      </w:r>
      <w:r w:rsidRPr="00CE0A20">
        <w:rPr>
          <w:rFonts w:ascii="Times New Roman" w:hAnsi="Times New Roman" w:cs="Times New Roman"/>
        </w:rPr>
        <w:t>(Автором особисто проаналізовані літературні джерела, виконано екпериментальне дослідження  та підготовлений текст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ИМ. Роль стромальных стволовых клеток при лечении экспериментального гипогонадизма. Урологія. 2015; 19( 3): 311-314.</w:t>
      </w:r>
    </w:p>
    <w:p w:rsidR="001C43D0" w:rsidRPr="00CE0A20" w:rsidRDefault="001C43D0" w:rsidP="00CF7496">
      <w:pPr>
        <w:pStyle w:val="a3"/>
        <w:numPr>
          <w:ilvl w:val="0"/>
          <w:numId w:val="38"/>
        </w:numPr>
        <w:spacing w:after="120"/>
        <w:contextualSpacing/>
        <w:jc w:val="both"/>
        <w:rPr>
          <w:rFonts w:ascii="Times New Roman" w:hAnsi="Times New Roman" w:cs="Times New Roman"/>
          <w:lang w:val="uk-UA"/>
        </w:rPr>
      </w:pPr>
      <w:r w:rsidRPr="00CE0A20">
        <w:rPr>
          <w:rFonts w:ascii="Times New Roman" w:hAnsi="Times New Roman" w:cs="Times New Roman"/>
        </w:rPr>
        <w:t>Антонян ИМ, Россихин ВВ, Бухмин АВ, Мегера ВВ, Якубовский</w:t>
      </w:r>
      <w:r w:rsidRPr="00CE0A20">
        <w:rPr>
          <w:rFonts w:ascii="Times New Roman" w:hAnsi="Times New Roman" w:cs="Times New Roman"/>
          <w:bCs/>
        </w:rPr>
        <w:t xml:space="preserve"> </w:t>
      </w:r>
      <w:r w:rsidRPr="00CE0A20">
        <w:rPr>
          <w:rFonts w:ascii="Times New Roman" w:hAnsi="Times New Roman" w:cs="Times New Roman"/>
        </w:rPr>
        <w:t>ВН.</w:t>
      </w:r>
      <w:r w:rsidRPr="00CE0A20">
        <w:rPr>
          <w:rFonts w:ascii="Times New Roman" w:hAnsi="Times New Roman" w:cs="Times New Roman"/>
          <w:shd w:val="clear" w:color="auto" w:fill="F9F9F9"/>
        </w:rPr>
        <w:t xml:space="preserve"> </w:t>
      </w:r>
      <w:r w:rsidRPr="00CE0A20">
        <w:rPr>
          <w:rFonts w:ascii="Times New Roman" w:hAnsi="Times New Roman" w:cs="Times New Roman"/>
          <w:bCs/>
        </w:rPr>
        <w:t>Применение препаратов альфа-липоевой кислоты для лечения эректильной дисфункции у больных сахарным диабетом 2-го типа.</w:t>
      </w:r>
      <w:r w:rsidRPr="00CE0A20">
        <w:rPr>
          <w:rFonts w:ascii="Times New Roman" w:hAnsi="Times New Roman" w:cs="Times New Roman"/>
        </w:rPr>
        <w:t xml:space="preserve"> Здоровье мужчины</w:t>
      </w:r>
      <w:r w:rsidRPr="00CE0A20">
        <w:rPr>
          <w:rFonts w:ascii="Times New Roman" w:hAnsi="Times New Roman" w:cs="Times New Roman"/>
          <w:shd w:val="clear" w:color="auto" w:fill="F9F9F9"/>
        </w:rPr>
        <w:t xml:space="preserve">. </w:t>
      </w:r>
      <w:r w:rsidRPr="00CE0A20">
        <w:rPr>
          <w:rFonts w:ascii="Times New Roman" w:hAnsi="Times New Roman" w:cs="Times New Roman"/>
        </w:rPr>
        <w:t>2016; 3: 43-46 (Здобувач вивчив дані сучасної світової літератури, проаналізував і провів узагальнення отриманих даних, підготував статтю до друку).</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 xml:space="preserve">Антонян ІМ, Березна ТВ, Чепенко АВ. Оцінка рівнів статевих гормонів та ліпідного профілю у чоловіків із безпліддям на тлі метаболічного синдрому та високого індексу маси тіла. Міжнародний медичний журнал.  2016;22(4):42-45. (Дисертант  </w:t>
      </w:r>
      <w:r w:rsidRPr="00CE0A20">
        <w:rPr>
          <w:rStyle w:val="25"/>
          <w:rFonts w:cs="Times New Roman"/>
          <w:iCs/>
          <w:sz w:val="28"/>
        </w:rPr>
        <w:t xml:space="preserve">самостійно провів </w:t>
      </w:r>
      <w:r w:rsidRPr="00CE0A20">
        <w:rPr>
          <w:rFonts w:ascii="Times New Roman" w:hAnsi="Times New Roman" w:cs="Times New Roman"/>
        </w:rPr>
        <w:t>аналіз ефективності застосованої лікувальної методики, систематизував отримані результати, написав основні розділи статті)</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ІМ, Березна ТВ, Чепенко АВ.  Шляхи корекції чоловічого безпліддя на тлі метаболічного синдрому та високого індексу маси тіла. Актуал. пробл. сучасн. мед. : Вісн. Укр. мед. стомат. акад. 2016; 16(4 (1):55-57.  (</w:t>
      </w:r>
      <w:r w:rsidRPr="00CE0A20">
        <w:rPr>
          <w:rFonts w:ascii="Times New Roman" w:hAnsi="Times New Roman" w:cs="Times New Roman"/>
          <w:lang w:eastAsia="uk-UA"/>
        </w:rPr>
        <w:t>Дисертантом проведена частина експериментальних досліджень, опрацьовані аналізи результатів дослідження, підготовлено статтю до друку</w:t>
      </w:r>
      <w:r w:rsidRPr="00CE0A20">
        <w:rPr>
          <w:rFonts w:ascii="Times New Roman" w:hAnsi="Times New Roman" w:cs="Times New Roman"/>
        </w:rPr>
        <w:t>)</w:t>
      </w:r>
    </w:p>
    <w:p w:rsidR="001C43D0" w:rsidRPr="00CE0A20" w:rsidRDefault="001C43D0" w:rsidP="00CF7496">
      <w:pPr>
        <w:pStyle w:val="a3"/>
        <w:numPr>
          <w:ilvl w:val="0"/>
          <w:numId w:val="38"/>
        </w:numPr>
        <w:spacing w:after="120"/>
        <w:contextualSpacing/>
        <w:jc w:val="both"/>
        <w:rPr>
          <w:rFonts w:ascii="Times New Roman" w:hAnsi="Times New Roman" w:cs="Times New Roman"/>
        </w:rPr>
      </w:pPr>
      <w:r w:rsidRPr="00CE0A20">
        <w:rPr>
          <w:rFonts w:ascii="Times New Roman" w:hAnsi="Times New Roman" w:cs="Times New Roman"/>
        </w:rPr>
        <w:t>Антонян ИМ, Омельченко ЕА, Забирняк ИС. Изменения гормонального статуса животных в условиях андрогенного дефицита под влиянием сингенной культуры стволовых клеток. Трекинг и флуоресцентный имиджинг клеток EX VIVO/IN VIVO. Український журнал медицини, біології та спорту.  2017; 2 (4):7-15. (Автор забезпечував добір літературних джерел, самостійно проводив статистичну обробку та об</w:t>
      </w:r>
      <w:r w:rsidRPr="00CE0A20">
        <w:rPr>
          <w:rFonts w:ascii="Times New Roman" w:hAnsi="Times New Roman" w:cs="Times New Roman"/>
          <w:bCs/>
          <w:color w:val="222222"/>
          <w:shd w:val="clear" w:color="auto" w:fill="FFFFFF"/>
        </w:rPr>
        <w:t>ґ</w:t>
      </w:r>
      <w:r w:rsidRPr="00CE0A20">
        <w:rPr>
          <w:rFonts w:ascii="Times New Roman" w:hAnsi="Times New Roman" w:cs="Times New Roman"/>
        </w:rPr>
        <w:t>рунтування отриманих результатів)</w:t>
      </w:r>
    </w:p>
    <w:p w:rsidR="001C43D0" w:rsidRPr="00CE0A20" w:rsidRDefault="001C43D0" w:rsidP="00CF7496">
      <w:pPr>
        <w:pStyle w:val="a3"/>
        <w:spacing w:after="120"/>
        <w:ind w:firstLine="696"/>
        <w:jc w:val="both"/>
        <w:rPr>
          <w:rFonts w:ascii="Times New Roman" w:hAnsi="Times New Roman" w:cs="Times New Roman"/>
          <w:b/>
          <w:lang w:val="uk-UA"/>
        </w:rPr>
      </w:pPr>
    </w:p>
    <w:p w:rsidR="001C43D0" w:rsidRPr="00CE0A20" w:rsidRDefault="001C43D0" w:rsidP="00CF7496">
      <w:pPr>
        <w:pStyle w:val="a3"/>
        <w:spacing w:after="120"/>
        <w:ind w:firstLine="696"/>
        <w:jc w:val="both"/>
        <w:rPr>
          <w:rFonts w:ascii="Times New Roman" w:hAnsi="Times New Roman" w:cs="Times New Roman"/>
          <w:b/>
          <w:lang w:val="uk-UA"/>
        </w:rPr>
      </w:pPr>
      <w:r w:rsidRPr="00CE0A20">
        <w:rPr>
          <w:rFonts w:ascii="Times New Roman" w:hAnsi="Times New Roman" w:cs="Times New Roman"/>
          <w:b/>
          <w:lang w:val="uk-UA"/>
        </w:rPr>
        <w:t>Праці, які засвідчують апробацію матеріалів дисертації:</w:t>
      </w:r>
    </w:p>
    <w:p w:rsidR="001C43D0" w:rsidRPr="00CE0A20" w:rsidRDefault="001C43D0" w:rsidP="00CF7496">
      <w:pPr>
        <w:pStyle w:val="a3"/>
        <w:numPr>
          <w:ilvl w:val="0"/>
          <w:numId w:val="37"/>
        </w:numPr>
        <w:spacing w:after="120"/>
        <w:contextualSpacing/>
        <w:jc w:val="both"/>
        <w:rPr>
          <w:rFonts w:ascii="Times New Roman" w:hAnsi="Times New Roman" w:cs="Times New Roman"/>
          <w:shd w:val="clear" w:color="auto" w:fill="FFFFFF"/>
          <w:lang w:val="uk-UA"/>
        </w:rPr>
      </w:pPr>
      <w:r w:rsidRPr="00CE0A20">
        <w:rPr>
          <w:rFonts w:ascii="Times New Roman" w:hAnsi="Times New Roman" w:cs="Times New Roman"/>
          <w:iCs/>
          <w:lang w:val="uk-UA"/>
        </w:rPr>
        <w:t xml:space="preserve">Антонян И.М., Кешишян С.А.  </w:t>
      </w:r>
      <w:r w:rsidRPr="00CE0A20">
        <w:rPr>
          <w:rFonts w:ascii="Times New Roman" w:hAnsi="Times New Roman" w:cs="Times New Roman"/>
          <w:iCs/>
        </w:rPr>
        <w:t>С</w:t>
      </w:r>
      <w:r w:rsidRPr="00CE0A20">
        <w:rPr>
          <w:rFonts w:ascii="Times New Roman" w:hAnsi="Times New Roman" w:cs="Times New Roman"/>
          <w:bCs/>
        </w:rPr>
        <w:t>уществуют ли альтернативы заместительной андрогенной терапии  //</w:t>
      </w:r>
      <w:r w:rsidRPr="00CE0A20">
        <w:rPr>
          <w:rFonts w:ascii="Times New Roman" w:hAnsi="Times New Roman" w:cs="Times New Roman"/>
        </w:rPr>
        <w:t xml:space="preserve">Урологія, андрологія, нефрологія – 2013: Материалы научно-практической конференции </w:t>
      </w:r>
      <w:r w:rsidRPr="00CE0A20">
        <w:rPr>
          <w:rFonts w:ascii="Times New Roman" w:hAnsi="Times New Roman" w:cs="Times New Roman"/>
          <w:iCs/>
        </w:rPr>
        <w:t xml:space="preserve">/ Под ред. В.Н.Лесового, И.М.Антоняна и др. – Харьков, 2013. – С. </w:t>
      </w:r>
      <w:r w:rsidRPr="00CE0A20">
        <w:rPr>
          <w:rFonts w:ascii="Times New Roman" w:hAnsi="Times New Roman" w:cs="Times New Roman"/>
          <w:bCs/>
        </w:rPr>
        <w:t>219 -222</w:t>
      </w:r>
      <w:r w:rsidRPr="00CE0A20">
        <w:rPr>
          <w:rFonts w:ascii="Times New Roman" w:hAnsi="Times New Roman" w:cs="Times New Roman"/>
          <w:bCs/>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120"/>
        <w:contextualSpacing/>
        <w:jc w:val="both"/>
        <w:rPr>
          <w:rFonts w:ascii="Times New Roman" w:hAnsi="Times New Roman" w:cs="Times New Roman"/>
        </w:rPr>
      </w:pPr>
      <w:r w:rsidRPr="00CE0A20">
        <w:rPr>
          <w:rFonts w:ascii="Times New Roman" w:hAnsi="Times New Roman" w:cs="Times New Roman"/>
        </w:rPr>
        <w:t xml:space="preserve">Антонян ИМ, Зеленский АИ, Белов ВЮ, Налбандян ТА, Горячая ВА, Михайлюта  АА.  </w:t>
      </w:r>
      <w:r w:rsidRPr="00CE0A20">
        <w:rPr>
          <w:rFonts w:ascii="Times New Roman" w:hAnsi="Times New Roman" w:cs="Times New Roman"/>
          <w:bCs/>
        </w:rPr>
        <w:t>Урологические аспекты метаболического синдрома</w:t>
      </w:r>
      <w:r w:rsidRPr="00CE0A20">
        <w:rPr>
          <w:rFonts w:ascii="Times New Roman" w:hAnsi="Times New Roman" w:cs="Times New Roman"/>
          <w:shd w:val="clear" w:color="auto" w:fill="F9F9F9"/>
        </w:rPr>
        <w:t xml:space="preserve">. </w:t>
      </w:r>
      <w:r w:rsidRPr="00CE0A20">
        <w:rPr>
          <w:rFonts w:ascii="Times New Roman" w:hAnsi="Times New Roman" w:cs="Times New Roman"/>
        </w:rPr>
        <w:t>Здоровье мужчины. 2014; 2: 165 (тези)</w:t>
      </w:r>
    </w:p>
    <w:p w:rsidR="001C43D0" w:rsidRPr="00CE0A20" w:rsidRDefault="001C43D0" w:rsidP="00CF7496">
      <w:pPr>
        <w:pStyle w:val="a3"/>
        <w:numPr>
          <w:ilvl w:val="0"/>
          <w:numId w:val="37"/>
        </w:numPr>
        <w:spacing w:after="120"/>
        <w:contextualSpacing/>
        <w:jc w:val="both"/>
        <w:rPr>
          <w:rFonts w:ascii="Times New Roman" w:hAnsi="Times New Roman" w:cs="Times New Roman"/>
          <w:shd w:val="clear" w:color="auto" w:fill="FFFFFF"/>
          <w:lang w:val="uk-UA"/>
        </w:rPr>
      </w:pPr>
      <w:r w:rsidRPr="00CE0A20">
        <w:rPr>
          <w:rFonts w:ascii="Times New Roman" w:hAnsi="Times New Roman" w:cs="Times New Roman"/>
          <w:lang w:val="uk-UA"/>
        </w:rPr>
        <w:t>Антонян І.М., Забірник А.С., Омельченко О.А., Волчик І.В.</w:t>
      </w:r>
      <w:r w:rsidRPr="00CE0A20">
        <w:rPr>
          <w:rFonts w:ascii="Times New Roman" w:hAnsi="Times New Roman" w:cs="Times New Roman"/>
          <w:i/>
          <w:lang w:val="uk-UA"/>
        </w:rPr>
        <w:t xml:space="preserve"> </w:t>
      </w:r>
      <w:r w:rsidRPr="00CE0A20">
        <w:rPr>
          <w:rFonts w:ascii="Times New Roman" w:hAnsi="Times New Roman" w:cs="Times New Roman"/>
          <w:lang w:val="uk-UA"/>
        </w:rPr>
        <w:t xml:space="preserve">Визначення шляхів введення клітини строми кісткового мозку та підтвердження їх трекінгу на моделі вторинного андрогенного дефіциту у щурів </w:t>
      </w:r>
      <w:r w:rsidRPr="00CE0A20">
        <w:rPr>
          <w:rFonts w:ascii="Times New Roman" w:hAnsi="Times New Roman" w:cs="Times New Roman"/>
          <w:bCs/>
          <w:lang w:val="uk-UA"/>
        </w:rPr>
        <w:t>//</w:t>
      </w:r>
      <w:r w:rsidRPr="00CE0A20">
        <w:rPr>
          <w:rFonts w:ascii="Times New Roman" w:hAnsi="Times New Roman" w:cs="Times New Roman"/>
          <w:lang w:val="uk-UA"/>
        </w:rPr>
        <w:t xml:space="preserve">Урологія, андрологія, нефрологія – 2016: Материалы научно-практической конференции </w:t>
      </w:r>
      <w:r w:rsidRPr="00CE0A20">
        <w:rPr>
          <w:rFonts w:ascii="Times New Roman" w:hAnsi="Times New Roman" w:cs="Times New Roman"/>
          <w:iCs/>
          <w:lang w:val="uk-UA"/>
        </w:rPr>
        <w:t xml:space="preserve">/ Под ред. </w:t>
      </w:r>
      <w:r w:rsidRPr="00CE0A20">
        <w:rPr>
          <w:rFonts w:ascii="Times New Roman" w:hAnsi="Times New Roman" w:cs="Times New Roman"/>
          <w:iCs/>
        </w:rPr>
        <w:t xml:space="preserve">В.Н.Лесового, И.М.Антоняна и др. – Харьков, 2016. – С. </w:t>
      </w:r>
      <w:r w:rsidRPr="00CE0A20">
        <w:rPr>
          <w:rFonts w:ascii="Times New Roman" w:hAnsi="Times New Roman" w:cs="Times New Roman"/>
          <w:bCs/>
        </w:rPr>
        <w:t>280-281</w:t>
      </w:r>
      <w:r w:rsidRPr="00CE0A20">
        <w:rPr>
          <w:rFonts w:ascii="Times New Roman" w:hAnsi="Times New Roman" w:cs="Times New Roman"/>
          <w:bCs/>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120"/>
        <w:contextualSpacing/>
        <w:jc w:val="both"/>
        <w:rPr>
          <w:rFonts w:ascii="Times New Roman" w:hAnsi="Times New Roman" w:cs="Times New Roman"/>
        </w:rPr>
      </w:pPr>
      <w:r w:rsidRPr="00CE0A20">
        <w:rPr>
          <w:rFonts w:ascii="Times New Roman" w:hAnsi="Times New Roman" w:cs="Times New Roman"/>
        </w:rPr>
        <w:t>Антонян ІМ, Березна ТВ. Зміни кровообігу у чоловіків на тлі метаболічного синдрому та явищ патоспермії. «Сучасні методи діагностики та лікування в урології, андрології та онкоурології»: Матеріали науково-практичної конференції з міжнародною участю. Дніпро, 2017.  //Урологія. 2017; 21( 2):  105-106</w:t>
      </w:r>
      <w:r w:rsidRPr="00CE0A20">
        <w:rPr>
          <w:rFonts w:ascii="Times New Roman" w:hAnsi="Times New Roman" w:cs="Times New Roman"/>
          <w:lang w:val="uk-UA"/>
        </w:rPr>
        <w:t xml:space="preserve"> (тези та доповідь)</w:t>
      </w:r>
    </w:p>
    <w:p w:rsidR="001C43D0" w:rsidRPr="00CE0A20" w:rsidRDefault="001C43D0" w:rsidP="00CF7496">
      <w:pPr>
        <w:pStyle w:val="a3"/>
        <w:numPr>
          <w:ilvl w:val="0"/>
          <w:numId w:val="37"/>
        </w:numPr>
        <w:spacing w:after="120"/>
        <w:contextualSpacing/>
        <w:jc w:val="both"/>
        <w:rPr>
          <w:rFonts w:ascii="Times New Roman" w:hAnsi="Times New Roman" w:cs="Times New Roman"/>
          <w:shd w:val="clear" w:color="auto" w:fill="FFFFFF"/>
          <w:lang w:val="uk-UA"/>
        </w:rPr>
      </w:pPr>
      <w:r w:rsidRPr="00CE0A20">
        <w:rPr>
          <w:rFonts w:ascii="Times New Roman" w:hAnsi="Times New Roman" w:cs="Times New Roman"/>
          <w:iCs/>
          <w:lang w:val="uk-UA"/>
        </w:rPr>
        <w:t>Антонян И.М., Лесовой В.Н.</w:t>
      </w:r>
      <w:r w:rsidRPr="00CE0A20">
        <w:rPr>
          <w:rFonts w:ascii="Times New Roman" w:hAnsi="Times New Roman" w:cs="Times New Roman"/>
          <w:i/>
          <w:iCs/>
          <w:lang w:val="uk-UA"/>
        </w:rPr>
        <w:t xml:space="preserve"> </w:t>
      </w:r>
      <w:r w:rsidRPr="00CE0A20">
        <w:rPr>
          <w:rFonts w:ascii="Times New Roman" w:hAnsi="Times New Roman" w:cs="Times New Roman"/>
          <w:lang w:val="uk-UA"/>
        </w:rPr>
        <w:t xml:space="preserve">Эффективность и безопасность использования клеток стромы костного мозга для коррекции андрогенного </w:t>
      </w:r>
      <w:r w:rsidRPr="00CE0A20">
        <w:rPr>
          <w:rFonts w:ascii="Times New Roman" w:hAnsi="Times New Roman" w:cs="Times New Roman"/>
        </w:rPr>
        <w:t>дефицита у больных сахарным диабетом // «Урологія, андрологія, нефрологія – 2017»: Матеріали ювілейної науково-практичної конференції / Під ред. В.М.Лісового, І.М.Антоняна та ін. – Харків, 2017. – С.  67-70</w:t>
      </w:r>
      <w:r w:rsidRPr="00CE0A20">
        <w:rPr>
          <w:rFonts w:ascii="Times New Roman" w:hAnsi="Times New Roman" w:cs="Times New Roman"/>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120"/>
        <w:contextualSpacing/>
        <w:jc w:val="both"/>
        <w:rPr>
          <w:rFonts w:ascii="Times New Roman" w:hAnsi="Times New Roman" w:cs="Times New Roman"/>
          <w:shd w:val="clear" w:color="auto" w:fill="FFFFFF"/>
          <w:lang w:val="uk-UA"/>
        </w:rPr>
      </w:pPr>
      <w:r w:rsidRPr="00CE0A20">
        <w:rPr>
          <w:rFonts w:ascii="Times New Roman" w:hAnsi="Times New Roman" w:cs="Times New Roman"/>
        </w:rPr>
        <w:t xml:space="preserve">Антонян И.М. Эффективность и безопасность комбинированной терапии андрогенного дефицита и эректильной дисфункции у больных сахарным диабетом  //«Урологія, андрологія, нефрологія – досягнення, проблеми, шляхи вирішення»: Матеріали науково-практичної конференції / Під ред. В.М.Лісового, І.М.Антоняна та ін. – Харків, 2018. – С. 103-108 </w:t>
      </w:r>
      <w:r w:rsidRPr="00CE0A20">
        <w:rPr>
          <w:rFonts w:ascii="Times New Roman" w:hAnsi="Times New Roman" w:cs="Times New Roman"/>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120"/>
        <w:contextualSpacing/>
        <w:jc w:val="both"/>
        <w:rPr>
          <w:rFonts w:ascii="Times New Roman" w:hAnsi="Times New Roman" w:cs="Times New Roman"/>
          <w:shd w:val="clear" w:color="auto" w:fill="FFFFFF"/>
          <w:lang w:val="uk-UA"/>
        </w:rPr>
      </w:pPr>
      <w:r w:rsidRPr="00CE0A20">
        <w:rPr>
          <w:rFonts w:ascii="Times New Roman" w:hAnsi="Times New Roman" w:cs="Times New Roman"/>
          <w:lang w:val="uk-UA"/>
        </w:rPr>
        <w:t>Антонян И.М., Мошель Ф.Г.  Уденафил как препарат выбора для лечения эректильной дисфункции у пациентов с неудачным опытом применения ИФДЕ-</w:t>
      </w:r>
      <w:r w:rsidRPr="00CE0A20">
        <w:rPr>
          <w:rFonts w:ascii="Times New Roman" w:hAnsi="Times New Roman" w:cs="Times New Roman"/>
          <w:caps/>
          <w:lang w:val="uk-UA"/>
        </w:rPr>
        <w:t xml:space="preserve">5 </w:t>
      </w:r>
      <w:r w:rsidRPr="00CE0A20">
        <w:rPr>
          <w:rFonts w:ascii="Times New Roman" w:hAnsi="Times New Roman" w:cs="Times New Roman"/>
        </w:rPr>
        <w:t xml:space="preserve">//«Урологія, андрологія, нефрологія – досягнення, проблеми, шляхи вирішення»: Матеріали науково-практичної конференції / Під ред. В.М.Лісового, І.М.Антоняна та ін. – Харків, 2018. – С. </w:t>
      </w:r>
      <w:r w:rsidRPr="00CE0A20">
        <w:rPr>
          <w:rFonts w:ascii="Times New Roman" w:hAnsi="Times New Roman" w:cs="Times New Roman"/>
          <w:lang w:val="uk-UA"/>
        </w:rPr>
        <w:t>108</w:t>
      </w:r>
      <w:r w:rsidRPr="00CE0A20">
        <w:rPr>
          <w:rFonts w:ascii="Times New Roman" w:hAnsi="Times New Roman" w:cs="Times New Roman"/>
        </w:rPr>
        <w:t>-1</w:t>
      </w:r>
      <w:r w:rsidRPr="00CE0A20">
        <w:rPr>
          <w:rFonts w:ascii="Times New Roman" w:hAnsi="Times New Roman" w:cs="Times New Roman"/>
          <w:lang w:val="uk-UA"/>
        </w:rPr>
        <w:t>12</w:t>
      </w:r>
      <w:r w:rsidRPr="00CE0A20">
        <w:rPr>
          <w:rFonts w:ascii="Times New Roman" w:hAnsi="Times New Roman" w:cs="Times New Roman"/>
        </w:rPr>
        <w:t xml:space="preserve"> </w:t>
      </w:r>
      <w:r w:rsidRPr="00CE0A20">
        <w:rPr>
          <w:rFonts w:ascii="Times New Roman" w:hAnsi="Times New Roman" w:cs="Times New Roman"/>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numPr>
          <w:ilvl w:val="0"/>
          <w:numId w:val="37"/>
        </w:numPr>
        <w:spacing w:after="120"/>
        <w:contextualSpacing/>
        <w:jc w:val="both"/>
        <w:rPr>
          <w:rFonts w:ascii="Times New Roman" w:hAnsi="Times New Roman" w:cs="Times New Roman"/>
        </w:rPr>
      </w:pPr>
      <w:r w:rsidRPr="00CE0A20">
        <w:rPr>
          <w:rFonts w:ascii="Times New Roman" w:hAnsi="Times New Roman" w:cs="Times New Roman"/>
          <w:lang w:val="uk-UA"/>
        </w:rPr>
        <w:t xml:space="preserve">Антонян ИМ, Мошель ФГ. Ефективність використання уденафіла у пацієнтів з невдалим досвідом лікування еректильної дисфункції ІФДЕ»: Матеріали науково-практичної конференції з міжнародною участю. </w:t>
      </w:r>
      <w:r w:rsidRPr="00CE0A20">
        <w:rPr>
          <w:rFonts w:ascii="Times New Roman" w:hAnsi="Times New Roman" w:cs="Times New Roman"/>
        </w:rPr>
        <w:t>Дніпро, 2018. //Урологія. 2018; 86(3):  131-132</w:t>
      </w:r>
      <w:r w:rsidRPr="00CE0A20">
        <w:rPr>
          <w:rFonts w:ascii="Times New Roman" w:hAnsi="Times New Roman" w:cs="Times New Roman"/>
          <w:lang w:val="uk-UA"/>
        </w:rPr>
        <w:t xml:space="preserve"> </w:t>
      </w:r>
      <w:r w:rsidRPr="00CE0A20">
        <w:rPr>
          <w:rFonts w:ascii="Times New Roman" w:hAnsi="Times New Roman" w:cs="Times New Roman"/>
          <w:shd w:val="clear" w:color="auto" w:fill="FFFFFF"/>
          <w:lang w:val="uk-UA"/>
        </w:rPr>
        <w:t>(тези та доповідь)</w:t>
      </w:r>
    </w:p>
    <w:p w:rsidR="001C43D0" w:rsidRPr="00CE0A20" w:rsidRDefault="001C43D0" w:rsidP="00CF7496">
      <w:pPr>
        <w:pStyle w:val="a3"/>
        <w:spacing w:after="240"/>
        <w:ind w:left="426"/>
        <w:jc w:val="both"/>
        <w:rPr>
          <w:rFonts w:ascii="Times New Roman" w:hAnsi="Times New Roman" w:cs="Times New Roman"/>
          <w:shd w:val="clear" w:color="auto" w:fill="FFFFFF"/>
          <w:lang w:val="uk-UA"/>
        </w:rPr>
      </w:pPr>
    </w:p>
    <w:p w:rsidR="001C43D0" w:rsidRPr="00CE0A20" w:rsidRDefault="001C43D0" w:rsidP="00CF7496">
      <w:pPr>
        <w:pStyle w:val="a3"/>
        <w:jc w:val="both"/>
        <w:rPr>
          <w:rFonts w:ascii="Times New Roman" w:hAnsi="Times New Roman" w:cs="Times New Roman"/>
          <w:b/>
          <w:lang w:val="uk-UA"/>
        </w:rPr>
      </w:pPr>
      <w:r w:rsidRPr="00CE0A20">
        <w:rPr>
          <w:rFonts w:ascii="Times New Roman" w:hAnsi="Times New Roman" w:cs="Times New Roman"/>
          <w:b/>
          <w:lang w:val="uk-UA"/>
        </w:rPr>
        <w:t>Праці, які додатково відображають наукові результати дисертації:</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Грищенко ВІ, Прокопюк ОС, Антонян ІМ, Лазуренко ВВ. Деклараційний патент на корисну модель  №3777 «Спосіб лікування еректильної дисфункції» Бюл. № 12 від 15.12.2004 </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Боровий ІА, Малюкін ЮВ, Семиноженко ВП, Щегельська ОА, Микулинський ЮЮ, Хвисюк ОМ, Дьомін ЮА, П’ятикоп ВО, Антонян ІМ. Деклараційний патент на корисну модель  №13724 «Спосіб одержання суправітально забарвлених клітин різних типів біологічних тканин» Бюл. № 4 від 17.04.2006 </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Мікулинський ЮЮ, Хвисюк ОМ, Забірник АС, Панібратцева СГ, Кульшин ВЕ, Омельченко ОА, Антонян ІМ. </w:t>
      </w:r>
      <w:r w:rsidRPr="00CE0A20">
        <w:rPr>
          <w:rFonts w:ascii="Times New Roman" w:eastAsia="Times New Roman" w:hAnsi="Times New Roman" w:cs="Times New Roman"/>
          <w:bCs/>
          <w:sz w:val="28"/>
          <w:szCs w:val="28"/>
        </w:rPr>
        <w:t xml:space="preserve">Деклараційний патент на корисну модель №48553  </w:t>
      </w:r>
      <w:r w:rsidRPr="00CE0A20">
        <w:rPr>
          <w:rFonts w:ascii="Times New Roman" w:eastAsia="Times New Roman" w:hAnsi="Times New Roman" w:cs="Times New Roman"/>
          <w:sz w:val="28"/>
          <w:szCs w:val="28"/>
        </w:rPr>
        <w:t xml:space="preserve">«Спосіб отримання клітин нервової тканини із мезенхімальних клітин тканини ссавців» Бюл.№ 6 від 25.03.10 р. </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Антонян ІМ, Лісовий ВМ, Мікулинський ЮЮ. </w:t>
      </w:r>
      <w:r w:rsidRPr="00CE0A20">
        <w:rPr>
          <w:rFonts w:ascii="Times New Roman" w:eastAsia="Times New Roman" w:hAnsi="Times New Roman" w:cs="Times New Roman"/>
          <w:bCs/>
          <w:sz w:val="28"/>
          <w:szCs w:val="28"/>
        </w:rPr>
        <w:t xml:space="preserve">Деклараційний патент на корисну модель №57337  </w:t>
      </w:r>
      <w:r w:rsidRPr="00CE0A20">
        <w:rPr>
          <w:rFonts w:ascii="Times New Roman" w:eastAsia="Times New Roman" w:hAnsi="Times New Roman" w:cs="Times New Roman"/>
          <w:sz w:val="28"/>
          <w:szCs w:val="28"/>
        </w:rPr>
        <w:t xml:space="preserve">«Спосіб моделювання чоловічого необоротного безпліддя у щурів» Бюл.№ 4 від 25.02.11 р. </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Антонян ІМ. </w:t>
      </w:r>
      <w:r w:rsidRPr="00CE0A20">
        <w:rPr>
          <w:rFonts w:ascii="Times New Roman" w:eastAsia="Times New Roman" w:hAnsi="Times New Roman" w:cs="Times New Roman"/>
          <w:bCs/>
          <w:sz w:val="28"/>
          <w:szCs w:val="28"/>
        </w:rPr>
        <w:t xml:space="preserve">Деклараційний патент на корисну модель №62911  </w:t>
      </w:r>
      <w:r w:rsidRPr="00CE0A20">
        <w:rPr>
          <w:rFonts w:ascii="Times New Roman" w:eastAsia="Times New Roman" w:hAnsi="Times New Roman" w:cs="Times New Roman"/>
          <w:sz w:val="28"/>
          <w:szCs w:val="28"/>
        </w:rPr>
        <w:t>«Спосіб лікування андрогенного дефіциту у щурів» Бюл.№ 18 від 26.09.2011.</w:t>
      </w:r>
    </w:p>
    <w:p w:rsidR="001C43D0" w:rsidRPr="00CE0A20" w:rsidRDefault="001C43D0" w:rsidP="00CF7496">
      <w:pPr>
        <w:numPr>
          <w:ilvl w:val="0"/>
          <w:numId w:val="3"/>
        </w:numPr>
        <w:spacing w:after="100" w:line="360" w:lineRule="auto"/>
        <w:ind w:left="426"/>
        <w:jc w:val="both"/>
        <w:rPr>
          <w:rFonts w:ascii="Times New Roman" w:eastAsia="Times New Roman" w:hAnsi="Times New Roman" w:cs="Times New Roman"/>
          <w:sz w:val="28"/>
          <w:szCs w:val="28"/>
        </w:rPr>
      </w:pPr>
      <w:r w:rsidRPr="00CE0A20">
        <w:rPr>
          <w:rFonts w:ascii="Times New Roman" w:eastAsia="Times New Roman" w:hAnsi="Times New Roman" w:cs="Times New Roman"/>
          <w:sz w:val="28"/>
          <w:szCs w:val="28"/>
        </w:rPr>
        <w:t xml:space="preserve">Антонян ІМ, Мікулінський ЮЮ, Омельченко ОА, Забірник АП, Панібратцева СГ. Технології трекінгу клітин строми кісткового мозку щурів при інтратестікулярній трансплантації: методичні рекомендації.  Харків, 2017. 17 с. </w:t>
      </w:r>
    </w:p>
    <w:p w:rsidR="001C43D0" w:rsidRPr="00CE0A20" w:rsidRDefault="001C43D0" w:rsidP="001C43D0">
      <w:pPr>
        <w:spacing w:line="360" w:lineRule="auto"/>
        <w:jc w:val="right"/>
        <w:rPr>
          <w:rFonts w:ascii="Times New Roman" w:eastAsia="MS Mincho" w:hAnsi="Times New Roman" w:cs="Times New Roman"/>
          <w:color w:val="auto"/>
          <w:sz w:val="28"/>
          <w:szCs w:val="28"/>
          <w:lang w:val="en-US" w:eastAsia="ja-JP"/>
        </w:rPr>
      </w:pPr>
    </w:p>
    <w:sectPr w:rsidR="001C43D0" w:rsidRPr="00CE0A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01DC" w:rsidRDefault="004A01DC" w:rsidP="007D08ED">
      <w:r>
        <w:separator/>
      </w:r>
    </w:p>
  </w:endnote>
  <w:endnote w:type="continuationSeparator" w:id="0">
    <w:p w:rsidR="004A01DC" w:rsidRDefault="004A01DC" w:rsidP="007D08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Garamond">
    <w:panose1 w:val="02020404030301010803"/>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CC"/>
    <w:family w:val="modern"/>
    <w:pitch w:val="fixed"/>
    <w:sig w:usb0="E10002FF" w:usb1="4000FCFF" w:usb2="00000009" w:usb3="00000000" w:csb0="0000019F" w:csb1="00000000"/>
  </w:font>
  <w:font w:name="Verdana">
    <w:panose1 w:val="020B0604030504040204"/>
    <w:charset w:val="CC"/>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crosoft Sans Serif">
    <w:panose1 w:val="020B0604020202020204"/>
    <w:charset w:val="CC"/>
    <w:family w:val="swiss"/>
    <w:pitch w:val="variable"/>
    <w:sig w:usb0="E1002AFF" w:usb1="C0000002" w:usb2="00000008" w:usb3="00000000" w:csb0="000101FF" w:csb1="00000000"/>
  </w:font>
  <w:font w:name="Palatino Linotype">
    <w:panose1 w:val="02040502050505030304"/>
    <w:charset w:val="CC"/>
    <w:family w:val="roman"/>
    <w:pitch w:val="variable"/>
    <w:sig w:usb0="E0000287" w:usb1="40000013" w:usb2="00000000" w:usb3="00000000" w:csb0="0000019F" w:csb1="00000000"/>
  </w:font>
  <w:font w:name="Book Antiqua">
    <w:panose1 w:val="02040602050305030304"/>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Newton-Regular">
    <w:altName w:val="MS Mincho"/>
    <w:panose1 w:val="00000000000000000000"/>
    <w:charset w:val="80"/>
    <w:family w:val="auto"/>
    <w:notTrueType/>
    <w:pitch w:val="default"/>
    <w:sig w:usb0="00000001" w:usb1="08070000" w:usb2="00000010" w:usb3="00000000" w:csb0="00020000" w:csb1="00000000"/>
  </w:font>
  <w:font w:name="Newton-Italic">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Malgun Gothic Semilight">
    <w:charset w:val="81"/>
    <w:family w:val="swiss"/>
    <w:pitch w:val="variable"/>
    <w:sig w:usb0="B0000AAF" w:usb1="09DF7CFB" w:usb2="00000012" w:usb3="00000000" w:csb0="003E01BD" w:csb1="00000000"/>
  </w:font>
  <w:font w:name="OptimaMS">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01DC" w:rsidRDefault="004A01DC" w:rsidP="007D08ED">
      <w:r>
        <w:separator/>
      </w:r>
    </w:p>
  </w:footnote>
  <w:footnote w:type="continuationSeparator" w:id="0">
    <w:p w:rsidR="004A01DC" w:rsidRDefault="004A01DC" w:rsidP="007D08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5224698"/>
      <w:docPartObj>
        <w:docPartGallery w:val="Page Numbers (Top of Page)"/>
        <w:docPartUnique/>
      </w:docPartObj>
    </w:sdtPr>
    <w:sdtEndPr>
      <w:rPr>
        <w:rFonts w:ascii="Times New Roman" w:hAnsi="Times New Roman" w:cs="Times New Roman"/>
      </w:rPr>
    </w:sdtEndPr>
    <w:sdtContent>
      <w:p w:rsidR="000F6151" w:rsidRDefault="000F6151" w:rsidP="007D08ED">
        <w:pPr>
          <w:pStyle w:val="ac"/>
          <w:jc w:val="right"/>
          <w:rPr>
            <w:rFonts w:ascii="Times New Roman" w:hAnsi="Times New Roman" w:cs="Times New Roman"/>
            <w:lang w:val="en-US"/>
          </w:rPr>
        </w:pPr>
        <w:r w:rsidRPr="00CC7EE6">
          <w:rPr>
            <w:rFonts w:ascii="Times New Roman" w:hAnsi="Times New Roman" w:cs="Times New Roman"/>
          </w:rPr>
          <w:fldChar w:fldCharType="begin"/>
        </w:r>
        <w:r w:rsidRPr="00CC7EE6">
          <w:rPr>
            <w:rFonts w:ascii="Times New Roman" w:hAnsi="Times New Roman" w:cs="Times New Roman"/>
          </w:rPr>
          <w:instrText>PAGE   \* MERGEFORMAT</w:instrText>
        </w:r>
        <w:r w:rsidRPr="00CC7EE6">
          <w:rPr>
            <w:rFonts w:ascii="Times New Roman" w:hAnsi="Times New Roman" w:cs="Times New Roman"/>
          </w:rPr>
          <w:fldChar w:fldCharType="separate"/>
        </w:r>
        <w:r w:rsidR="00795871">
          <w:rPr>
            <w:rFonts w:ascii="Times New Roman" w:hAnsi="Times New Roman" w:cs="Times New Roman"/>
            <w:noProof/>
          </w:rPr>
          <w:t>25</w:t>
        </w:r>
        <w:r w:rsidRPr="00CC7EE6">
          <w:rPr>
            <w:rFonts w:ascii="Times New Roman" w:hAnsi="Times New Roman" w:cs="Times New Roman"/>
          </w:rPr>
          <w:fldChar w:fldCharType="end"/>
        </w:r>
      </w:p>
      <w:p w:rsidR="000F6151" w:rsidRPr="007D08ED" w:rsidRDefault="000F6151" w:rsidP="007D08ED">
        <w:pPr>
          <w:pStyle w:val="ac"/>
          <w:jc w:val="right"/>
          <w:rPr>
            <w:rFonts w:ascii="Times New Roman" w:hAnsi="Times New Roman" w:cs="Times New Roman"/>
            <w:lang w:val="en-US"/>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CBF28F9E"/>
    <w:lvl w:ilvl="0">
      <w:start w:val="1"/>
      <w:numFmt w:val="decimal"/>
      <w:lvlText w:val="%1."/>
      <w:lvlJc w:val="left"/>
      <w:pPr>
        <w:tabs>
          <w:tab w:val="num" w:pos="1636"/>
        </w:tabs>
        <w:ind w:left="1636" w:hanging="360"/>
      </w:pPr>
    </w:lvl>
  </w:abstractNum>
  <w:abstractNum w:abstractNumId="1">
    <w:nsid w:val="197A1029"/>
    <w:multiLevelType w:val="hybridMultilevel"/>
    <w:tmpl w:val="38AA5D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D0165C9"/>
    <w:multiLevelType w:val="multilevel"/>
    <w:tmpl w:val="34A2A8E8"/>
    <w:lvl w:ilvl="0">
      <w:start w:val="1"/>
      <w:numFmt w:val="bullet"/>
      <w:lvlText w:val="•"/>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b w:val="0"/>
        <w:bCs w:val="0"/>
        <w:i w:val="0"/>
        <w:iCs w:val="0"/>
        <w:smallCaps w:val="0"/>
        <w:strike w:val="0"/>
        <w:color w:val="000000"/>
        <w:spacing w:val="0"/>
        <w:w w:val="100"/>
        <w:position w:val="0"/>
        <w:sz w:val="17"/>
        <w:szCs w:val="1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5D16D50"/>
    <w:multiLevelType w:val="multilevel"/>
    <w:tmpl w:val="A78AC2B4"/>
    <w:lvl w:ilvl="0">
      <w:start w:val="1"/>
      <w:numFmt w:val="decimal"/>
      <w:lvlText w:val="%1."/>
      <w:lvlJc w:val="left"/>
      <w:rPr>
        <w:rFonts w:ascii="Garamond" w:eastAsia="Garamond" w:hAnsi="Garamond" w:cs="Garamond"/>
        <w:b w:val="0"/>
        <w:bCs w:val="0"/>
        <w:i w:val="0"/>
        <w:iCs w:val="0"/>
        <w:smallCaps w:val="0"/>
        <w:strike w:val="0"/>
        <w:color w:val="000000"/>
        <w:spacing w:val="0"/>
        <w:w w:val="100"/>
        <w:position w:val="0"/>
        <w:sz w:val="20"/>
        <w:szCs w:val="20"/>
        <w:u w:val="none"/>
        <w:lang w:val="uk"/>
      </w:rPr>
    </w:lvl>
    <w:lvl w:ilvl="1">
      <w:start w:val="1"/>
      <w:numFmt w:val="decimal"/>
      <w:lvlText w:val="%2."/>
      <w:lvlJc w:val="left"/>
      <w:rPr>
        <w:rFonts w:ascii="Garamond" w:eastAsia="Garamond" w:hAnsi="Garamond" w:cs="Garamond"/>
        <w:b w:val="0"/>
        <w:bCs w:val="0"/>
        <w:i w:val="0"/>
        <w:iCs w:val="0"/>
        <w:smallCaps w:val="0"/>
        <w:strike w:val="0"/>
        <w:color w:val="000000"/>
        <w:spacing w:val="0"/>
        <w:w w:val="100"/>
        <w:position w:val="0"/>
        <w:sz w:val="20"/>
        <w:szCs w:val="20"/>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9962902"/>
    <w:multiLevelType w:val="hybridMultilevel"/>
    <w:tmpl w:val="9A38D628"/>
    <w:lvl w:ilvl="0" w:tplc="85D22BA4">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
    <w:nsid w:val="2EF70030"/>
    <w:multiLevelType w:val="hybridMultilevel"/>
    <w:tmpl w:val="241C97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0BC4CDC"/>
    <w:multiLevelType w:val="hybridMultilevel"/>
    <w:tmpl w:val="57247F9E"/>
    <w:lvl w:ilvl="0" w:tplc="CEAC42E0">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nsid w:val="36AF166B"/>
    <w:multiLevelType w:val="hybridMultilevel"/>
    <w:tmpl w:val="54A6BFF8"/>
    <w:lvl w:ilvl="0" w:tplc="E48C60F0">
      <w:start w:val="3"/>
      <w:numFmt w:val="bullet"/>
      <w:lvlText w:val="–"/>
      <w:lvlJc w:val="left"/>
      <w:pPr>
        <w:ind w:left="1069" w:hanging="360"/>
      </w:pPr>
      <w:rPr>
        <w:rFonts w:ascii="Arial Unicode MS" w:eastAsia="Arial Unicode MS" w:hAnsi="Arial Unicode MS" w:cs="Arial Unicode MS" w:hint="eastAsia"/>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414E18B9"/>
    <w:multiLevelType w:val="hybridMultilevel"/>
    <w:tmpl w:val="259068B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9">
    <w:nsid w:val="419F4327"/>
    <w:multiLevelType w:val="singleLevel"/>
    <w:tmpl w:val="CBF28F9E"/>
    <w:lvl w:ilvl="0">
      <w:start w:val="1"/>
      <w:numFmt w:val="decimal"/>
      <w:lvlText w:val="%1."/>
      <w:lvlJc w:val="left"/>
      <w:pPr>
        <w:tabs>
          <w:tab w:val="num" w:pos="1636"/>
        </w:tabs>
        <w:ind w:left="1636" w:hanging="360"/>
      </w:pPr>
    </w:lvl>
  </w:abstractNum>
  <w:abstractNum w:abstractNumId="10">
    <w:nsid w:val="47A253C4"/>
    <w:multiLevelType w:val="hybridMultilevel"/>
    <w:tmpl w:val="57D4D8E4"/>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1">
    <w:nsid w:val="4A2B1C60"/>
    <w:multiLevelType w:val="multilevel"/>
    <w:tmpl w:val="8D08FCA0"/>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7"/>
        <w:szCs w:val="17"/>
        <w:u w:val="none"/>
      </w:rPr>
    </w:lvl>
    <w:lvl w:ilvl="1">
      <w:start w:val="19"/>
      <w:numFmt w:val="decimal"/>
      <w:lvlText w:val="%2."/>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DD363C8"/>
    <w:multiLevelType w:val="hybridMultilevel"/>
    <w:tmpl w:val="259068B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3">
    <w:nsid w:val="4E125F48"/>
    <w:multiLevelType w:val="hybridMultilevel"/>
    <w:tmpl w:val="241C97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2A83CF6"/>
    <w:multiLevelType w:val="hybridMultilevel"/>
    <w:tmpl w:val="805A6120"/>
    <w:lvl w:ilvl="0" w:tplc="CEAC42E0">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5">
    <w:nsid w:val="534013F1"/>
    <w:multiLevelType w:val="hybridMultilevel"/>
    <w:tmpl w:val="09C89D08"/>
    <w:lvl w:ilvl="0" w:tplc="0419000F">
      <w:start w:val="6"/>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nsid w:val="576D3C18"/>
    <w:multiLevelType w:val="hybridMultilevel"/>
    <w:tmpl w:val="61AC8540"/>
    <w:lvl w:ilvl="0" w:tplc="CBF28F9E">
      <w:start w:val="1"/>
      <w:numFmt w:val="decimal"/>
      <w:lvlText w:val="%1."/>
      <w:lvlJc w:val="left"/>
      <w:pPr>
        <w:ind w:left="1233" w:hanging="360"/>
      </w:pPr>
    </w:lvl>
    <w:lvl w:ilvl="1" w:tplc="04190019">
      <w:start w:val="1"/>
      <w:numFmt w:val="lowerLetter"/>
      <w:lvlText w:val="%2."/>
      <w:lvlJc w:val="left"/>
      <w:pPr>
        <w:ind w:left="1953" w:hanging="360"/>
      </w:pPr>
    </w:lvl>
    <w:lvl w:ilvl="2" w:tplc="0419001B">
      <w:start w:val="1"/>
      <w:numFmt w:val="lowerRoman"/>
      <w:lvlText w:val="%3."/>
      <w:lvlJc w:val="right"/>
      <w:pPr>
        <w:ind w:left="2673" w:hanging="180"/>
      </w:pPr>
    </w:lvl>
    <w:lvl w:ilvl="3" w:tplc="0419000F">
      <w:start w:val="1"/>
      <w:numFmt w:val="decimal"/>
      <w:lvlText w:val="%4."/>
      <w:lvlJc w:val="left"/>
      <w:pPr>
        <w:ind w:left="3393" w:hanging="360"/>
      </w:pPr>
    </w:lvl>
    <w:lvl w:ilvl="4" w:tplc="04190019">
      <w:start w:val="1"/>
      <w:numFmt w:val="lowerLetter"/>
      <w:lvlText w:val="%5."/>
      <w:lvlJc w:val="left"/>
      <w:pPr>
        <w:ind w:left="4113" w:hanging="360"/>
      </w:pPr>
    </w:lvl>
    <w:lvl w:ilvl="5" w:tplc="0419001B">
      <w:start w:val="1"/>
      <w:numFmt w:val="lowerRoman"/>
      <w:lvlText w:val="%6."/>
      <w:lvlJc w:val="right"/>
      <w:pPr>
        <w:ind w:left="4833" w:hanging="180"/>
      </w:pPr>
    </w:lvl>
    <w:lvl w:ilvl="6" w:tplc="0419000F">
      <w:start w:val="1"/>
      <w:numFmt w:val="decimal"/>
      <w:lvlText w:val="%7."/>
      <w:lvlJc w:val="left"/>
      <w:pPr>
        <w:ind w:left="5553" w:hanging="360"/>
      </w:pPr>
    </w:lvl>
    <w:lvl w:ilvl="7" w:tplc="04190019">
      <w:start w:val="1"/>
      <w:numFmt w:val="lowerLetter"/>
      <w:lvlText w:val="%8."/>
      <w:lvlJc w:val="left"/>
      <w:pPr>
        <w:ind w:left="6273" w:hanging="360"/>
      </w:pPr>
    </w:lvl>
    <w:lvl w:ilvl="8" w:tplc="0419001B">
      <w:start w:val="1"/>
      <w:numFmt w:val="lowerRoman"/>
      <w:lvlText w:val="%9."/>
      <w:lvlJc w:val="right"/>
      <w:pPr>
        <w:ind w:left="6993" w:hanging="180"/>
      </w:pPr>
    </w:lvl>
  </w:abstractNum>
  <w:abstractNum w:abstractNumId="17">
    <w:nsid w:val="580E607C"/>
    <w:multiLevelType w:val="hybridMultilevel"/>
    <w:tmpl w:val="5D9239D0"/>
    <w:lvl w:ilvl="0" w:tplc="E8B03F9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E2D2E3C"/>
    <w:multiLevelType w:val="hybridMultilevel"/>
    <w:tmpl w:val="F51E42F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E9824F3"/>
    <w:multiLevelType w:val="hybridMultilevel"/>
    <w:tmpl w:val="8EB2DB52"/>
    <w:lvl w:ilvl="0" w:tplc="CEAC42E0">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0">
    <w:nsid w:val="5EF07458"/>
    <w:multiLevelType w:val="hybridMultilevel"/>
    <w:tmpl w:val="259068B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1">
    <w:nsid w:val="6149094F"/>
    <w:multiLevelType w:val="hybridMultilevel"/>
    <w:tmpl w:val="9FBA508A"/>
    <w:lvl w:ilvl="0" w:tplc="CEAC42E0">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2">
    <w:nsid w:val="61617FBA"/>
    <w:multiLevelType w:val="hybridMultilevel"/>
    <w:tmpl w:val="259068B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3">
    <w:nsid w:val="61DD2AE0"/>
    <w:multiLevelType w:val="hybridMultilevel"/>
    <w:tmpl w:val="259068B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4">
    <w:nsid w:val="67382855"/>
    <w:multiLevelType w:val="hybridMultilevel"/>
    <w:tmpl w:val="5E9CF8C2"/>
    <w:lvl w:ilvl="0" w:tplc="0419000F">
      <w:start w:val="1"/>
      <w:numFmt w:val="decimal"/>
      <w:lvlText w:val="%1."/>
      <w:lvlJc w:val="left"/>
      <w:pPr>
        <w:ind w:left="107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5">
    <w:nsid w:val="69FB1133"/>
    <w:multiLevelType w:val="hybridMultilevel"/>
    <w:tmpl w:val="B24CBEF0"/>
    <w:lvl w:ilvl="0" w:tplc="69B0E206">
      <w:start w:val="7"/>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6">
    <w:nsid w:val="6EBE4850"/>
    <w:multiLevelType w:val="hybridMultilevel"/>
    <w:tmpl w:val="259068B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7">
    <w:nsid w:val="759B7ED1"/>
    <w:multiLevelType w:val="hybridMultilevel"/>
    <w:tmpl w:val="44D88352"/>
    <w:lvl w:ilvl="0" w:tplc="0419000F">
      <w:start w:val="2"/>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8">
    <w:nsid w:val="76B148A7"/>
    <w:multiLevelType w:val="hybridMultilevel"/>
    <w:tmpl w:val="D8DAB6E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nsid w:val="77930E6B"/>
    <w:multiLevelType w:val="hybridMultilevel"/>
    <w:tmpl w:val="35F43FF4"/>
    <w:lvl w:ilvl="0" w:tplc="AC38607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0">
    <w:nsid w:val="77D7555C"/>
    <w:multiLevelType w:val="hybridMultilevel"/>
    <w:tmpl w:val="E8DCF724"/>
    <w:lvl w:ilvl="0" w:tplc="CEAC42E0">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1">
    <w:nsid w:val="785A7A06"/>
    <w:multiLevelType w:val="singleLevel"/>
    <w:tmpl w:val="0419000F"/>
    <w:lvl w:ilvl="0">
      <w:start w:val="1"/>
      <w:numFmt w:val="decimal"/>
      <w:lvlText w:val="%1."/>
      <w:lvlJc w:val="left"/>
      <w:pPr>
        <w:ind w:left="720" w:hanging="360"/>
      </w:pPr>
      <w:rPr>
        <w:rFonts w:hint="default"/>
      </w:rPr>
    </w:lvl>
  </w:abstractNum>
  <w:abstractNum w:abstractNumId="32">
    <w:nsid w:val="7CE077C2"/>
    <w:multiLevelType w:val="hybridMultilevel"/>
    <w:tmpl w:val="241C97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D18512A"/>
    <w:multiLevelType w:val="hybridMultilevel"/>
    <w:tmpl w:val="DB247B26"/>
    <w:lvl w:ilvl="0" w:tplc="02664AC4">
      <w:start w:val="1"/>
      <w:numFmt w:val="decimal"/>
      <w:lvlText w:val="%1."/>
      <w:lvlJc w:val="left"/>
      <w:pPr>
        <w:ind w:left="720" w:hanging="360"/>
      </w:pPr>
      <w:rPr>
        <w:b w:val="0"/>
        <w:bCs w:val="0"/>
      </w:rPr>
    </w:lvl>
    <w:lvl w:ilvl="1" w:tplc="0419000F">
      <w:start w:val="1"/>
      <w:numFmt w:val="decimal"/>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3"/>
  </w:num>
  <w:num w:numId="2">
    <w:abstractNumId w:val="16"/>
  </w:num>
  <w:num w:numId="3">
    <w:abstractNumId w:val="31"/>
  </w:num>
  <w:num w:numId="4">
    <w:abstractNumId w:val="14"/>
  </w:num>
  <w:num w:numId="5">
    <w:abstractNumId w:val="6"/>
  </w:num>
  <w:num w:numId="6">
    <w:abstractNumId w:val="30"/>
  </w:num>
  <w:num w:numId="7">
    <w:abstractNumId w:val="21"/>
  </w:num>
  <w:num w:numId="8">
    <w:abstractNumId w:val="10"/>
  </w:num>
  <w:num w:numId="9">
    <w:abstractNumId w:val="0"/>
  </w:num>
  <w:num w:numId="10">
    <w:abstractNumId w:val="9"/>
  </w:num>
  <w:num w:numId="11">
    <w:abstractNumId w:val="28"/>
  </w:num>
  <w:num w:numId="12">
    <w:abstractNumId w:val="25"/>
  </w:num>
  <w:num w:numId="13">
    <w:abstractNumId w:val="11"/>
  </w:num>
  <w:num w:numId="14">
    <w:abstractNumId w:val="2"/>
  </w:num>
  <w:num w:numId="15">
    <w:abstractNumId w:val="33"/>
  </w:num>
  <w:num w:numId="16">
    <w:abstractNumId w:val="4"/>
  </w:num>
  <w:num w:numId="17">
    <w:abstractNumId w:val="19"/>
  </w:num>
  <w:num w:numId="18">
    <w:abstractNumId w:val="20"/>
  </w:num>
  <w:num w:numId="19">
    <w:abstractNumId w:val="27"/>
  </w:num>
  <w:num w:numId="20">
    <w:abstractNumId w:val="15"/>
  </w:num>
  <w:num w:numId="21">
    <w:abstractNumId w:val="1"/>
  </w:num>
  <w:num w:numId="22">
    <w:abstractNumId w:val="29"/>
  </w:num>
  <w:num w:numId="23">
    <w:abstractNumId w:val="24"/>
  </w:num>
  <w:num w:numId="24">
    <w:abstractNumId w:val="7"/>
  </w:num>
  <w:num w:numId="25">
    <w:abstractNumId w:val="26"/>
  </w:num>
  <w:num w:numId="26">
    <w:abstractNumId w:val="8"/>
  </w:num>
  <w:num w:numId="27">
    <w:abstractNumId w:val="12"/>
  </w:num>
  <w:num w:numId="28">
    <w:abstractNumId w:val="22"/>
  </w:num>
  <w:num w:numId="29">
    <w:abstractNumId w:val="3"/>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num>
  <w:num w:numId="37">
    <w:abstractNumId w:val="17"/>
  </w:num>
  <w:num w:numId="38">
    <w:abstractNumId w:val="5"/>
  </w:num>
  <w:num w:numId="39">
    <w:abstractNumId w:val="32"/>
  </w:num>
  <w:num w:numId="4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6EBC"/>
    <w:rsid w:val="0000580E"/>
    <w:rsid w:val="00006B60"/>
    <w:rsid w:val="00006D28"/>
    <w:rsid w:val="00010B00"/>
    <w:rsid w:val="00012294"/>
    <w:rsid w:val="00027489"/>
    <w:rsid w:val="00051C48"/>
    <w:rsid w:val="00053227"/>
    <w:rsid w:val="00063759"/>
    <w:rsid w:val="000766CB"/>
    <w:rsid w:val="00085568"/>
    <w:rsid w:val="00090096"/>
    <w:rsid w:val="00095C6B"/>
    <w:rsid w:val="000969A3"/>
    <w:rsid w:val="000A5F23"/>
    <w:rsid w:val="000B0008"/>
    <w:rsid w:val="000B18B5"/>
    <w:rsid w:val="000B5176"/>
    <w:rsid w:val="000B6CE0"/>
    <w:rsid w:val="000D5E4C"/>
    <w:rsid w:val="000D7B4F"/>
    <w:rsid w:val="000E641D"/>
    <w:rsid w:val="000F6151"/>
    <w:rsid w:val="00107453"/>
    <w:rsid w:val="001114D1"/>
    <w:rsid w:val="00131ACD"/>
    <w:rsid w:val="001544FA"/>
    <w:rsid w:val="001550C5"/>
    <w:rsid w:val="00195B3A"/>
    <w:rsid w:val="001A62AA"/>
    <w:rsid w:val="001B4004"/>
    <w:rsid w:val="001C1359"/>
    <w:rsid w:val="001C43D0"/>
    <w:rsid w:val="001C79F7"/>
    <w:rsid w:val="001D0817"/>
    <w:rsid w:val="001F2609"/>
    <w:rsid w:val="00222A01"/>
    <w:rsid w:val="0025706B"/>
    <w:rsid w:val="00273436"/>
    <w:rsid w:val="00286CFF"/>
    <w:rsid w:val="002953A8"/>
    <w:rsid w:val="00296A8F"/>
    <w:rsid w:val="002B0E91"/>
    <w:rsid w:val="002C0453"/>
    <w:rsid w:val="002C2B8E"/>
    <w:rsid w:val="002D0E01"/>
    <w:rsid w:val="002F5661"/>
    <w:rsid w:val="00302331"/>
    <w:rsid w:val="00302E85"/>
    <w:rsid w:val="003216D2"/>
    <w:rsid w:val="00330779"/>
    <w:rsid w:val="00330B27"/>
    <w:rsid w:val="00331CB5"/>
    <w:rsid w:val="003408B1"/>
    <w:rsid w:val="003506A1"/>
    <w:rsid w:val="00352C97"/>
    <w:rsid w:val="00352F80"/>
    <w:rsid w:val="00373E02"/>
    <w:rsid w:val="00375DC8"/>
    <w:rsid w:val="00390244"/>
    <w:rsid w:val="0039298F"/>
    <w:rsid w:val="003A2B2F"/>
    <w:rsid w:val="003A4B41"/>
    <w:rsid w:val="003D4FDF"/>
    <w:rsid w:val="003D5A34"/>
    <w:rsid w:val="003F4250"/>
    <w:rsid w:val="003F6878"/>
    <w:rsid w:val="0040599C"/>
    <w:rsid w:val="0042060F"/>
    <w:rsid w:val="004324B4"/>
    <w:rsid w:val="00434792"/>
    <w:rsid w:val="004645DA"/>
    <w:rsid w:val="004649D5"/>
    <w:rsid w:val="004669A5"/>
    <w:rsid w:val="00476AEF"/>
    <w:rsid w:val="004802D3"/>
    <w:rsid w:val="00486919"/>
    <w:rsid w:val="004953E9"/>
    <w:rsid w:val="004A01DC"/>
    <w:rsid w:val="004A7FB9"/>
    <w:rsid w:val="004B7AB7"/>
    <w:rsid w:val="004C1F95"/>
    <w:rsid w:val="004C2DB9"/>
    <w:rsid w:val="004D1EDC"/>
    <w:rsid w:val="004E1007"/>
    <w:rsid w:val="004E2C2E"/>
    <w:rsid w:val="00501047"/>
    <w:rsid w:val="005166FC"/>
    <w:rsid w:val="00536010"/>
    <w:rsid w:val="00543895"/>
    <w:rsid w:val="00546169"/>
    <w:rsid w:val="00547F85"/>
    <w:rsid w:val="00561CD2"/>
    <w:rsid w:val="00566BD3"/>
    <w:rsid w:val="00567883"/>
    <w:rsid w:val="005748D9"/>
    <w:rsid w:val="00575ABC"/>
    <w:rsid w:val="00581FAA"/>
    <w:rsid w:val="00584674"/>
    <w:rsid w:val="005C10FE"/>
    <w:rsid w:val="005D6373"/>
    <w:rsid w:val="005F1079"/>
    <w:rsid w:val="005F28FD"/>
    <w:rsid w:val="005F5A0E"/>
    <w:rsid w:val="0061429B"/>
    <w:rsid w:val="006169D5"/>
    <w:rsid w:val="00631D82"/>
    <w:rsid w:val="006404F4"/>
    <w:rsid w:val="00646D89"/>
    <w:rsid w:val="00661B2E"/>
    <w:rsid w:val="00661FEC"/>
    <w:rsid w:val="00670053"/>
    <w:rsid w:val="00680158"/>
    <w:rsid w:val="00697D9C"/>
    <w:rsid w:val="006A0160"/>
    <w:rsid w:val="006D081D"/>
    <w:rsid w:val="006D4007"/>
    <w:rsid w:val="006E3523"/>
    <w:rsid w:val="006E3C5E"/>
    <w:rsid w:val="006F11B0"/>
    <w:rsid w:val="007050C0"/>
    <w:rsid w:val="00705DC6"/>
    <w:rsid w:val="0070670F"/>
    <w:rsid w:val="00712EE4"/>
    <w:rsid w:val="00736923"/>
    <w:rsid w:val="00765176"/>
    <w:rsid w:val="00771197"/>
    <w:rsid w:val="007762AF"/>
    <w:rsid w:val="00777106"/>
    <w:rsid w:val="0078433F"/>
    <w:rsid w:val="007867A9"/>
    <w:rsid w:val="00786C34"/>
    <w:rsid w:val="00787AD5"/>
    <w:rsid w:val="00795871"/>
    <w:rsid w:val="007A6C6D"/>
    <w:rsid w:val="007C003A"/>
    <w:rsid w:val="007C0EC3"/>
    <w:rsid w:val="007C44E1"/>
    <w:rsid w:val="007D08ED"/>
    <w:rsid w:val="007D1FAB"/>
    <w:rsid w:val="007D6CB0"/>
    <w:rsid w:val="007E03B9"/>
    <w:rsid w:val="007F0EF0"/>
    <w:rsid w:val="0083718E"/>
    <w:rsid w:val="00850CF0"/>
    <w:rsid w:val="008525E6"/>
    <w:rsid w:val="00853979"/>
    <w:rsid w:val="00876996"/>
    <w:rsid w:val="008773DB"/>
    <w:rsid w:val="00885BC3"/>
    <w:rsid w:val="00887391"/>
    <w:rsid w:val="00894DDB"/>
    <w:rsid w:val="00895E81"/>
    <w:rsid w:val="008A317E"/>
    <w:rsid w:val="008C6BC6"/>
    <w:rsid w:val="008E5425"/>
    <w:rsid w:val="00915EFB"/>
    <w:rsid w:val="00916AE7"/>
    <w:rsid w:val="00934CAA"/>
    <w:rsid w:val="009449A8"/>
    <w:rsid w:val="0095118A"/>
    <w:rsid w:val="00952AD6"/>
    <w:rsid w:val="00961EE9"/>
    <w:rsid w:val="00967334"/>
    <w:rsid w:val="00970449"/>
    <w:rsid w:val="00976153"/>
    <w:rsid w:val="00983B9A"/>
    <w:rsid w:val="00985F9E"/>
    <w:rsid w:val="009911D7"/>
    <w:rsid w:val="009A41EE"/>
    <w:rsid w:val="009A52D8"/>
    <w:rsid w:val="009A578B"/>
    <w:rsid w:val="009A66A0"/>
    <w:rsid w:val="009B08FB"/>
    <w:rsid w:val="009B0C97"/>
    <w:rsid w:val="009B267B"/>
    <w:rsid w:val="009B2DC2"/>
    <w:rsid w:val="009E43E0"/>
    <w:rsid w:val="009E7961"/>
    <w:rsid w:val="009F0CB6"/>
    <w:rsid w:val="00A17718"/>
    <w:rsid w:val="00A339FE"/>
    <w:rsid w:val="00A44AD0"/>
    <w:rsid w:val="00A4538C"/>
    <w:rsid w:val="00A4651F"/>
    <w:rsid w:val="00A53B42"/>
    <w:rsid w:val="00A63AEF"/>
    <w:rsid w:val="00A64F98"/>
    <w:rsid w:val="00A65CA5"/>
    <w:rsid w:val="00A73BB2"/>
    <w:rsid w:val="00A8206E"/>
    <w:rsid w:val="00A925DE"/>
    <w:rsid w:val="00A96488"/>
    <w:rsid w:val="00A967DA"/>
    <w:rsid w:val="00AA70D5"/>
    <w:rsid w:val="00AD3838"/>
    <w:rsid w:val="00AD64A1"/>
    <w:rsid w:val="00AD7165"/>
    <w:rsid w:val="00AE6219"/>
    <w:rsid w:val="00AE6CBE"/>
    <w:rsid w:val="00B01A59"/>
    <w:rsid w:val="00B14B16"/>
    <w:rsid w:val="00B22AAA"/>
    <w:rsid w:val="00B242D1"/>
    <w:rsid w:val="00B26048"/>
    <w:rsid w:val="00B3104B"/>
    <w:rsid w:val="00B352DE"/>
    <w:rsid w:val="00B37558"/>
    <w:rsid w:val="00B37837"/>
    <w:rsid w:val="00B521BA"/>
    <w:rsid w:val="00B62E59"/>
    <w:rsid w:val="00B67CF3"/>
    <w:rsid w:val="00B76C0E"/>
    <w:rsid w:val="00B810B0"/>
    <w:rsid w:val="00B830CB"/>
    <w:rsid w:val="00B907CF"/>
    <w:rsid w:val="00B93FBF"/>
    <w:rsid w:val="00BA403A"/>
    <w:rsid w:val="00BA70D6"/>
    <w:rsid w:val="00BB29C6"/>
    <w:rsid w:val="00BC11F5"/>
    <w:rsid w:val="00BD1981"/>
    <w:rsid w:val="00BD47C6"/>
    <w:rsid w:val="00BD7C1A"/>
    <w:rsid w:val="00BE0CFF"/>
    <w:rsid w:val="00C01D33"/>
    <w:rsid w:val="00C03089"/>
    <w:rsid w:val="00C0696F"/>
    <w:rsid w:val="00C124F3"/>
    <w:rsid w:val="00C320DD"/>
    <w:rsid w:val="00C32D6D"/>
    <w:rsid w:val="00C4277A"/>
    <w:rsid w:val="00C51A79"/>
    <w:rsid w:val="00C531BC"/>
    <w:rsid w:val="00C552C1"/>
    <w:rsid w:val="00C6301D"/>
    <w:rsid w:val="00C71814"/>
    <w:rsid w:val="00C7269F"/>
    <w:rsid w:val="00C85152"/>
    <w:rsid w:val="00C87E5E"/>
    <w:rsid w:val="00C92BC1"/>
    <w:rsid w:val="00C93872"/>
    <w:rsid w:val="00CA0567"/>
    <w:rsid w:val="00CA392C"/>
    <w:rsid w:val="00CD4BB5"/>
    <w:rsid w:val="00CD4DDC"/>
    <w:rsid w:val="00CD7602"/>
    <w:rsid w:val="00CE0A20"/>
    <w:rsid w:val="00CE42CF"/>
    <w:rsid w:val="00CE5464"/>
    <w:rsid w:val="00CF4777"/>
    <w:rsid w:val="00CF7496"/>
    <w:rsid w:val="00D0453C"/>
    <w:rsid w:val="00D06729"/>
    <w:rsid w:val="00D07A1E"/>
    <w:rsid w:val="00D20B56"/>
    <w:rsid w:val="00D325C9"/>
    <w:rsid w:val="00D5295D"/>
    <w:rsid w:val="00D564C4"/>
    <w:rsid w:val="00D609CE"/>
    <w:rsid w:val="00D64B23"/>
    <w:rsid w:val="00DB77C2"/>
    <w:rsid w:val="00DC70F5"/>
    <w:rsid w:val="00DC754C"/>
    <w:rsid w:val="00DD101F"/>
    <w:rsid w:val="00DF4DF4"/>
    <w:rsid w:val="00DF7A5F"/>
    <w:rsid w:val="00E01279"/>
    <w:rsid w:val="00E07C2F"/>
    <w:rsid w:val="00E2424D"/>
    <w:rsid w:val="00E30580"/>
    <w:rsid w:val="00E32214"/>
    <w:rsid w:val="00E414D4"/>
    <w:rsid w:val="00E420FA"/>
    <w:rsid w:val="00E4333F"/>
    <w:rsid w:val="00E50877"/>
    <w:rsid w:val="00E64606"/>
    <w:rsid w:val="00E67EE0"/>
    <w:rsid w:val="00E72557"/>
    <w:rsid w:val="00E81272"/>
    <w:rsid w:val="00E81CBE"/>
    <w:rsid w:val="00E87107"/>
    <w:rsid w:val="00E92D35"/>
    <w:rsid w:val="00EB6EBC"/>
    <w:rsid w:val="00EC0E2B"/>
    <w:rsid w:val="00EC798E"/>
    <w:rsid w:val="00ED44DE"/>
    <w:rsid w:val="00EF1A7C"/>
    <w:rsid w:val="00F0585E"/>
    <w:rsid w:val="00F11571"/>
    <w:rsid w:val="00F12220"/>
    <w:rsid w:val="00F15838"/>
    <w:rsid w:val="00F40E86"/>
    <w:rsid w:val="00F47CA1"/>
    <w:rsid w:val="00F52511"/>
    <w:rsid w:val="00F659BF"/>
    <w:rsid w:val="00F853BD"/>
    <w:rsid w:val="00FA1F34"/>
    <w:rsid w:val="00FA29D6"/>
    <w:rsid w:val="00FA2AB5"/>
    <w:rsid w:val="00FA4397"/>
    <w:rsid w:val="00FB11C2"/>
    <w:rsid w:val="00FB3278"/>
    <w:rsid w:val="00FD1254"/>
    <w:rsid w:val="00FE6DFB"/>
    <w:rsid w:val="00FF66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6EBC"/>
    <w:pPr>
      <w:spacing w:after="0" w:line="240" w:lineRule="auto"/>
    </w:pPr>
    <w:rPr>
      <w:rFonts w:ascii="Arial Unicode MS" w:eastAsia="Calibri" w:hAnsi="Arial Unicode MS" w:cs="Arial Unicode MS"/>
      <w:color w:val="000000"/>
      <w:sz w:val="24"/>
      <w:szCs w:val="24"/>
      <w:lang w:eastAsia="ru-RU"/>
    </w:rPr>
  </w:style>
  <w:style w:type="paragraph" w:styleId="1">
    <w:name w:val="heading 1"/>
    <w:basedOn w:val="a"/>
    <w:next w:val="a"/>
    <w:link w:val="10"/>
    <w:uiPriority w:val="9"/>
    <w:qFormat/>
    <w:rsid w:val="00EB6EBC"/>
    <w:pPr>
      <w:keepNext/>
      <w:keepLines/>
      <w:spacing w:before="480"/>
      <w:outlineLvl w:val="0"/>
    </w:pPr>
    <w:rPr>
      <w:rFonts w:ascii="Calibri Light" w:eastAsia="Times New Roman" w:hAnsi="Calibri Light" w:cs="Calibri Light"/>
      <w:b/>
      <w:bCs/>
      <w:color w:val="2E74B5"/>
      <w:sz w:val="28"/>
      <w:szCs w:val="28"/>
    </w:rPr>
  </w:style>
  <w:style w:type="paragraph" w:styleId="2">
    <w:name w:val="heading 2"/>
    <w:basedOn w:val="a"/>
    <w:next w:val="a"/>
    <w:link w:val="20"/>
    <w:uiPriority w:val="99"/>
    <w:qFormat/>
    <w:rsid w:val="00EB6EBC"/>
    <w:pPr>
      <w:keepNext/>
      <w:keepLines/>
      <w:spacing w:before="200" w:line="276" w:lineRule="auto"/>
      <w:outlineLvl w:val="1"/>
    </w:pPr>
    <w:rPr>
      <w:rFonts w:ascii="Calibri Light" w:eastAsia="Times New Roman" w:hAnsi="Calibri Light" w:cs="Calibri Light"/>
      <w:b/>
      <w:bCs/>
      <w:color w:val="5B9BD5"/>
      <w:sz w:val="26"/>
      <w:szCs w:val="26"/>
      <w:lang w:val="uk-UA" w:eastAsia="uk-UA"/>
    </w:rPr>
  </w:style>
  <w:style w:type="paragraph" w:styleId="3">
    <w:name w:val="heading 3"/>
    <w:basedOn w:val="a"/>
    <w:next w:val="a"/>
    <w:link w:val="30"/>
    <w:uiPriority w:val="99"/>
    <w:qFormat/>
    <w:rsid w:val="00EB6EBC"/>
    <w:pPr>
      <w:keepNext/>
      <w:keepLines/>
      <w:spacing w:before="200" w:line="276" w:lineRule="auto"/>
      <w:outlineLvl w:val="2"/>
    </w:pPr>
    <w:rPr>
      <w:rFonts w:ascii="Calibri Light" w:eastAsia="Times New Roman" w:hAnsi="Calibri Light" w:cs="Calibri Light"/>
      <w:b/>
      <w:bCs/>
      <w:color w:val="5B9BD5"/>
      <w:sz w:val="22"/>
      <w:szCs w:val="22"/>
      <w:lang w:val="uk-UA" w:eastAsia="uk-UA"/>
    </w:rPr>
  </w:style>
  <w:style w:type="paragraph" w:styleId="4">
    <w:name w:val="heading 4"/>
    <w:basedOn w:val="a"/>
    <w:next w:val="a"/>
    <w:link w:val="40"/>
    <w:uiPriority w:val="9"/>
    <w:qFormat/>
    <w:rsid w:val="00EB6EBC"/>
    <w:pPr>
      <w:keepNext/>
      <w:keepLines/>
      <w:spacing w:before="200" w:line="276" w:lineRule="auto"/>
      <w:outlineLvl w:val="3"/>
    </w:pPr>
    <w:rPr>
      <w:rFonts w:ascii="Calibri Light" w:eastAsia="Times New Roman" w:hAnsi="Calibri Light" w:cs="Calibri Light"/>
      <w:b/>
      <w:bCs/>
      <w:i/>
      <w:iCs/>
      <w:color w:val="5B9BD5"/>
      <w:sz w:val="22"/>
      <w:szCs w:val="22"/>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B6EBC"/>
    <w:rPr>
      <w:rFonts w:ascii="Calibri Light" w:eastAsia="Times New Roman" w:hAnsi="Calibri Light" w:cs="Calibri Light"/>
      <w:b/>
      <w:bCs/>
      <w:color w:val="2E74B5"/>
      <w:sz w:val="28"/>
      <w:szCs w:val="28"/>
      <w:lang w:eastAsia="ru-RU"/>
    </w:rPr>
  </w:style>
  <w:style w:type="character" w:customStyle="1" w:styleId="20">
    <w:name w:val="Заголовок 2 Знак"/>
    <w:basedOn w:val="a0"/>
    <w:link w:val="2"/>
    <w:uiPriority w:val="99"/>
    <w:rsid w:val="00EB6EBC"/>
    <w:rPr>
      <w:rFonts w:ascii="Calibri Light" w:eastAsia="Times New Roman" w:hAnsi="Calibri Light" w:cs="Calibri Light"/>
      <w:b/>
      <w:bCs/>
      <w:color w:val="5B9BD5"/>
      <w:sz w:val="26"/>
      <w:szCs w:val="26"/>
      <w:lang w:val="uk-UA" w:eastAsia="uk-UA"/>
    </w:rPr>
  </w:style>
  <w:style w:type="character" w:customStyle="1" w:styleId="30">
    <w:name w:val="Заголовок 3 Знак"/>
    <w:basedOn w:val="a0"/>
    <w:link w:val="3"/>
    <w:uiPriority w:val="99"/>
    <w:rsid w:val="00EB6EBC"/>
    <w:rPr>
      <w:rFonts w:ascii="Calibri Light" w:eastAsia="Times New Roman" w:hAnsi="Calibri Light" w:cs="Calibri Light"/>
      <w:b/>
      <w:bCs/>
      <w:color w:val="5B9BD5"/>
      <w:lang w:val="uk-UA" w:eastAsia="uk-UA"/>
    </w:rPr>
  </w:style>
  <w:style w:type="character" w:customStyle="1" w:styleId="40">
    <w:name w:val="Заголовок 4 Знак"/>
    <w:basedOn w:val="a0"/>
    <w:link w:val="4"/>
    <w:uiPriority w:val="9"/>
    <w:rsid w:val="00EB6EBC"/>
    <w:rPr>
      <w:rFonts w:ascii="Calibri Light" w:eastAsia="Times New Roman" w:hAnsi="Calibri Light" w:cs="Calibri Light"/>
      <w:b/>
      <w:bCs/>
      <w:i/>
      <w:iCs/>
      <w:color w:val="5B9BD5"/>
      <w:lang w:val="uk-UA" w:eastAsia="uk-UA"/>
    </w:rPr>
  </w:style>
  <w:style w:type="paragraph" w:styleId="a3">
    <w:name w:val="List Paragraph"/>
    <w:basedOn w:val="a"/>
    <w:qFormat/>
    <w:rsid w:val="00EB6EBC"/>
    <w:pPr>
      <w:spacing w:line="360" w:lineRule="auto"/>
      <w:ind w:left="720"/>
    </w:pPr>
    <w:rPr>
      <w:color w:val="auto"/>
      <w:sz w:val="28"/>
      <w:szCs w:val="28"/>
      <w:lang w:eastAsia="en-US"/>
    </w:rPr>
  </w:style>
  <w:style w:type="character" w:customStyle="1" w:styleId="14">
    <w:name w:val="шрифт К 14"/>
    <w:rsid w:val="00EB6EBC"/>
    <w:rPr>
      <w:rFonts w:ascii="Times New Roman" w:hAnsi="Times New Roman" w:cs="Times New Roman"/>
      <w:i/>
      <w:iCs/>
      <w:sz w:val="28"/>
      <w:szCs w:val="28"/>
    </w:rPr>
  </w:style>
  <w:style w:type="paragraph" w:styleId="21">
    <w:name w:val="Body Text 2"/>
    <w:basedOn w:val="a"/>
    <w:link w:val="22"/>
    <w:uiPriority w:val="99"/>
    <w:rsid w:val="00EB6EBC"/>
    <w:pPr>
      <w:spacing w:after="120" w:line="480" w:lineRule="auto"/>
    </w:pPr>
    <w:rPr>
      <w:rFonts w:ascii="Calibri" w:eastAsia="Times New Roman" w:hAnsi="Calibri" w:cs="Calibri"/>
      <w:color w:val="auto"/>
      <w:sz w:val="22"/>
      <w:szCs w:val="22"/>
    </w:rPr>
  </w:style>
  <w:style w:type="character" w:customStyle="1" w:styleId="22">
    <w:name w:val="Основной текст 2 Знак"/>
    <w:basedOn w:val="a0"/>
    <w:link w:val="21"/>
    <w:uiPriority w:val="99"/>
    <w:rsid w:val="00EB6EBC"/>
    <w:rPr>
      <w:rFonts w:ascii="Calibri" w:eastAsia="Times New Roman" w:hAnsi="Calibri" w:cs="Calibri"/>
      <w:lang w:eastAsia="ru-RU"/>
    </w:rPr>
  </w:style>
  <w:style w:type="character" w:customStyle="1" w:styleId="11">
    <w:name w:val="Основной текст1"/>
    <w:rsid w:val="00EB6EBC"/>
    <w:rPr>
      <w:rFonts w:ascii="Times New Roman" w:hAnsi="Times New Roman" w:cs="Times New Roman"/>
      <w:spacing w:val="0"/>
      <w:sz w:val="20"/>
      <w:szCs w:val="20"/>
      <w:shd w:val="clear" w:color="auto" w:fill="FFFFFF"/>
    </w:rPr>
  </w:style>
  <w:style w:type="character" w:customStyle="1" w:styleId="23">
    <w:name w:val="Основной текст (23)_"/>
    <w:link w:val="230"/>
    <w:locked/>
    <w:rsid w:val="00EB6EBC"/>
    <w:rPr>
      <w:rFonts w:ascii="Arial" w:hAnsi="Arial" w:cs="Arial"/>
      <w:sz w:val="17"/>
      <w:szCs w:val="17"/>
      <w:shd w:val="clear" w:color="auto" w:fill="FFFFFF"/>
    </w:rPr>
  </w:style>
  <w:style w:type="paragraph" w:customStyle="1" w:styleId="230">
    <w:name w:val="Основной текст (23)"/>
    <w:basedOn w:val="a"/>
    <w:link w:val="23"/>
    <w:rsid w:val="00EB6EBC"/>
    <w:pPr>
      <w:shd w:val="clear" w:color="auto" w:fill="FFFFFF"/>
      <w:spacing w:after="60" w:line="240" w:lineRule="atLeast"/>
    </w:pPr>
    <w:rPr>
      <w:rFonts w:ascii="Arial" w:eastAsiaTheme="minorHAnsi" w:hAnsi="Arial" w:cs="Arial"/>
      <w:color w:val="auto"/>
      <w:sz w:val="17"/>
      <w:szCs w:val="17"/>
      <w:lang w:eastAsia="en-US"/>
    </w:rPr>
  </w:style>
  <w:style w:type="paragraph" w:styleId="a4">
    <w:name w:val="Normal (Web)"/>
    <w:basedOn w:val="a"/>
    <w:uiPriority w:val="99"/>
    <w:rsid w:val="00EB6EBC"/>
    <w:pPr>
      <w:spacing w:before="100" w:beforeAutospacing="1" w:after="100" w:afterAutospacing="1"/>
    </w:pPr>
    <w:rPr>
      <w:rFonts w:ascii="Times New Roman" w:eastAsia="Times New Roman" w:hAnsi="Times New Roman" w:cs="Times New Roman"/>
      <w:color w:val="auto"/>
      <w:lang w:val="uk-UA"/>
    </w:rPr>
  </w:style>
  <w:style w:type="character" w:styleId="a5">
    <w:name w:val="Hyperlink"/>
    <w:uiPriority w:val="99"/>
    <w:rsid w:val="00EB6EBC"/>
    <w:rPr>
      <w:color w:val="0000FF"/>
      <w:u w:val="single"/>
    </w:rPr>
  </w:style>
  <w:style w:type="paragraph" w:customStyle="1" w:styleId="a6">
    <w:name w:val="Гост"/>
    <w:basedOn w:val="a"/>
    <w:uiPriority w:val="99"/>
    <w:rsid w:val="00EB6EBC"/>
    <w:pPr>
      <w:widowControl w:val="0"/>
      <w:autoSpaceDE w:val="0"/>
      <w:autoSpaceDN w:val="0"/>
      <w:spacing w:line="474" w:lineRule="atLeast"/>
      <w:ind w:firstLine="680"/>
      <w:jc w:val="both"/>
    </w:pPr>
    <w:rPr>
      <w:rFonts w:ascii="Times New Roman" w:eastAsia="Times New Roman" w:hAnsi="Times New Roman" w:cs="Times New Roman"/>
      <w:color w:val="auto"/>
      <w:spacing w:val="6"/>
      <w:kern w:val="28"/>
      <w:sz w:val="28"/>
      <w:szCs w:val="28"/>
      <w:lang w:val="uk-UA" w:eastAsia="uk-UA"/>
    </w:rPr>
  </w:style>
  <w:style w:type="character" w:customStyle="1" w:styleId="a7">
    <w:name w:val="Основной текст_"/>
    <w:link w:val="220"/>
    <w:locked/>
    <w:rsid w:val="00EB6EBC"/>
    <w:rPr>
      <w:rFonts w:ascii="Times New Roman" w:hAnsi="Times New Roman" w:cs="Times New Roman"/>
      <w:sz w:val="27"/>
      <w:szCs w:val="27"/>
      <w:shd w:val="clear" w:color="auto" w:fill="FFFFFF"/>
    </w:rPr>
  </w:style>
  <w:style w:type="paragraph" w:customStyle="1" w:styleId="220">
    <w:name w:val="Основной текст22"/>
    <w:basedOn w:val="a"/>
    <w:link w:val="a7"/>
    <w:rsid w:val="00EB6EBC"/>
    <w:pPr>
      <w:widowControl w:val="0"/>
      <w:shd w:val="clear" w:color="auto" w:fill="FFFFFF"/>
      <w:spacing w:after="720" w:line="326" w:lineRule="exact"/>
      <w:ind w:hanging="1760"/>
      <w:jc w:val="center"/>
    </w:pPr>
    <w:rPr>
      <w:rFonts w:ascii="Times New Roman" w:eastAsiaTheme="minorHAnsi" w:hAnsi="Times New Roman" w:cs="Times New Roman"/>
      <w:color w:val="auto"/>
      <w:sz w:val="27"/>
      <w:szCs w:val="27"/>
      <w:lang w:eastAsia="en-US"/>
    </w:rPr>
  </w:style>
  <w:style w:type="paragraph" w:customStyle="1" w:styleId="210">
    <w:name w:val="Основной текст (2)1"/>
    <w:basedOn w:val="a"/>
    <w:link w:val="24"/>
    <w:uiPriority w:val="99"/>
    <w:rsid w:val="00EB6EBC"/>
    <w:pPr>
      <w:widowControl w:val="0"/>
      <w:shd w:val="clear" w:color="auto" w:fill="FFFFFF"/>
      <w:spacing w:line="1142" w:lineRule="exact"/>
      <w:jc w:val="center"/>
    </w:pPr>
    <w:rPr>
      <w:rFonts w:cs="Times New Roman"/>
      <w:b/>
      <w:bCs/>
      <w:color w:val="auto"/>
      <w:sz w:val="27"/>
      <w:szCs w:val="27"/>
    </w:rPr>
  </w:style>
  <w:style w:type="character" w:customStyle="1" w:styleId="24">
    <w:name w:val="Основной текст (2)_"/>
    <w:link w:val="210"/>
    <w:uiPriority w:val="99"/>
    <w:locked/>
    <w:rsid w:val="00EB6EBC"/>
    <w:rPr>
      <w:rFonts w:ascii="Arial Unicode MS" w:eastAsia="Calibri" w:hAnsi="Arial Unicode MS" w:cs="Times New Roman"/>
      <w:b/>
      <w:bCs/>
      <w:sz w:val="27"/>
      <w:szCs w:val="27"/>
      <w:shd w:val="clear" w:color="auto" w:fill="FFFFFF"/>
      <w:lang w:eastAsia="ru-RU"/>
    </w:rPr>
  </w:style>
  <w:style w:type="character" w:styleId="a8">
    <w:name w:val="Emphasis"/>
    <w:uiPriority w:val="99"/>
    <w:qFormat/>
    <w:rsid w:val="00EB6EBC"/>
    <w:rPr>
      <w:i/>
      <w:iCs/>
    </w:rPr>
  </w:style>
  <w:style w:type="paragraph" w:styleId="a9">
    <w:name w:val="Body Text"/>
    <w:basedOn w:val="a"/>
    <w:link w:val="aa"/>
    <w:uiPriority w:val="99"/>
    <w:rsid w:val="00EB6EBC"/>
    <w:pPr>
      <w:spacing w:after="120" w:line="276" w:lineRule="auto"/>
    </w:pPr>
    <w:rPr>
      <w:rFonts w:ascii="Calibri" w:eastAsia="Times New Roman" w:hAnsi="Calibri" w:cs="Calibri"/>
      <w:color w:val="auto"/>
      <w:sz w:val="22"/>
      <w:szCs w:val="22"/>
      <w:lang w:val="uk-UA" w:eastAsia="uk-UA"/>
    </w:rPr>
  </w:style>
  <w:style w:type="character" w:customStyle="1" w:styleId="aa">
    <w:name w:val="Основной текст Знак"/>
    <w:basedOn w:val="a0"/>
    <w:link w:val="a9"/>
    <w:uiPriority w:val="99"/>
    <w:rsid w:val="00EB6EBC"/>
    <w:rPr>
      <w:rFonts w:ascii="Calibri" w:eastAsia="Times New Roman" w:hAnsi="Calibri" w:cs="Calibri"/>
      <w:lang w:val="uk-UA" w:eastAsia="uk-UA"/>
    </w:rPr>
  </w:style>
  <w:style w:type="character" w:customStyle="1" w:styleId="31">
    <w:name w:val="Основной текст (3)"/>
    <w:rsid w:val="00EB6EBC"/>
    <w:rPr>
      <w:rFonts w:ascii="Times New Roman" w:hAnsi="Times New Roman" w:cs="Times New Roman"/>
      <w:spacing w:val="0"/>
      <w:sz w:val="24"/>
      <w:szCs w:val="24"/>
    </w:rPr>
  </w:style>
  <w:style w:type="character" w:customStyle="1" w:styleId="ab">
    <w:name w:val="Основной текст + Курсив"/>
    <w:rsid w:val="00EB6EBC"/>
    <w:rPr>
      <w:rFonts w:ascii="Times New Roman" w:hAnsi="Times New Roman" w:cs="Times New Roman"/>
      <w:i/>
      <w:iCs/>
      <w:spacing w:val="0"/>
      <w:sz w:val="20"/>
      <w:szCs w:val="20"/>
      <w:shd w:val="clear" w:color="auto" w:fill="FFFFFF"/>
      <w:lang w:val="en-US"/>
    </w:rPr>
  </w:style>
  <w:style w:type="character" w:customStyle="1" w:styleId="element-citation">
    <w:name w:val="element-citation"/>
    <w:basedOn w:val="a0"/>
    <w:uiPriority w:val="99"/>
    <w:rsid w:val="00EB6EBC"/>
  </w:style>
  <w:style w:type="character" w:customStyle="1" w:styleId="34">
    <w:name w:val="Основной текст (34) + Курсив"/>
    <w:uiPriority w:val="99"/>
    <w:rsid w:val="00EB6EBC"/>
    <w:rPr>
      <w:rFonts w:ascii="Times New Roman" w:hAnsi="Times New Roman" w:cs="Times New Roman"/>
      <w:i/>
      <w:iCs/>
      <w:spacing w:val="0"/>
      <w:sz w:val="20"/>
      <w:szCs w:val="20"/>
      <w:lang w:val="en-US"/>
    </w:rPr>
  </w:style>
  <w:style w:type="character" w:customStyle="1" w:styleId="ref-journal">
    <w:name w:val="ref-journal"/>
    <w:basedOn w:val="a0"/>
    <w:uiPriority w:val="99"/>
    <w:rsid w:val="00EB6EBC"/>
  </w:style>
  <w:style w:type="character" w:customStyle="1" w:styleId="mixed-citation">
    <w:name w:val="mixed-citation"/>
    <w:basedOn w:val="a0"/>
    <w:uiPriority w:val="99"/>
    <w:rsid w:val="00EB6EBC"/>
  </w:style>
  <w:style w:type="character" w:customStyle="1" w:styleId="210pt">
    <w:name w:val="Основной текст (2) + 10 pt"/>
    <w:aliases w:val="Курсив1"/>
    <w:rsid w:val="00EB6EBC"/>
    <w:rPr>
      <w:rFonts w:ascii="Times New Roman" w:hAnsi="Times New Roman" w:cs="Times New Roman"/>
      <w:i/>
      <w:iCs/>
      <w:spacing w:val="0"/>
      <w:sz w:val="20"/>
      <w:szCs w:val="20"/>
    </w:rPr>
  </w:style>
  <w:style w:type="character" w:customStyle="1" w:styleId="notranslate">
    <w:name w:val="notranslate"/>
    <w:rsid w:val="00EB6EBC"/>
  </w:style>
  <w:style w:type="character" w:customStyle="1" w:styleId="711pt">
    <w:name w:val="Основной текст (7) + 11 pt;Курсив"/>
    <w:rsid w:val="00EB6EBC"/>
    <w:rPr>
      <w:rFonts w:ascii="Times New Roman" w:eastAsia="Times New Roman" w:hAnsi="Times New Roman" w:cs="Times New Roman"/>
      <w:b w:val="0"/>
      <w:bCs w:val="0"/>
      <w:i/>
      <w:iCs/>
      <w:smallCaps w:val="0"/>
      <w:strike w:val="0"/>
      <w:spacing w:val="0"/>
      <w:sz w:val="22"/>
      <w:szCs w:val="22"/>
    </w:rPr>
  </w:style>
  <w:style w:type="character" w:customStyle="1" w:styleId="33FranklinGothicHeavy10pt">
    <w:name w:val="Основной текст (33) + Franklin Gothic Heavy;10 pt;Курсив"/>
    <w:rsid w:val="00EB6EBC"/>
    <w:rPr>
      <w:rFonts w:ascii="Franklin Gothic Heavy" w:eastAsia="Franklin Gothic Heavy" w:hAnsi="Franklin Gothic Heavy" w:cs="Franklin Gothic Heavy"/>
      <w:b w:val="0"/>
      <w:bCs w:val="0"/>
      <w:i/>
      <w:iCs/>
      <w:smallCaps w:val="0"/>
      <w:strike w:val="0"/>
      <w:spacing w:val="0"/>
      <w:sz w:val="20"/>
      <w:szCs w:val="20"/>
      <w:shd w:val="clear" w:color="auto" w:fill="FFFFFF"/>
    </w:rPr>
  </w:style>
  <w:style w:type="character" w:customStyle="1" w:styleId="3TimesNewRoman75pt">
    <w:name w:val="Подпись к таблице (3) + Times New Roman;7;5 pt"/>
    <w:rsid w:val="00EB6EBC"/>
    <w:rPr>
      <w:rFonts w:ascii="Times New Roman" w:eastAsia="Times New Roman" w:hAnsi="Times New Roman" w:cs="Times New Roman"/>
      <w:sz w:val="15"/>
      <w:szCs w:val="15"/>
      <w:shd w:val="clear" w:color="auto" w:fill="FFFFFF"/>
    </w:rPr>
  </w:style>
  <w:style w:type="paragraph" w:styleId="ac">
    <w:name w:val="header"/>
    <w:basedOn w:val="a"/>
    <w:link w:val="ad"/>
    <w:uiPriority w:val="99"/>
    <w:unhideWhenUsed/>
    <w:rsid w:val="00EB6EBC"/>
    <w:pPr>
      <w:tabs>
        <w:tab w:val="center" w:pos="4677"/>
        <w:tab w:val="right" w:pos="9355"/>
      </w:tabs>
    </w:pPr>
  </w:style>
  <w:style w:type="character" w:customStyle="1" w:styleId="ad">
    <w:name w:val="Верхний колонтитул Знак"/>
    <w:basedOn w:val="a0"/>
    <w:link w:val="ac"/>
    <w:uiPriority w:val="99"/>
    <w:rsid w:val="00EB6EBC"/>
    <w:rPr>
      <w:rFonts w:ascii="Arial Unicode MS" w:eastAsia="Calibri" w:hAnsi="Arial Unicode MS" w:cs="Arial Unicode MS"/>
      <w:color w:val="000000"/>
      <w:sz w:val="24"/>
      <w:szCs w:val="24"/>
      <w:lang w:eastAsia="ru-RU"/>
    </w:rPr>
  </w:style>
  <w:style w:type="paragraph" w:styleId="ae">
    <w:name w:val="footer"/>
    <w:basedOn w:val="a"/>
    <w:link w:val="af"/>
    <w:uiPriority w:val="99"/>
    <w:unhideWhenUsed/>
    <w:rsid w:val="00EB6EBC"/>
    <w:pPr>
      <w:tabs>
        <w:tab w:val="center" w:pos="4677"/>
        <w:tab w:val="right" w:pos="9355"/>
      </w:tabs>
    </w:pPr>
  </w:style>
  <w:style w:type="character" w:customStyle="1" w:styleId="af">
    <w:name w:val="Нижний колонтитул Знак"/>
    <w:basedOn w:val="a0"/>
    <w:link w:val="ae"/>
    <w:uiPriority w:val="99"/>
    <w:rsid w:val="00EB6EBC"/>
    <w:rPr>
      <w:rFonts w:ascii="Arial Unicode MS" w:eastAsia="Calibri" w:hAnsi="Arial Unicode MS" w:cs="Arial Unicode MS"/>
      <w:color w:val="000000"/>
      <w:sz w:val="24"/>
      <w:szCs w:val="24"/>
      <w:lang w:eastAsia="ru-RU"/>
    </w:rPr>
  </w:style>
  <w:style w:type="character" w:customStyle="1" w:styleId="25">
    <w:name w:val="Основной текст (2) + Курсив"/>
    <w:rsid w:val="00EB6EBC"/>
    <w:rPr>
      <w:rFonts w:ascii="Times New Roman" w:hAnsi="Times New Roman"/>
      <w:i/>
      <w:color w:val="000000"/>
      <w:spacing w:val="0"/>
      <w:w w:val="100"/>
      <w:position w:val="0"/>
      <w:sz w:val="19"/>
      <w:u w:val="none"/>
      <w:lang w:val="uk-UA" w:eastAsia="uk-UA"/>
    </w:rPr>
  </w:style>
  <w:style w:type="paragraph" w:customStyle="1" w:styleId="af0">
    <w:name w:val="текст дис."/>
    <w:link w:val="af1"/>
    <w:rsid w:val="00EB6EBC"/>
    <w:pPr>
      <w:widowControl w:val="0"/>
      <w:suppressAutoHyphens/>
      <w:spacing w:after="0" w:line="360" w:lineRule="auto"/>
      <w:ind w:firstLine="709"/>
      <w:jc w:val="both"/>
    </w:pPr>
    <w:rPr>
      <w:rFonts w:ascii="Arial Unicode MS" w:eastAsia="Calibri" w:hAnsi="Arial Unicode MS" w:cs="Times New Roman"/>
      <w:sz w:val="28"/>
      <w:szCs w:val="28"/>
      <w:lang w:eastAsia="ar-SA"/>
    </w:rPr>
  </w:style>
  <w:style w:type="character" w:customStyle="1" w:styleId="af1">
    <w:name w:val="текст дис. Знак"/>
    <w:link w:val="af0"/>
    <w:locked/>
    <w:rsid w:val="00EB6EBC"/>
    <w:rPr>
      <w:rFonts w:ascii="Arial Unicode MS" w:eastAsia="Calibri" w:hAnsi="Arial Unicode MS" w:cs="Times New Roman"/>
      <w:sz w:val="28"/>
      <w:szCs w:val="28"/>
      <w:lang w:eastAsia="ar-SA"/>
    </w:rPr>
  </w:style>
  <w:style w:type="paragraph" w:customStyle="1" w:styleId="110">
    <w:name w:val="Дис 1.1."/>
    <w:basedOn w:val="a"/>
    <w:next w:val="af0"/>
    <w:uiPriority w:val="99"/>
    <w:rsid w:val="00EB6EBC"/>
    <w:pPr>
      <w:widowControl w:val="0"/>
      <w:suppressAutoHyphens/>
      <w:spacing w:after="240" w:line="360" w:lineRule="auto"/>
      <w:ind w:left="709" w:firstLine="709"/>
      <w:jc w:val="both"/>
    </w:pPr>
    <w:rPr>
      <w:rFonts w:ascii="Times New Roman" w:eastAsia="Times New Roman" w:hAnsi="Times New Roman" w:cs="Times New Roman"/>
      <w:color w:val="auto"/>
      <w:sz w:val="28"/>
      <w:szCs w:val="28"/>
      <w:lang w:eastAsia="ar-SA"/>
    </w:rPr>
  </w:style>
  <w:style w:type="paragraph" w:customStyle="1" w:styleId="Table">
    <w:name w:val="Table номер"/>
    <w:basedOn w:val="a"/>
    <w:next w:val="af0"/>
    <w:uiPriority w:val="99"/>
    <w:rsid w:val="00EB6EBC"/>
    <w:pPr>
      <w:widowControl w:val="0"/>
      <w:suppressAutoHyphens/>
      <w:spacing w:line="360" w:lineRule="auto"/>
      <w:ind w:firstLine="709"/>
      <w:jc w:val="right"/>
    </w:pPr>
    <w:rPr>
      <w:rFonts w:ascii="Times New Roman" w:eastAsia="Times New Roman" w:hAnsi="Times New Roman" w:cs="Times New Roman"/>
      <w:i/>
      <w:iCs/>
      <w:color w:val="auto"/>
      <w:sz w:val="28"/>
      <w:szCs w:val="28"/>
      <w:lang w:eastAsia="ar-SA"/>
    </w:rPr>
  </w:style>
  <w:style w:type="character" w:customStyle="1" w:styleId="29pt">
    <w:name w:val="Основной текст (2) + 9 pt"/>
    <w:aliases w:val="Не полужирный,Не курсив"/>
    <w:uiPriority w:val="99"/>
    <w:rsid w:val="00EB6EBC"/>
    <w:rPr>
      <w:rFonts w:ascii="Century Schoolbook" w:hAnsi="Century Schoolbook" w:cs="Century Schoolbook"/>
      <w:b/>
      <w:bCs/>
      <w:i/>
      <w:iCs/>
      <w:spacing w:val="0"/>
      <w:sz w:val="18"/>
      <w:szCs w:val="18"/>
      <w:shd w:val="clear" w:color="auto" w:fill="FFFFFF"/>
    </w:rPr>
  </w:style>
  <w:style w:type="character" w:customStyle="1" w:styleId="26">
    <w:name w:val="Основной текст (2) + Не курсив"/>
    <w:rsid w:val="00EB6EBC"/>
    <w:rPr>
      <w:rFonts w:ascii="Century Schoolbook" w:hAnsi="Century Schoolbook" w:cs="Century Schoolbook"/>
      <w:i/>
      <w:iCs/>
      <w:spacing w:val="0"/>
      <w:sz w:val="16"/>
      <w:szCs w:val="16"/>
      <w:shd w:val="clear" w:color="auto" w:fill="FFFFFF"/>
    </w:rPr>
  </w:style>
  <w:style w:type="character" w:customStyle="1" w:styleId="jrnl">
    <w:name w:val="jrnl"/>
    <w:basedOn w:val="a0"/>
    <w:uiPriority w:val="99"/>
    <w:rsid w:val="00EB6EBC"/>
  </w:style>
  <w:style w:type="paragraph" w:styleId="af2">
    <w:name w:val="Balloon Text"/>
    <w:basedOn w:val="a"/>
    <w:link w:val="af3"/>
    <w:uiPriority w:val="99"/>
    <w:semiHidden/>
    <w:rsid w:val="00EB6EBC"/>
    <w:rPr>
      <w:rFonts w:ascii="Tahoma" w:eastAsia="Times New Roman" w:hAnsi="Tahoma" w:cs="Tahoma"/>
      <w:color w:val="auto"/>
      <w:sz w:val="16"/>
      <w:szCs w:val="16"/>
      <w:lang w:val="uk-UA" w:eastAsia="uk-UA"/>
    </w:rPr>
  </w:style>
  <w:style w:type="character" w:customStyle="1" w:styleId="af3">
    <w:name w:val="Текст выноски Знак"/>
    <w:basedOn w:val="a0"/>
    <w:link w:val="af2"/>
    <w:uiPriority w:val="99"/>
    <w:semiHidden/>
    <w:rsid w:val="00EB6EBC"/>
    <w:rPr>
      <w:rFonts w:ascii="Tahoma" w:eastAsia="Times New Roman" w:hAnsi="Tahoma" w:cs="Tahoma"/>
      <w:sz w:val="16"/>
      <w:szCs w:val="16"/>
      <w:lang w:val="uk-UA" w:eastAsia="uk-UA"/>
    </w:rPr>
  </w:style>
  <w:style w:type="character" w:styleId="af4">
    <w:name w:val="Strong"/>
    <w:uiPriority w:val="22"/>
    <w:qFormat/>
    <w:rsid w:val="00EB6EBC"/>
    <w:rPr>
      <w:b/>
      <w:bCs/>
    </w:rPr>
  </w:style>
  <w:style w:type="character" w:customStyle="1" w:styleId="hps">
    <w:name w:val="hps"/>
    <w:basedOn w:val="a0"/>
    <w:rsid w:val="00EB6EBC"/>
  </w:style>
  <w:style w:type="paragraph" w:styleId="af5">
    <w:name w:val="Body Text Indent"/>
    <w:basedOn w:val="a"/>
    <w:link w:val="af6"/>
    <w:uiPriority w:val="99"/>
    <w:rsid w:val="00EB6EBC"/>
    <w:pPr>
      <w:widowControl w:val="0"/>
      <w:suppressAutoHyphens/>
      <w:spacing w:line="360" w:lineRule="auto"/>
      <w:ind w:firstLine="720"/>
      <w:jc w:val="both"/>
    </w:pPr>
    <w:rPr>
      <w:rFonts w:ascii="Times New Roman" w:eastAsia="SimSun" w:hAnsi="Times New Roman" w:cs="Times New Roman"/>
      <w:color w:val="auto"/>
      <w:kern w:val="1"/>
      <w:sz w:val="28"/>
      <w:szCs w:val="28"/>
      <w:lang w:eastAsia="hi-IN" w:bidi="hi-IN"/>
    </w:rPr>
  </w:style>
  <w:style w:type="character" w:customStyle="1" w:styleId="af6">
    <w:name w:val="Основной текст с отступом Знак"/>
    <w:basedOn w:val="a0"/>
    <w:link w:val="af5"/>
    <w:uiPriority w:val="99"/>
    <w:rsid w:val="00EB6EBC"/>
    <w:rPr>
      <w:rFonts w:ascii="Times New Roman" w:eastAsia="SimSun" w:hAnsi="Times New Roman" w:cs="Times New Roman"/>
      <w:kern w:val="1"/>
      <w:sz w:val="28"/>
      <w:szCs w:val="28"/>
      <w:lang w:eastAsia="hi-IN" w:bidi="hi-IN"/>
    </w:rPr>
  </w:style>
  <w:style w:type="paragraph" w:customStyle="1" w:styleId="Default">
    <w:name w:val="Default"/>
    <w:uiPriority w:val="99"/>
    <w:rsid w:val="00EB6EBC"/>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customStyle="1" w:styleId="af7">
    <w:name w:val="Название таблицы"/>
    <w:basedOn w:val="a"/>
    <w:autoRedefine/>
    <w:uiPriority w:val="99"/>
    <w:qFormat/>
    <w:rsid w:val="00EB6EBC"/>
    <w:pPr>
      <w:spacing w:after="240" w:line="360" w:lineRule="auto"/>
      <w:ind w:firstLine="567"/>
      <w:jc w:val="both"/>
    </w:pPr>
    <w:rPr>
      <w:rFonts w:ascii="Times New Roman" w:eastAsia="Times New Roman" w:hAnsi="Times New Roman" w:cs="Times New Roman"/>
      <w:color w:val="auto"/>
      <w:sz w:val="28"/>
      <w:szCs w:val="28"/>
      <w:lang w:val="uk-UA"/>
    </w:rPr>
  </w:style>
  <w:style w:type="character" w:customStyle="1" w:styleId="apple-converted-space">
    <w:name w:val="apple-converted-space"/>
    <w:basedOn w:val="a0"/>
    <w:uiPriority w:val="99"/>
    <w:rsid w:val="00EB6EBC"/>
  </w:style>
  <w:style w:type="paragraph" w:customStyle="1" w:styleId="rtejustify">
    <w:name w:val="rtejustify"/>
    <w:basedOn w:val="a"/>
    <w:uiPriority w:val="99"/>
    <w:rsid w:val="00EB6EBC"/>
    <w:pPr>
      <w:spacing w:before="100" w:beforeAutospacing="1" w:after="100" w:afterAutospacing="1"/>
    </w:pPr>
    <w:rPr>
      <w:rFonts w:ascii="Times New Roman" w:eastAsia="Times New Roman" w:hAnsi="Times New Roman" w:cs="Times New Roman"/>
      <w:color w:val="auto"/>
      <w:lang w:val="uk-UA" w:eastAsia="uk-UA"/>
    </w:rPr>
  </w:style>
  <w:style w:type="character" w:customStyle="1" w:styleId="highlight">
    <w:name w:val="highlight"/>
    <w:basedOn w:val="a0"/>
    <w:rsid w:val="00EB6EBC"/>
  </w:style>
  <w:style w:type="paragraph" w:customStyle="1" w:styleId="p">
    <w:name w:val="p"/>
    <w:basedOn w:val="a"/>
    <w:uiPriority w:val="99"/>
    <w:rsid w:val="00EB6EBC"/>
    <w:pPr>
      <w:spacing w:before="100" w:beforeAutospacing="1" w:after="100" w:afterAutospacing="1"/>
    </w:pPr>
    <w:rPr>
      <w:rFonts w:ascii="Times New Roman" w:eastAsia="Times New Roman" w:hAnsi="Times New Roman" w:cs="Times New Roman"/>
      <w:color w:val="auto"/>
      <w:lang w:val="uk-UA" w:eastAsia="uk-UA"/>
    </w:rPr>
  </w:style>
  <w:style w:type="character" w:customStyle="1" w:styleId="af8">
    <w:name w:val="Текст примечания Знак"/>
    <w:link w:val="af9"/>
    <w:uiPriority w:val="99"/>
    <w:semiHidden/>
    <w:locked/>
    <w:rsid w:val="00EB6EBC"/>
    <w:rPr>
      <w:rFonts w:eastAsia="Times New Roman"/>
      <w:sz w:val="20"/>
      <w:szCs w:val="20"/>
      <w:lang w:val="uk-UA" w:eastAsia="uk-UA"/>
    </w:rPr>
  </w:style>
  <w:style w:type="paragraph" w:styleId="af9">
    <w:name w:val="annotation text"/>
    <w:basedOn w:val="a"/>
    <w:link w:val="af8"/>
    <w:uiPriority w:val="99"/>
    <w:semiHidden/>
    <w:rsid w:val="00EB6EBC"/>
    <w:pPr>
      <w:spacing w:after="200"/>
    </w:pPr>
    <w:rPr>
      <w:rFonts w:asciiTheme="minorHAnsi" w:eastAsia="Times New Roman" w:hAnsiTheme="minorHAnsi" w:cstheme="minorBidi"/>
      <w:color w:val="auto"/>
      <w:sz w:val="20"/>
      <w:szCs w:val="20"/>
      <w:lang w:val="uk-UA" w:eastAsia="uk-UA"/>
    </w:rPr>
  </w:style>
  <w:style w:type="character" w:customStyle="1" w:styleId="12">
    <w:name w:val="Текст примечания Знак1"/>
    <w:basedOn w:val="a0"/>
    <w:uiPriority w:val="99"/>
    <w:semiHidden/>
    <w:rsid w:val="00EB6EBC"/>
    <w:rPr>
      <w:rFonts w:ascii="Arial Unicode MS" w:eastAsia="Calibri" w:hAnsi="Arial Unicode MS" w:cs="Arial Unicode MS"/>
      <w:color w:val="000000"/>
      <w:sz w:val="20"/>
      <w:szCs w:val="20"/>
      <w:lang w:eastAsia="ru-RU"/>
    </w:rPr>
  </w:style>
  <w:style w:type="character" w:customStyle="1" w:styleId="CommentTextChar1">
    <w:name w:val="Comment Text Char1"/>
    <w:uiPriority w:val="99"/>
    <w:semiHidden/>
    <w:locked/>
    <w:rsid w:val="00EB6EBC"/>
    <w:rPr>
      <w:rFonts w:ascii="Arial Unicode MS" w:hAnsi="Arial Unicode MS" w:cs="Arial Unicode MS"/>
      <w:color w:val="000000"/>
      <w:sz w:val="20"/>
      <w:szCs w:val="20"/>
    </w:rPr>
  </w:style>
  <w:style w:type="character" w:customStyle="1" w:styleId="afa">
    <w:name w:val="Тема примечания Знак"/>
    <w:link w:val="afb"/>
    <w:uiPriority w:val="99"/>
    <w:semiHidden/>
    <w:locked/>
    <w:rsid w:val="00EB6EBC"/>
    <w:rPr>
      <w:rFonts w:eastAsia="Times New Roman"/>
      <w:b/>
      <w:bCs/>
      <w:sz w:val="20"/>
      <w:szCs w:val="20"/>
      <w:lang w:val="uk-UA" w:eastAsia="uk-UA"/>
    </w:rPr>
  </w:style>
  <w:style w:type="paragraph" w:styleId="afb">
    <w:name w:val="annotation subject"/>
    <w:basedOn w:val="af9"/>
    <w:next w:val="af9"/>
    <w:link w:val="afa"/>
    <w:uiPriority w:val="99"/>
    <w:semiHidden/>
    <w:rsid w:val="00EB6EBC"/>
    <w:rPr>
      <w:b/>
      <w:bCs/>
    </w:rPr>
  </w:style>
  <w:style w:type="character" w:customStyle="1" w:styleId="13">
    <w:name w:val="Тема примечания Знак1"/>
    <w:basedOn w:val="12"/>
    <w:uiPriority w:val="99"/>
    <w:semiHidden/>
    <w:rsid w:val="00EB6EBC"/>
    <w:rPr>
      <w:rFonts w:ascii="Arial Unicode MS" w:eastAsia="Calibri" w:hAnsi="Arial Unicode MS" w:cs="Arial Unicode MS"/>
      <w:b/>
      <w:bCs/>
      <w:color w:val="000000"/>
      <w:sz w:val="20"/>
      <w:szCs w:val="20"/>
      <w:lang w:eastAsia="ru-RU"/>
    </w:rPr>
  </w:style>
  <w:style w:type="character" w:customStyle="1" w:styleId="CommentSubjectChar1">
    <w:name w:val="Comment Subject Char1"/>
    <w:uiPriority w:val="99"/>
    <w:semiHidden/>
    <w:locked/>
    <w:rsid w:val="00EB6EBC"/>
    <w:rPr>
      <w:rFonts w:ascii="Arial Unicode MS" w:eastAsia="Times New Roman" w:hAnsi="Arial Unicode MS" w:cs="Arial Unicode MS"/>
      <w:b/>
      <w:bCs/>
      <w:color w:val="000000"/>
      <w:sz w:val="20"/>
      <w:szCs w:val="20"/>
      <w:lang w:val="uk-UA" w:eastAsia="uk-UA"/>
    </w:rPr>
  </w:style>
  <w:style w:type="paragraph" w:styleId="HTML">
    <w:name w:val="HTML Preformatted"/>
    <w:basedOn w:val="a"/>
    <w:link w:val="HTML0"/>
    <w:uiPriority w:val="99"/>
    <w:rsid w:val="00EB6E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nsolas" w:hAnsi="Consolas" w:cs="Consolas"/>
      <w:color w:val="auto"/>
      <w:sz w:val="20"/>
      <w:szCs w:val="20"/>
      <w:lang w:val="uk-UA" w:eastAsia="en-US"/>
    </w:rPr>
  </w:style>
  <w:style w:type="character" w:customStyle="1" w:styleId="HTML0">
    <w:name w:val="Стандартный HTML Знак"/>
    <w:basedOn w:val="a0"/>
    <w:link w:val="HTML"/>
    <w:uiPriority w:val="99"/>
    <w:rsid w:val="00EB6EBC"/>
    <w:rPr>
      <w:rFonts w:ascii="Consolas" w:eastAsia="Calibri" w:hAnsi="Consolas" w:cs="Consolas"/>
      <w:sz w:val="20"/>
      <w:szCs w:val="20"/>
      <w:lang w:val="uk-UA"/>
    </w:rPr>
  </w:style>
  <w:style w:type="character" w:customStyle="1" w:styleId="A40">
    <w:name w:val="A4"/>
    <w:rsid w:val="00EB6EBC"/>
    <w:rPr>
      <w:rFonts w:ascii="Times New Roman" w:hAnsi="Times New Roman" w:cs="Times New Roman"/>
      <w:color w:val="000000"/>
      <w:sz w:val="18"/>
      <w:szCs w:val="18"/>
    </w:rPr>
  </w:style>
  <w:style w:type="paragraph" w:customStyle="1" w:styleId="details">
    <w:name w:val="details"/>
    <w:basedOn w:val="a"/>
    <w:uiPriority w:val="99"/>
    <w:rsid w:val="00EB6EBC"/>
    <w:pPr>
      <w:spacing w:before="100" w:beforeAutospacing="1" w:after="100" w:afterAutospacing="1"/>
    </w:pPr>
    <w:rPr>
      <w:rFonts w:ascii="Times New Roman" w:eastAsia="Times New Roman" w:hAnsi="Times New Roman" w:cs="Times New Roman"/>
      <w:color w:val="auto"/>
    </w:rPr>
  </w:style>
  <w:style w:type="paragraph" w:customStyle="1" w:styleId="desc">
    <w:name w:val="desc"/>
    <w:basedOn w:val="a"/>
    <w:uiPriority w:val="99"/>
    <w:rsid w:val="00EB6EBC"/>
    <w:pPr>
      <w:spacing w:before="100" w:beforeAutospacing="1" w:after="100" w:afterAutospacing="1"/>
    </w:pPr>
    <w:rPr>
      <w:rFonts w:ascii="Times New Roman" w:eastAsia="Times New Roman" w:hAnsi="Times New Roman" w:cs="Times New Roman"/>
      <w:color w:val="auto"/>
    </w:rPr>
  </w:style>
  <w:style w:type="paragraph" w:customStyle="1" w:styleId="15">
    <w:name w:val="Название1"/>
    <w:basedOn w:val="a"/>
    <w:uiPriority w:val="99"/>
    <w:rsid w:val="00EB6EBC"/>
    <w:pPr>
      <w:spacing w:before="100" w:beforeAutospacing="1" w:after="100" w:afterAutospacing="1"/>
    </w:pPr>
    <w:rPr>
      <w:rFonts w:ascii="Times New Roman" w:eastAsia="Times New Roman" w:hAnsi="Times New Roman" w:cs="Times New Roman"/>
      <w:color w:val="auto"/>
    </w:rPr>
  </w:style>
  <w:style w:type="paragraph" w:customStyle="1" w:styleId="Pa3">
    <w:name w:val="Pa3"/>
    <w:basedOn w:val="a"/>
    <w:next w:val="a"/>
    <w:uiPriority w:val="99"/>
    <w:rsid w:val="00EB6EBC"/>
    <w:pPr>
      <w:autoSpaceDE w:val="0"/>
      <w:autoSpaceDN w:val="0"/>
      <w:adjustRightInd w:val="0"/>
      <w:spacing w:line="201" w:lineRule="atLeast"/>
    </w:pPr>
    <w:rPr>
      <w:color w:val="auto"/>
      <w:lang w:val="uk-UA" w:eastAsia="en-US"/>
    </w:rPr>
  </w:style>
  <w:style w:type="character" w:customStyle="1" w:styleId="w">
    <w:name w:val="w"/>
    <w:basedOn w:val="a0"/>
    <w:rsid w:val="00EB6EBC"/>
  </w:style>
  <w:style w:type="character" w:customStyle="1" w:styleId="grame">
    <w:name w:val="grame"/>
    <w:basedOn w:val="a0"/>
    <w:rsid w:val="00EB6EBC"/>
  </w:style>
  <w:style w:type="paragraph" w:customStyle="1" w:styleId="16">
    <w:name w:val="Знак Знак1 Знак Знак"/>
    <w:basedOn w:val="a"/>
    <w:uiPriority w:val="99"/>
    <w:rsid w:val="00EB6EBC"/>
    <w:pPr>
      <w:spacing w:after="160" w:line="240" w:lineRule="exact"/>
    </w:pPr>
    <w:rPr>
      <w:rFonts w:ascii="Verdana" w:eastAsia="Times New Roman" w:hAnsi="Verdana" w:cs="Verdana"/>
      <w:color w:val="auto"/>
      <w:sz w:val="20"/>
      <w:szCs w:val="20"/>
      <w:lang w:val="en-US" w:eastAsia="en-US"/>
    </w:rPr>
  </w:style>
  <w:style w:type="paragraph" w:customStyle="1" w:styleId="rvps12">
    <w:name w:val="rvps12"/>
    <w:basedOn w:val="a"/>
    <w:uiPriority w:val="99"/>
    <w:rsid w:val="00EB6EBC"/>
    <w:pPr>
      <w:spacing w:before="100" w:beforeAutospacing="1" w:after="100" w:afterAutospacing="1"/>
    </w:pPr>
    <w:rPr>
      <w:rFonts w:ascii="Times New Roman" w:eastAsia="Times New Roman" w:hAnsi="Times New Roman" w:cs="Times New Roman"/>
      <w:color w:val="auto"/>
    </w:rPr>
  </w:style>
  <w:style w:type="character" w:customStyle="1" w:styleId="711pt0">
    <w:name w:val="Основной текст (7) + 11 pt"/>
    <w:aliases w:val="Курсив"/>
    <w:uiPriority w:val="99"/>
    <w:rsid w:val="00EB6EBC"/>
    <w:rPr>
      <w:rFonts w:ascii="Times New Roman" w:hAnsi="Times New Roman" w:cs="Times New Roman"/>
      <w:i/>
      <w:iCs/>
      <w:spacing w:val="0"/>
      <w:sz w:val="22"/>
      <w:szCs w:val="22"/>
    </w:rPr>
  </w:style>
  <w:style w:type="character" w:customStyle="1" w:styleId="33FranklinGothicHeavy">
    <w:name w:val="Основной текст (33) + Franklin Gothic Heavy"/>
    <w:aliases w:val="10 pt,Курсив5"/>
    <w:uiPriority w:val="99"/>
    <w:rsid w:val="00EB6EBC"/>
    <w:rPr>
      <w:rFonts w:ascii="Franklin Gothic Heavy" w:hAnsi="Franklin Gothic Heavy" w:cs="Franklin Gothic Heavy"/>
      <w:i/>
      <w:iCs/>
      <w:spacing w:val="0"/>
      <w:sz w:val="20"/>
      <w:szCs w:val="20"/>
      <w:shd w:val="clear" w:color="auto" w:fill="FFFFFF"/>
    </w:rPr>
  </w:style>
  <w:style w:type="character" w:customStyle="1" w:styleId="11pt">
    <w:name w:val="Основной текст + 11 pt"/>
    <w:aliases w:val="Малые прописные"/>
    <w:uiPriority w:val="99"/>
    <w:rsid w:val="00EB6EBC"/>
    <w:rPr>
      <w:rFonts w:ascii="Times New Roman" w:hAnsi="Times New Roman" w:cs="Times New Roman"/>
      <w:smallCaps/>
      <w:spacing w:val="0"/>
      <w:sz w:val="22"/>
      <w:szCs w:val="22"/>
    </w:rPr>
  </w:style>
  <w:style w:type="character" w:customStyle="1" w:styleId="11pt2">
    <w:name w:val="Основной текст + 11 pt2"/>
    <w:aliases w:val="Малые прописные2"/>
    <w:uiPriority w:val="99"/>
    <w:rsid w:val="00EB6EBC"/>
    <w:rPr>
      <w:rFonts w:ascii="Times New Roman" w:hAnsi="Times New Roman" w:cs="Times New Roman"/>
      <w:smallCaps/>
      <w:spacing w:val="0"/>
      <w:sz w:val="22"/>
      <w:szCs w:val="22"/>
    </w:rPr>
  </w:style>
  <w:style w:type="character" w:customStyle="1" w:styleId="11pt1">
    <w:name w:val="Основной текст + 11 pt1"/>
    <w:aliases w:val="Малые прописные1"/>
    <w:uiPriority w:val="99"/>
    <w:rsid w:val="00EB6EBC"/>
    <w:rPr>
      <w:rFonts w:ascii="Times New Roman" w:hAnsi="Times New Roman" w:cs="Times New Roman"/>
      <w:smallCaps/>
      <w:spacing w:val="0"/>
      <w:sz w:val="22"/>
      <w:szCs w:val="22"/>
    </w:rPr>
  </w:style>
  <w:style w:type="character" w:customStyle="1" w:styleId="23TimesNewRoman">
    <w:name w:val="Основной текст (23) + Times New Roman"/>
    <w:aliases w:val="10 pt1,Курсив4"/>
    <w:rsid w:val="00EB6EBC"/>
    <w:rPr>
      <w:rFonts w:ascii="Times New Roman" w:hAnsi="Times New Roman" w:cs="Times New Roman"/>
      <w:i/>
      <w:iCs/>
      <w:sz w:val="20"/>
      <w:szCs w:val="20"/>
      <w:shd w:val="clear" w:color="auto" w:fill="FFFFFF"/>
    </w:rPr>
  </w:style>
  <w:style w:type="character" w:customStyle="1" w:styleId="120">
    <w:name w:val="Основной текст (12)_"/>
    <w:link w:val="121"/>
    <w:locked/>
    <w:rsid w:val="00EB6EBC"/>
    <w:rPr>
      <w:rFonts w:ascii="Arial" w:hAnsi="Arial" w:cs="Arial"/>
      <w:sz w:val="8"/>
      <w:szCs w:val="8"/>
      <w:shd w:val="clear" w:color="auto" w:fill="FFFFFF"/>
    </w:rPr>
  </w:style>
  <w:style w:type="paragraph" w:customStyle="1" w:styleId="121">
    <w:name w:val="Основной текст (12)"/>
    <w:basedOn w:val="a"/>
    <w:link w:val="12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40">
    <w:name w:val="Основной текст (14)_"/>
    <w:link w:val="141"/>
    <w:locked/>
    <w:rsid w:val="00EB6EBC"/>
    <w:rPr>
      <w:rFonts w:ascii="Arial" w:hAnsi="Arial" w:cs="Arial"/>
      <w:sz w:val="8"/>
      <w:szCs w:val="8"/>
      <w:shd w:val="clear" w:color="auto" w:fill="FFFFFF"/>
    </w:rPr>
  </w:style>
  <w:style w:type="paragraph" w:customStyle="1" w:styleId="141">
    <w:name w:val="Основной текст (14)"/>
    <w:basedOn w:val="a"/>
    <w:link w:val="14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8">
    <w:name w:val="Основной текст (8)_"/>
    <w:link w:val="80"/>
    <w:locked/>
    <w:rsid w:val="00EB6EBC"/>
    <w:rPr>
      <w:rFonts w:ascii="Arial" w:hAnsi="Arial" w:cs="Arial"/>
      <w:sz w:val="8"/>
      <w:szCs w:val="8"/>
      <w:shd w:val="clear" w:color="auto" w:fill="FFFFFF"/>
    </w:rPr>
  </w:style>
  <w:style w:type="paragraph" w:customStyle="1" w:styleId="80">
    <w:name w:val="Основной текст (8)"/>
    <w:basedOn w:val="a"/>
    <w:link w:val="8"/>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00">
    <w:name w:val="Основной текст (10)_"/>
    <w:link w:val="101"/>
    <w:locked/>
    <w:rsid w:val="00EB6EBC"/>
    <w:rPr>
      <w:rFonts w:ascii="Arial" w:hAnsi="Arial" w:cs="Arial"/>
      <w:sz w:val="8"/>
      <w:szCs w:val="8"/>
      <w:shd w:val="clear" w:color="auto" w:fill="FFFFFF"/>
    </w:rPr>
  </w:style>
  <w:style w:type="paragraph" w:customStyle="1" w:styleId="101">
    <w:name w:val="Основной текст (10)"/>
    <w:basedOn w:val="a"/>
    <w:link w:val="10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60">
    <w:name w:val="Основной текст (16)_"/>
    <w:link w:val="161"/>
    <w:locked/>
    <w:rsid w:val="00EB6EBC"/>
    <w:rPr>
      <w:rFonts w:ascii="Arial" w:hAnsi="Arial" w:cs="Arial"/>
      <w:sz w:val="8"/>
      <w:szCs w:val="8"/>
      <w:shd w:val="clear" w:color="auto" w:fill="FFFFFF"/>
    </w:rPr>
  </w:style>
  <w:style w:type="paragraph" w:customStyle="1" w:styleId="161">
    <w:name w:val="Основной текст (16)"/>
    <w:basedOn w:val="a"/>
    <w:link w:val="16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200">
    <w:name w:val="Основной текст (20)_"/>
    <w:link w:val="201"/>
    <w:locked/>
    <w:rsid w:val="00EB6EBC"/>
    <w:rPr>
      <w:rFonts w:ascii="Arial" w:hAnsi="Arial" w:cs="Arial"/>
      <w:sz w:val="8"/>
      <w:szCs w:val="8"/>
      <w:shd w:val="clear" w:color="auto" w:fill="FFFFFF"/>
    </w:rPr>
  </w:style>
  <w:style w:type="paragraph" w:customStyle="1" w:styleId="201">
    <w:name w:val="Основной текст (20)"/>
    <w:basedOn w:val="a"/>
    <w:link w:val="20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9">
    <w:name w:val="Основной текст (9)_"/>
    <w:link w:val="90"/>
    <w:locked/>
    <w:rsid w:val="00EB6EBC"/>
    <w:rPr>
      <w:rFonts w:ascii="Arial" w:hAnsi="Arial" w:cs="Arial"/>
      <w:sz w:val="8"/>
      <w:szCs w:val="8"/>
      <w:shd w:val="clear" w:color="auto" w:fill="FFFFFF"/>
    </w:rPr>
  </w:style>
  <w:style w:type="paragraph" w:customStyle="1" w:styleId="90">
    <w:name w:val="Основной текст (9)"/>
    <w:basedOn w:val="a"/>
    <w:link w:val="9"/>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11">
    <w:name w:val="Основной текст (11)_"/>
    <w:link w:val="112"/>
    <w:locked/>
    <w:rsid w:val="00EB6EBC"/>
    <w:rPr>
      <w:rFonts w:ascii="Arial" w:hAnsi="Arial" w:cs="Arial"/>
      <w:sz w:val="8"/>
      <w:szCs w:val="8"/>
      <w:shd w:val="clear" w:color="auto" w:fill="FFFFFF"/>
    </w:rPr>
  </w:style>
  <w:style w:type="paragraph" w:customStyle="1" w:styleId="112">
    <w:name w:val="Основной текст (11)"/>
    <w:basedOn w:val="a"/>
    <w:link w:val="111"/>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30">
    <w:name w:val="Основной текст (13)_"/>
    <w:link w:val="131"/>
    <w:locked/>
    <w:rsid w:val="00EB6EBC"/>
    <w:rPr>
      <w:rFonts w:ascii="Arial" w:hAnsi="Arial" w:cs="Arial"/>
      <w:sz w:val="8"/>
      <w:szCs w:val="8"/>
      <w:shd w:val="clear" w:color="auto" w:fill="FFFFFF"/>
    </w:rPr>
  </w:style>
  <w:style w:type="paragraph" w:customStyle="1" w:styleId="131">
    <w:name w:val="Основной текст (13)"/>
    <w:basedOn w:val="a"/>
    <w:link w:val="13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8">
    <w:name w:val="Основной текст (18)_"/>
    <w:link w:val="180"/>
    <w:locked/>
    <w:rsid w:val="00EB6EBC"/>
    <w:rPr>
      <w:rFonts w:ascii="Arial" w:hAnsi="Arial" w:cs="Arial"/>
      <w:sz w:val="8"/>
      <w:szCs w:val="8"/>
      <w:shd w:val="clear" w:color="auto" w:fill="FFFFFF"/>
    </w:rPr>
  </w:style>
  <w:style w:type="paragraph" w:customStyle="1" w:styleId="180">
    <w:name w:val="Основной текст (18)"/>
    <w:basedOn w:val="a"/>
    <w:link w:val="18"/>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211">
    <w:name w:val="Основной текст (21)_"/>
    <w:link w:val="212"/>
    <w:locked/>
    <w:rsid w:val="00EB6EBC"/>
    <w:rPr>
      <w:rFonts w:ascii="Arial" w:hAnsi="Arial" w:cs="Arial"/>
      <w:sz w:val="20"/>
      <w:szCs w:val="20"/>
      <w:shd w:val="clear" w:color="auto" w:fill="FFFFFF"/>
    </w:rPr>
  </w:style>
  <w:style w:type="paragraph" w:customStyle="1" w:styleId="212">
    <w:name w:val="Основной текст (21)"/>
    <w:basedOn w:val="a"/>
    <w:link w:val="211"/>
    <w:rsid w:val="00EB6EBC"/>
    <w:pPr>
      <w:shd w:val="clear" w:color="auto" w:fill="FFFFFF"/>
      <w:spacing w:line="240" w:lineRule="atLeast"/>
    </w:pPr>
    <w:rPr>
      <w:rFonts w:ascii="Arial" w:eastAsiaTheme="minorHAnsi" w:hAnsi="Arial" w:cs="Arial"/>
      <w:color w:val="auto"/>
      <w:sz w:val="20"/>
      <w:szCs w:val="20"/>
      <w:lang w:eastAsia="en-US"/>
    </w:rPr>
  </w:style>
  <w:style w:type="character" w:customStyle="1" w:styleId="17">
    <w:name w:val="Основной текст (17)_"/>
    <w:link w:val="170"/>
    <w:locked/>
    <w:rsid w:val="00EB6EBC"/>
    <w:rPr>
      <w:rFonts w:ascii="Times New Roman" w:hAnsi="Times New Roman" w:cs="Times New Roman"/>
      <w:sz w:val="8"/>
      <w:szCs w:val="8"/>
      <w:shd w:val="clear" w:color="auto" w:fill="FFFFFF"/>
    </w:rPr>
  </w:style>
  <w:style w:type="paragraph" w:customStyle="1" w:styleId="170">
    <w:name w:val="Основной текст (17)"/>
    <w:basedOn w:val="a"/>
    <w:link w:val="17"/>
    <w:rsid w:val="00EB6EBC"/>
    <w:pPr>
      <w:shd w:val="clear" w:color="auto" w:fill="FFFFFF"/>
      <w:spacing w:line="240" w:lineRule="atLeast"/>
    </w:pPr>
    <w:rPr>
      <w:rFonts w:ascii="Times New Roman" w:eastAsiaTheme="minorHAnsi" w:hAnsi="Times New Roman" w:cs="Times New Roman"/>
      <w:color w:val="auto"/>
      <w:sz w:val="8"/>
      <w:szCs w:val="8"/>
      <w:lang w:eastAsia="en-US"/>
    </w:rPr>
  </w:style>
  <w:style w:type="character" w:customStyle="1" w:styleId="150">
    <w:name w:val="Основной текст (15)_"/>
    <w:link w:val="151"/>
    <w:locked/>
    <w:rsid w:val="00EB6EBC"/>
    <w:rPr>
      <w:rFonts w:ascii="Arial" w:hAnsi="Arial" w:cs="Arial"/>
      <w:sz w:val="20"/>
      <w:szCs w:val="20"/>
      <w:shd w:val="clear" w:color="auto" w:fill="FFFFFF"/>
    </w:rPr>
  </w:style>
  <w:style w:type="paragraph" w:customStyle="1" w:styleId="151">
    <w:name w:val="Основной текст (15)"/>
    <w:basedOn w:val="a"/>
    <w:link w:val="150"/>
    <w:rsid w:val="00EB6EBC"/>
    <w:pPr>
      <w:shd w:val="clear" w:color="auto" w:fill="FFFFFF"/>
      <w:spacing w:line="240" w:lineRule="atLeast"/>
    </w:pPr>
    <w:rPr>
      <w:rFonts w:ascii="Arial" w:eastAsiaTheme="minorHAnsi" w:hAnsi="Arial" w:cs="Arial"/>
      <w:color w:val="auto"/>
      <w:sz w:val="20"/>
      <w:szCs w:val="20"/>
      <w:lang w:eastAsia="en-US"/>
    </w:rPr>
  </w:style>
  <w:style w:type="character" w:customStyle="1" w:styleId="19">
    <w:name w:val="Основной текст (19)_"/>
    <w:link w:val="190"/>
    <w:locked/>
    <w:rsid w:val="00EB6EBC"/>
    <w:rPr>
      <w:rFonts w:ascii="Arial" w:hAnsi="Arial" w:cs="Arial"/>
      <w:sz w:val="20"/>
      <w:szCs w:val="20"/>
      <w:shd w:val="clear" w:color="auto" w:fill="FFFFFF"/>
    </w:rPr>
  </w:style>
  <w:style w:type="paragraph" w:customStyle="1" w:styleId="190">
    <w:name w:val="Основной текст (19)"/>
    <w:basedOn w:val="a"/>
    <w:link w:val="19"/>
    <w:rsid w:val="00EB6EBC"/>
    <w:pPr>
      <w:shd w:val="clear" w:color="auto" w:fill="FFFFFF"/>
      <w:spacing w:line="240" w:lineRule="atLeast"/>
    </w:pPr>
    <w:rPr>
      <w:rFonts w:ascii="Arial" w:eastAsiaTheme="minorHAnsi" w:hAnsi="Arial" w:cs="Arial"/>
      <w:color w:val="auto"/>
      <w:sz w:val="20"/>
      <w:szCs w:val="20"/>
      <w:lang w:eastAsia="en-US"/>
    </w:rPr>
  </w:style>
  <w:style w:type="character" w:customStyle="1" w:styleId="221">
    <w:name w:val="Основной текст (22)_"/>
    <w:link w:val="222"/>
    <w:locked/>
    <w:rsid w:val="00EB6EBC"/>
    <w:rPr>
      <w:rFonts w:ascii="Times New Roman" w:hAnsi="Times New Roman" w:cs="Times New Roman"/>
      <w:sz w:val="8"/>
      <w:szCs w:val="8"/>
      <w:shd w:val="clear" w:color="auto" w:fill="FFFFFF"/>
    </w:rPr>
  </w:style>
  <w:style w:type="paragraph" w:customStyle="1" w:styleId="222">
    <w:name w:val="Основной текст (22)"/>
    <w:basedOn w:val="a"/>
    <w:link w:val="221"/>
    <w:rsid w:val="00EB6EBC"/>
    <w:pPr>
      <w:shd w:val="clear" w:color="auto" w:fill="FFFFFF"/>
      <w:spacing w:line="240" w:lineRule="atLeast"/>
    </w:pPr>
    <w:rPr>
      <w:rFonts w:ascii="Times New Roman" w:eastAsiaTheme="minorHAnsi" w:hAnsi="Times New Roman" w:cs="Times New Roman"/>
      <w:color w:val="auto"/>
      <w:sz w:val="8"/>
      <w:szCs w:val="8"/>
      <w:lang w:eastAsia="en-US"/>
    </w:rPr>
  </w:style>
  <w:style w:type="character" w:customStyle="1" w:styleId="27">
    <w:name w:val="Подпись к таблице (2)_"/>
    <w:link w:val="28"/>
    <w:locked/>
    <w:rsid w:val="00EB6EBC"/>
    <w:rPr>
      <w:rFonts w:ascii="Times New Roman" w:hAnsi="Times New Roman" w:cs="Times New Roman"/>
      <w:sz w:val="15"/>
      <w:szCs w:val="15"/>
      <w:shd w:val="clear" w:color="auto" w:fill="FFFFFF"/>
    </w:rPr>
  </w:style>
  <w:style w:type="paragraph" w:customStyle="1" w:styleId="28">
    <w:name w:val="Подпись к таблице (2)"/>
    <w:basedOn w:val="a"/>
    <w:link w:val="27"/>
    <w:rsid w:val="00EB6EBC"/>
    <w:pPr>
      <w:shd w:val="clear" w:color="auto" w:fill="FFFFFF"/>
      <w:spacing w:line="182" w:lineRule="exact"/>
    </w:pPr>
    <w:rPr>
      <w:rFonts w:ascii="Times New Roman" w:eastAsiaTheme="minorHAnsi" w:hAnsi="Times New Roman" w:cs="Times New Roman"/>
      <w:color w:val="auto"/>
      <w:sz w:val="15"/>
      <w:szCs w:val="15"/>
      <w:lang w:eastAsia="en-US"/>
    </w:rPr>
  </w:style>
  <w:style w:type="character" w:customStyle="1" w:styleId="2Arial">
    <w:name w:val="Подпись к таблице (2) + Arial"/>
    <w:aliases w:val="7 pt"/>
    <w:uiPriority w:val="99"/>
    <w:rsid w:val="00EB6EBC"/>
    <w:rPr>
      <w:rFonts w:ascii="Arial" w:hAnsi="Arial" w:cs="Arial"/>
      <w:sz w:val="14"/>
      <w:szCs w:val="14"/>
      <w:shd w:val="clear" w:color="auto" w:fill="FFFFFF"/>
    </w:rPr>
  </w:style>
  <w:style w:type="character" w:customStyle="1" w:styleId="3TimesNewRoman">
    <w:name w:val="Подпись к таблице (3) + Times New Roman"/>
    <w:aliases w:val="7,5 pt"/>
    <w:uiPriority w:val="99"/>
    <w:rsid w:val="00EB6EBC"/>
    <w:rPr>
      <w:rFonts w:ascii="Times New Roman" w:hAnsi="Times New Roman" w:cs="Times New Roman"/>
      <w:sz w:val="15"/>
      <w:szCs w:val="15"/>
      <w:shd w:val="clear" w:color="auto" w:fill="FFFFFF"/>
    </w:rPr>
  </w:style>
  <w:style w:type="character" w:customStyle="1" w:styleId="42">
    <w:name w:val="Заголовок №4 (2)_"/>
    <w:link w:val="420"/>
    <w:locked/>
    <w:rsid w:val="00EB6EBC"/>
    <w:rPr>
      <w:rFonts w:ascii="Arial" w:hAnsi="Arial" w:cs="Arial"/>
      <w:spacing w:val="-10"/>
      <w:sz w:val="21"/>
      <w:szCs w:val="21"/>
      <w:shd w:val="clear" w:color="auto" w:fill="FFFFFF"/>
    </w:rPr>
  </w:style>
  <w:style w:type="paragraph" w:customStyle="1" w:styleId="420">
    <w:name w:val="Заголовок №4 (2)"/>
    <w:basedOn w:val="a"/>
    <w:link w:val="42"/>
    <w:rsid w:val="00EB6EBC"/>
    <w:pPr>
      <w:shd w:val="clear" w:color="auto" w:fill="FFFFFF"/>
      <w:spacing w:before="180" w:line="226" w:lineRule="exact"/>
      <w:ind w:firstLine="300"/>
      <w:jc w:val="both"/>
      <w:outlineLvl w:val="3"/>
    </w:pPr>
    <w:rPr>
      <w:rFonts w:ascii="Arial" w:eastAsiaTheme="minorHAnsi" w:hAnsi="Arial" w:cs="Arial"/>
      <w:color w:val="auto"/>
      <w:spacing w:val="-10"/>
      <w:sz w:val="21"/>
      <w:szCs w:val="21"/>
      <w:lang w:eastAsia="en-US"/>
    </w:rPr>
  </w:style>
  <w:style w:type="character" w:customStyle="1" w:styleId="231">
    <w:name w:val="Основной текст (23) + Курсив"/>
    <w:aliases w:val="Интервал 0 pt"/>
    <w:rsid w:val="00EB6EBC"/>
    <w:rPr>
      <w:rFonts w:ascii="Arial" w:hAnsi="Arial" w:cs="Arial"/>
      <w:i/>
      <w:iCs/>
      <w:spacing w:val="-10"/>
      <w:sz w:val="17"/>
      <w:szCs w:val="17"/>
      <w:shd w:val="clear" w:color="auto" w:fill="FFFFFF"/>
    </w:rPr>
  </w:style>
  <w:style w:type="character" w:customStyle="1" w:styleId="102">
    <w:name w:val="Основной текст + 10"/>
    <w:aliases w:val="5 pt6,Курсив3"/>
    <w:rsid w:val="00EB6EBC"/>
    <w:rPr>
      <w:rFonts w:ascii="Times New Roman" w:hAnsi="Times New Roman" w:cs="Times New Roman"/>
      <w:i/>
      <w:iCs/>
      <w:sz w:val="21"/>
      <w:szCs w:val="21"/>
      <w:shd w:val="clear" w:color="auto" w:fill="FFFFFF"/>
    </w:rPr>
  </w:style>
  <w:style w:type="paragraph" w:customStyle="1" w:styleId="29">
    <w:name w:val="Основной текст (2)"/>
    <w:basedOn w:val="a"/>
    <w:uiPriority w:val="99"/>
    <w:rsid w:val="00EB6EBC"/>
    <w:pPr>
      <w:shd w:val="clear" w:color="auto" w:fill="FFFFFF"/>
      <w:spacing w:line="211" w:lineRule="exact"/>
      <w:ind w:hanging="320"/>
      <w:jc w:val="both"/>
    </w:pPr>
    <w:rPr>
      <w:rFonts w:ascii="Times New Roman" w:eastAsia="Times New Roman" w:hAnsi="Times New Roman" w:cs="Times New Roman"/>
      <w:color w:val="auto"/>
      <w:sz w:val="17"/>
      <w:szCs w:val="17"/>
      <w:lang w:eastAsia="en-US"/>
    </w:rPr>
  </w:style>
  <w:style w:type="paragraph" w:customStyle="1" w:styleId="41">
    <w:name w:val="Основной текст4"/>
    <w:basedOn w:val="a"/>
    <w:uiPriority w:val="99"/>
    <w:rsid w:val="00EB6EBC"/>
    <w:pPr>
      <w:shd w:val="clear" w:color="auto" w:fill="FFFFFF"/>
      <w:spacing w:line="216" w:lineRule="exact"/>
      <w:ind w:hanging="300"/>
      <w:jc w:val="both"/>
    </w:pPr>
    <w:rPr>
      <w:rFonts w:ascii="Times New Roman" w:eastAsia="Times New Roman" w:hAnsi="Times New Roman" w:cs="Times New Roman"/>
      <w:color w:val="auto"/>
      <w:sz w:val="20"/>
      <w:szCs w:val="20"/>
      <w:lang w:eastAsia="en-US"/>
    </w:rPr>
  </w:style>
  <w:style w:type="character" w:customStyle="1" w:styleId="1a">
    <w:name w:val="Заголовок №1_"/>
    <w:link w:val="1b"/>
    <w:locked/>
    <w:rsid w:val="00EB6EBC"/>
    <w:rPr>
      <w:rFonts w:ascii="Times New Roman" w:hAnsi="Times New Roman" w:cs="Times New Roman"/>
      <w:sz w:val="27"/>
      <w:szCs w:val="27"/>
      <w:shd w:val="clear" w:color="auto" w:fill="FFFFFF"/>
    </w:rPr>
  </w:style>
  <w:style w:type="paragraph" w:customStyle="1" w:styleId="1b">
    <w:name w:val="Заголовок №1"/>
    <w:basedOn w:val="a"/>
    <w:link w:val="1a"/>
    <w:rsid w:val="00EB6EBC"/>
    <w:pPr>
      <w:shd w:val="clear" w:color="auto" w:fill="FFFFFF"/>
      <w:spacing w:line="336" w:lineRule="exact"/>
      <w:jc w:val="center"/>
      <w:outlineLvl w:val="0"/>
    </w:pPr>
    <w:rPr>
      <w:rFonts w:ascii="Times New Roman" w:eastAsiaTheme="minorHAnsi" w:hAnsi="Times New Roman" w:cs="Times New Roman"/>
      <w:color w:val="auto"/>
      <w:sz w:val="27"/>
      <w:szCs w:val="27"/>
      <w:lang w:eastAsia="en-US"/>
    </w:rPr>
  </w:style>
  <w:style w:type="character" w:customStyle="1" w:styleId="5">
    <w:name w:val="Заголовок №5_"/>
    <w:link w:val="50"/>
    <w:locked/>
    <w:rsid w:val="00EB6EBC"/>
    <w:rPr>
      <w:rFonts w:ascii="Arial" w:hAnsi="Arial" w:cs="Arial"/>
      <w:sz w:val="19"/>
      <w:szCs w:val="19"/>
      <w:shd w:val="clear" w:color="auto" w:fill="FFFFFF"/>
    </w:rPr>
  </w:style>
  <w:style w:type="paragraph" w:customStyle="1" w:styleId="50">
    <w:name w:val="Заголовок №5"/>
    <w:basedOn w:val="a"/>
    <w:link w:val="5"/>
    <w:rsid w:val="00EB6EBC"/>
    <w:pPr>
      <w:shd w:val="clear" w:color="auto" w:fill="FFFFFF"/>
      <w:spacing w:before="120" w:line="235" w:lineRule="exact"/>
      <w:outlineLvl w:val="4"/>
    </w:pPr>
    <w:rPr>
      <w:rFonts w:ascii="Arial" w:eastAsiaTheme="minorHAnsi" w:hAnsi="Arial" w:cs="Arial"/>
      <w:color w:val="auto"/>
      <w:sz w:val="19"/>
      <w:szCs w:val="19"/>
      <w:lang w:eastAsia="en-US"/>
    </w:rPr>
  </w:style>
  <w:style w:type="character" w:customStyle="1" w:styleId="afc">
    <w:name w:val="Подпись к таблице_"/>
    <w:link w:val="afd"/>
    <w:locked/>
    <w:rsid w:val="00EB6EBC"/>
    <w:rPr>
      <w:rFonts w:ascii="Arial" w:hAnsi="Arial" w:cs="Arial"/>
      <w:sz w:val="14"/>
      <w:szCs w:val="14"/>
      <w:shd w:val="clear" w:color="auto" w:fill="FFFFFF"/>
    </w:rPr>
  </w:style>
  <w:style w:type="paragraph" w:customStyle="1" w:styleId="afd">
    <w:name w:val="Подпись к таблице"/>
    <w:basedOn w:val="a"/>
    <w:link w:val="afc"/>
    <w:rsid w:val="00EB6EBC"/>
    <w:pPr>
      <w:shd w:val="clear" w:color="auto" w:fill="FFFFFF"/>
      <w:spacing w:after="60" w:line="240" w:lineRule="atLeast"/>
      <w:ind w:hanging="1120"/>
    </w:pPr>
    <w:rPr>
      <w:rFonts w:ascii="Arial" w:eastAsiaTheme="minorHAnsi" w:hAnsi="Arial" w:cs="Arial"/>
      <w:color w:val="auto"/>
      <w:sz w:val="14"/>
      <w:szCs w:val="14"/>
      <w:lang w:eastAsia="en-US"/>
    </w:rPr>
  </w:style>
  <w:style w:type="character" w:customStyle="1" w:styleId="8pt">
    <w:name w:val="Подпись к таблице + 8 pt"/>
    <w:aliases w:val="Курсив2"/>
    <w:rsid w:val="00EB6EBC"/>
    <w:rPr>
      <w:rFonts w:ascii="Arial" w:hAnsi="Arial" w:cs="Arial"/>
      <w:i/>
      <w:iCs/>
      <w:sz w:val="16"/>
      <w:szCs w:val="16"/>
      <w:shd w:val="clear" w:color="auto" w:fill="FFFFFF"/>
    </w:rPr>
  </w:style>
  <w:style w:type="character" w:customStyle="1" w:styleId="270">
    <w:name w:val="Основной текст (27)_"/>
    <w:link w:val="271"/>
    <w:locked/>
    <w:rsid w:val="00EB6EBC"/>
    <w:rPr>
      <w:rFonts w:ascii="Arial" w:hAnsi="Arial" w:cs="Arial"/>
      <w:sz w:val="8"/>
      <w:szCs w:val="8"/>
      <w:shd w:val="clear" w:color="auto" w:fill="FFFFFF"/>
    </w:rPr>
  </w:style>
  <w:style w:type="paragraph" w:customStyle="1" w:styleId="271">
    <w:name w:val="Основной текст (27)"/>
    <w:basedOn w:val="a"/>
    <w:link w:val="27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280">
    <w:name w:val="Основной текст (28)_"/>
    <w:link w:val="281"/>
    <w:locked/>
    <w:rsid w:val="00EB6EBC"/>
    <w:rPr>
      <w:rFonts w:ascii="Times New Roman" w:hAnsi="Times New Roman" w:cs="Times New Roman"/>
      <w:sz w:val="8"/>
      <w:szCs w:val="8"/>
      <w:shd w:val="clear" w:color="auto" w:fill="FFFFFF"/>
    </w:rPr>
  </w:style>
  <w:style w:type="paragraph" w:customStyle="1" w:styleId="281">
    <w:name w:val="Основной текст (28)"/>
    <w:basedOn w:val="a"/>
    <w:link w:val="280"/>
    <w:rsid w:val="00EB6EBC"/>
    <w:pPr>
      <w:shd w:val="clear" w:color="auto" w:fill="FFFFFF"/>
      <w:spacing w:line="240" w:lineRule="atLeast"/>
    </w:pPr>
    <w:rPr>
      <w:rFonts w:ascii="Times New Roman" w:eastAsiaTheme="minorHAnsi" w:hAnsi="Times New Roman" w:cs="Times New Roman"/>
      <w:color w:val="auto"/>
      <w:sz w:val="8"/>
      <w:szCs w:val="8"/>
      <w:lang w:eastAsia="en-US"/>
    </w:rPr>
  </w:style>
  <w:style w:type="character" w:customStyle="1" w:styleId="300">
    <w:name w:val="Основной текст (30)"/>
    <w:rsid w:val="00EB6EBC"/>
    <w:rPr>
      <w:rFonts w:ascii="Arial" w:hAnsi="Arial" w:cs="Arial"/>
      <w:sz w:val="8"/>
      <w:szCs w:val="8"/>
    </w:rPr>
  </w:style>
  <w:style w:type="character" w:customStyle="1" w:styleId="290">
    <w:name w:val="Основной текст (29)_"/>
    <w:link w:val="291"/>
    <w:locked/>
    <w:rsid w:val="00EB6EBC"/>
    <w:rPr>
      <w:rFonts w:ascii="Arial" w:hAnsi="Arial" w:cs="Arial"/>
      <w:sz w:val="8"/>
      <w:szCs w:val="8"/>
      <w:shd w:val="clear" w:color="auto" w:fill="FFFFFF"/>
    </w:rPr>
  </w:style>
  <w:style w:type="paragraph" w:customStyle="1" w:styleId="291">
    <w:name w:val="Основной текст (29)"/>
    <w:basedOn w:val="a"/>
    <w:link w:val="29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81">
    <w:name w:val="Подпись к таблице + 8"/>
    <w:aliases w:val="5 pt5"/>
    <w:rsid w:val="00EB6EBC"/>
    <w:rPr>
      <w:rFonts w:ascii="Arial" w:hAnsi="Arial" w:cs="Arial"/>
      <w:sz w:val="17"/>
      <w:szCs w:val="17"/>
      <w:shd w:val="clear" w:color="auto" w:fill="FFFFFF"/>
    </w:rPr>
  </w:style>
  <w:style w:type="character" w:customStyle="1" w:styleId="310">
    <w:name w:val="Основной текст (31)"/>
    <w:rsid w:val="00EB6EBC"/>
    <w:rPr>
      <w:rFonts w:ascii="Arial" w:hAnsi="Arial" w:cs="Arial"/>
      <w:sz w:val="8"/>
      <w:szCs w:val="8"/>
    </w:rPr>
  </w:style>
  <w:style w:type="character" w:customStyle="1" w:styleId="32">
    <w:name w:val="Основной текст (32)"/>
    <w:rsid w:val="00EB6EBC"/>
    <w:rPr>
      <w:rFonts w:ascii="Arial" w:hAnsi="Arial" w:cs="Arial"/>
      <w:sz w:val="8"/>
      <w:szCs w:val="8"/>
    </w:rPr>
  </w:style>
  <w:style w:type="character" w:customStyle="1" w:styleId="260">
    <w:name w:val="Основной текст (26)_"/>
    <w:link w:val="261"/>
    <w:locked/>
    <w:rsid w:val="00EB6EBC"/>
    <w:rPr>
      <w:rFonts w:ascii="Arial" w:hAnsi="Arial" w:cs="Arial"/>
      <w:sz w:val="19"/>
      <w:szCs w:val="19"/>
      <w:shd w:val="clear" w:color="auto" w:fill="FFFFFF"/>
    </w:rPr>
  </w:style>
  <w:style w:type="paragraph" w:customStyle="1" w:styleId="261">
    <w:name w:val="Основной текст (26)"/>
    <w:basedOn w:val="a"/>
    <w:link w:val="260"/>
    <w:rsid w:val="00EB6EBC"/>
    <w:pPr>
      <w:shd w:val="clear" w:color="auto" w:fill="FFFFFF"/>
      <w:spacing w:before="180" w:line="216" w:lineRule="exact"/>
      <w:jc w:val="both"/>
    </w:pPr>
    <w:rPr>
      <w:rFonts w:ascii="Arial" w:eastAsiaTheme="minorHAnsi" w:hAnsi="Arial" w:cs="Arial"/>
      <w:color w:val="auto"/>
      <w:sz w:val="19"/>
      <w:szCs w:val="19"/>
      <w:lang w:eastAsia="en-US"/>
    </w:rPr>
  </w:style>
  <w:style w:type="character" w:customStyle="1" w:styleId="232">
    <w:name w:val="Основной текст (23) + Полужирный"/>
    <w:rsid w:val="00EB6EBC"/>
    <w:rPr>
      <w:rFonts w:ascii="Arial" w:hAnsi="Arial" w:cs="Arial"/>
      <w:b/>
      <w:bCs/>
      <w:spacing w:val="0"/>
      <w:sz w:val="17"/>
      <w:szCs w:val="17"/>
      <w:shd w:val="clear" w:color="auto" w:fill="FFFFFF"/>
    </w:rPr>
  </w:style>
  <w:style w:type="character" w:customStyle="1" w:styleId="afe">
    <w:name w:val="Колонтитул_"/>
    <w:link w:val="aff"/>
    <w:locked/>
    <w:rsid w:val="00EB6EBC"/>
    <w:rPr>
      <w:rFonts w:ascii="Times New Roman" w:hAnsi="Times New Roman" w:cs="Times New Roman"/>
      <w:sz w:val="20"/>
      <w:szCs w:val="20"/>
      <w:shd w:val="clear" w:color="auto" w:fill="FFFFFF"/>
    </w:rPr>
  </w:style>
  <w:style w:type="paragraph" w:customStyle="1" w:styleId="aff">
    <w:name w:val="Колонтитул"/>
    <w:basedOn w:val="a"/>
    <w:link w:val="afe"/>
    <w:rsid w:val="00EB6EBC"/>
    <w:pPr>
      <w:shd w:val="clear" w:color="auto" w:fill="FFFFFF"/>
    </w:pPr>
    <w:rPr>
      <w:rFonts w:ascii="Times New Roman" w:eastAsiaTheme="minorHAnsi" w:hAnsi="Times New Roman" w:cs="Times New Roman"/>
      <w:color w:val="auto"/>
      <w:sz w:val="20"/>
      <w:szCs w:val="20"/>
      <w:lang w:eastAsia="en-US"/>
    </w:rPr>
  </w:style>
  <w:style w:type="character" w:customStyle="1" w:styleId="Arial">
    <w:name w:val="Колонтитул + Arial"/>
    <w:aliases w:val="9 pt,Полужирный"/>
    <w:uiPriority w:val="99"/>
    <w:rsid w:val="00EB6EBC"/>
    <w:rPr>
      <w:rFonts w:ascii="Arial" w:hAnsi="Arial" w:cs="Arial"/>
      <w:b/>
      <w:bCs/>
      <w:spacing w:val="0"/>
      <w:sz w:val="18"/>
      <w:szCs w:val="18"/>
      <w:shd w:val="clear" w:color="auto" w:fill="FFFFFF"/>
    </w:rPr>
  </w:style>
  <w:style w:type="character" w:customStyle="1" w:styleId="43">
    <w:name w:val="Подпись к таблице (4)_"/>
    <w:link w:val="44"/>
    <w:locked/>
    <w:rsid w:val="00EB6EBC"/>
    <w:rPr>
      <w:rFonts w:ascii="Arial" w:hAnsi="Arial" w:cs="Arial"/>
      <w:sz w:val="19"/>
      <w:szCs w:val="19"/>
      <w:shd w:val="clear" w:color="auto" w:fill="FFFFFF"/>
    </w:rPr>
  </w:style>
  <w:style w:type="paragraph" w:customStyle="1" w:styleId="44">
    <w:name w:val="Подпись к таблице (4)"/>
    <w:basedOn w:val="a"/>
    <w:link w:val="43"/>
    <w:rsid w:val="00EB6EBC"/>
    <w:pPr>
      <w:shd w:val="clear" w:color="auto" w:fill="FFFFFF"/>
      <w:spacing w:line="240" w:lineRule="atLeast"/>
    </w:pPr>
    <w:rPr>
      <w:rFonts w:ascii="Arial" w:eastAsiaTheme="minorHAnsi" w:hAnsi="Arial" w:cs="Arial"/>
      <w:color w:val="auto"/>
      <w:sz w:val="19"/>
      <w:szCs w:val="19"/>
      <w:lang w:eastAsia="en-US"/>
    </w:rPr>
  </w:style>
  <w:style w:type="character" w:customStyle="1" w:styleId="33">
    <w:name w:val="Основной текст (33)_"/>
    <w:link w:val="330"/>
    <w:locked/>
    <w:rsid w:val="00EB6EBC"/>
    <w:rPr>
      <w:rFonts w:ascii="Arial" w:hAnsi="Arial" w:cs="Arial"/>
      <w:sz w:val="14"/>
      <w:szCs w:val="14"/>
      <w:shd w:val="clear" w:color="auto" w:fill="FFFFFF"/>
    </w:rPr>
  </w:style>
  <w:style w:type="paragraph" w:customStyle="1" w:styleId="330">
    <w:name w:val="Основной текст (33)"/>
    <w:basedOn w:val="a"/>
    <w:link w:val="33"/>
    <w:rsid w:val="00EB6EBC"/>
    <w:pPr>
      <w:shd w:val="clear" w:color="auto" w:fill="FFFFFF"/>
      <w:spacing w:line="240" w:lineRule="atLeast"/>
      <w:ind w:hanging="280"/>
    </w:pPr>
    <w:rPr>
      <w:rFonts w:ascii="Arial" w:eastAsiaTheme="minorHAnsi" w:hAnsi="Arial" w:cs="Arial"/>
      <w:color w:val="auto"/>
      <w:sz w:val="14"/>
      <w:szCs w:val="14"/>
      <w:lang w:eastAsia="en-US"/>
    </w:rPr>
  </w:style>
  <w:style w:type="character" w:customStyle="1" w:styleId="51">
    <w:name w:val="Подпись к таблице (5)_"/>
    <w:link w:val="52"/>
    <w:locked/>
    <w:rsid w:val="00EB6EBC"/>
    <w:rPr>
      <w:rFonts w:ascii="Arial" w:hAnsi="Arial" w:cs="Arial"/>
      <w:sz w:val="13"/>
      <w:szCs w:val="13"/>
      <w:shd w:val="clear" w:color="auto" w:fill="FFFFFF"/>
    </w:rPr>
  </w:style>
  <w:style w:type="paragraph" w:customStyle="1" w:styleId="52">
    <w:name w:val="Подпись к таблице (5)"/>
    <w:basedOn w:val="a"/>
    <w:link w:val="51"/>
    <w:rsid w:val="00EB6EBC"/>
    <w:pPr>
      <w:shd w:val="clear" w:color="auto" w:fill="FFFFFF"/>
      <w:spacing w:line="197" w:lineRule="exact"/>
      <w:jc w:val="both"/>
    </w:pPr>
    <w:rPr>
      <w:rFonts w:ascii="Arial" w:eastAsiaTheme="minorHAnsi" w:hAnsi="Arial" w:cs="Arial"/>
      <w:color w:val="auto"/>
      <w:sz w:val="13"/>
      <w:szCs w:val="13"/>
      <w:lang w:eastAsia="en-US"/>
    </w:rPr>
  </w:style>
  <w:style w:type="character" w:customStyle="1" w:styleId="9pt">
    <w:name w:val="Основной текст + 9 pt"/>
    <w:uiPriority w:val="99"/>
    <w:rsid w:val="00EB6EBC"/>
    <w:rPr>
      <w:rFonts w:ascii="Times New Roman" w:hAnsi="Times New Roman" w:cs="Times New Roman"/>
      <w:spacing w:val="0"/>
      <w:sz w:val="18"/>
      <w:szCs w:val="18"/>
      <w:shd w:val="clear" w:color="auto" w:fill="FFFFFF"/>
      <w:lang w:val="en-US"/>
    </w:rPr>
  </w:style>
  <w:style w:type="table" w:styleId="aff0">
    <w:name w:val="Table Grid"/>
    <w:basedOn w:val="a1"/>
    <w:rsid w:val="00EB6EBC"/>
    <w:pPr>
      <w:spacing w:after="0" w:line="240" w:lineRule="auto"/>
    </w:pPr>
    <w:rPr>
      <w:rFonts w:ascii="Calibri" w:eastAsia="Calibri" w:hAnsi="Calibri" w:cs="Calibri"/>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50">
    <w:name w:val="Основной текст (25)_"/>
    <w:link w:val="251"/>
    <w:locked/>
    <w:rsid w:val="00EB6EBC"/>
    <w:rPr>
      <w:rFonts w:ascii="Times New Roman" w:hAnsi="Times New Roman" w:cs="Times New Roman"/>
      <w:sz w:val="19"/>
      <w:szCs w:val="19"/>
      <w:shd w:val="clear" w:color="auto" w:fill="FFFFFF"/>
    </w:rPr>
  </w:style>
  <w:style w:type="paragraph" w:customStyle="1" w:styleId="251">
    <w:name w:val="Основной текст (25)"/>
    <w:basedOn w:val="a"/>
    <w:link w:val="250"/>
    <w:rsid w:val="00EB6EBC"/>
    <w:pPr>
      <w:shd w:val="clear" w:color="auto" w:fill="FFFFFF"/>
      <w:spacing w:line="216" w:lineRule="exact"/>
      <w:ind w:hanging="280"/>
      <w:jc w:val="both"/>
    </w:pPr>
    <w:rPr>
      <w:rFonts w:ascii="Times New Roman" w:eastAsiaTheme="minorHAnsi" w:hAnsi="Times New Roman" w:cs="Times New Roman"/>
      <w:color w:val="auto"/>
      <w:sz w:val="19"/>
      <w:szCs w:val="19"/>
      <w:lang w:eastAsia="en-US"/>
    </w:rPr>
  </w:style>
  <w:style w:type="character" w:customStyle="1" w:styleId="2510pt">
    <w:name w:val="Основной текст (25) + 10 pt"/>
    <w:aliases w:val="Не полужирный4"/>
    <w:rsid w:val="00EB6EBC"/>
    <w:rPr>
      <w:rFonts w:ascii="Times New Roman" w:hAnsi="Times New Roman" w:cs="Times New Roman"/>
      <w:b/>
      <w:bCs/>
      <w:sz w:val="20"/>
      <w:szCs w:val="20"/>
      <w:shd w:val="clear" w:color="auto" w:fill="FFFFFF"/>
    </w:rPr>
  </w:style>
  <w:style w:type="character" w:customStyle="1" w:styleId="29pt3">
    <w:name w:val="Основной текст (2) + 9 pt3"/>
    <w:aliases w:val="Не полужирный3,Не курсив1"/>
    <w:uiPriority w:val="99"/>
    <w:rsid w:val="00EB6EBC"/>
    <w:rPr>
      <w:rFonts w:ascii="Century Schoolbook" w:hAnsi="Century Schoolbook" w:cs="Century Schoolbook"/>
      <w:b/>
      <w:bCs/>
      <w:i/>
      <w:iCs/>
      <w:spacing w:val="0"/>
      <w:sz w:val="18"/>
      <w:szCs w:val="18"/>
      <w:u w:val="none"/>
      <w:effect w:val="none"/>
      <w:shd w:val="clear" w:color="auto" w:fill="FFFFFF"/>
    </w:rPr>
  </w:style>
  <w:style w:type="paragraph" w:styleId="2a">
    <w:name w:val="Body Text Indent 2"/>
    <w:basedOn w:val="a"/>
    <w:link w:val="2b"/>
    <w:uiPriority w:val="99"/>
    <w:rsid w:val="00EB6EBC"/>
    <w:pPr>
      <w:spacing w:line="340" w:lineRule="exact"/>
      <w:ind w:left="1843" w:hanging="1134"/>
    </w:pPr>
    <w:rPr>
      <w:rFonts w:ascii="Courier New" w:eastAsia="MS Mincho" w:hAnsi="Courier New" w:cs="Courier New"/>
      <w:color w:val="auto"/>
      <w:spacing w:val="-20"/>
      <w:sz w:val="28"/>
      <w:szCs w:val="28"/>
    </w:rPr>
  </w:style>
  <w:style w:type="character" w:customStyle="1" w:styleId="2b">
    <w:name w:val="Основной текст с отступом 2 Знак"/>
    <w:basedOn w:val="a0"/>
    <w:link w:val="2a"/>
    <w:uiPriority w:val="99"/>
    <w:rsid w:val="00EB6EBC"/>
    <w:rPr>
      <w:rFonts w:ascii="Courier New" w:eastAsia="MS Mincho" w:hAnsi="Courier New" w:cs="Courier New"/>
      <w:spacing w:val="-20"/>
      <w:sz w:val="28"/>
      <w:szCs w:val="28"/>
      <w:lang w:eastAsia="ru-RU"/>
    </w:rPr>
  </w:style>
  <w:style w:type="paragraph" w:customStyle="1" w:styleId="7">
    <w:name w:val="Основной текст7"/>
    <w:basedOn w:val="a"/>
    <w:uiPriority w:val="99"/>
    <w:rsid w:val="00EB6EBC"/>
    <w:pPr>
      <w:shd w:val="clear" w:color="auto" w:fill="FFFFFF"/>
      <w:spacing w:before="240" w:after="240" w:line="418" w:lineRule="exact"/>
      <w:ind w:hanging="360"/>
    </w:pPr>
    <w:rPr>
      <w:rFonts w:ascii="Times New Roman" w:eastAsia="Times New Roman" w:hAnsi="Times New Roman" w:cs="Times New Roman"/>
      <w:color w:val="auto"/>
      <w:lang w:eastAsia="en-US"/>
    </w:rPr>
  </w:style>
  <w:style w:type="character" w:customStyle="1" w:styleId="2310">
    <w:name w:val="Основной текст (23) + Курсив1"/>
    <w:uiPriority w:val="99"/>
    <w:rsid w:val="00EB6EBC"/>
    <w:rPr>
      <w:rFonts w:ascii="Arial" w:hAnsi="Arial" w:cs="Arial"/>
      <w:i/>
      <w:iCs/>
      <w:spacing w:val="0"/>
      <w:sz w:val="17"/>
      <w:szCs w:val="17"/>
      <w:shd w:val="clear" w:color="auto" w:fill="FFFFFF"/>
    </w:rPr>
  </w:style>
  <w:style w:type="character" w:customStyle="1" w:styleId="29pt2">
    <w:name w:val="Основной текст (2) + 9 pt2"/>
    <w:aliases w:val="Не полужирный2"/>
    <w:uiPriority w:val="99"/>
    <w:rsid w:val="00EB6EBC"/>
    <w:rPr>
      <w:rFonts w:ascii="Century Schoolbook" w:hAnsi="Century Schoolbook" w:cs="Century Schoolbook"/>
      <w:b/>
      <w:bCs/>
      <w:spacing w:val="0"/>
      <w:sz w:val="18"/>
      <w:szCs w:val="18"/>
      <w:shd w:val="clear" w:color="auto" w:fill="FFFFFF"/>
    </w:rPr>
  </w:style>
  <w:style w:type="character" w:customStyle="1" w:styleId="162">
    <w:name w:val="Основной текст (16) + Курсив"/>
    <w:aliases w:val="Интервал 0 pt2"/>
    <w:uiPriority w:val="99"/>
    <w:rsid w:val="00EB6EBC"/>
    <w:rPr>
      <w:rFonts w:ascii="Times New Roman" w:hAnsi="Times New Roman" w:cs="Times New Roman"/>
      <w:i/>
      <w:iCs/>
      <w:spacing w:val="-10"/>
      <w:sz w:val="21"/>
      <w:szCs w:val="21"/>
    </w:rPr>
  </w:style>
  <w:style w:type="character" w:customStyle="1" w:styleId="cit">
    <w:name w:val="cit"/>
    <w:basedOn w:val="a0"/>
    <w:rsid w:val="00EB6EBC"/>
  </w:style>
  <w:style w:type="character" w:customStyle="1" w:styleId="MicrosoftSansSerif">
    <w:name w:val="Основной текст + Microsoft Sans Serif"/>
    <w:aliases w:val="6,5 pt4"/>
    <w:uiPriority w:val="99"/>
    <w:rsid w:val="00EB6EBC"/>
    <w:rPr>
      <w:rFonts w:ascii="Microsoft Sans Serif" w:hAnsi="Microsoft Sans Serif" w:cs="Microsoft Sans Serif"/>
      <w:spacing w:val="0"/>
      <w:sz w:val="13"/>
      <w:szCs w:val="13"/>
      <w:shd w:val="clear" w:color="auto" w:fill="FFFFFF"/>
    </w:rPr>
  </w:style>
  <w:style w:type="character" w:customStyle="1" w:styleId="ref-vol">
    <w:name w:val="ref-vol"/>
    <w:basedOn w:val="a0"/>
    <w:uiPriority w:val="99"/>
    <w:rsid w:val="00EB6EBC"/>
  </w:style>
  <w:style w:type="character" w:customStyle="1" w:styleId="ref-title">
    <w:name w:val="ref-title"/>
    <w:basedOn w:val="a0"/>
    <w:uiPriority w:val="99"/>
    <w:rsid w:val="00EB6EBC"/>
  </w:style>
  <w:style w:type="character" w:customStyle="1" w:styleId="45">
    <w:name w:val="Основной текст (4)_"/>
    <w:link w:val="46"/>
    <w:locked/>
    <w:rsid w:val="00EB6EBC"/>
    <w:rPr>
      <w:rFonts w:ascii="Palatino Linotype" w:hAnsi="Palatino Linotype" w:cs="Palatino Linotype"/>
      <w:sz w:val="18"/>
      <w:szCs w:val="18"/>
      <w:shd w:val="clear" w:color="auto" w:fill="FFFFFF"/>
    </w:rPr>
  </w:style>
  <w:style w:type="paragraph" w:customStyle="1" w:styleId="46">
    <w:name w:val="Основной текст (4)"/>
    <w:basedOn w:val="a"/>
    <w:link w:val="45"/>
    <w:rsid w:val="00EB6EBC"/>
    <w:pPr>
      <w:shd w:val="clear" w:color="auto" w:fill="FFFFFF"/>
      <w:spacing w:before="120" w:line="259" w:lineRule="exact"/>
      <w:jc w:val="both"/>
    </w:pPr>
    <w:rPr>
      <w:rFonts w:ascii="Palatino Linotype" w:eastAsiaTheme="minorHAnsi" w:hAnsi="Palatino Linotype" w:cs="Palatino Linotype"/>
      <w:color w:val="auto"/>
      <w:sz w:val="18"/>
      <w:szCs w:val="18"/>
      <w:lang w:eastAsia="en-US"/>
    </w:rPr>
  </w:style>
  <w:style w:type="paragraph" w:customStyle="1" w:styleId="1c">
    <w:name w:val="Обычный1"/>
    <w:basedOn w:val="a"/>
    <w:uiPriority w:val="99"/>
    <w:rsid w:val="00EB6EBC"/>
    <w:pPr>
      <w:spacing w:before="100" w:beforeAutospacing="1" w:after="100" w:afterAutospacing="1"/>
    </w:pPr>
    <w:rPr>
      <w:rFonts w:ascii="Times New Roman" w:eastAsia="Times New Roman" w:hAnsi="Times New Roman" w:cs="Times New Roman"/>
      <w:color w:val="auto"/>
    </w:rPr>
  </w:style>
  <w:style w:type="character" w:customStyle="1" w:styleId="italic">
    <w:name w:val="italic"/>
    <w:basedOn w:val="a0"/>
    <w:uiPriority w:val="99"/>
    <w:rsid w:val="00EB6EBC"/>
  </w:style>
  <w:style w:type="character" w:customStyle="1" w:styleId="2c">
    <w:name w:val="Основной текст2"/>
    <w:rsid w:val="00EB6EBC"/>
    <w:rPr>
      <w:rFonts w:ascii="Times New Roman" w:hAnsi="Times New Roman" w:cs="Times New Roman"/>
      <w:sz w:val="20"/>
      <w:szCs w:val="20"/>
      <w:shd w:val="clear" w:color="auto" w:fill="FFFFFF"/>
    </w:rPr>
  </w:style>
  <w:style w:type="character" w:customStyle="1" w:styleId="35">
    <w:name w:val="Основной текст3"/>
    <w:uiPriority w:val="99"/>
    <w:rsid w:val="00EB6EBC"/>
    <w:rPr>
      <w:rFonts w:ascii="Times New Roman" w:hAnsi="Times New Roman" w:cs="Times New Roman"/>
      <w:spacing w:val="0"/>
      <w:sz w:val="20"/>
      <w:szCs w:val="20"/>
      <w:shd w:val="clear" w:color="auto" w:fill="FFFFFF"/>
    </w:rPr>
  </w:style>
  <w:style w:type="character" w:customStyle="1" w:styleId="210pt1">
    <w:name w:val="Основной текст (2) + 10 pt1"/>
    <w:uiPriority w:val="99"/>
    <w:rsid w:val="00EB6EBC"/>
    <w:rPr>
      <w:rFonts w:ascii="Times New Roman" w:hAnsi="Times New Roman" w:cs="Times New Roman"/>
      <w:b/>
      <w:bCs/>
      <w:spacing w:val="0"/>
      <w:sz w:val="20"/>
      <w:szCs w:val="20"/>
      <w:shd w:val="clear" w:color="auto" w:fill="FFFFFF"/>
    </w:rPr>
  </w:style>
  <w:style w:type="character" w:customStyle="1" w:styleId="91">
    <w:name w:val="Основной текст + 9"/>
    <w:aliases w:val="5 pt3,Полужирный1"/>
    <w:rsid w:val="00EB6EBC"/>
    <w:rPr>
      <w:rFonts w:ascii="Times New Roman" w:hAnsi="Times New Roman" w:cs="Times New Roman"/>
      <w:b/>
      <w:bCs/>
      <w:spacing w:val="0"/>
      <w:sz w:val="19"/>
      <w:szCs w:val="19"/>
      <w:shd w:val="clear" w:color="auto" w:fill="FFFFFF"/>
    </w:rPr>
  </w:style>
  <w:style w:type="character" w:customStyle="1" w:styleId="910">
    <w:name w:val="Основной текст + 91"/>
    <w:aliases w:val="5 pt2"/>
    <w:uiPriority w:val="99"/>
    <w:rsid w:val="00EB6EBC"/>
    <w:rPr>
      <w:rFonts w:ascii="Times New Roman" w:hAnsi="Times New Roman" w:cs="Times New Roman"/>
      <w:spacing w:val="0"/>
      <w:sz w:val="19"/>
      <w:szCs w:val="19"/>
    </w:rPr>
  </w:style>
  <w:style w:type="character" w:customStyle="1" w:styleId="doi">
    <w:name w:val="doi"/>
    <w:basedOn w:val="a0"/>
    <w:rsid w:val="00EB6EBC"/>
  </w:style>
  <w:style w:type="character" w:customStyle="1" w:styleId="142">
    <w:name w:val="Основной текст (14) + Курсив"/>
    <w:uiPriority w:val="99"/>
    <w:rsid w:val="00EB6EBC"/>
    <w:rPr>
      <w:rFonts w:ascii="Book Antiqua" w:hAnsi="Book Antiqua" w:cs="Book Antiqua"/>
      <w:i/>
      <w:iCs/>
      <w:spacing w:val="0"/>
      <w:sz w:val="14"/>
      <w:szCs w:val="14"/>
    </w:rPr>
  </w:style>
  <w:style w:type="character" w:customStyle="1" w:styleId="143">
    <w:name w:val="Основной текст (14) + Полужирный"/>
    <w:uiPriority w:val="99"/>
    <w:rsid w:val="00EB6EBC"/>
    <w:rPr>
      <w:rFonts w:ascii="Book Antiqua" w:hAnsi="Book Antiqua" w:cs="Book Antiqua"/>
      <w:b/>
      <w:bCs/>
      <w:spacing w:val="0"/>
      <w:sz w:val="14"/>
      <w:szCs w:val="14"/>
    </w:rPr>
  </w:style>
  <w:style w:type="character" w:customStyle="1" w:styleId="340">
    <w:name w:val="Основной текст (34)"/>
    <w:uiPriority w:val="99"/>
    <w:rsid w:val="00EB6EBC"/>
    <w:rPr>
      <w:rFonts w:ascii="Times New Roman" w:hAnsi="Times New Roman" w:cs="Times New Roman"/>
      <w:spacing w:val="0"/>
      <w:sz w:val="20"/>
      <w:szCs w:val="20"/>
    </w:rPr>
  </w:style>
  <w:style w:type="character" w:customStyle="1" w:styleId="MicrosoftSansSerif1">
    <w:name w:val="Основной текст + Microsoft Sans Serif1"/>
    <w:aliases w:val="61,5 pt1"/>
    <w:uiPriority w:val="99"/>
    <w:rsid w:val="00EB6EBC"/>
    <w:rPr>
      <w:rFonts w:ascii="Microsoft Sans Serif" w:hAnsi="Microsoft Sans Serif" w:cs="Microsoft Sans Serif"/>
      <w:spacing w:val="0"/>
      <w:sz w:val="13"/>
      <w:szCs w:val="13"/>
      <w:shd w:val="clear" w:color="auto" w:fill="FFFFFF"/>
    </w:rPr>
  </w:style>
  <w:style w:type="character" w:customStyle="1" w:styleId="29pt1">
    <w:name w:val="Основной текст (2) + 9 pt1"/>
    <w:aliases w:val="Не полужирный1"/>
    <w:uiPriority w:val="99"/>
    <w:rsid w:val="00EB6EBC"/>
    <w:rPr>
      <w:rFonts w:ascii="Century Schoolbook" w:hAnsi="Century Schoolbook" w:cs="Century Schoolbook"/>
      <w:b/>
      <w:bCs/>
      <w:spacing w:val="0"/>
      <w:sz w:val="18"/>
      <w:szCs w:val="18"/>
      <w:shd w:val="clear" w:color="auto" w:fill="FFFFFF"/>
    </w:rPr>
  </w:style>
  <w:style w:type="character" w:customStyle="1" w:styleId="1610">
    <w:name w:val="Основной текст (16) + Курсив1"/>
    <w:aliases w:val="Интервал 0 pt1"/>
    <w:uiPriority w:val="99"/>
    <w:rsid w:val="00EB6EBC"/>
    <w:rPr>
      <w:rFonts w:ascii="Times New Roman" w:hAnsi="Times New Roman" w:cs="Times New Roman"/>
      <w:i/>
      <w:iCs/>
      <w:spacing w:val="-10"/>
      <w:sz w:val="21"/>
      <w:szCs w:val="21"/>
    </w:rPr>
  </w:style>
  <w:style w:type="character" w:customStyle="1" w:styleId="fm-citation-ids-label">
    <w:name w:val="fm-citation-ids-label"/>
    <w:basedOn w:val="a0"/>
    <w:uiPriority w:val="99"/>
    <w:rsid w:val="00EB6EBC"/>
  </w:style>
  <w:style w:type="character" w:customStyle="1" w:styleId="53">
    <w:name w:val="Основной текст5"/>
    <w:uiPriority w:val="99"/>
    <w:rsid w:val="00EB6EBC"/>
    <w:rPr>
      <w:rFonts w:ascii="Times New Roman" w:hAnsi="Times New Roman" w:cs="Times New Roman"/>
      <w:sz w:val="24"/>
      <w:szCs w:val="24"/>
      <w:shd w:val="clear" w:color="auto" w:fill="FFFFFF"/>
    </w:rPr>
  </w:style>
  <w:style w:type="character" w:customStyle="1" w:styleId="132">
    <w:name w:val="Основной текст13"/>
    <w:uiPriority w:val="99"/>
    <w:rsid w:val="00EB6EBC"/>
    <w:rPr>
      <w:spacing w:val="0"/>
      <w:sz w:val="15"/>
      <w:szCs w:val="15"/>
      <w:u w:val="single"/>
    </w:rPr>
  </w:style>
  <w:style w:type="character" w:customStyle="1" w:styleId="144">
    <w:name w:val="Основной текст14"/>
    <w:uiPriority w:val="99"/>
    <w:rsid w:val="00EB6EBC"/>
    <w:rPr>
      <w:spacing w:val="0"/>
      <w:sz w:val="15"/>
      <w:szCs w:val="15"/>
    </w:rPr>
  </w:style>
  <w:style w:type="character" w:customStyle="1" w:styleId="152">
    <w:name w:val="Основной текст15"/>
    <w:uiPriority w:val="99"/>
    <w:rsid w:val="00EB6EBC"/>
    <w:rPr>
      <w:spacing w:val="0"/>
      <w:sz w:val="15"/>
      <w:szCs w:val="15"/>
      <w:u w:val="single"/>
    </w:rPr>
  </w:style>
  <w:style w:type="character" w:customStyle="1" w:styleId="6">
    <w:name w:val="Основной текст6"/>
    <w:uiPriority w:val="99"/>
    <w:rsid w:val="00EB6EBC"/>
    <w:rPr>
      <w:rFonts w:ascii="Times New Roman" w:hAnsi="Times New Roman" w:cs="Times New Roman"/>
      <w:sz w:val="24"/>
      <w:szCs w:val="24"/>
      <w:shd w:val="clear" w:color="auto" w:fill="FFFFFF"/>
    </w:rPr>
  </w:style>
  <w:style w:type="character" w:customStyle="1" w:styleId="82">
    <w:name w:val="Основной текст8"/>
    <w:uiPriority w:val="99"/>
    <w:rsid w:val="00EB6EBC"/>
    <w:rPr>
      <w:spacing w:val="0"/>
      <w:sz w:val="15"/>
      <w:szCs w:val="15"/>
    </w:rPr>
  </w:style>
  <w:style w:type="character" w:customStyle="1" w:styleId="92">
    <w:name w:val="Основной текст9"/>
    <w:uiPriority w:val="99"/>
    <w:rsid w:val="00EB6EBC"/>
    <w:rPr>
      <w:spacing w:val="0"/>
      <w:sz w:val="15"/>
      <w:szCs w:val="15"/>
      <w:u w:val="single"/>
    </w:rPr>
  </w:style>
  <w:style w:type="character" w:customStyle="1" w:styleId="29pt0">
    <w:name w:val="Основной текст (2) + 9 pt;Не полужирный;Не курсив"/>
    <w:rsid w:val="00EB6EBC"/>
    <w:rPr>
      <w:rFonts w:ascii="Century Schoolbook" w:eastAsia="Century Schoolbook" w:hAnsi="Century Schoolbook" w:cs="Century Schoolbook"/>
      <w:b/>
      <w:bCs/>
      <w:i/>
      <w:iCs/>
      <w:smallCaps w:val="0"/>
      <w:strike w:val="0"/>
      <w:spacing w:val="0"/>
      <w:sz w:val="18"/>
      <w:szCs w:val="18"/>
      <w:shd w:val="clear" w:color="auto" w:fill="FFFFFF"/>
    </w:rPr>
  </w:style>
  <w:style w:type="character" w:customStyle="1" w:styleId="210pt0">
    <w:name w:val="Основной текст (2) + 10 pt;Курсив"/>
    <w:rsid w:val="00EB6EBC"/>
    <w:rPr>
      <w:rFonts w:ascii="Times New Roman" w:eastAsia="Times New Roman" w:hAnsi="Times New Roman" w:cs="Times New Roman"/>
      <w:b w:val="0"/>
      <w:bCs w:val="0"/>
      <w:i/>
      <w:iCs/>
      <w:smallCaps w:val="0"/>
      <w:strike w:val="0"/>
      <w:spacing w:val="0"/>
      <w:sz w:val="20"/>
      <w:szCs w:val="20"/>
    </w:rPr>
  </w:style>
  <w:style w:type="character" w:customStyle="1" w:styleId="23TimesNewRoman10pt">
    <w:name w:val="Основной текст (23) + Times New Roman;10 pt;Курсив"/>
    <w:rsid w:val="00EB6EBC"/>
    <w:rPr>
      <w:rFonts w:ascii="Times New Roman" w:eastAsia="Times New Roman" w:hAnsi="Times New Roman" w:cs="Times New Roman"/>
      <w:i/>
      <w:iCs/>
      <w:sz w:val="20"/>
      <w:szCs w:val="20"/>
      <w:shd w:val="clear" w:color="auto" w:fill="FFFFFF"/>
      <w:lang w:val="ru"/>
    </w:rPr>
  </w:style>
  <w:style w:type="character" w:customStyle="1" w:styleId="2Arial7pt">
    <w:name w:val="Подпись к таблице (2) + Arial;7 pt"/>
    <w:rsid w:val="00EB6EBC"/>
    <w:rPr>
      <w:rFonts w:ascii="Arial" w:eastAsia="Arial" w:hAnsi="Arial" w:cs="Arial"/>
      <w:sz w:val="14"/>
      <w:szCs w:val="14"/>
      <w:shd w:val="clear" w:color="auto" w:fill="FFFFFF"/>
    </w:rPr>
  </w:style>
  <w:style w:type="character" w:customStyle="1" w:styleId="230pt">
    <w:name w:val="Основной текст (23) + Курсив;Интервал 0 pt"/>
    <w:rsid w:val="00EB6EBC"/>
    <w:rPr>
      <w:rFonts w:ascii="Arial" w:eastAsia="Arial" w:hAnsi="Arial" w:cs="Arial"/>
      <w:i/>
      <w:iCs/>
      <w:spacing w:val="-10"/>
      <w:sz w:val="17"/>
      <w:szCs w:val="17"/>
      <w:shd w:val="clear" w:color="auto" w:fill="FFFFFF"/>
      <w:lang w:val="ru"/>
    </w:rPr>
  </w:style>
  <w:style w:type="character" w:customStyle="1" w:styleId="105pt">
    <w:name w:val="Основной текст + 10;5 pt;Курсив"/>
    <w:rsid w:val="00EB6EBC"/>
    <w:rPr>
      <w:rFonts w:ascii="Times New Roman" w:eastAsia="Times New Roman" w:hAnsi="Times New Roman" w:cs="Times New Roman"/>
      <w:i/>
      <w:iCs/>
      <w:sz w:val="21"/>
      <w:szCs w:val="21"/>
      <w:shd w:val="clear" w:color="auto" w:fill="FFFFFF"/>
    </w:rPr>
  </w:style>
  <w:style w:type="character" w:customStyle="1" w:styleId="8pt0">
    <w:name w:val="Подпись к таблице + 8 pt;Курсив"/>
    <w:rsid w:val="00EB6EBC"/>
    <w:rPr>
      <w:rFonts w:ascii="Arial" w:eastAsia="Arial" w:hAnsi="Arial" w:cs="Arial"/>
      <w:i/>
      <w:iCs/>
      <w:sz w:val="16"/>
      <w:szCs w:val="16"/>
      <w:shd w:val="clear" w:color="auto" w:fill="FFFFFF"/>
    </w:rPr>
  </w:style>
  <w:style w:type="character" w:customStyle="1" w:styleId="85pt">
    <w:name w:val="Подпись к таблице + 8;5 pt"/>
    <w:rsid w:val="00EB6EBC"/>
    <w:rPr>
      <w:rFonts w:ascii="Arial" w:eastAsia="Arial" w:hAnsi="Arial" w:cs="Arial"/>
      <w:sz w:val="17"/>
      <w:szCs w:val="17"/>
      <w:shd w:val="clear" w:color="auto" w:fill="FFFFFF"/>
    </w:rPr>
  </w:style>
  <w:style w:type="character" w:customStyle="1" w:styleId="Arial9pt">
    <w:name w:val="Колонтитул + Arial;9 pt;Полужирный"/>
    <w:rsid w:val="00EB6EBC"/>
    <w:rPr>
      <w:rFonts w:ascii="Arial" w:eastAsia="Arial" w:hAnsi="Arial" w:cs="Arial"/>
      <w:b/>
      <w:bCs/>
      <w:spacing w:val="0"/>
      <w:sz w:val="18"/>
      <w:szCs w:val="18"/>
      <w:shd w:val="clear" w:color="auto" w:fill="FFFFFF"/>
    </w:rPr>
  </w:style>
  <w:style w:type="character" w:customStyle="1" w:styleId="2510pt0">
    <w:name w:val="Основной текст (25) + 10 pt;Не полужирный"/>
    <w:rsid w:val="00EB6EBC"/>
    <w:rPr>
      <w:rFonts w:ascii="Times New Roman" w:eastAsia="Times New Roman" w:hAnsi="Times New Roman" w:cs="Times New Roman"/>
      <w:b/>
      <w:bCs/>
      <w:sz w:val="20"/>
      <w:szCs w:val="20"/>
      <w:shd w:val="clear" w:color="auto" w:fill="FFFFFF"/>
    </w:rPr>
  </w:style>
  <w:style w:type="character" w:customStyle="1" w:styleId="29pt4">
    <w:name w:val="Основной текст (2) + 9 pt;Не полужирный"/>
    <w:rsid w:val="00EB6EBC"/>
    <w:rPr>
      <w:rFonts w:ascii="Century Schoolbook" w:eastAsia="Century Schoolbook" w:hAnsi="Century Schoolbook" w:cs="Century Schoolbook"/>
      <w:b/>
      <w:bCs/>
      <w:i w:val="0"/>
      <w:iCs w:val="0"/>
      <w:smallCaps w:val="0"/>
      <w:strike w:val="0"/>
      <w:spacing w:val="0"/>
      <w:sz w:val="18"/>
      <w:szCs w:val="18"/>
      <w:shd w:val="clear" w:color="auto" w:fill="FFFFFF"/>
    </w:rPr>
  </w:style>
  <w:style w:type="character" w:customStyle="1" w:styleId="160pt">
    <w:name w:val="Основной текст (16) + Курсив;Интервал 0 pt"/>
    <w:rsid w:val="00EB6EBC"/>
    <w:rPr>
      <w:rFonts w:ascii="Times New Roman" w:eastAsia="Times New Roman" w:hAnsi="Times New Roman" w:cs="Times New Roman"/>
      <w:b w:val="0"/>
      <w:bCs w:val="0"/>
      <w:i/>
      <w:iCs/>
      <w:smallCaps w:val="0"/>
      <w:strike w:val="0"/>
      <w:spacing w:val="-10"/>
      <w:sz w:val="21"/>
      <w:szCs w:val="21"/>
      <w:lang w:val="ru"/>
    </w:rPr>
  </w:style>
  <w:style w:type="character" w:customStyle="1" w:styleId="MicrosoftSansSerif65pt">
    <w:name w:val="Основной текст + Microsoft Sans Serif;6;5 pt"/>
    <w:rsid w:val="00EB6EBC"/>
    <w:rPr>
      <w:rFonts w:ascii="Microsoft Sans Serif" w:eastAsia="Microsoft Sans Serif" w:hAnsi="Microsoft Sans Serif" w:cs="Microsoft Sans Serif"/>
      <w:b w:val="0"/>
      <w:bCs w:val="0"/>
      <w:i w:val="0"/>
      <w:iCs w:val="0"/>
      <w:smallCaps w:val="0"/>
      <w:strike w:val="0"/>
      <w:spacing w:val="0"/>
      <w:sz w:val="13"/>
      <w:szCs w:val="13"/>
      <w:shd w:val="clear" w:color="auto" w:fill="FFFFFF"/>
    </w:rPr>
  </w:style>
  <w:style w:type="character" w:customStyle="1" w:styleId="95pt">
    <w:name w:val="Основной текст + 9;5 pt;Полужирный"/>
    <w:rsid w:val="00EB6EBC"/>
    <w:rPr>
      <w:rFonts w:ascii="Times New Roman" w:eastAsia="Times New Roman" w:hAnsi="Times New Roman" w:cs="Times New Roman"/>
      <w:b/>
      <w:bCs/>
      <w:i w:val="0"/>
      <w:iCs w:val="0"/>
      <w:smallCaps w:val="0"/>
      <w:strike w:val="0"/>
      <w:spacing w:val="0"/>
      <w:sz w:val="19"/>
      <w:szCs w:val="19"/>
      <w:shd w:val="clear" w:color="auto" w:fill="FFFFFF"/>
    </w:rPr>
  </w:style>
  <w:style w:type="character" w:customStyle="1" w:styleId="95pt0">
    <w:name w:val="Основной текст + 9;5 pt"/>
    <w:rsid w:val="00EB6EBC"/>
    <w:rPr>
      <w:rFonts w:ascii="Times New Roman" w:eastAsia="Times New Roman" w:hAnsi="Times New Roman" w:cs="Times New Roman"/>
      <w:spacing w:val="0"/>
      <w:sz w:val="19"/>
      <w:szCs w:val="19"/>
    </w:rPr>
  </w:style>
  <w:style w:type="paragraph" w:customStyle="1" w:styleId="center">
    <w:name w:val="center"/>
    <w:basedOn w:val="a"/>
    <w:uiPriority w:val="99"/>
    <w:rsid w:val="00EB6EBC"/>
    <w:pPr>
      <w:spacing w:before="100" w:beforeAutospacing="1" w:after="100" w:afterAutospacing="1"/>
    </w:pPr>
    <w:rPr>
      <w:rFonts w:ascii="Times New Roman" w:eastAsia="Times New Roman" w:hAnsi="Times New Roman" w:cs="Times New Roman"/>
      <w:color w:val="auto"/>
    </w:rPr>
  </w:style>
  <w:style w:type="character" w:styleId="aff1">
    <w:name w:val="FollowedHyperlink"/>
    <w:uiPriority w:val="99"/>
    <w:semiHidden/>
    <w:unhideWhenUsed/>
    <w:rsid w:val="00EB6EBC"/>
    <w:rPr>
      <w:color w:val="800080"/>
      <w:u w:val="single"/>
    </w:rPr>
  </w:style>
  <w:style w:type="character" w:customStyle="1" w:styleId="font111">
    <w:name w:val="font111"/>
    <w:rsid w:val="00EB6EBC"/>
    <w:rPr>
      <w:rFonts w:ascii="Times New Roman" w:hAnsi="Times New Roman" w:cs="Times New Roman"/>
      <w:sz w:val="18"/>
      <w:szCs w:val="18"/>
    </w:rPr>
  </w:style>
  <w:style w:type="character" w:customStyle="1" w:styleId="bigtext">
    <w:name w:val="bigtext"/>
    <w:basedOn w:val="a0"/>
    <w:rsid w:val="00EB6EBC"/>
  </w:style>
  <w:style w:type="paragraph" w:styleId="aff2">
    <w:name w:val="Revision"/>
    <w:hidden/>
    <w:uiPriority w:val="99"/>
    <w:semiHidden/>
    <w:rsid w:val="00EB6EBC"/>
    <w:pPr>
      <w:spacing w:after="0" w:line="240" w:lineRule="auto"/>
    </w:pPr>
    <w:rPr>
      <w:rFonts w:ascii="Arial Unicode MS" w:eastAsia="Calibri" w:hAnsi="Arial Unicode MS" w:cs="Arial Unicode MS"/>
      <w:color w:val="000000"/>
      <w:sz w:val="24"/>
      <w:szCs w:val="24"/>
      <w:lang w:eastAsia="ru-RU"/>
    </w:rPr>
  </w:style>
  <w:style w:type="character" w:customStyle="1" w:styleId="1710pt">
    <w:name w:val="Основной текст (17) + 10 pt;Полужирный"/>
    <w:basedOn w:val="17"/>
    <w:rsid w:val="00EB6EBC"/>
    <w:rPr>
      <w:rFonts w:ascii="Garamond" w:eastAsia="Garamond" w:hAnsi="Garamond" w:cs="Garamond"/>
      <w:b/>
      <w:bCs/>
      <w:i w:val="0"/>
      <w:iCs w:val="0"/>
      <w:smallCaps w:val="0"/>
      <w:strike w:val="0"/>
      <w:spacing w:val="0"/>
      <w:sz w:val="20"/>
      <w:szCs w:val="20"/>
      <w:shd w:val="clear" w:color="auto" w:fill="FFFFFF"/>
    </w:rPr>
  </w:style>
  <w:style w:type="character" w:customStyle="1" w:styleId="149pt">
    <w:name w:val="Основной текст (14) + 9 pt;Полужирный"/>
    <w:basedOn w:val="140"/>
    <w:rsid w:val="00EB6EBC"/>
    <w:rPr>
      <w:rFonts w:ascii="Garamond" w:eastAsia="Garamond" w:hAnsi="Garamond" w:cs="Garamond"/>
      <w:b/>
      <w:bCs/>
      <w:i w:val="0"/>
      <w:iCs w:val="0"/>
      <w:smallCaps w:val="0"/>
      <w:strike w:val="0"/>
      <w:spacing w:val="0"/>
      <w:sz w:val="18"/>
      <w:szCs w:val="18"/>
      <w:shd w:val="clear" w:color="auto" w:fill="FFFFFF"/>
    </w:rPr>
  </w:style>
  <w:style w:type="character" w:customStyle="1" w:styleId="149pt0">
    <w:name w:val="Основной текст (14) + 9 pt"/>
    <w:basedOn w:val="140"/>
    <w:rsid w:val="00EB6EBC"/>
    <w:rPr>
      <w:rFonts w:ascii="Garamond" w:eastAsia="Garamond" w:hAnsi="Garamond" w:cs="Garamond"/>
      <w:b w:val="0"/>
      <w:bCs w:val="0"/>
      <w:i w:val="0"/>
      <w:iCs w:val="0"/>
      <w:smallCaps w:val="0"/>
      <w:strike w:val="0"/>
      <w:spacing w:val="0"/>
      <w:sz w:val="18"/>
      <w:szCs w:val="18"/>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6EBC"/>
    <w:pPr>
      <w:spacing w:after="0" w:line="240" w:lineRule="auto"/>
    </w:pPr>
    <w:rPr>
      <w:rFonts w:ascii="Arial Unicode MS" w:eastAsia="Calibri" w:hAnsi="Arial Unicode MS" w:cs="Arial Unicode MS"/>
      <w:color w:val="000000"/>
      <w:sz w:val="24"/>
      <w:szCs w:val="24"/>
      <w:lang w:eastAsia="ru-RU"/>
    </w:rPr>
  </w:style>
  <w:style w:type="paragraph" w:styleId="1">
    <w:name w:val="heading 1"/>
    <w:basedOn w:val="a"/>
    <w:next w:val="a"/>
    <w:link w:val="10"/>
    <w:uiPriority w:val="9"/>
    <w:qFormat/>
    <w:rsid w:val="00EB6EBC"/>
    <w:pPr>
      <w:keepNext/>
      <w:keepLines/>
      <w:spacing w:before="480"/>
      <w:outlineLvl w:val="0"/>
    </w:pPr>
    <w:rPr>
      <w:rFonts w:ascii="Calibri Light" w:eastAsia="Times New Roman" w:hAnsi="Calibri Light" w:cs="Calibri Light"/>
      <w:b/>
      <w:bCs/>
      <w:color w:val="2E74B5"/>
      <w:sz w:val="28"/>
      <w:szCs w:val="28"/>
    </w:rPr>
  </w:style>
  <w:style w:type="paragraph" w:styleId="2">
    <w:name w:val="heading 2"/>
    <w:basedOn w:val="a"/>
    <w:next w:val="a"/>
    <w:link w:val="20"/>
    <w:uiPriority w:val="99"/>
    <w:qFormat/>
    <w:rsid w:val="00EB6EBC"/>
    <w:pPr>
      <w:keepNext/>
      <w:keepLines/>
      <w:spacing w:before="200" w:line="276" w:lineRule="auto"/>
      <w:outlineLvl w:val="1"/>
    </w:pPr>
    <w:rPr>
      <w:rFonts w:ascii="Calibri Light" w:eastAsia="Times New Roman" w:hAnsi="Calibri Light" w:cs="Calibri Light"/>
      <w:b/>
      <w:bCs/>
      <w:color w:val="5B9BD5"/>
      <w:sz w:val="26"/>
      <w:szCs w:val="26"/>
      <w:lang w:val="uk-UA" w:eastAsia="uk-UA"/>
    </w:rPr>
  </w:style>
  <w:style w:type="paragraph" w:styleId="3">
    <w:name w:val="heading 3"/>
    <w:basedOn w:val="a"/>
    <w:next w:val="a"/>
    <w:link w:val="30"/>
    <w:uiPriority w:val="99"/>
    <w:qFormat/>
    <w:rsid w:val="00EB6EBC"/>
    <w:pPr>
      <w:keepNext/>
      <w:keepLines/>
      <w:spacing w:before="200" w:line="276" w:lineRule="auto"/>
      <w:outlineLvl w:val="2"/>
    </w:pPr>
    <w:rPr>
      <w:rFonts w:ascii="Calibri Light" w:eastAsia="Times New Roman" w:hAnsi="Calibri Light" w:cs="Calibri Light"/>
      <w:b/>
      <w:bCs/>
      <w:color w:val="5B9BD5"/>
      <w:sz w:val="22"/>
      <w:szCs w:val="22"/>
      <w:lang w:val="uk-UA" w:eastAsia="uk-UA"/>
    </w:rPr>
  </w:style>
  <w:style w:type="paragraph" w:styleId="4">
    <w:name w:val="heading 4"/>
    <w:basedOn w:val="a"/>
    <w:next w:val="a"/>
    <w:link w:val="40"/>
    <w:uiPriority w:val="9"/>
    <w:qFormat/>
    <w:rsid w:val="00EB6EBC"/>
    <w:pPr>
      <w:keepNext/>
      <w:keepLines/>
      <w:spacing w:before="200" w:line="276" w:lineRule="auto"/>
      <w:outlineLvl w:val="3"/>
    </w:pPr>
    <w:rPr>
      <w:rFonts w:ascii="Calibri Light" w:eastAsia="Times New Roman" w:hAnsi="Calibri Light" w:cs="Calibri Light"/>
      <w:b/>
      <w:bCs/>
      <w:i/>
      <w:iCs/>
      <w:color w:val="5B9BD5"/>
      <w:sz w:val="22"/>
      <w:szCs w:val="22"/>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B6EBC"/>
    <w:rPr>
      <w:rFonts w:ascii="Calibri Light" w:eastAsia="Times New Roman" w:hAnsi="Calibri Light" w:cs="Calibri Light"/>
      <w:b/>
      <w:bCs/>
      <w:color w:val="2E74B5"/>
      <w:sz w:val="28"/>
      <w:szCs w:val="28"/>
      <w:lang w:eastAsia="ru-RU"/>
    </w:rPr>
  </w:style>
  <w:style w:type="character" w:customStyle="1" w:styleId="20">
    <w:name w:val="Заголовок 2 Знак"/>
    <w:basedOn w:val="a0"/>
    <w:link w:val="2"/>
    <w:uiPriority w:val="99"/>
    <w:rsid w:val="00EB6EBC"/>
    <w:rPr>
      <w:rFonts w:ascii="Calibri Light" w:eastAsia="Times New Roman" w:hAnsi="Calibri Light" w:cs="Calibri Light"/>
      <w:b/>
      <w:bCs/>
      <w:color w:val="5B9BD5"/>
      <w:sz w:val="26"/>
      <w:szCs w:val="26"/>
      <w:lang w:val="uk-UA" w:eastAsia="uk-UA"/>
    </w:rPr>
  </w:style>
  <w:style w:type="character" w:customStyle="1" w:styleId="30">
    <w:name w:val="Заголовок 3 Знак"/>
    <w:basedOn w:val="a0"/>
    <w:link w:val="3"/>
    <w:uiPriority w:val="99"/>
    <w:rsid w:val="00EB6EBC"/>
    <w:rPr>
      <w:rFonts w:ascii="Calibri Light" w:eastAsia="Times New Roman" w:hAnsi="Calibri Light" w:cs="Calibri Light"/>
      <w:b/>
      <w:bCs/>
      <w:color w:val="5B9BD5"/>
      <w:lang w:val="uk-UA" w:eastAsia="uk-UA"/>
    </w:rPr>
  </w:style>
  <w:style w:type="character" w:customStyle="1" w:styleId="40">
    <w:name w:val="Заголовок 4 Знак"/>
    <w:basedOn w:val="a0"/>
    <w:link w:val="4"/>
    <w:uiPriority w:val="9"/>
    <w:rsid w:val="00EB6EBC"/>
    <w:rPr>
      <w:rFonts w:ascii="Calibri Light" w:eastAsia="Times New Roman" w:hAnsi="Calibri Light" w:cs="Calibri Light"/>
      <w:b/>
      <w:bCs/>
      <w:i/>
      <w:iCs/>
      <w:color w:val="5B9BD5"/>
      <w:lang w:val="uk-UA" w:eastAsia="uk-UA"/>
    </w:rPr>
  </w:style>
  <w:style w:type="paragraph" w:styleId="a3">
    <w:name w:val="List Paragraph"/>
    <w:basedOn w:val="a"/>
    <w:qFormat/>
    <w:rsid w:val="00EB6EBC"/>
    <w:pPr>
      <w:spacing w:line="360" w:lineRule="auto"/>
      <w:ind w:left="720"/>
    </w:pPr>
    <w:rPr>
      <w:color w:val="auto"/>
      <w:sz w:val="28"/>
      <w:szCs w:val="28"/>
      <w:lang w:eastAsia="en-US"/>
    </w:rPr>
  </w:style>
  <w:style w:type="character" w:customStyle="1" w:styleId="14">
    <w:name w:val="шрифт К 14"/>
    <w:rsid w:val="00EB6EBC"/>
    <w:rPr>
      <w:rFonts w:ascii="Times New Roman" w:hAnsi="Times New Roman" w:cs="Times New Roman"/>
      <w:i/>
      <w:iCs/>
      <w:sz w:val="28"/>
      <w:szCs w:val="28"/>
    </w:rPr>
  </w:style>
  <w:style w:type="paragraph" w:styleId="21">
    <w:name w:val="Body Text 2"/>
    <w:basedOn w:val="a"/>
    <w:link w:val="22"/>
    <w:uiPriority w:val="99"/>
    <w:rsid w:val="00EB6EBC"/>
    <w:pPr>
      <w:spacing w:after="120" w:line="480" w:lineRule="auto"/>
    </w:pPr>
    <w:rPr>
      <w:rFonts w:ascii="Calibri" w:eastAsia="Times New Roman" w:hAnsi="Calibri" w:cs="Calibri"/>
      <w:color w:val="auto"/>
      <w:sz w:val="22"/>
      <w:szCs w:val="22"/>
    </w:rPr>
  </w:style>
  <w:style w:type="character" w:customStyle="1" w:styleId="22">
    <w:name w:val="Основной текст 2 Знак"/>
    <w:basedOn w:val="a0"/>
    <w:link w:val="21"/>
    <w:uiPriority w:val="99"/>
    <w:rsid w:val="00EB6EBC"/>
    <w:rPr>
      <w:rFonts w:ascii="Calibri" w:eastAsia="Times New Roman" w:hAnsi="Calibri" w:cs="Calibri"/>
      <w:lang w:eastAsia="ru-RU"/>
    </w:rPr>
  </w:style>
  <w:style w:type="character" w:customStyle="1" w:styleId="11">
    <w:name w:val="Основной текст1"/>
    <w:rsid w:val="00EB6EBC"/>
    <w:rPr>
      <w:rFonts w:ascii="Times New Roman" w:hAnsi="Times New Roman" w:cs="Times New Roman"/>
      <w:spacing w:val="0"/>
      <w:sz w:val="20"/>
      <w:szCs w:val="20"/>
      <w:shd w:val="clear" w:color="auto" w:fill="FFFFFF"/>
    </w:rPr>
  </w:style>
  <w:style w:type="character" w:customStyle="1" w:styleId="23">
    <w:name w:val="Основной текст (23)_"/>
    <w:link w:val="230"/>
    <w:locked/>
    <w:rsid w:val="00EB6EBC"/>
    <w:rPr>
      <w:rFonts w:ascii="Arial" w:hAnsi="Arial" w:cs="Arial"/>
      <w:sz w:val="17"/>
      <w:szCs w:val="17"/>
      <w:shd w:val="clear" w:color="auto" w:fill="FFFFFF"/>
    </w:rPr>
  </w:style>
  <w:style w:type="paragraph" w:customStyle="1" w:styleId="230">
    <w:name w:val="Основной текст (23)"/>
    <w:basedOn w:val="a"/>
    <w:link w:val="23"/>
    <w:rsid w:val="00EB6EBC"/>
    <w:pPr>
      <w:shd w:val="clear" w:color="auto" w:fill="FFFFFF"/>
      <w:spacing w:after="60" w:line="240" w:lineRule="atLeast"/>
    </w:pPr>
    <w:rPr>
      <w:rFonts w:ascii="Arial" w:eastAsiaTheme="minorHAnsi" w:hAnsi="Arial" w:cs="Arial"/>
      <w:color w:val="auto"/>
      <w:sz w:val="17"/>
      <w:szCs w:val="17"/>
      <w:lang w:eastAsia="en-US"/>
    </w:rPr>
  </w:style>
  <w:style w:type="paragraph" w:styleId="a4">
    <w:name w:val="Normal (Web)"/>
    <w:basedOn w:val="a"/>
    <w:uiPriority w:val="99"/>
    <w:rsid w:val="00EB6EBC"/>
    <w:pPr>
      <w:spacing w:before="100" w:beforeAutospacing="1" w:after="100" w:afterAutospacing="1"/>
    </w:pPr>
    <w:rPr>
      <w:rFonts w:ascii="Times New Roman" w:eastAsia="Times New Roman" w:hAnsi="Times New Roman" w:cs="Times New Roman"/>
      <w:color w:val="auto"/>
      <w:lang w:val="uk-UA"/>
    </w:rPr>
  </w:style>
  <w:style w:type="character" w:styleId="a5">
    <w:name w:val="Hyperlink"/>
    <w:uiPriority w:val="99"/>
    <w:rsid w:val="00EB6EBC"/>
    <w:rPr>
      <w:color w:val="0000FF"/>
      <w:u w:val="single"/>
    </w:rPr>
  </w:style>
  <w:style w:type="paragraph" w:customStyle="1" w:styleId="a6">
    <w:name w:val="Гост"/>
    <w:basedOn w:val="a"/>
    <w:uiPriority w:val="99"/>
    <w:rsid w:val="00EB6EBC"/>
    <w:pPr>
      <w:widowControl w:val="0"/>
      <w:autoSpaceDE w:val="0"/>
      <w:autoSpaceDN w:val="0"/>
      <w:spacing w:line="474" w:lineRule="atLeast"/>
      <w:ind w:firstLine="680"/>
      <w:jc w:val="both"/>
    </w:pPr>
    <w:rPr>
      <w:rFonts w:ascii="Times New Roman" w:eastAsia="Times New Roman" w:hAnsi="Times New Roman" w:cs="Times New Roman"/>
      <w:color w:val="auto"/>
      <w:spacing w:val="6"/>
      <w:kern w:val="28"/>
      <w:sz w:val="28"/>
      <w:szCs w:val="28"/>
      <w:lang w:val="uk-UA" w:eastAsia="uk-UA"/>
    </w:rPr>
  </w:style>
  <w:style w:type="character" w:customStyle="1" w:styleId="a7">
    <w:name w:val="Основной текст_"/>
    <w:link w:val="220"/>
    <w:locked/>
    <w:rsid w:val="00EB6EBC"/>
    <w:rPr>
      <w:rFonts w:ascii="Times New Roman" w:hAnsi="Times New Roman" w:cs="Times New Roman"/>
      <w:sz w:val="27"/>
      <w:szCs w:val="27"/>
      <w:shd w:val="clear" w:color="auto" w:fill="FFFFFF"/>
    </w:rPr>
  </w:style>
  <w:style w:type="paragraph" w:customStyle="1" w:styleId="220">
    <w:name w:val="Основной текст22"/>
    <w:basedOn w:val="a"/>
    <w:link w:val="a7"/>
    <w:rsid w:val="00EB6EBC"/>
    <w:pPr>
      <w:widowControl w:val="0"/>
      <w:shd w:val="clear" w:color="auto" w:fill="FFFFFF"/>
      <w:spacing w:after="720" w:line="326" w:lineRule="exact"/>
      <w:ind w:hanging="1760"/>
      <w:jc w:val="center"/>
    </w:pPr>
    <w:rPr>
      <w:rFonts w:ascii="Times New Roman" w:eastAsiaTheme="minorHAnsi" w:hAnsi="Times New Roman" w:cs="Times New Roman"/>
      <w:color w:val="auto"/>
      <w:sz w:val="27"/>
      <w:szCs w:val="27"/>
      <w:lang w:eastAsia="en-US"/>
    </w:rPr>
  </w:style>
  <w:style w:type="paragraph" w:customStyle="1" w:styleId="210">
    <w:name w:val="Основной текст (2)1"/>
    <w:basedOn w:val="a"/>
    <w:link w:val="24"/>
    <w:uiPriority w:val="99"/>
    <w:rsid w:val="00EB6EBC"/>
    <w:pPr>
      <w:widowControl w:val="0"/>
      <w:shd w:val="clear" w:color="auto" w:fill="FFFFFF"/>
      <w:spacing w:line="1142" w:lineRule="exact"/>
      <w:jc w:val="center"/>
    </w:pPr>
    <w:rPr>
      <w:rFonts w:cs="Times New Roman"/>
      <w:b/>
      <w:bCs/>
      <w:color w:val="auto"/>
      <w:sz w:val="27"/>
      <w:szCs w:val="27"/>
    </w:rPr>
  </w:style>
  <w:style w:type="character" w:customStyle="1" w:styleId="24">
    <w:name w:val="Основной текст (2)_"/>
    <w:link w:val="210"/>
    <w:uiPriority w:val="99"/>
    <w:locked/>
    <w:rsid w:val="00EB6EBC"/>
    <w:rPr>
      <w:rFonts w:ascii="Arial Unicode MS" w:eastAsia="Calibri" w:hAnsi="Arial Unicode MS" w:cs="Times New Roman"/>
      <w:b/>
      <w:bCs/>
      <w:sz w:val="27"/>
      <w:szCs w:val="27"/>
      <w:shd w:val="clear" w:color="auto" w:fill="FFFFFF"/>
      <w:lang w:eastAsia="ru-RU"/>
    </w:rPr>
  </w:style>
  <w:style w:type="character" w:styleId="a8">
    <w:name w:val="Emphasis"/>
    <w:uiPriority w:val="99"/>
    <w:qFormat/>
    <w:rsid w:val="00EB6EBC"/>
    <w:rPr>
      <w:i/>
      <w:iCs/>
    </w:rPr>
  </w:style>
  <w:style w:type="paragraph" w:styleId="a9">
    <w:name w:val="Body Text"/>
    <w:basedOn w:val="a"/>
    <w:link w:val="aa"/>
    <w:uiPriority w:val="99"/>
    <w:rsid w:val="00EB6EBC"/>
    <w:pPr>
      <w:spacing w:after="120" w:line="276" w:lineRule="auto"/>
    </w:pPr>
    <w:rPr>
      <w:rFonts w:ascii="Calibri" w:eastAsia="Times New Roman" w:hAnsi="Calibri" w:cs="Calibri"/>
      <w:color w:val="auto"/>
      <w:sz w:val="22"/>
      <w:szCs w:val="22"/>
      <w:lang w:val="uk-UA" w:eastAsia="uk-UA"/>
    </w:rPr>
  </w:style>
  <w:style w:type="character" w:customStyle="1" w:styleId="aa">
    <w:name w:val="Основной текст Знак"/>
    <w:basedOn w:val="a0"/>
    <w:link w:val="a9"/>
    <w:uiPriority w:val="99"/>
    <w:rsid w:val="00EB6EBC"/>
    <w:rPr>
      <w:rFonts w:ascii="Calibri" w:eastAsia="Times New Roman" w:hAnsi="Calibri" w:cs="Calibri"/>
      <w:lang w:val="uk-UA" w:eastAsia="uk-UA"/>
    </w:rPr>
  </w:style>
  <w:style w:type="character" w:customStyle="1" w:styleId="31">
    <w:name w:val="Основной текст (3)"/>
    <w:rsid w:val="00EB6EBC"/>
    <w:rPr>
      <w:rFonts w:ascii="Times New Roman" w:hAnsi="Times New Roman" w:cs="Times New Roman"/>
      <w:spacing w:val="0"/>
      <w:sz w:val="24"/>
      <w:szCs w:val="24"/>
    </w:rPr>
  </w:style>
  <w:style w:type="character" w:customStyle="1" w:styleId="ab">
    <w:name w:val="Основной текст + Курсив"/>
    <w:rsid w:val="00EB6EBC"/>
    <w:rPr>
      <w:rFonts w:ascii="Times New Roman" w:hAnsi="Times New Roman" w:cs="Times New Roman"/>
      <w:i/>
      <w:iCs/>
      <w:spacing w:val="0"/>
      <w:sz w:val="20"/>
      <w:szCs w:val="20"/>
      <w:shd w:val="clear" w:color="auto" w:fill="FFFFFF"/>
      <w:lang w:val="en-US"/>
    </w:rPr>
  </w:style>
  <w:style w:type="character" w:customStyle="1" w:styleId="element-citation">
    <w:name w:val="element-citation"/>
    <w:basedOn w:val="a0"/>
    <w:uiPriority w:val="99"/>
    <w:rsid w:val="00EB6EBC"/>
  </w:style>
  <w:style w:type="character" w:customStyle="1" w:styleId="34">
    <w:name w:val="Основной текст (34) + Курсив"/>
    <w:uiPriority w:val="99"/>
    <w:rsid w:val="00EB6EBC"/>
    <w:rPr>
      <w:rFonts w:ascii="Times New Roman" w:hAnsi="Times New Roman" w:cs="Times New Roman"/>
      <w:i/>
      <w:iCs/>
      <w:spacing w:val="0"/>
      <w:sz w:val="20"/>
      <w:szCs w:val="20"/>
      <w:lang w:val="en-US"/>
    </w:rPr>
  </w:style>
  <w:style w:type="character" w:customStyle="1" w:styleId="ref-journal">
    <w:name w:val="ref-journal"/>
    <w:basedOn w:val="a0"/>
    <w:uiPriority w:val="99"/>
    <w:rsid w:val="00EB6EBC"/>
  </w:style>
  <w:style w:type="character" w:customStyle="1" w:styleId="mixed-citation">
    <w:name w:val="mixed-citation"/>
    <w:basedOn w:val="a0"/>
    <w:uiPriority w:val="99"/>
    <w:rsid w:val="00EB6EBC"/>
  </w:style>
  <w:style w:type="character" w:customStyle="1" w:styleId="210pt">
    <w:name w:val="Основной текст (2) + 10 pt"/>
    <w:aliases w:val="Курсив1"/>
    <w:rsid w:val="00EB6EBC"/>
    <w:rPr>
      <w:rFonts w:ascii="Times New Roman" w:hAnsi="Times New Roman" w:cs="Times New Roman"/>
      <w:i/>
      <w:iCs/>
      <w:spacing w:val="0"/>
      <w:sz w:val="20"/>
      <w:szCs w:val="20"/>
    </w:rPr>
  </w:style>
  <w:style w:type="character" w:customStyle="1" w:styleId="notranslate">
    <w:name w:val="notranslate"/>
    <w:rsid w:val="00EB6EBC"/>
  </w:style>
  <w:style w:type="character" w:customStyle="1" w:styleId="711pt">
    <w:name w:val="Основной текст (7) + 11 pt;Курсив"/>
    <w:rsid w:val="00EB6EBC"/>
    <w:rPr>
      <w:rFonts w:ascii="Times New Roman" w:eastAsia="Times New Roman" w:hAnsi="Times New Roman" w:cs="Times New Roman"/>
      <w:b w:val="0"/>
      <w:bCs w:val="0"/>
      <w:i/>
      <w:iCs/>
      <w:smallCaps w:val="0"/>
      <w:strike w:val="0"/>
      <w:spacing w:val="0"/>
      <w:sz w:val="22"/>
      <w:szCs w:val="22"/>
    </w:rPr>
  </w:style>
  <w:style w:type="character" w:customStyle="1" w:styleId="33FranklinGothicHeavy10pt">
    <w:name w:val="Основной текст (33) + Franklin Gothic Heavy;10 pt;Курсив"/>
    <w:rsid w:val="00EB6EBC"/>
    <w:rPr>
      <w:rFonts w:ascii="Franklin Gothic Heavy" w:eastAsia="Franklin Gothic Heavy" w:hAnsi="Franklin Gothic Heavy" w:cs="Franklin Gothic Heavy"/>
      <w:b w:val="0"/>
      <w:bCs w:val="0"/>
      <w:i/>
      <w:iCs/>
      <w:smallCaps w:val="0"/>
      <w:strike w:val="0"/>
      <w:spacing w:val="0"/>
      <w:sz w:val="20"/>
      <w:szCs w:val="20"/>
      <w:shd w:val="clear" w:color="auto" w:fill="FFFFFF"/>
    </w:rPr>
  </w:style>
  <w:style w:type="character" w:customStyle="1" w:styleId="3TimesNewRoman75pt">
    <w:name w:val="Подпись к таблице (3) + Times New Roman;7;5 pt"/>
    <w:rsid w:val="00EB6EBC"/>
    <w:rPr>
      <w:rFonts w:ascii="Times New Roman" w:eastAsia="Times New Roman" w:hAnsi="Times New Roman" w:cs="Times New Roman"/>
      <w:sz w:val="15"/>
      <w:szCs w:val="15"/>
      <w:shd w:val="clear" w:color="auto" w:fill="FFFFFF"/>
    </w:rPr>
  </w:style>
  <w:style w:type="paragraph" w:styleId="ac">
    <w:name w:val="header"/>
    <w:basedOn w:val="a"/>
    <w:link w:val="ad"/>
    <w:uiPriority w:val="99"/>
    <w:unhideWhenUsed/>
    <w:rsid w:val="00EB6EBC"/>
    <w:pPr>
      <w:tabs>
        <w:tab w:val="center" w:pos="4677"/>
        <w:tab w:val="right" w:pos="9355"/>
      </w:tabs>
    </w:pPr>
  </w:style>
  <w:style w:type="character" w:customStyle="1" w:styleId="ad">
    <w:name w:val="Верхний колонтитул Знак"/>
    <w:basedOn w:val="a0"/>
    <w:link w:val="ac"/>
    <w:uiPriority w:val="99"/>
    <w:rsid w:val="00EB6EBC"/>
    <w:rPr>
      <w:rFonts w:ascii="Arial Unicode MS" w:eastAsia="Calibri" w:hAnsi="Arial Unicode MS" w:cs="Arial Unicode MS"/>
      <w:color w:val="000000"/>
      <w:sz w:val="24"/>
      <w:szCs w:val="24"/>
      <w:lang w:eastAsia="ru-RU"/>
    </w:rPr>
  </w:style>
  <w:style w:type="paragraph" w:styleId="ae">
    <w:name w:val="footer"/>
    <w:basedOn w:val="a"/>
    <w:link w:val="af"/>
    <w:uiPriority w:val="99"/>
    <w:unhideWhenUsed/>
    <w:rsid w:val="00EB6EBC"/>
    <w:pPr>
      <w:tabs>
        <w:tab w:val="center" w:pos="4677"/>
        <w:tab w:val="right" w:pos="9355"/>
      </w:tabs>
    </w:pPr>
  </w:style>
  <w:style w:type="character" w:customStyle="1" w:styleId="af">
    <w:name w:val="Нижний колонтитул Знак"/>
    <w:basedOn w:val="a0"/>
    <w:link w:val="ae"/>
    <w:uiPriority w:val="99"/>
    <w:rsid w:val="00EB6EBC"/>
    <w:rPr>
      <w:rFonts w:ascii="Arial Unicode MS" w:eastAsia="Calibri" w:hAnsi="Arial Unicode MS" w:cs="Arial Unicode MS"/>
      <w:color w:val="000000"/>
      <w:sz w:val="24"/>
      <w:szCs w:val="24"/>
      <w:lang w:eastAsia="ru-RU"/>
    </w:rPr>
  </w:style>
  <w:style w:type="character" w:customStyle="1" w:styleId="25">
    <w:name w:val="Основной текст (2) + Курсив"/>
    <w:rsid w:val="00EB6EBC"/>
    <w:rPr>
      <w:rFonts w:ascii="Times New Roman" w:hAnsi="Times New Roman"/>
      <w:i/>
      <w:color w:val="000000"/>
      <w:spacing w:val="0"/>
      <w:w w:val="100"/>
      <w:position w:val="0"/>
      <w:sz w:val="19"/>
      <w:u w:val="none"/>
      <w:lang w:val="uk-UA" w:eastAsia="uk-UA"/>
    </w:rPr>
  </w:style>
  <w:style w:type="paragraph" w:customStyle="1" w:styleId="af0">
    <w:name w:val="текст дис."/>
    <w:link w:val="af1"/>
    <w:rsid w:val="00EB6EBC"/>
    <w:pPr>
      <w:widowControl w:val="0"/>
      <w:suppressAutoHyphens/>
      <w:spacing w:after="0" w:line="360" w:lineRule="auto"/>
      <w:ind w:firstLine="709"/>
      <w:jc w:val="both"/>
    </w:pPr>
    <w:rPr>
      <w:rFonts w:ascii="Arial Unicode MS" w:eastAsia="Calibri" w:hAnsi="Arial Unicode MS" w:cs="Times New Roman"/>
      <w:sz w:val="28"/>
      <w:szCs w:val="28"/>
      <w:lang w:eastAsia="ar-SA"/>
    </w:rPr>
  </w:style>
  <w:style w:type="character" w:customStyle="1" w:styleId="af1">
    <w:name w:val="текст дис. Знак"/>
    <w:link w:val="af0"/>
    <w:locked/>
    <w:rsid w:val="00EB6EBC"/>
    <w:rPr>
      <w:rFonts w:ascii="Arial Unicode MS" w:eastAsia="Calibri" w:hAnsi="Arial Unicode MS" w:cs="Times New Roman"/>
      <w:sz w:val="28"/>
      <w:szCs w:val="28"/>
      <w:lang w:eastAsia="ar-SA"/>
    </w:rPr>
  </w:style>
  <w:style w:type="paragraph" w:customStyle="1" w:styleId="110">
    <w:name w:val="Дис 1.1."/>
    <w:basedOn w:val="a"/>
    <w:next w:val="af0"/>
    <w:uiPriority w:val="99"/>
    <w:rsid w:val="00EB6EBC"/>
    <w:pPr>
      <w:widowControl w:val="0"/>
      <w:suppressAutoHyphens/>
      <w:spacing w:after="240" w:line="360" w:lineRule="auto"/>
      <w:ind w:left="709" w:firstLine="709"/>
      <w:jc w:val="both"/>
    </w:pPr>
    <w:rPr>
      <w:rFonts w:ascii="Times New Roman" w:eastAsia="Times New Roman" w:hAnsi="Times New Roman" w:cs="Times New Roman"/>
      <w:color w:val="auto"/>
      <w:sz w:val="28"/>
      <w:szCs w:val="28"/>
      <w:lang w:eastAsia="ar-SA"/>
    </w:rPr>
  </w:style>
  <w:style w:type="paragraph" w:customStyle="1" w:styleId="Table">
    <w:name w:val="Table номер"/>
    <w:basedOn w:val="a"/>
    <w:next w:val="af0"/>
    <w:uiPriority w:val="99"/>
    <w:rsid w:val="00EB6EBC"/>
    <w:pPr>
      <w:widowControl w:val="0"/>
      <w:suppressAutoHyphens/>
      <w:spacing w:line="360" w:lineRule="auto"/>
      <w:ind w:firstLine="709"/>
      <w:jc w:val="right"/>
    </w:pPr>
    <w:rPr>
      <w:rFonts w:ascii="Times New Roman" w:eastAsia="Times New Roman" w:hAnsi="Times New Roman" w:cs="Times New Roman"/>
      <w:i/>
      <w:iCs/>
      <w:color w:val="auto"/>
      <w:sz w:val="28"/>
      <w:szCs w:val="28"/>
      <w:lang w:eastAsia="ar-SA"/>
    </w:rPr>
  </w:style>
  <w:style w:type="character" w:customStyle="1" w:styleId="29pt">
    <w:name w:val="Основной текст (2) + 9 pt"/>
    <w:aliases w:val="Не полужирный,Не курсив"/>
    <w:uiPriority w:val="99"/>
    <w:rsid w:val="00EB6EBC"/>
    <w:rPr>
      <w:rFonts w:ascii="Century Schoolbook" w:hAnsi="Century Schoolbook" w:cs="Century Schoolbook"/>
      <w:b/>
      <w:bCs/>
      <w:i/>
      <w:iCs/>
      <w:spacing w:val="0"/>
      <w:sz w:val="18"/>
      <w:szCs w:val="18"/>
      <w:shd w:val="clear" w:color="auto" w:fill="FFFFFF"/>
    </w:rPr>
  </w:style>
  <w:style w:type="character" w:customStyle="1" w:styleId="26">
    <w:name w:val="Основной текст (2) + Не курсив"/>
    <w:rsid w:val="00EB6EBC"/>
    <w:rPr>
      <w:rFonts w:ascii="Century Schoolbook" w:hAnsi="Century Schoolbook" w:cs="Century Schoolbook"/>
      <w:i/>
      <w:iCs/>
      <w:spacing w:val="0"/>
      <w:sz w:val="16"/>
      <w:szCs w:val="16"/>
      <w:shd w:val="clear" w:color="auto" w:fill="FFFFFF"/>
    </w:rPr>
  </w:style>
  <w:style w:type="character" w:customStyle="1" w:styleId="jrnl">
    <w:name w:val="jrnl"/>
    <w:basedOn w:val="a0"/>
    <w:uiPriority w:val="99"/>
    <w:rsid w:val="00EB6EBC"/>
  </w:style>
  <w:style w:type="paragraph" w:styleId="af2">
    <w:name w:val="Balloon Text"/>
    <w:basedOn w:val="a"/>
    <w:link w:val="af3"/>
    <w:uiPriority w:val="99"/>
    <w:semiHidden/>
    <w:rsid w:val="00EB6EBC"/>
    <w:rPr>
      <w:rFonts w:ascii="Tahoma" w:eastAsia="Times New Roman" w:hAnsi="Tahoma" w:cs="Tahoma"/>
      <w:color w:val="auto"/>
      <w:sz w:val="16"/>
      <w:szCs w:val="16"/>
      <w:lang w:val="uk-UA" w:eastAsia="uk-UA"/>
    </w:rPr>
  </w:style>
  <w:style w:type="character" w:customStyle="1" w:styleId="af3">
    <w:name w:val="Текст выноски Знак"/>
    <w:basedOn w:val="a0"/>
    <w:link w:val="af2"/>
    <w:uiPriority w:val="99"/>
    <w:semiHidden/>
    <w:rsid w:val="00EB6EBC"/>
    <w:rPr>
      <w:rFonts w:ascii="Tahoma" w:eastAsia="Times New Roman" w:hAnsi="Tahoma" w:cs="Tahoma"/>
      <w:sz w:val="16"/>
      <w:szCs w:val="16"/>
      <w:lang w:val="uk-UA" w:eastAsia="uk-UA"/>
    </w:rPr>
  </w:style>
  <w:style w:type="character" w:styleId="af4">
    <w:name w:val="Strong"/>
    <w:uiPriority w:val="22"/>
    <w:qFormat/>
    <w:rsid w:val="00EB6EBC"/>
    <w:rPr>
      <w:b/>
      <w:bCs/>
    </w:rPr>
  </w:style>
  <w:style w:type="character" w:customStyle="1" w:styleId="hps">
    <w:name w:val="hps"/>
    <w:basedOn w:val="a0"/>
    <w:rsid w:val="00EB6EBC"/>
  </w:style>
  <w:style w:type="paragraph" w:styleId="af5">
    <w:name w:val="Body Text Indent"/>
    <w:basedOn w:val="a"/>
    <w:link w:val="af6"/>
    <w:uiPriority w:val="99"/>
    <w:rsid w:val="00EB6EBC"/>
    <w:pPr>
      <w:widowControl w:val="0"/>
      <w:suppressAutoHyphens/>
      <w:spacing w:line="360" w:lineRule="auto"/>
      <w:ind w:firstLine="720"/>
      <w:jc w:val="both"/>
    </w:pPr>
    <w:rPr>
      <w:rFonts w:ascii="Times New Roman" w:eastAsia="SimSun" w:hAnsi="Times New Roman" w:cs="Times New Roman"/>
      <w:color w:val="auto"/>
      <w:kern w:val="1"/>
      <w:sz w:val="28"/>
      <w:szCs w:val="28"/>
      <w:lang w:eastAsia="hi-IN" w:bidi="hi-IN"/>
    </w:rPr>
  </w:style>
  <w:style w:type="character" w:customStyle="1" w:styleId="af6">
    <w:name w:val="Основной текст с отступом Знак"/>
    <w:basedOn w:val="a0"/>
    <w:link w:val="af5"/>
    <w:uiPriority w:val="99"/>
    <w:rsid w:val="00EB6EBC"/>
    <w:rPr>
      <w:rFonts w:ascii="Times New Roman" w:eastAsia="SimSun" w:hAnsi="Times New Roman" w:cs="Times New Roman"/>
      <w:kern w:val="1"/>
      <w:sz w:val="28"/>
      <w:szCs w:val="28"/>
      <w:lang w:eastAsia="hi-IN" w:bidi="hi-IN"/>
    </w:rPr>
  </w:style>
  <w:style w:type="paragraph" w:customStyle="1" w:styleId="Default">
    <w:name w:val="Default"/>
    <w:uiPriority w:val="99"/>
    <w:rsid w:val="00EB6EBC"/>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customStyle="1" w:styleId="af7">
    <w:name w:val="Название таблицы"/>
    <w:basedOn w:val="a"/>
    <w:autoRedefine/>
    <w:uiPriority w:val="99"/>
    <w:qFormat/>
    <w:rsid w:val="00EB6EBC"/>
    <w:pPr>
      <w:spacing w:after="240" w:line="360" w:lineRule="auto"/>
      <w:ind w:firstLine="567"/>
      <w:jc w:val="both"/>
    </w:pPr>
    <w:rPr>
      <w:rFonts w:ascii="Times New Roman" w:eastAsia="Times New Roman" w:hAnsi="Times New Roman" w:cs="Times New Roman"/>
      <w:color w:val="auto"/>
      <w:sz w:val="28"/>
      <w:szCs w:val="28"/>
      <w:lang w:val="uk-UA"/>
    </w:rPr>
  </w:style>
  <w:style w:type="character" w:customStyle="1" w:styleId="apple-converted-space">
    <w:name w:val="apple-converted-space"/>
    <w:basedOn w:val="a0"/>
    <w:uiPriority w:val="99"/>
    <w:rsid w:val="00EB6EBC"/>
  </w:style>
  <w:style w:type="paragraph" w:customStyle="1" w:styleId="rtejustify">
    <w:name w:val="rtejustify"/>
    <w:basedOn w:val="a"/>
    <w:uiPriority w:val="99"/>
    <w:rsid w:val="00EB6EBC"/>
    <w:pPr>
      <w:spacing w:before="100" w:beforeAutospacing="1" w:after="100" w:afterAutospacing="1"/>
    </w:pPr>
    <w:rPr>
      <w:rFonts w:ascii="Times New Roman" w:eastAsia="Times New Roman" w:hAnsi="Times New Roman" w:cs="Times New Roman"/>
      <w:color w:val="auto"/>
      <w:lang w:val="uk-UA" w:eastAsia="uk-UA"/>
    </w:rPr>
  </w:style>
  <w:style w:type="character" w:customStyle="1" w:styleId="highlight">
    <w:name w:val="highlight"/>
    <w:basedOn w:val="a0"/>
    <w:rsid w:val="00EB6EBC"/>
  </w:style>
  <w:style w:type="paragraph" w:customStyle="1" w:styleId="p">
    <w:name w:val="p"/>
    <w:basedOn w:val="a"/>
    <w:uiPriority w:val="99"/>
    <w:rsid w:val="00EB6EBC"/>
    <w:pPr>
      <w:spacing w:before="100" w:beforeAutospacing="1" w:after="100" w:afterAutospacing="1"/>
    </w:pPr>
    <w:rPr>
      <w:rFonts w:ascii="Times New Roman" w:eastAsia="Times New Roman" w:hAnsi="Times New Roman" w:cs="Times New Roman"/>
      <w:color w:val="auto"/>
      <w:lang w:val="uk-UA" w:eastAsia="uk-UA"/>
    </w:rPr>
  </w:style>
  <w:style w:type="character" w:customStyle="1" w:styleId="af8">
    <w:name w:val="Текст примечания Знак"/>
    <w:link w:val="af9"/>
    <w:uiPriority w:val="99"/>
    <w:semiHidden/>
    <w:locked/>
    <w:rsid w:val="00EB6EBC"/>
    <w:rPr>
      <w:rFonts w:eastAsia="Times New Roman"/>
      <w:sz w:val="20"/>
      <w:szCs w:val="20"/>
      <w:lang w:val="uk-UA" w:eastAsia="uk-UA"/>
    </w:rPr>
  </w:style>
  <w:style w:type="paragraph" w:styleId="af9">
    <w:name w:val="annotation text"/>
    <w:basedOn w:val="a"/>
    <w:link w:val="af8"/>
    <w:uiPriority w:val="99"/>
    <w:semiHidden/>
    <w:rsid w:val="00EB6EBC"/>
    <w:pPr>
      <w:spacing w:after="200"/>
    </w:pPr>
    <w:rPr>
      <w:rFonts w:asciiTheme="minorHAnsi" w:eastAsia="Times New Roman" w:hAnsiTheme="minorHAnsi" w:cstheme="minorBidi"/>
      <w:color w:val="auto"/>
      <w:sz w:val="20"/>
      <w:szCs w:val="20"/>
      <w:lang w:val="uk-UA" w:eastAsia="uk-UA"/>
    </w:rPr>
  </w:style>
  <w:style w:type="character" w:customStyle="1" w:styleId="12">
    <w:name w:val="Текст примечания Знак1"/>
    <w:basedOn w:val="a0"/>
    <w:uiPriority w:val="99"/>
    <w:semiHidden/>
    <w:rsid w:val="00EB6EBC"/>
    <w:rPr>
      <w:rFonts w:ascii="Arial Unicode MS" w:eastAsia="Calibri" w:hAnsi="Arial Unicode MS" w:cs="Arial Unicode MS"/>
      <w:color w:val="000000"/>
      <w:sz w:val="20"/>
      <w:szCs w:val="20"/>
      <w:lang w:eastAsia="ru-RU"/>
    </w:rPr>
  </w:style>
  <w:style w:type="character" w:customStyle="1" w:styleId="CommentTextChar1">
    <w:name w:val="Comment Text Char1"/>
    <w:uiPriority w:val="99"/>
    <w:semiHidden/>
    <w:locked/>
    <w:rsid w:val="00EB6EBC"/>
    <w:rPr>
      <w:rFonts w:ascii="Arial Unicode MS" w:hAnsi="Arial Unicode MS" w:cs="Arial Unicode MS"/>
      <w:color w:val="000000"/>
      <w:sz w:val="20"/>
      <w:szCs w:val="20"/>
    </w:rPr>
  </w:style>
  <w:style w:type="character" w:customStyle="1" w:styleId="afa">
    <w:name w:val="Тема примечания Знак"/>
    <w:link w:val="afb"/>
    <w:uiPriority w:val="99"/>
    <w:semiHidden/>
    <w:locked/>
    <w:rsid w:val="00EB6EBC"/>
    <w:rPr>
      <w:rFonts w:eastAsia="Times New Roman"/>
      <w:b/>
      <w:bCs/>
      <w:sz w:val="20"/>
      <w:szCs w:val="20"/>
      <w:lang w:val="uk-UA" w:eastAsia="uk-UA"/>
    </w:rPr>
  </w:style>
  <w:style w:type="paragraph" w:styleId="afb">
    <w:name w:val="annotation subject"/>
    <w:basedOn w:val="af9"/>
    <w:next w:val="af9"/>
    <w:link w:val="afa"/>
    <w:uiPriority w:val="99"/>
    <w:semiHidden/>
    <w:rsid w:val="00EB6EBC"/>
    <w:rPr>
      <w:b/>
      <w:bCs/>
    </w:rPr>
  </w:style>
  <w:style w:type="character" w:customStyle="1" w:styleId="13">
    <w:name w:val="Тема примечания Знак1"/>
    <w:basedOn w:val="12"/>
    <w:uiPriority w:val="99"/>
    <w:semiHidden/>
    <w:rsid w:val="00EB6EBC"/>
    <w:rPr>
      <w:rFonts w:ascii="Arial Unicode MS" w:eastAsia="Calibri" w:hAnsi="Arial Unicode MS" w:cs="Arial Unicode MS"/>
      <w:b/>
      <w:bCs/>
      <w:color w:val="000000"/>
      <w:sz w:val="20"/>
      <w:szCs w:val="20"/>
      <w:lang w:eastAsia="ru-RU"/>
    </w:rPr>
  </w:style>
  <w:style w:type="character" w:customStyle="1" w:styleId="CommentSubjectChar1">
    <w:name w:val="Comment Subject Char1"/>
    <w:uiPriority w:val="99"/>
    <w:semiHidden/>
    <w:locked/>
    <w:rsid w:val="00EB6EBC"/>
    <w:rPr>
      <w:rFonts w:ascii="Arial Unicode MS" w:eastAsia="Times New Roman" w:hAnsi="Arial Unicode MS" w:cs="Arial Unicode MS"/>
      <w:b/>
      <w:bCs/>
      <w:color w:val="000000"/>
      <w:sz w:val="20"/>
      <w:szCs w:val="20"/>
      <w:lang w:val="uk-UA" w:eastAsia="uk-UA"/>
    </w:rPr>
  </w:style>
  <w:style w:type="paragraph" w:styleId="HTML">
    <w:name w:val="HTML Preformatted"/>
    <w:basedOn w:val="a"/>
    <w:link w:val="HTML0"/>
    <w:uiPriority w:val="99"/>
    <w:rsid w:val="00EB6E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nsolas" w:hAnsi="Consolas" w:cs="Consolas"/>
      <w:color w:val="auto"/>
      <w:sz w:val="20"/>
      <w:szCs w:val="20"/>
      <w:lang w:val="uk-UA" w:eastAsia="en-US"/>
    </w:rPr>
  </w:style>
  <w:style w:type="character" w:customStyle="1" w:styleId="HTML0">
    <w:name w:val="Стандартный HTML Знак"/>
    <w:basedOn w:val="a0"/>
    <w:link w:val="HTML"/>
    <w:uiPriority w:val="99"/>
    <w:rsid w:val="00EB6EBC"/>
    <w:rPr>
      <w:rFonts w:ascii="Consolas" w:eastAsia="Calibri" w:hAnsi="Consolas" w:cs="Consolas"/>
      <w:sz w:val="20"/>
      <w:szCs w:val="20"/>
      <w:lang w:val="uk-UA"/>
    </w:rPr>
  </w:style>
  <w:style w:type="character" w:customStyle="1" w:styleId="A40">
    <w:name w:val="A4"/>
    <w:rsid w:val="00EB6EBC"/>
    <w:rPr>
      <w:rFonts w:ascii="Times New Roman" w:hAnsi="Times New Roman" w:cs="Times New Roman"/>
      <w:color w:val="000000"/>
      <w:sz w:val="18"/>
      <w:szCs w:val="18"/>
    </w:rPr>
  </w:style>
  <w:style w:type="paragraph" w:customStyle="1" w:styleId="details">
    <w:name w:val="details"/>
    <w:basedOn w:val="a"/>
    <w:uiPriority w:val="99"/>
    <w:rsid w:val="00EB6EBC"/>
    <w:pPr>
      <w:spacing w:before="100" w:beforeAutospacing="1" w:after="100" w:afterAutospacing="1"/>
    </w:pPr>
    <w:rPr>
      <w:rFonts w:ascii="Times New Roman" w:eastAsia="Times New Roman" w:hAnsi="Times New Roman" w:cs="Times New Roman"/>
      <w:color w:val="auto"/>
    </w:rPr>
  </w:style>
  <w:style w:type="paragraph" w:customStyle="1" w:styleId="desc">
    <w:name w:val="desc"/>
    <w:basedOn w:val="a"/>
    <w:uiPriority w:val="99"/>
    <w:rsid w:val="00EB6EBC"/>
    <w:pPr>
      <w:spacing w:before="100" w:beforeAutospacing="1" w:after="100" w:afterAutospacing="1"/>
    </w:pPr>
    <w:rPr>
      <w:rFonts w:ascii="Times New Roman" w:eastAsia="Times New Roman" w:hAnsi="Times New Roman" w:cs="Times New Roman"/>
      <w:color w:val="auto"/>
    </w:rPr>
  </w:style>
  <w:style w:type="paragraph" w:customStyle="1" w:styleId="15">
    <w:name w:val="Название1"/>
    <w:basedOn w:val="a"/>
    <w:uiPriority w:val="99"/>
    <w:rsid w:val="00EB6EBC"/>
    <w:pPr>
      <w:spacing w:before="100" w:beforeAutospacing="1" w:after="100" w:afterAutospacing="1"/>
    </w:pPr>
    <w:rPr>
      <w:rFonts w:ascii="Times New Roman" w:eastAsia="Times New Roman" w:hAnsi="Times New Roman" w:cs="Times New Roman"/>
      <w:color w:val="auto"/>
    </w:rPr>
  </w:style>
  <w:style w:type="paragraph" w:customStyle="1" w:styleId="Pa3">
    <w:name w:val="Pa3"/>
    <w:basedOn w:val="a"/>
    <w:next w:val="a"/>
    <w:uiPriority w:val="99"/>
    <w:rsid w:val="00EB6EBC"/>
    <w:pPr>
      <w:autoSpaceDE w:val="0"/>
      <w:autoSpaceDN w:val="0"/>
      <w:adjustRightInd w:val="0"/>
      <w:spacing w:line="201" w:lineRule="atLeast"/>
    </w:pPr>
    <w:rPr>
      <w:color w:val="auto"/>
      <w:lang w:val="uk-UA" w:eastAsia="en-US"/>
    </w:rPr>
  </w:style>
  <w:style w:type="character" w:customStyle="1" w:styleId="w">
    <w:name w:val="w"/>
    <w:basedOn w:val="a0"/>
    <w:rsid w:val="00EB6EBC"/>
  </w:style>
  <w:style w:type="character" w:customStyle="1" w:styleId="grame">
    <w:name w:val="grame"/>
    <w:basedOn w:val="a0"/>
    <w:rsid w:val="00EB6EBC"/>
  </w:style>
  <w:style w:type="paragraph" w:customStyle="1" w:styleId="16">
    <w:name w:val="Знак Знак1 Знак Знак"/>
    <w:basedOn w:val="a"/>
    <w:uiPriority w:val="99"/>
    <w:rsid w:val="00EB6EBC"/>
    <w:pPr>
      <w:spacing w:after="160" w:line="240" w:lineRule="exact"/>
    </w:pPr>
    <w:rPr>
      <w:rFonts w:ascii="Verdana" w:eastAsia="Times New Roman" w:hAnsi="Verdana" w:cs="Verdana"/>
      <w:color w:val="auto"/>
      <w:sz w:val="20"/>
      <w:szCs w:val="20"/>
      <w:lang w:val="en-US" w:eastAsia="en-US"/>
    </w:rPr>
  </w:style>
  <w:style w:type="paragraph" w:customStyle="1" w:styleId="rvps12">
    <w:name w:val="rvps12"/>
    <w:basedOn w:val="a"/>
    <w:uiPriority w:val="99"/>
    <w:rsid w:val="00EB6EBC"/>
    <w:pPr>
      <w:spacing w:before="100" w:beforeAutospacing="1" w:after="100" w:afterAutospacing="1"/>
    </w:pPr>
    <w:rPr>
      <w:rFonts w:ascii="Times New Roman" w:eastAsia="Times New Roman" w:hAnsi="Times New Roman" w:cs="Times New Roman"/>
      <w:color w:val="auto"/>
    </w:rPr>
  </w:style>
  <w:style w:type="character" w:customStyle="1" w:styleId="711pt0">
    <w:name w:val="Основной текст (7) + 11 pt"/>
    <w:aliases w:val="Курсив"/>
    <w:uiPriority w:val="99"/>
    <w:rsid w:val="00EB6EBC"/>
    <w:rPr>
      <w:rFonts w:ascii="Times New Roman" w:hAnsi="Times New Roman" w:cs="Times New Roman"/>
      <w:i/>
      <w:iCs/>
      <w:spacing w:val="0"/>
      <w:sz w:val="22"/>
      <w:szCs w:val="22"/>
    </w:rPr>
  </w:style>
  <w:style w:type="character" w:customStyle="1" w:styleId="33FranklinGothicHeavy">
    <w:name w:val="Основной текст (33) + Franklin Gothic Heavy"/>
    <w:aliases w:val="10 pt,Курсив5"/>
    <w:uiPriority w:val="99"/>
    <w:rsid w:val="00EB6EBC"/>
    <w:rPr>
      <w:rFonts w:ascii="Franklin Gothic Heavy" w:hAnsi="Franklin Gothic Heavy" w:cs="Franklin Gothic Heavy"/>
      <w:i/>
      <w:iCs/>
      <w:spacing w:val="0"/>
      <w:sz w:val="20"/>
      <w:szCs w:val="20"/>
      <w:shd w:val="clear" w:color="auto" w:fill="FFFFFF"/>
    </w:rPr>
  </w:style>
  <w:style w:type="character" w:customStyle="1" w:styleId="11pt">
    <w:name w:val="Основной текст + 11 pt"/>
    <w:aliases w:val="Малые прописные"/>
    <w:uiPriority w:val="99"/>
    <w:rsid w:val="00EB6EBC"/>
    <w:rPr>
      <w:rFonts w:ascii="Times New Roman" w:hAnsi="Times New Roman" w:cs="Times New Roman"/>
      <w:smallCaps/>
      <w:spacing w:val="0"/>
      <w:sz w:val="22"/>
      <w:szCs w:val="22"/>
    </w:rPr>
  </w:style>
  <w:style w:type="character" w:customStyle="1" w:styleId="11pt2">
    <w:name w:val="Основной текст + 11 pt2"/>
    <w:aliases w:val="Малые прописные2"/>
    <w:uiPriority w:val="99"/>
    <w:rsid w:val="00EB6EBC"/>
    <w:rPr>
      <w:rFonts w:ascii="Times New Roman" w:hAnsi="Times New Roman" w:cs="Times New Roman"/>
      <w:smallCaps/>
      <w:spacing w:val="0"/>
      <w:sz w:val="22"/>
      <w:szCs w:val="22"/>
    </w:rPr>
  </w:style>
  <w:style w:type="character" w:customStyle="1" w:styleId="11pt1">
    <w:name w:val="Основной текст + 11 pt1"/>
    <w:aliases w:val="Малые прописные1"/>
    <w:uiPriority w:val="99"/>
    <w:rsid w:val="00EB6EBC"/>
    <w:rPr>
      <w:rFonts w:ascii="Times New Roman" w:hAnsi="Times New Roman" w:cs="Times New Roman"/>
      <w:smallCaps/>
      <w:spacing w:val="0"/>
      <w:sz w:val="22"/>
      <w:szCs w:val="22"/>
    </w:rPr>
  </w:style>
  <w:style w:type="character" w:customStyle="1" w:styleId="23TimesNewRoman">
    <w:name w:val="Основной текст (23) + Times New Roman"/>
    <w:aliases w:val="10 pt1,Курсив4"/>
    <w:rsid w:val="00EB6EBC"/>
    <w:rPr>
      <w:rFonts w:ascii="Times New Roman" w:hAnsi="Times New Roman" w:cs="Times New Roman"/>
      <w:i/>
      <w:iCs/>
      <w:sz w:val="20"/>
      <w:szCs w:val="20"/>
      <w:shd w:val="clear" w:color="auto" w:fill="FFFFFF"/>
    </w:rPr>
  </w:style>
  <w:style w:type="character" w:customStyle="1" w:styleId="120">
    <w:name w:val="Основной текст (12)_"/>
    <w:link w:val="121"/>
    <w:locked/>
    <w:rsid w:val="00EB6EBC"/>
    <w:rPr>
      <w:rFonts w:ascii="Arial" w:hAnsi="Arial" w:cs="Arial"/>
      <w:sz w:val="8"/>
      <w:szCs w:val="8"/>
      <w:shd w:val="clear" w:color="auto" w:fill="FFFFFF"/>
    </w:rPr>
  </w:style>
  <w:style w:type="paragraph" w:customStyle="1" w:styleId="121">
    <w:name w:val="Основной текст (12)"/>
    <w:basedOn w:val="a"/>
    <w:link w:val="12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40">
    <w:name w:val="Основной текст (14)_"/>
    <w:link w:val="141"/>
    <w:locked/>
    <w:rsid w:val="00EB6EBC"/>
    <w:rPr>
      <w:rFonts w:ascii="Arial" w:hAnsi="Arial" w:cs="Arial"/>
      <w:sz w:val="8"/>
      <w:szCs w:val="8"/>
      <w:shd w:val="clear" w:color="auto" w:fill="FFFFFF"/>
    </w:rPr>
  </w:style>
  <w:style w:type="paragraph" w:customStyle="1" w:styleId="141">
    <w:name w:val="Основной текст (14)"/>
    <w:basedOn w:val="a"/>
    <w:link w:val="14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8">
    <w:name w:val="Основной текст (8)_"/>
    <w:link w:val="80"/>
    <w:locked/>
    <w:rsid w:val="00EB6EBC"/>
    <w:rPr>
      <w:rFonts w:ascii="Arial" w:hAnsi="Arial" w:cs="Arial"/>
      <w:sz w:val="8"/>
      <w:szCs w:val="8"/>
      <w:shd w:val="clear" w:color="auto" w:fill="FFFFFF"/>
    </w:rPr>
  </w:style>
  <w:style w:type="paragraph" w:customStyle="1" w:styleId="80">
    <w:name w:val="Основной текст (8)"/>
    <w:basedOn w:val="a"/>
    <w:link w:val="8"/>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00">
    <w:name w:val="Основной текст (10)_"/>
    <w:link w:val="101"/>
    <w:locked/>
    <w:rsid w:val="00EB6EBC"/>
    <w:rPr>
      <w:rFonts w:ascii="Arial" w:hAnsi="Arial" w:cs="Arial"/>
      <w:sz w:val="8"/>
      <w:szCs w:val="8"/>
      <w:shd w:val="clear" w:color="auto" w:fill="FFFFFF"/>
    </w:rPr>
  </w:style>
  <w:style w:type="paragraph" w:customStyle="1" w:styleId="101">
    <w:name w:val="Основной текст (10)"/>
    <w:basedOn w:val="a"/>
    <w:link w:val="10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60">
    <w:name w:val="Основной текст (16)_"/>
    <w:link w:val="161"/>
    <w:locked/>
    <w:rsid w:val="00EB6EBC"/>
    <w:rPr>
      <w:rFonts w:ascii="Arial" w:hAnsi="Arial" w:cs="Arial"/>
      <w:sz w:val="8"/>
      <w:szCs w:val="8"/>
      <w:shd w:val="clear" w:color="auto" w:fill="FFFFFF"/>
    </w:rPr>
  </w:style>
  <w:style w:type="paragraph" w:customStyle="1" w:styleId="161">
    <w:name w:val="Основной текст (16)"/>
    <w:basedOn w:val="a"/>
    <w:link w:val="16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200">
    <w:name w:val="Основной текст (20)_"/>
    <w:link w:val="201"/>
    <w:locked/>
    <w:rsid w:val="00EB6EBC"/>
    <w:rPr>
      <w:rFonts w:ascii="Arial" w:hAnsi="Arial" w:cs="Arial"/>
      <w:sz w:val="8"/>
      <w:szCs w:val="8"/>
      <w:shd w:val="clear" w:color="auto" w:fill="FFFFFF"/>
    </w:rPr>
  </w:style>
  <w:style w:type="paragraph" w:customStyle="1" w:styleId="201">
    <w:name w:val="Основной текст (20)"/>
    <w:basedOn w:val="a"/>
    <w:link w:val="20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9">
    <w:name w:val="Основной текст (9)_"/>
    <w:link w:val="90"/>
    <w:locked/>
    <w:rsid w:val="00EB6EBC"/>
    <w:rPr>
      <w:rFonts w:ascii="Arial" w:hAnsi="Arial" w:cs="Arial"/>
      <w:sz w:val="8"/>
      <w:szCs w:val="8"/>
      <w:shd w:val="clear" w:color="auto" w:fill="FFFFFF"/>
    </w:rPr>
  </w:style>
  <w:style w:type="paragraph" w:customStyle="1" w:styleId="90">
    <w:name w:val="Основной текст (9)"/>
    <w:basedOn w:val="a"/>
    <w:link w:val="9"/>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11">
    <w:name w:val="Основной текст (11)_"/>
    <w:link w:val="112"/>
    <w:locked/>
    <w:rsid w:val="00EB6EBC"/>
    <w:rPr>
      <w:rFonts w:ascii="Arial" w:hAnsi="Arial" w:cs="Arial"/>
      <w:sz w:val="8"/>
      <w:szCs w:val="8"/>
      <w:shd w:val="clear" w:color="auto" w:fill="FFFFFF"/>
    </w:rPr>
  </w:style>
  <w:style w:type="paragraph" w:customStyle="1" w:styleId="112">
    <w:name w:val="Основной текст (11)"/>
    <w:basedOn w:val="a"/>
    <w:link w:val="111"/>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30">
    <w:name w:val="Основной текст (13)_"/>
    <w:link w:val="131"/>
    <w:locked/>
    <w:rsid w:val="00EB6EBC"/>
    <w:rPr>
      <w:rFonts w:ascii="Arial" w:hAnsi="Arial" w:cs="Arial"/>
      <w:sz w:val="8"/>
      <w:szCs w:val="8"/>
      <w:shd w:val="clear" w:color="auto" w:fill="FFFFFF"/>
    </w:rPr>
  </w:style>
  <w:style w:type="paragraph" w:customStyle="1" w:styleId="131">
    <w:name w:val="Основной текст (13)"/>
    <w:basedOn w:val="a"/>
    <w:link w:val="13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18">
    <w:name w:val="Основной текст (18)_"/>
    <w:link w:val="180"/>
    <w:locked/>
    <w:rsid w:val="00EB6EBC"/>
    <w:rPr>
      <w:rFonts w:ascii="Arial" w:hAnsi="Arial" w:cs="Arial"/>
      <w:sz w:val="8"/>
      <w:szCs w:val="8"/>
      <w:shd w:val="clear" w:color="auto" w:fill="FFFFFF"/>
    </w:rPr>
  </w:style>
  <w:style w:type="paragraph" w:customStyle="1" w:styleId="180">
    <w:name w:val="Основной текст (18)"/>
    <w:basedOn w:val="a"/>
    <w:link w:val="18"/>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211">
    <w:name w:val="Основной текст (21)_"/>
    <w:link w:val="212"/>
    <w:locked/>
    <w:rsid w:val="00EB6EBC"/>
    <w:rPr>
      <w:rFonts w:ascii="Arial" w:hAnsi="Arial" w:cs="Arial"/>
      <w:sz w:val="20"/>
      <w:szCs w:val="20"/>
      <w:shd w:val="clear" w:color="auto" w:fill="FFFFFF"/>
    </w:rPr>
  </w:style>
  <w:style w:type="paragraph" w:customStyle="1" w:styleId="212">
    <w:name w:val="Основной текст (21)"/>
    <w:basedOn w:val="a"/>
    <w:link w:val="211"/>
    <w:rsid w:val="00EB6EBC"/>
    <w:pPr>
      <w:shd w:val="clear" w:color="auto" w:fill="FFFFFF"/>
      <w:spacing w:line="240" w:lineRule="atLeast"/>
    </w:pPr>
    <w:rPr>
      <w:rFonts w:ascii="Arial" w:eastAsiaTheme="minorHAnsi" w:hAnsi="Arial" w:cs="Arial"/>
      <w:color w:val="auto"/>
      <w:sz w:val="20"/>
      <w:szCs w:val="20"/>
      <w:lang w:eastAsia="en-US"/>
    </w:rPr>
  </w:style>
  <w:style w:type="character" w:customStyle="1" w:styleId="17">
    <w:name w:val="Основной текст (17)_"/>
    <w:link w:val="170"/>
    <w:locked/>
    <w:rsid w:val="00EB6EBC"/>
    <w:rPr>
      <w:rFonts w:ascii="Times New Roman" w:hAnsi="Times New Roman" w:cs="Times New Roman"/>
      <w:sz w:val="8"/>
      <w:szCs w:val="8"/>
      <w:shd w:val="clear" w:color="auto" w:fill="FFFFFF"/>
    </w:rPr>
  </w:style>
  <w:style w:type="paragraph" w:customStyle="1" w:styleId="170">
    <w:name w:val="Основной текст (17)"/>
    <w:basedOn w:val="a"/>
    <w:link w:val="17"/>
    <w:rsid w:val="00EB6EBC"/>
    <w:pPr>
      <w:shd w:val="clear" w:color="auto" w:fill="FFFFFF"/>
      <w:spacing w:line="240" w:lineRule="atLeast"/>
    </w:pPr>
    <w:rPr>
      <w:rFonts w:ascii="Times New Roman" w:eastAsiaTheme="minorHAnsi" w:hAnsi="Times New Roman" w:cs="Times New Roman"/>
      <w:color w:val="auto"/>
      <w:sz w:val="8"/>
      <w:szCs w:val="8"/>
      <w:lang w:eastAsia="en-US"/>
    </w:rPr>
  </w:style>
  <w:style w:type="character" w:customStyle="1" w:styleId="150">
    <w:name w:val="Основной текст (15)_"/>
    <w:link w:val="151"/>
    <w:locked/>
    <w:rsid w:val="00EB6EBC"/>
    <w:rPr>
      <w:rFonts w:ascii="Arial" w:hAnsi="Arial" w:cs="Arial"/>
      <w:sz w:val="20"/>
      <w:szCs w:val="20"/>
      <w:shd w:val="clear" w:color="auto" w:fill="FFFFFF"/>
    </w:rPr>
  </w:style>
  <w:style w:type="paragraph" w:customStyle="1" w:styleId="151">
    <w:name w:val="Основной текст (15)"/>
    <w:basedOn w:val="a"/>
    <w:link w:val="150"/>
    <w:rsid w:val="00EB6EBC"/>
    <w:pPr>
      <w:shd w:val="clear" w:color="auto" w:fill="FFFFFF"/>
      <w:spacing w:line="240" w:lineRule="atLeast"/>
    </w:pPr>
    <w:rPr>
      <w:rFonts w:ascii="Arial" w:eastAsiaTheme="minorHAnsi" w:hAnsi="Arial" w:cs="Arial"/>
      <w:color w:val="auto"/>
      <w:sz w:val="20"/>
      <w:szCs w:val="20"/>
      <w:lang w:eastAsia="en-US"/>
    </w:rPr>
  </w:style>
  <w:style w:type="character" w:customStyle="1" w:styleId="19">
    <w:name w:val="Основной текст (19)_"/>
    <w:link w:val="190"/>
    <w:locked/>
    <w:rsid w:val="00EB6EBC"/>
    <w:rPr>
      <w:rFonts w:ascii="Arial" w:hAnsi="Arial" w:cs="Arial"/>
      <w:sz w:val="20"/>
      <w:szCs w:val="20"/>
      <w:shd w:val="clear" w:color="auto" w:fill="FFFFFF"/>
    </w:rPr>
  </w:style>
  <w:style w:type="paragraph" w:customStyle="1" w:styleId="190">
    <w:name w:val="Основной текст (19)"/>
    <w:basedOn w:val="a"/>
    <w:link w:val="19"/>
    <w:rsid w:val="00EB6EBC"/>
    <w:pPr>
      <w:shd w:val="clear" w:color="auto" w:fill="FFFFFF"/>
      <w:spacing w:line="240" w:lineRule="atLeast"/>
    </w:pPr>
    <w:rPr>
      <w:rFonts w:ascii="Arial" w:eastAsiaTheme="minorHAnsi" w:hAnsi="Arial" w:cs="Arial"/>
      <w:color w:val="auto"/>
      <w:sz w:val="20"/>
      <w:szCs w:val="20"/>
      <w:lang w:eastAsia="en-US"/>
    </w:rPr>
  </w:style>
  <w:style w:type="character" w:customStyle="1" w:styleId="221">
    <w:name w:val="Основной текст (22)_"/>
    <w:link w:val="222"/>
    <w:locked/>
    <w:rsid w:val="00EB6EBC"/>
    <w:rPr>
      <w:rFonts w:ascii="Times New Roman" w:hAnsi="Times New Roman" w:cs="Times New Roman"/>
      <w:sz w:val="8"/>
      <w:szCs w:val="8"/>
      <w:shd w:val="clear" w:color="auto" w:fill="FFFFFF"/>
    </w:rPr>
  </w:style>
  <w:style w:type="paragraph" w:customStyle="1" w:styleId="222">
    <w:name w:val="Основной текст (22)"/>
    <w:basedOn w:val="a"/>
    <w:link w:val="221"/>
    <w:rsid w:val="00EB6EBC"/>
    <w:pPr>
      <w:shd w:val="clear" w:color="auto" w:fill="FFFFFF"/>
      <w:spacing w:line="240" w:lineRule="atLeast"/>
    </w:pPr>
    <w:rPr>
      <w:rFonts w:ascii="Times New Roman" w:eastAsiaTheme="minorHAnsi" w:hAnsi="Times New Roman" w:cs="Times New Roman"/>
      <w:color w:val="auto"/>
      <w:sz w:val="8"/>
      <w:szCs w:val="8"/>
      <w:lang w:eastAsia="en-US"/>
    </w:rPr>
  </w:style>
  <w:style w:type="character" w:customStyle="1" w:styleId="27">
    <w:name w:val="Подпись к таблице (2)_"/>
    <w:link w:val="28"/>
    <w:locked/>
    <w:rsid w:val="00EB6EBC"/>
    <w:rPr>
      <w:rFonts w:ascii="Times New Roman" w:hAnsi="Times New Roman" w:cs="Times New Roman"/>
      <w:sz w:val="15"/>
      <w:szCs w:val="15"/>
      <w:shd w:val="clear" w:color="auto" w:fill="FFFFFF"/>
    </w:rPr>
  </w:style>
  <w:style w:type="paragraph" w:customStyle="1" w:styleId="28">
    <w:name w:val="Подпись к таблице (2)"/>
    <w:basedOn w:val="a"/>
    <w:link w:val="27"/>
    <w:rsid w:val="00EB6EBC"/>
    <w:pPr>
      <w:shd w:val="clear" w:color="auto" w:fill="FFFFFF"/>
      <w:spacing w:line="182" w:lineRule="exact"/>
    </w:pPr>
    <w:rPr>
      <w:rFonts w:ascii="Times New Roman" w:eastAsiaTheme="minorHAnsi" w:hAnsi="Times New Roman" w:cs="Times New Roman"/>
      <w:color w:val="auto"/>
      <w:sz w:val="15"/>
      <w:szCs w:val="15"/>
      <w:lang w:eastAsia="en-US"/>
    </w:rPr>
  </w:style>
  <w:style w:type="character" w:customStyle="1" w:styleId="2Arial">
    <w:name w:val="Подпись к таблице (2) + Arial"/>
    <w:aliases w:val="7 pt"/>
    <w:uiPriority w:val="99"/>
    <w:rsid w:val="00EB6EBC"/>
    <w:rPr>
      <w:rFonts w:ascii="Arial" w:hAnsi="Arial" w:cs="Arial"/>
      <w:sz w:val="14"/>
      <w:szCs w:val="14"/>
      <w:shd w:val="clear" w:color="auto" w:fill="FFFFFF"/>
    </w:rPr>
  </w:style>
  <w:style w:type="character" w:customStyle="1" w:styleId="3TimesNewRoman">
    <w:name w:val="Подпись к таблице (3) + Times New Roman"/>
    <w:aliases w:val="7,5 pt"/>
    <w:uiPriority w:val="99"/>
    <w:rsid w:val="00EB6EBC"/>
    <w:rPr>
      <w:rFonts w:ascii="Times New Roman" w:hAnsi="Times New Roman" w:cs="Times New Roman"/>
      <w:sz w:val="15"/>
      <w:szCs w:val="15"/>
      <w:shd w:val="clear" w:color="auto" w:fill="FFFFFF"/>
    </w:rPr>
  </w:style>
  <w:style w:type="character" w:customStyle="1" w:styleId="42">
    <w:name w:val="Заголовок №4 (2)_"/>
    <w:link w:val="420"/>
    <w:locked/>
    <w:rsid w:val="00EB6EBC"/>
    <w:rPr>
      <w:rFonts w:ascii="Arial" w:hAnsi="Arial" w:cs="Arial"/>
      <w:spacing w:val="-10"/>
      <w:sz w:val="21"/>
      <w:szCs w:val="21"/>
      <w:shd w:val="clear" w:color="auto" w:fill="FFFFFF"/>
    </w:rPr>
  </w:style>
  <w:style w:type="paragraph" w:customStyle="1" w:styleId="420">
    <w:name w:val="Заголовок №4 (2)"/>
    <w:basedOn w:val="a"/>
    <w:link w:val="42"/>
    <w:rsid w:val="00EB6EBC"/>
    <w:pPr>
      <w:shd w:val="clear" w:color="auto" w:fill="FFFFFF"/>
      <w:spacing w:before="180" w:line="226" w:lineRule="exact"/>
      <w:ind w:firstLine="300"/>
      <w:jc w:val="both"/>
      <w:outlineLvl w:val="3"/>
    </w:pPr>
    <w:rPr>
      <w:rFonts w:ascii="Arial" w:eastAsiaTheme="minorHAnsi" w:hAnsi="Arial" w:cs="Arial"/>
      <w:color w:val="auto"/>
      <w:spacing w:val="-10"/>
      <w:sz w:val="21"/>
      <w:szCs w:val="21"/>
      <w:lang w:eastAsia="en-US"/>
    </w:rPr>
  </w:style>
  <w:style w:type="character" w:customStyle="1" w:styleId="231">
    <w:name w:val="Основной текст (23) + Курсив"/>
    <w:aliases w:val="Интервал 0 pt"/>
    <w:rsid w:val="00EB6EBC"/>
    <w:rPr>
      <w:rFonts w:ascii="Arial" w:hAnsi="Arial" w:cs="Arial"/>
      <w:i/>
      <w:iCs/>
      <w:spacing w:val="-10"/>
      <w:sz w:val="17"/>
      <w:szCs w:val="17"/>
      <w:shd w:val="clear" w:color="auto" w:fill="FFFFFF"/>
    </w:rPr>
  </w:style>
  <w:style w:type="character" w:customStyle="1" w:styleId="102">
    <w:name w:val="Основной текст + 10"/>
    <w:aliases w:val="5 pt6,Курсив3"/>
    <w:rsid w:val="00EB6EBC"/>
    <w:rPr>
      <w:rFonts w:ascii="Times New Roman" w:hAnsi="Times New Roman" w:cs="Times New Roman"/>
      <w:i/>
      <w:iCs/>
      <w:sz w:val="21"/>
      <w:szCs w:val="21"/>
      <w:shd w:val="clear" w:color="auto" w:fill="FFFFFF"/>
    </w:rPr>
  </w:style>
  <w:style w:type="paragraph" w:customStyle="1" w:styleId="29">
    <w:name w:val="Основной текст (2)"/>
    <w:basedOn w:val="a"/>
    <w:uiPriority w:val="99"/>
    <w:rsid w:val="00EB6EBC"/>
    <w:pPr>
      <w:shd w:val="clear" w:color="auto" w:fill="FFFFFF"/>
      <w:spacing w:line="211" w:lineRule="exact"/>
      <w:ind w:hanging="320"/>
      <w:jc w:val="both"/>
    </w:pPr>
    <w:rPr>
      <w:rFonts w:ascii="Times New Roman" w:eastAsia="Times New Roman" w:hAnsi="Times New Roman" w:cs="Times New Roman"/>
      <w:color w:val="auto"/>
      <w:sz w:val="17"/>
      <w:szCs w:val="17"/>
      <w:lang w:eastAsia="en-US"/>
    </w:rPr>
  </w:style>
  <w:style w:type="paragraph" w:customStyle="1" w:styleId="41">
    <w:name w:val="Основной текст4"/>
    <w:basedOn w:val="a"/>
    <w:uiPriority w:val="99"/>
    <w:rsid w:val="00EB6EBC"/>
    <w:pPr>
      <w:shd w:val="clear" w:color="auto" w:fill="FFFFFF"/>
      <w:spacing w:line="216" w:lineRule="exact"/>
      <w:ind w:hanging="300"/>
      <w:jc w:val="both"/>
    </w:pPr>
    <w:rPr>
      <w:rFonts w:ascii="Times New Roman" w:eastAsia="Times New Roman" w:hAnsi="Times New Roman" w:cs="Times New Roman"/>
      <w:color w:val="auto"/>
      <w:sz w:val="20"/>
      <w:szCs w:val="20"/>
      <w:lang w:eastAsia="en-US"/>
    </w:rPr>
  </w:style>
  <w:style w:type="character" w:customStyle="1" w:styleId="1a">
    <w:name w:val="Заголовок №1_"/>
    <w:link w:val="1b"/>
    <w:locked/>
    <w:rsid w:val="00EB6EBC"/>
    <w:rPr>
      <w:rFonts w:ascii="Times New Roman" w:hAnsi="Times New Roman" w:cs="Times New Roman"/>
      <w:sz w:val="27"/>
      <w:szCs w:val="27"/>
      <w:shd w:val="clear" w:color="auto" w:fill="FFFFFF"/>
    </w:rPr>
  </w:style>
  <w:style w:type="paragraph" w:customStyle="1" w:styleId="1b">
    <w:name w:val="Заголовок №1"/>
    <w:basedOn w:val="a"/>
    <w:link w:val="1a"/>
    <w:rsid w:val="00EB6EBC"/>
    <w:pPr>
      <w:shd w:val="clear" w:color="auto" w:fill="FFFFFF"/>
      <w:spacing w:line="336" w:lineRule="exact"/>
      <w:jc w:val="center"/>
      <w:outlineLvl w:val="0"/>
    </w:pPr>
    <w:rPr>
      <w:rFonts w:ascii="Times New Roman" w:eastAsiaTheme="minorHAnsi" w:hAnsi="Times New Roman" w:cs="Times New Roman"/>
      <w:color w:val="auto"/>
      <w:sz w:val="27"/>
      <w:szCs w:val="27"/>
      <w:lang w:eastAsia="en-US"/>
    </w:rPr>
  </w:style>
  <w:style w:type="character" w:customStyle="1" w:styleId="5">
    <w:name w:val="Заголовок №5_"/>
    <w:link w:val="50"/>
    <w:locked/>
    <w:rsid w:val="00EB6EBC"/>
    <w:rPr>
      <w:rFonts w:ascii="Arial" w:hAnsi="Arial" w:cs="Arial"/>
      <w:sz w:val="19"/>
      <w:szCs w:val="19"/>
      <w:shd w:val="clear" w:color="auto" w:fill="FFFFFF"/>
    </w:rPr>
  </w:style>
  <w:style w:type="paragraph" w:customStyle="1" w:styleId="50">
    <w:name w:val="Заголовок №5"/>
    <w:basedOn w:val="a"/>
    <w:link w:val="5"/>
    <w:rsid w:val="00EB6EBC"/>
    <w:pPr>
      <w:shd w:val="clear" w:color="auto" w:fill="FFFFFF"/>
      <w:spacing w:before="120" w:line="235" w:lineRule="exact"/>
      <w:outlineLvl w:val="4"/>
    </w:pPr>
    <w:rPr>
      <w:rFonts w:ascii="Arial" w:eastAsiaTheme="minorHAnsi" w:hAnsi="Arial" w:cs="Arial"/>
      <w:color w:val="auto"/>
      <w:sz w:val="19"/>
      <w:szCs w:val="19"/>
      <w:lang w:eastAsia="en-US"/>
    </w:rPr>
  </w:style>
  <w:style w:type="character" w:customStyle="1" w:styleId="afc">
    <w:name w:val="Подпись к таблице_"/>
    <w:link w:val="afd"/>
    <w:locked/>
    <w:rsid w:val="00EB6EBC"/>
    <w:rPr>
      <w:rFonts w:ascii="Arial" w:hAnsi="Arial" w:cs="Arial"/>
      <w:sz w:val="14"/>
      <w:szCs w:val="14"/>
      <w:shd w:val="clear" w:color="auto" w:fill="FFFFFF"/>
    </w:rPr>
  </w:style>
  <w:style w:type="paragraph" w:customStyle="1" w:styleId="afd">
    <w:name w:val="Подпись к таблице"/>
    <w:basedOn w:val="a"/>
    <w:link w:val="afc"/>
    <w:rsid w:val="00EB6EBC"/>
    <w:pPr>
      <w:shd w:val="clear" w:color="auto" w:fill="FFFFFF"/>
      <w:spacing w:after="60" w:line="240" w:lineRule="atLeast"/>
      <w:ind w:hanging="1120"/>
    </w:pPr>
    <w:rPr>
      <w:rFonts w:ascii="Arial" w:eastAsiaTheme="minorHAnsi" w:hAnsi="Arial" w:cs="Arial"/>
      <w:color w:val="auto"/>
      <w:sz w:val="14"/>
      <w:szCs w:val="14"/>
      <w:lang w:eastAsia="en-US"/>
    </w:rPr>
  </w:style>
  <w:style w:type="character" w:customStyle="1" w:styleId="8pt">
    <w:name w:val="Подпись к таблице + 8 pt"/>
    <w:aliases w:val="Курсив2"/>
    <w:rsid w:val="00EB6EBC"/>
    <w:rPr>
      <w:rFonts w:ascii="Arial" w:hAnsi="Arial" w:cs="Arial"/>
      <w:i/>
      <w:iCs/>
      <w:sz w:val="16"/>
      <w:szCs w:val="16"/>
      <w:shd w:val="clear" w:color="auto" w:fill="FFFFFF"/>
    </w:rPr>
  </w:style>
  <w:style w:type="character" w:customStyle="1" w:styleId="270">
    <w:name w:val="Основной текст (27)_"/>
    <w:link w:val="271"/>
    <w:locked/>
    <w:rsid w:val="00EB6EBC"/>
    <w:rPr>
      <w:rFonts w:ascii="Arial" w:hAnsi="Arial" w:cs="Arial"/>
      <w:sz w:val="8"/>
      <w:szCs w:val="8"/>
      <w:shd w:val="clear" w:color="auto" w:fill="FFFFFF"/>
    </w:rPr>
  </w:style>
  <w:style w:type="paragraph" w:customStyle="1" w:styleId="271">
    <w:name w:val="Основной текст (27)"/>
    <w:basedOn w:val="a"/>
    <w:link w:val="27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280">
    <w:name w:val="Основной текст (28)_"/>
    <w:link w:val="281"/>
    <w:locked/>
    <w:rsid w:val="00EB6EBC"/>
    <w:rPr>
      <w:rFonts w:ascii="Times New Roman" w:hAnsi="Times New Roman" w:cs="Times New Roman"/>
      <w:sz w:val="8"/>
      <w:szCs w:val="8"/>
      <w:shd w:val="clear" w:color="auto" w:fill="FFFFFF"/>
    </w:rPr>
  </w:style>
  <w:style w:type="paragraph" w:customStyle="1" w:styleId="281">
    <w:name w:val="Основной текст (28)"/>
    <w:basedOn w:val="a"/>
    <w:link w:val="280"/>
    <w:rsid w:val="00EB6EBC"/>
    <w:pPr>
      <w:shd w:val="clear" w:color="auto" w:fill="FFFFFF"/>
      <w:spacing w:line="240" w:lineRule="atLeast"/>
    </w:pPr>
    <w:rPr>
      <w:rFonts w:ascii="Times New Roman" w:eastAsiaTheme="minorHAnsi" w:hAnsi="Times New Roman" w:cs="Times New Roman"/>
      <w:color w:val="auto"/>
      <w:sz w:val="8"/>
      <w:szCs w:val="8"/>
      <w:lang w:eastAsia="en-US"/>
    </w:rPr>
  </w:style>
  <w:style w:type="character" w:customStyle="1" w:styleId="300">
    <w:name w:val="Основной текст (30)"/>
    <w:rsid w:val="00EB6EBC"/>
    <w:rPr>
      <w:rFonts w:ascii="Arial" w:hAnsi="Arial" w:cs="Arial"/>
      <w:sz w:val="8"/>
      <w:szCs w:val="8"/>
    </w:rPr>
  </w:style>
  <w:style w:type="character" w:customStyle="1" w:styleId="290">
    <w:name w:val="Основной текст (29)_"/>
    <w:link w:val="291"/>
    <w:locked/>
    <w:rsid w:val="00EB6EBC"/>
    <w:rPr>
      <w:rFonts w:ascii="Arial" w:hAnsi="Arial" w:cs="Arial"/>
      <w:sz w:val="8"/>
      <w:szCs w:val="8"/>
      <w:shd w:val="clear" w:color="auto" w:fill="FFFFFF"/>
    </w:rPr>
  </w:style>
  <w:style w:type="paragraph" w:customStyle="1" w:styleId="291">
    <w:name w:val="Основной текст (29)"/>
    <w:basedOn w:val="a"/>
    <w:link w:val="290"/>
    <w:rsid w:val="00EB6EBC"/>
    <w:pPr>
      <w:shd w:val="clear" w:color="auto" w:fill="FFFFFF"/>
      <w:spacing w:line="240" w:lineRule="atLeast"/>
    </w:pPr>
    <w:rPr>
      <w:rFonts w:ascii="Arial" w:eastAsiaTheme="minorHAnsi" w:hAnsi="Arial" w:cs="Arial"/>
      <w:color w:val="auto"/>
      <w:sz w:val="8"/>
      <w:szCs w:val="8"/>
      <w:lang w:eastAsia="en-US"/>
    </w:rPr>
  </w:style>
  <w:style w:type="character" w:customStyle="1" w:styleId="81">
    <w:name w:val="Подпись к таблице + 8"/>
    <w:aliases w:val="5 pt5"/>
    <w:rsid w:val="00EB6EBC"/>
    <w:rPr>
      <w:rFonts w:ascii="Arial" w:hAnsi="Arial" w:cs="Arial"/>
      <w:sz w:val="17"/>
      <w:szCs w:val="17"/>
      <w:shd w:val="clear" w:color="auto" w:fill="FFFFFF"/>
    </w:rPr>
  </w:style>
  <w:style w:type="character" w:customStyle="1" w:styleId="310">
    <w:name w:val="Основной текст (31)"/>
    <w:rsid w:val="00EB6EBC"/>
    <w:rPr>
      <w:rFonts w:ascii="Arial" w:hAnsi="Arial" w:cs="Arial"/>
      <w:sz w:val="8"/>
      <w:szCs w:val="8"/>
    </w:rPr>
  </w:style>
  <w:style w:type="character" w:customStyle="1" w:styleId="32">
    <w:name w:val="Основной текст (32)"/>
    <w:rsid w:val="00EB6EBC"/>
    <w:rPr>
      <w:rFonts w:ascii="Arial" w:hAnsi="Arial" w:cs="Arial"/>
      <w:sz w:val="8"/>
      <w:szCs w:val="8"/>
    </w:rPr>
  </w:style>
  <w:style w:type="character" w:customStyle="1" w:styleId="260">
    <w:name w:val="Основной текст (26)_"/>
    <w:link w:val="261"/>
    <w:locked/>
    <w:rsid w:val="00EB6EBC"/>
    <w:rPr>
      <w:rFonts w:ascii="Arial" w:hAnsi="Arial" w:cs="Arial"/>
      <w:sz w:val="19"/>
      <w:szCs w:val="19"/>
      <w:shd w:val="clear" w:color="auto" w:fill="FFFFFF"/>
    </w:rPr>
  </w:style>
  <w:style w:type="paragraph" w:customStyle="1" w:styleId="261">
    <w:name w:val="Основной текст (26)"/>
    <w:basedOn w:val="a"/>
    <w:link w:val="260"/>
    <w:rsid w:val="00EB6EBC"/>
    <w:pPr>
      <w:shd w:val="clear" w:color="auto" w:fill="FFFFFF"/>
      <w:spacing w:before="180" w:line="216" w:lineRule="exact"/>
      <w:jc w:val="both"/>
    </w:pPr>
    <w:rPr>
      <w:rFonts w:ascii="Arial" w:eastAsiaTheme="minorHAnsi" w:hAnsi="Arial" w:cs="Arial"/>
      <w:color w:val="auto"/>
      <w:sz w:val="19"/>
      <w:szCs w:val="19"/>
      <w:lang w:eastAsia="en-US"/>
    </w:rPr>
  </w:style>
  <w:style w:type="character" w:customStyle="1" w:styleId="232">
    <w:name w:val="Основной текст (23) + Полужирный"/>
    <w:rsid w:val="00EB6EBC"/>
    <w:rPr>
      <w:rFonts w:ascii="Arial" w:hAnsi="Arial" w:cs="Arial"/>
      <w:b/>
      <w:bCs/>
      <w:spacing w:val="0"/>
      <w:sz w:val="17"/>
      <w:szCs w:val="17"/>
      <w:shd w:val="clear" w:color="auto" w:fill="FFFFFF"/>
    </w:rPr>
  </w:style>
  <w:style w:type="character" w:customStyle="1" w:styleId="afe">
    <w:name w:val="Колонтитул_"/>
    <w:link w:val="aff"/>
    <w:locked/>
    <w:rsid w:val="00EB6EBC"/>
    <w:rPr>
      <w:rFonts w:ascii="Times New Roman" w:hAnsi="Times New Roman" w:cs="Times New Roman"/>
      <w:sz w:val="20"/>
      <w:szCs w:val="20"/>
      <w:shd w:val="clear" w:color="auto" w:fill="FFFFFF"/>
    </w:rPr>
  </w:style>
  <w:style w:type="paragraph" w:customStyle="1" w:styleId="aff">
    <w:name w:val="Колонтитул"/>
    <w:basedOn w:val="a"/>
    <w:link w:val="afe"/>
    <w:rsid w:val="00EB6EBC"/>
    <w:pPr>
      <w:shd w:val="clear" w:color="auto" w:fill="FFFFFF"/>
    </w:pPr>
    <w:rPr>
      <w:rFonts w:ascii="Times New Roman" w:eastAsiaTheme="minorHAnsi" w:hAnsi="Times New Roman" w:cs="Times New Roman"/>
      <w:color w:val="auto"/>
      <w:sz w:val="20"/>
      <w:szCs w:val="20"/>
      <w:lang w:eastAsia="en-US"/>
    </w:rPr>
  </w:style>
  <w:style w:type="character" w:customStyle="1" w:styleId="Arial">
    <w:name w:val="Колонтитул + Arial"/>
    <w:aliases w:val="9 pt,Полужирный"/>
    <w:uiPriority w:val="99"/>
    <w:rsid w:val="00EB6EBC"/>
    <w:rPr>
      <w:rFonts w:ascii="Arial" w:hAnsi="Arial" w:cs="Arial"/>
      <w:b/>
      <w:bCs/>
      <w:spacing w:val="0"/>
      <w:sz w:val="18"/>
      <w:szCs w:val="18"/>
      <w:shd w:val="clear" w:color="auto" w:fill="FFFFFF"/>
    </w:rPr>
  </w:style>
  <w:style w:type="character" w:customStyle="1" w:styleId="43">
    <w:name w:val="Подпись к таблице (4)_"/>
    <w:link w:val="44"/>
    <w:locked/>
    <w:rsid w:val="00EB6EBC"/>
    <w:rPr>
      <w:rFonts w:ascii="Arial" w:hAnsi="Arial" w:cs="Arial"/>
      <w:sz w:val="19"/>
      <w:szCs w:val="19"/>
      <w:shd w:val="clear" w:color="auto" w:fill="FFFFFF"/>
    </w:rPr>
  </w:style>
  <w:style w:type="paragraph" w:customStyle="1" w:styleId="44">
    <w:name w:val="Подпись к таблице (4)"/>
    <w:basedOn w:val="a"/>
    <w:link w:val="43"/>
    <w:rsid w:val="00EB6EBC"/>
    <w:pPr>
      <w:shd w:val="clear" w:color="auto" w:fill="FFFFFF"/>
      <w:spacing w:line="240" w:lineRule="atLeast"/>
    </w:pPr>
    <w:rPr>
      <w:rFonts w:ascii="Arial" w:eastAsiaTheme="minorHAnsi" w:hAnsi="Arial" w:cs="Arial"/>
      <w:color w:val="auto"/>
      <w:sz w:val="19"/>
      <w:szCs w:val="19"/>
      <w:lang w:eastAsia="en-US"/>
    </w:rPr>
  </w:style>
  <w:style w:type="character" w:customStyle="1" w:styleId="33">
    <w:name w:val="Основной текст (33)_"/>
    <w:link w:val="330"/>
    <w:locked/>
    <w:rsid w:val="00EB6EBC"/>
    <w:rPr>
      <w:rFonts w:ascii="Arial" w:hAnsi="Arial" w:cs="Arial"/>
      <w:sz w:val="14"/>
      <w:szCs w:val="14"/>
      <w:shd w:val="clear" w:color="auto" w:fill="FFFFFF"/>
    </w:rPr>
  </w:style>
  <w:style w:type="paragraph" w:customStyle="1" w:styleId="330">
    <w:name w:val="Основной текст (33)"/>
    <w:basedOn w:val="a"/>
    <w:link w:val="33"/>
    <w:rsid w:val="00EB6EBC"/>
    <w:pPr>
      <w:shd w:val="clear" w:color="auto" w:fill="FFFFFF"/>
      <w:spacing w:line="240" w:lineRule="atLeast"/>
      <w:ind w:hanging="280"/>
    </w:pPr>
    <w:rPr>
      <w:rFonts w:ascii="Arial" w:eastAsiaTheme="minorHAnsi" w:hAnsi="Arial" w:cs="Arial"/>
      <w:color w:val="auto"/>
      <w:sz w:val="14"/>
      <w:szCs w:val="14"/>
      <w:lang w:eastAsia="en-US"/>
    </w:rPr>
  </w:style>
  <w:style w:type="character" w:customStyle="1" w:styleId="51">
    <w:name w:val="Подпись к таблице (5)_"/>
    <w:link w:val="52"/>
    <w:locked/>
    <w:rsid w:val="00EB6EBC"/>
    <w:rPr>
      <w:rFonts w:ascii="Arial" w:hAnsi="Arial" w:cs="Arial"/>
      <w:sz w:val="13"/>
      <w:szCs w:val="13"/>
      <w:shd w:val="clear" w:color="auto" w:fill="FFFFFF"/>
    </w:rPr>
  </w:style>
  <w:style w:type="paragraph" w:customStyle="1" w:styleId="52">
    <w:name w:val="Подпись к таблице (5)"/>
    <w:basedOn w:val="a"/>
    <w:link w:val="51"/>
    <w:rsid w:val="00EB6EBC"/>
    <w:pPr>
      <w:shd w:val="clear" w:color="auto" w:fill="FFFFFF"/>
      <w:spacing w:line="197" w:lineRule="exact"/>
      <w:jc w:val="both"/>
    </w:pPr>
    <w:rPr>
      <w:rFonts w:ascii="Arial" w:eastAsiaTheme="minorHAnsi" w:hAnsi="Arial" w:cs="Arial"/>
      <w:color w:val="auto"/>
      <w:sz w:val="13"/>
      <w:szCs w:val="13"/>
      <w:lang w:eastAsia="en-US"/>
    </w:rPr>
  </w:style>
  <w:style w:type="character" w:customStyle="1" w:styleId="9pt">
    <w:name w:val="Основной текст + 9 pt"/>
    <w:uiPriority w:val="99"/>
    <w:rsid w:val="00EB6EBC"/>
    <w:rPr>
      <w:rFonts w:ascii="Times New Roman" w:hAnsi="Times New Roman" w:cs="Times New Roman"/>
      <w:spacing w:val="0"/>
      <w:sz w:val="18"/>
      <w:szCs w:val="18"/>
      <w:shd w:val="clear" w:color="auto" w:fill="FFFFFF"/>
      <w:lang w:val="en-US"/>
    </w:rPr>
  </w:style>
  <w:style w:type="table" w:styleId="aff0">
    <w:name w:val="Table Grid"/>
    <w:basedOn w:val="a1"/>
    <w:rsid w:val="00EB6EBC"/>
    <w:pPr>
      <w:spacing w:after="0" w:line="240" w:lineRule="auto"/>
    </w:pPr>
    <w:rPr>
      <w:rFonts w:ascii="Calibri" w:eastAsia="Calibri" w:hAnsi="Calibri" w:cs="Calibri"/>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50">
    <w:name w:val="Основной текст (25)_"/>
    <w:link w:val="251"/>
    <w:locked/>
    <w:rsid w:val="00EB6EBC"/>
    <w:rPr>
      <w:rFonts w:ascii="Times New Roman" w:hAnsi="Times New Roman" w:cs="Times New Roman"/>
      <w:sz w:val="19"/>
      <w:szCs w:val="19"/>
      <w:shd w:val="clear" w:color="auto" w:fill="FFFFFF"/>
    </w:rPr>
  </w:style>
  <w:style w:type="paragraph" w:customStyle="1" w:styleId="251">
    <w:name w:val="Основной текст (25)"/>
    <w:basedOn w:val="a"/>
    <w:link w:val="250"/>
    <w:rsid w:val="00EB6EBC"/>
    <w:pPr>
      <w:shd w:val="clear" w:color="auto" w:fill="FFFFFF"/>
      <w:spacing w:line="216" w:lineRule="exact"/>
      <w:ind w:hanging="280"/>
      <w:jc w:val="both"/>
    </w:pPr>
    <w:rPr>
      <w:rFonts w:ascii="Times New Roman" w:eastAsiaTheme="minorHAnsi" w:hAnsi="Times New Roman" w:cs="Times New Roman"/>
      <w:color w:val="auto"/>
      <w:sz w:val="19"/>
      <w:szCs w:val="19"/>
      <w:lang w:eastAsia="en-US"/>
    </w:rPr>
  </w:style>
  <w:style w:type="character" w:customStyle="1" w:styleId="2510pt">
    <w:name w:val="Основной текст (25) + 10 pt"/>
    <w:aliases w:val="Не полужирный4"/>
    <w:rsid w:val="00EB6EBC"/>
    <w:rPr>
      <w:rFonts w:ascii="Times New Roman" w:hAnsi="Times New Roman" w:cs="Times New Roman"/>
      <w:b/>
      <w:bCs/>
      <w:sz w:val="20"/>
      <w:szCs w:val="20"/>
      <w:shd w:val="clear" w:color="auto" w:fill="FFFFFF"/>
    </w:rPr>
  </w:style>
  <w:style w:type="character" w:customStyle="1" w:styleId="29pt3">
    <w:name w:val="Основной текст (2) + 9 pt3"/>
    <w:aliases w:val="Не полужирный3,Не курсив1"/>
    <w:uiPriority w:val="99"/>
    <w:rsid w:val="00EB6EBC"/>
    <w:rPr>
      <w:rFonts w:ascii="Century Schoolbook" w:hAnsi="Century Schoolbook" w:cs="Century Schoolbook"/>
      <w:b/>
      <w:bCs/>
      <w:i/>
      <w:iCs/>
      <w:spacing w:val="0"/>
      <w:sz w:val="18"/>
      <w:szCs w:val="18"/>
      <w:u w:val="none"/>
      <w:effect w:val="none"/>
      <w:shd w:val="clear" w:color="auto" w:fill="FFFFFF"/>
    </w:rPr>
  </w:style>
  <w:style w:type="paragraph" w:styleId="2a">
    <w:name w:val="Body Text Indent 2"/>
    <w:basedOn w:val="a"/>
    <w:link w:val="2b"/>
    <w:uiPriority w:val="99"/>
    <w:rsid w:val="00EB6EBC"/>
    <w:pPr>
      <w:spacing w:line="340" w:lineRule="exact"/>
      <w:ind w:left="1843" w:hanging="1134"/>
    </w:pPr>
    <w:rPr>
      <w:rFonts w:ascii="Courier New" w:eastAsia="MS Mincho" w:hAnsi="Courier New" w:cs="Courier New"/>
      <w:color w:val="auto"/>
      <w:spacing w:val="-20"/>
      <w:sz w:val="28"/>
      <w:szCs w:val="28"/>
    </w:rPr>
  </w:style>
  <w:style w:type="character" w:customStyle="1" w:styleId="2b">
    <w:name w:val="Основной текст с отступом 2 Знак"/>
    <w:basedOn w:val="a0"/>
    <w:link w:val="2a"/>
    <w:uiPriority w:val="99"/>
    <w:rsid w:val="00EB6EBC"/>
    <w:rPr>
      <w:rFonts w:ascii="Courier New" w:eastAsia="MS Mincho" w:hAnsi="Courier New" w:cs="Courier New"/>
      <w:spacing w:val="-20"/>
      <w:sz w:val="28"/>
      <w:szCs w:val="28"/>
      <w:lang w:eastAsia="ru-RU"/>
    </w:rPr>
  </w:style>
  <w:style w:type="paragraph" w:customStyle="1" w:styleId="7">
    <w:name w:val="Основной текст7"/>
    <w:basedOn w:val="a"/>
    <w:uiPriority w:val="99"/>
    <w:rsid w:val="00EB6EBC"/>
    <w:pPr>
      <w:shd w:val="clear" w:color="auto" w:fill="FFFFFF"/>
      <w:spacing w:before="240" w:after="240" w:line="418" w:lineRule="exact"/>
      <w:ind w:hanging="360"/>
    </w:pPr>
    <w:rPr>
      <w:rFonts w:ascii="Times New Roman" w:eastAsia="Times New Roman" w:hAnsi="Times New Roman" w:cs="Times New Roman"/>
      <w:color w:val="auto"/>
      <w:lang w:eastAsia="en-US"/>
    </w:rPr>
  </w:style>
  <w:style w:type="character" w:customStyle="1" w:styleId="2310">
    <w:name w:val="Основной текст (23) + Курсив1"/>
    <w:uiPriority w:val="99"/>
    <w:rsid w:val="00EB6EBC"/>
    <w:rPr>
      <w:rFonts w:ascii="Arial" w:hAnsi="Arial" w:cs="Arial"/>
      <w:i/>
      <w:iCs/>
      <w:spacing w:val="0"/>
      <w:sz w:val="17"/>
      <w:szCs w:val="17"/>
      <w:shd w:val="clear" w:color="auto" w:fill="FFFFFF"/>
    </w:rPr>
  </w:style>
  <w:style w:type="character" w:customStyle="1" w:styleId="29pt2">
    <w:name w:val="Основной текст (2) + 9 pt2"/>
    <w:aliases w:val="Не полужирный2"/>
    <w:uiPriority w:val="99"/>
    <w:rsid w:val="00EB6EBC"/>
    <w:rPr>
      <w:rFonts w:ascii="Century Schoolbook" w:hAnsi="Century Schoolbook" w:cs="Century Schoolbook"/>
      <w:b/>
      <w:bCs/>
      <w:spacing w:val="0"/>
      <w:sz w:val="18"/>
      <w:szCs w:val="18"/>
      <w:shd w:val="clear" w:color="auto" w:fill="FFFFFF"/>
    </w:rPr>
  </w:style>
  <w:style w:type="character" w:customStyle="1" w:styleId="162">
    <w:name w:val="Основной текст (16) + Курсив"/>
    <w:aliases w:val="Интервал 0 pt2"/>
    <w:uiPriority w:val="99"/>
    <w:rsid w:val="00EB6EBC"/>
    <w:rPr>
      <w:rFonts w:ascii="Times New Roman" w:hAnsi="Times New Roman" w:cs="Times New Roman"/>
      <w:i/>
      <w:iCs/>
      <w:spacing w:val="-10"/>
      <w:sz w:val="21"/>
      <w:szCs w:val="21"/>
    </w:rPr>
  </w:style>
  <w:style w:type="character" w:customStyle="1" w:styleId="cit">
    <w:name w:val="cit"/>
    <w:basedOn w:val="a0"/>
    <w:rsid w:val="00EB6EBC"/>
  </w:style>
  <w:style w:type="character" w:customStyle="1" w:styleId="MicrosoftSansSerif">
    <w:name w:val="Основной текст + Microsoft Sans Serif"/>
    <w:aliases w:val="6,5 pt4"/>
    <w:uiPriority w:val="99"/>
    <w:rsid w:val="00EB6EBC"/>
    <w:rPr>
      <w:rFonts w:ascii="Microsoft Sans Serif" w:hAnsi="Microsoft Sans Serif" w:cs="Microsoft Sans Serif"/>
      <w:spacing w:val="0"/>
      <w:sz w:val="13"/>
      <w:szCs w:val="13"/>
      <w:shd w:val="clear" w:color="auto" w:fill="FFFFFF"/>
    </w:rPr>
  </w:style>
  <w:style w:type="character" w:customStyle="1" w:styleId="ref-vol">
    <w:name w:val="ref-vol"/>
    <w:basedOn w:val="a0"/>
    <w:uiPriority w:val="99"/>
    <w:rsid w:val="00EB6EBC"/>
  </w:style>
  <w:style w:type="character" w:customStyle="1" w:styleId="ref-title">
    <w:name w:val="ref-title"/>
    <w:basedOn w:val="a0"/>
    <w:uiPriority w:val="99"/>
    <w:rsid w:val="00EB6EBC"/>
  </w:style>
  <w:style w:type="character" w:customStyle="1" w:styleId="45">
    <w:name w:val="Основной текст (4)_"/>
    <w:link w:val="46"/>
    <w:locked/>
    <w:rsid w:val="00EB6EBC"/>
    <w:rPr>
      <w:rFonts w:ascii="Palatino Linotype" w:hAnsi="Palatino Linotype" w:cs="Palatino Linotype"/>
      <w:sz w:val="18"/>
      <w:szCs w:val="18"/>
      <w:shd w:val="clear" w:color="auto" w:fill="FFFFFF"/>
    </w:rPr>
  </w:style>
  <w:style w:type="paragraph" w:customStyle="1" w:styleId="46">
    <w:name w:val="Основной текст (4)"/>
    <w:basedOn w:val="a"/>
    <w:link w:val="45"/>
    <w:rsid w:val="00EB6EBC"/>
    <w:pPr>
      <w:shd w:val="clear" w:color="auto" w:fill="FFFFFF"/>
      <w:spacing w:before="120" w:line="259" w:lineRule="exact"/>
      <w:jc w:val="both"/>
    </w:pPr>
    <w:rPr>
      <w:rFonts w:ascii="Palatino Linotype" w:eastAsiaTheme="minorHAnsi" w:hAnsi="Palatino Linotype" w:cs="Palatino Linotype"/>
      <w:color w:val="auto"/>
      <w:sz w:val="18"/>
      <w:szCs w:val="18"/>
      <w:lang w:eastAsia="en-US"/>
    </w:rPr>
  </w:style>
  <w:style w:type="paragraph" w:customStyle="1" w:styleId="1c">
    <w:name w:val="Обычный1"/>
    <w:basedOn w:val="a"/>
    <w:uiPriority w:val="99"/>
    <w:rsid w:val="00EB6EBC"/>
    <w:pPr>
      <w:spacing w:before="100" w:beforeAutospacing="1" w:after="100" w:afterAutospacing="1"/>
    </w:pPr>
    <w:rPr>
      <w:rFonts w:ascii="Times New Roman" w:eastAsia="Times New Roman" w:hAnsi="Times New Roman" w:cs="Times New Roman"/>
      <w:color w:val="auto"/>
    </w:rPr>
  </w:style>
  <w:style w:type="character" w:customStyle="1" w:styleId="italic">
    <w:name w:val="italic"/>
    <w:basedOn w:val="a0"/>
    <w:uiPriority w:val="99"/>
    <w:rsid w:val="00EB6EBC"/>
  </w:style>
  <w:style w:type="character" w:customStyle="1" w:styleId="2c">
    <w:name w:val="Основной текст2"/>
    <w:rsid w:val="00EB6EBC"/>
    <w:rPr>
      <w:rFonts w:ascii="Times New Roman" w:hAnsi="Times New Roman" w:cs="Times New Roman"/>
      <w:sz w:val="20"/>
      <w:szCs w:val="20"/>
      <w:shd w:val="clear" w:color="auto" w:fill="FFFFFF"/>
    </w:rPr>
  </w:style>
  <w:style w:type="character" w:customStyle="1" w:styleId="35">
    <w:name w:val="Основной текст3"/>
    <w:uiPriority w:val="99"/>
    <w:rsid w:val="00EB6EBC"/>
    <w:rPr>
      <w:rFonts w:ascii="Times New Roman" w:hAnsi="Times New Roman" w:cs="Times New Roman"/>
      <w:spacing w:val="0"/>
      <w:sz w:val="20"/>
      <w:szCs w:val="20"/>
      <w:shd w:val="clear" w:color="auto" w:fill="FFFFFF"/>
    </w:rPr>
  </w:style>
  <w:style w:type="character" w:customStyle="1" w:styleId="210pt1">
    <w:name w:val="Основной текст (2) + 10 pt1"/>
    <w:uiPriority w:val="99"/>
    <w:rsid w:val="00EB6EBC"/>
    <w:rPr>
      <w:rFonts w:ascii="Times New Roman" w:hAnsi="Times New Roman" w:cs="Times New Roman"/>
      <w:b/>
      <w:bCs/>
      <w:spacing w:val="0"/>
      <w:sz w:val="20"/>
      <w:szCs w:val="20"/>
      <w:shd w:val="clear" w:color="auto" w:fill="FFFFFF"/>
    </w:rPr>
  </w:style>
  <w:style w:type="character" w:customStyle="1" w:styleId="91">
    <w:name w:val="Основной текст + 9"/>
    <w:aliases w:val="5 pt3,Полужирный1"/>
    <w:rsid w:val="00EB6EBC"/>
    <w:rPr>
      <w:rFonts w:ascii="Times New Roman" w:hAnsi="Times New Roman" w:cs="Times New Roman"/>
      <w:b/>
      <w:bCs/>
      <w:spacing w:val="0"/>
      <w:sz w:val="19"/>
      <w:szCs w:val="19"/>
      <w:shd w:val="clear" w:color="auto" w:fill="FFFFFF"/>
    </w:rPr>
  </w:style>
  <w:style w:type="character" w:customStyle="1" w:styleId="910">
    <w:name w:val="Основной текст + 91"/>
    <w:aliases w:val="5 pt2"/>
    <w:uiPriority w:val="99"/>
    <w:rsid w:val="00EB6EBC"/>
    <w:rPr>
      <w:rFonts w:ascii="Times New Roman" w:hAnsi="Times New Roman" w:cs="Times New Roman"/>
      <w:spacing w:val="0"/>
      <w:sz w:val="19"/>
      <w:szCs w:val="19"/>
    </w:rPr>
  </w:style>
  <w:style w:type="character" w:customStyle="1" w:styleId="doi">
    <w:name w:val="doi"/>
    <w:basedOn w:val="a0"/>
    <w:rsid w:val="00EB6EBC"/>
  </w:style>
  <w:style w:type="character" w:customStyle="1" w:styleId="142">
    <w:name w:val="Основной текст (14) + Курсив"/>
    <w:uiPriority w:val="99"/>
    <w:rsid w:val="00EB6EBC"/>
    <w:rPr>
      <w:rFonts w:ascii="Book Antiqua" w:hAnsi="Book Antiqua" w:cs="Book Antiqua"/>
      <w:i/>
      <w:iCs/>
      <w:spacing w:val="0"/>
      <w:sz w:val="14"/>
      <w:szCs w:val="14"/>
    </w:rPr>
  </w:style>
  <w:style w:type="character" w:customStyle="1" w:styleId="143">
    <w:name w:val="Основной текст (14) + Полужирный"/>
    <w:uiPriority w:val="99"/>
    <w:rsid w:val="00EB6EBC"/>
    <w:rPr>
      <w:rFonts w:ascii="Book Antiqua" w:hAnsi="Book Antiqua" w:cs="Book Antiqua"/>
      <w:b/>
      <w:bCs/>
      <w:spacing w:val="0"/>
      <w:sz w:val="14"/>
      <w:szCs w:val="14"/>
    </w:rPr>
  </w:style>
  <w:style w:type="character" w:customStyle="1" w:styleId="340">
    <w:name w:val="Основной текст (34)"/>
    <w:uiPriority w:val="99"/>
    <w:rsid w:val="00EB6EBC"/>
    <w:rPr>
      <w:rFonts w:ascii="Times New Roman" w:hAnsi="Times New Roman" w:cs="Times New Roman"/>
      <w:spacing w:val="0"/>
      <w:sz w:val="20"/>
      <w:szCs w:val="20"/>
    </w:rPr>
  </w:style>
  <w:style w:type="character" w:customStyle="1" w:styleId="MicrosoftSansSerif1">
    <w:name w:val="Основной текст + Microsoft Sans Serif1"/>
    <w:aliases w:val="61,5 pt1"/>
    <w:uiPriority w:val="99"/>
    <w:rsid w:val="00EB6EBC"/>
    <w:rPr>
      <w:rFonts w:ascii="Microsoft Sans Serif" w:hAnsi="Microsoft Sans Serif" w:cs="Microsoft Sans Serif"/>
      <w:spacing w:val="0"/>
      <w:sz w:val="13"/>
      <w:szCs w:val="13"/>
      <w:shd w:val="clear" w:color="auto" w:fill="FFFFFF"/>
    </w:rPr>
  </w:style>
  <w:style w:type="character" w:customStyle="1" w:styleId="29pt1">
    <w:name w:val="Основной текст (2) + 9 pt1"/>
    <w:aliases w:val="Не полужирный1"/>
    <w:uiPriority w:val="99"/>
    <w:rsid w:val="00EB6EBC"/>
    <w:rPr>
      <w:rFonts w:ascii="Century Schoolbook" w:hAnsi="Century Schoolbook" w:cs="Century Schoolbook"/>
      <w:b/>
      <w:bCs/>
      <w:spacing w:val="0"/>
      <w:sz w:val="18"/>
      <w:szCs w:val="18"/>
      <w:shd w:val="clear" w:color="auto" w:fill="FFFFFF"/>
    </w:rPr>
  </w:style>
  <w:style w:type="character" w:customStyle="1" w:styleId="1610">
    <w:name w:val="Основной текст (16) + Курсив1"/>
    <w:aliases w:val="Интервал 0 pt1"/>
    <w:uiPriority w:val="99"/>
    <w:rsid w:val="00EB6EBC"/>
    <w:rPr>
      <w:rFonts w:ascii="Times New Roman" w:hAnsi="Times New Roman" w:cs="Times New Roman"/>
      <w:i/>
      <w:iCs/>
      <w:spacing w:val="-10"/>
      <w:sz w:val="21"/>
      <w:szCs w:val="21"/>
    </w:rPr>
  </w:style>
  <w:style w:type="character" w:customStyle="1" w:styleId="fm-citation-ids-label">
    <w:name w:val="fm-citation-ids-label"/>
    <w:basedOn w:val="a0"/>
    <w:uiPriority w:val="99"/>
    <w:rsid w:val="00EB6EBC"/>
  </w:style>
  <w:style w:type="character" w:customStyle="1" w:styleId="53">
    <w:name w:val="Основной текст5"/>
    <w:uiPriority w:val="99"/>
    <w:rsid w:val="00EB6EBC"/>
    <w:rPr>
      <w:rFonts w:ascii="Times New Roman" w:hAnsi="Times New Roman" w:cs="Times New Roman"/>
      <w:sz w:val="24"/>
      <w:szCs w:val="24"/>
      <w:shd w:val="clear" w:color="auto" w:fill="FFFFFF"/>
    </w:rPr>
  </w:style>
  <w:style w:type="character" w:customStyle="1" w:styleId="132">
    <w:name w:val="Основной текст13"/>
    <w:uiPriority w:val="99"/>
    <w:rsid w:val="00EB6EBC"/>
    <w:rPr>
      <w:spacing w:val="0"/>
      <w:sz w:val="15"/>
      <w:szCs w:val="15"/>
      <w:u w:val="single"/>
    </w:rPr>
  </w:style>
  <w:style w:type="character" w:customStyle="1" w:styleId="144">
    <w:name w:val="Основной текст14"/>
    <w:uiPriority w:val="99"/>
    <w:rsid w:val="00EB6EBC"/>
    <w:rPr>
      <w:spacing w:val="0"/>
      <w:sz w:val="15"/>
      <w:szCs w:val="15"/>
    </w:rPr>
  </w:style>
  <w:style w:type="character" w:customStyle="1" w:styleId="152">
    <w:name w:val="Основной текст15"/>
    <w:uiPriority w:val="99"/>
    <w:rsid w:val="00EB6EBC"/>
    <w:rPr>
      <w:spacing w:val="0"/>
      <w:sz w:val="15"/>
      <w:szCs w:val="15"/>
      <w:u w:val="single"/>
    </w:rPr>
  </w:style>
  <w:style w:type="character" w:customStyle="1" w:styleId="6">
    <w:name w:val="Основной текст6"/>
    <w:uiPriority w:val="99"/>
    <w:rsid w:val="00EB6EBC"/>
    <w:rPr>
      <w:rFonts w:ascii="Times New Roman" w:hAnsi="Times New Roman" w:cs="Times New Roman"/>
      <w:sz w:val="24"/>
      <w:szCs w:val="24"/>
      <w:shd w:val="clear" w:color="auto" w:fill="FFFFFF"/>
    </w:rPr>
  </w:style>
  <w:style w:type="character" w:customStyle="1" w:styleId="82">
    <w:name w:val="Основной текст8"/>
    <w:uiPriority w:val="99"/>
    <w:rsid w:val="00EB6EBC"/>
    <w:rPr>
      <w:spacing w:val="0"/>
      <w:sz w:val="15"/>
      <w:szCs w:val="15"/>
    </w:rPr>
  </w:style>
  <w:style w:type="character" w:customStyle="1" w:styleId="92">
    <w:name w:val="Основной текст9"/>
    <w:uiPriority w:val="99"/>
    <w:rsid w:val="00EB6EBC"/>
    <w:rPr>
      <w:spacing w:val="0"/>
      <w:sz w:val="15"/>
      <w:szCs w:val="15"/>
      <w:u w:val="single"/>
    </w:rPr>
  </w:style>
  <w:style w:type="character" w:customStyle="1" w:styleId="29pt0">
    <w:name w:val="Основной текст (2) + 9 pt;Не полужирный;Не курсив"/>
    <w:rsid w:val="00EB6EBC"/>
    <w:rPr>
      <w:rFonts w:ascii="Century Schoolbook" w:eastAsia="Century Schoolbook" w:hAnsi="Century Schoolbook" w:cs="Century Schoolbook"/>
      <w:b/>
      <w:bCs/>
      <w:i/>
      <w:iCs/>
      <w:smallCaps w:val="0"/>
      <w:strike w:val="0"/>
      <w:spacing w:val="0"/>
      <w:sz w:val="18"/>
      <w:szCs w:val="18"/>
      <w:shd w:val="clear" w:color="auto" w:fill="FFFFFF"/>
    </w:rPr>
  </w:style>
  <w:style w:type="character" w:customStyle="1" w:styleId="210pt0">
    <w:name w:val="Основной текст (2) + 10 pt;Курсив"/>
    <w:rsid w:val="00EB6EBC"/>
    <w:rPr>
      <w:rFonts w:ascii="Times New Roman" w:eastAsia="Times New Roman" w:hAnsi="Times New Roman" w:cs="Times New Roman"/>
      <w:b w:val="0"/>
      <w:bCs w:val="0"/>
      <w:i/>
      <w:iCs/>
      <w:smallCaps w:val="0"/>
      <w:strike w:val="0"/>
      <w:spacing w:val="0"/>
      <w:sz w:val="20"/>
      <w:szCs w:val="20"/>
    </w:rPr>
  </w:style>
  <w:style w:type="character" w:customStyle="1" w:styleId="23TimesNewRoman10pt">
    <w:name w:val="Основной текст (23) + Times New Roman;10 pt;Курсив"/>
    <w:rsid w:val="00EB6EBC"/>
    <w:rPr>
      <w:rFonts w:ascii="Times New Roman" w:eastAsia="Times New Roman" w:hAnsi="Times New Roman" w:cs="Times New Roman"/>
      <w:i/>
      <w:iCs/>
      <w:sz w:val="20"/>
      <w:szCs w:val="20"/>
      <w:shd w:val="clear" w:color="auto" w:fill="FFFFFF"/>
      <w:lang w:val="ru"/>
    </w:rPr>
  </w:style>
  <w:style w:type="character" w:customStyle="1" w:styleId="2Arial7pt">
    <w:name w:val="Подпись к таблице (2) + Arial;7 pt"/>
    <w:rsid w:val="00EB6EBC"/>
    <w:rPr>
      <w:rFonts w:ascii="Arial" w:eastAsia="Arial" w:hAnsi="Arial" w:cs="Arial"/>
      <w:sz w:val="14"/>
      <w:szCs w:val="14"/>
      <w:shd w:val="clear" w:color="auto" w:fill="FFFFFF"/>
    </w:rPr>
  </w:style>
  <w:style w:type="character" w:customStyle="1" w:styleId="230pt">
    <w:name w:val="Основной текст (23) + Курсив;Интервал 0 pt"/>
    <w:rsid w:val="00EB6EBC"/>
    <w:rPr>
      <w:rFonts w:ascii="Arial" w:eastAsia="Arial" w:hAnsi="Arial" w:cs="Arial"/>
      <w:i/>
      <w:iCs/>
      <w:spacing w:val="-10"/>
      <w:sz w:val="17"/>
      <w:szCs w:val="17"/>
      <w:shd w:val="clear" w:color="auto" w:fill="FFFFFF"/>
      <w:lang w:val="ru"/>
    </w:rPr>
  </w:style>
  <w:style w:type="character" w:customStyle="1" w:styleId="105pt">
    <w:name w:val="Основной текст + 10;5 pt;Курсив"/>
    <w:rsid w:val="00EB6EBC"/>
    <w:rPr>
      <w:rFonts w:ascii="Times New Roman" w:eastAsia="Times New Roman" w:hAnsi="Times New Roman" w:cs="Times New Roman"/>
      <w:i/>
      <w:iCs/>
      <w:sz w:val="21"/>
      <w:szCs w:val="21"/>
      <w:shd w:val="clear" w:color="auto" w:fill="FFFFFF"/>
    </w:rPr>
  </w:style>
  <w:style w:type="character" w:customStyle="1" w:styleId="8pt0">
    <w:name w:val="Подпись к таблице + 8 pt;Курсив"/>
    <w:rsid w:val="00EB6EBC"/>
    <w:rPr>
      <w:rFonts w:ascii="Arial" w:eastAsia="Arial" w:hAnsi="Arial" w:cs="Arial"/>
      <w:i/>
      <w:iCs/>
      <w:sz w:val="16"/>
      <w:szCs w:val="16"/>
      <w:shd w:val="clear" w:color="auto" w:fill="FFFFFF"/>
    </w:rPr>
  </w:style>
  <w:style w:type="character" w:customStyle="1" w:styleId="85pt">
    <w:name w:val="Подпись к таблице + 8;5 pt"/>
    <w:rsid w:val="00EB6EBC"/>
    <w:rPr>
      <w:rFonts w:ascii="Arial" w:eastAsia="Arial" w:hAnsi="Arial" w:cs="Arial"/>
      <w:sz w:val="17"/>
      <w:szCs w:val="17"/>
      <w:shd w:val="clear" w:color="auto" w:fill="FFFFFF"/>
    </w:rPr>
  </w:style>
  <w:style w:type="character" w:customStyle="1" w:styleId="Arial9pt">
    <w:name w:val="Колонтитул + Arial;9 pt;Полужирный"/>
    <w:rsid w:val="00EB6EBC"/>
    <w:rPr>
      <w:rFonts w:ascii="Arial" w:eastAsia="Arial" w:hAnsi="Arial" w:cs="Arial"/>
      <w:b/>
      <w:bCs/>
      <w:spacing w:val="0"/>
      <w:sz w:val="18"/>
      <w:szCs w:val="18"/>
      <w:shd w:val="clear" w:color="auto" w:fill="FFFFFF"/>
    </w:rPr>
  </w:style>
  <w:style w:type="character" w:customStyle="1" w:styleId="2510pt0">
    <w:name w:val="Основной текст (25) + 10 pt;Не полужирный"/>
    <w:rsid w:val="00EB6EBC"/>
    <w:rPr>
      <w:rFonts w:ascii="Times New Roman" w:eastAsia="Times New Roman" w:hAnsi="Times New Roman" w:cs="Times New Roman"/>
      <w:b/>
      <w:bCs/>
      <w:sz w:val="20"/>
      <w:szCs w:val="20"/>
      <w:shd w:val="clear" w:color="auto" w:fill="FFFFFF"/>
    </w:rPr>
  </w:style>
  <w:style w:type="character" w:customStyle="1" w:styleId="29pt4">
    <w:name w:val="Основной текст (2) + 9 pt;Не полужирный"/>
    <w:rsid w:val="00EB6EBC"/>
    <w:rPr>
      <w:rFonts w:ascii="Century Schoolbook" w:eastAsia="Century Schoolbook" w:hAnsi="Century Schoolbook" w:cs="Century Schoolbook"/>
      <w:b/>
      <w:bCs/>
      <w:i w:val="0"/>
      <w:iCs w:val="0"/>
      <w:smallCaps w:val="0"/>
      <w:strike w:val="0"/>
      <w:spacing w:val="0"/>
      <w:sz w:val="18"/>
      <w:szCs w:val="18"/>
      <w:shd w:val="clear" w:color="auto" w:fill="FFFFFF"/>
    </w:rPr>
  </w:style>
  <w:style w:type="character" w:customStyle="1" w:styleId="160pt">
    <w:name w:val="Основной текст (16) + Курсив;Интервал 0 pt"/>
    <w:rsid w:val="00EB6EBC"/>
    <w:rPr>
      <w:rFonts w:ascii="Times New Roman" w:eastAsia="Times New Roman" w:hAnsi="Times New Roman" w:cs="Times New Roman"/>
      <w:b w:val="0"/>
      <w:bCs w:val="0"/>
      <w:i/>
      <w:iCs/>
      <w:smallCaps w:val="0"/>
      <w:strike w:val="0"/>
      <w:spacing w:val="-10"/>
      <w:sz w:val="21"/>
      <w:szCs w:val="21"/>
      <w:lang w:val="ru"/>
    </w:rPr>
  </w:style>
  <w:style w:type="character" w:customStyle="1" w:styleId="MicrosoftSansSerif65pt">
    <w:name w:val="Основной текст + Microsoft Sans Serif;6;5 pt"/>
    <w:rsid w:val="00EB6EBC"/>
    <w:rPr>
      <w:rFonts w:ascii="Microsoft Sans Serif" w:eastAsia="Microsoft Sans Serif" w:hAnsi="Microsoft Sans Serif" w:cs="Microsoft Sans Serif"/>
      <w:b w:val="0"/>
      <w:bCs w:val="0"/>
      <w:i w:val="0"/>
      <w:iCs w:val="0"/>
      <w:smallCaps w:val="0"/>
      <w:strike w:val="0"/>
      <w:spacing w:val="0"/>
      <w:sz w:val="13"/>
      <w:szCs w:val="13"/>
      <w:shd w:val="clear" w:color="auto" w:fill="FFFFFF"/>
    </w:rPr>
  </w:style>
  <w:style w:type="character" w:customStyle="1" w:styleId="95pt">
    <w:name w:val="Основной текст + 9;5 pt;Полужирный"/>
    <w:rsid w:val="00EB6EBC"/>
    <w:rPr>
      <w:rFonts w:ascii="Times New Roman" w:eastAsia="Times New Roman" w:hAnsi="Times New Roman" w:cs="Times New Roman"/>
      <w:b/>
      <w:bCs/>
      <w:i w:val="0"/>
      <w:iCs w:val="0"/>
      <w:smallCaps w:val="0"/>
      <w:strike w:val="0"/>
      <w:spacing w:val="0"/>
      <w:sz w:val="19"/>
      <w:szCs w:val="19"/>
      <w:shd w:val="clear" w:color="auto" w:fill="FFFFFF"/>
    </w:rPr>
  </w:style>
  <w:style w:type="character" w:customStyle="1" w:styleId="95pt0">
    <w:name w:val="Основной текст + 9;5 pt"/>
    <w:rsid w:val="00EB6EBC"/>
    <w:rPr>
      <w:rFonts w:ascii="Times New Roman" w:eastAsia="Times New Roman" w:hAnsi="Times New Roman" w:cs="Times New Roman"/>
      <w:spacing w:val="0"/>
      <w:sz w:val="19"/>
      <w:szCs w:val="19"/>
    </w:rPr>
  </w:style>
  <w:style w:type="paragraph" w:customStyle="1" w:styleId="center">
    <w:name w:val="center"/>
    <w:basedOn w:val="a"/>
    <w:uiPriority w:val="99"/>
    <w:rsid w:val="00EB6EBC"/>
    <w:pPr>
      <w:spacing w:before="100" w:beforeAutospacing="1" w:after="100" w:afterAutospacing="1"/>
    </w:pPr>
    <w:rPr>
      <w:rFonts w:ascii="Times New Roman" w:eastAsia="Times New Roman" w:hAnsi="Times New Roman" w:cs="Times New Roman"/>
      <w:color w:val="auto"/>
    </w:rPr>
  </w:style>
  <w:style w:type="character" w:styleId="aff1">
    <w:name w:val="FollowedHyperlink"/>
    <w:uiPriority w:val="99"/>
    <w:semiHidden/>
    <w:unhideWhenUsed/>
    <w:rsid w:val="00EB6EBC"/>
    <w:rPr>
      <w:color w:val="800080"/>
      <w:u w:val="single"/>
    </w:rPr>
  </w:style>
  <w:style w:type="character" w:customStyle="1" w:styleId="font111">
    <w:name w:val="font111"/>
    <w:rsid w:val="00EB6EBC"/>
    <w:rPr>
      <w:rFonts w:ascii="Times New Roman" w:hAnsi="Times New Roman" w:cs="Times New Roman"/>
      <w:sz w:val="18"/>
      <w:szCs w:val="18"/>
    </w:rPr>
  </w:style>
  <w:style w:type="character" w:customStyle="1" w:styleId="bigtext">
    <w:name w:val="bigtext"/>
    <w:basedOn w:val="a0"/>
    <w:rsid w:val="00EB6EBC"/>
  </w:style>
  <w:style w:type="paragraph" w:styleId="aff2">
    <w:name w:val="Revision"/>
    <w:hidden/>
    <w:uiPriority w:val="99"/>
    <w:semiHidden/>
    <w:rsid w:val="00EB6EBC"/>
    <w:pPr>
      <w:spacing w:after="0" w:line="240" w:lineRule="auto"/>
    </w:pPr>
    <w:rPr>
      <w:rFonts w:ascii="Arial Unicode MS" w:eastAsia="Calibri" w:hAnsi="Arial Unicode MS" w:cs="Arial Unicode MS"/>
      <w:color w:val="000000"/>
      <w:sz w:val="24"/>
      <w:szCs w:val="24"/>
      <w:lang w:eastAsia="ru-RU"/>
    </w:rPr>
  </w:style>
  <w:style w:type="character" w:customStyle="1" w:styleId="1710pt">
    <w:name w:val="Основной текст (17) + 10 pt;Полужирный"/>
    <w:basedOn w:val="17"/>
    <w:rsid w:val="00EB6EBC"/>
    <w:rPr>
      <w:rFonts w:ascii="Garamond" w:eastAsia="Garamond" w:hAnsi="Garamond" w:cs="Garamond"/>
      <w:b/>
      <w:bCs/>
      <w:i w:val="0"/>
      <w:iCs w:val="0"/>
      <w:smallCaps w:val="0"/>
      <w:strike w:val="0"/>
      <w:spacing w:val="0"/>
      <w:sz w:val="20"/>
      <w:szCs w:val="20"/>
      <w:shd w:val="clear" w:color="auto" w:fill="FFFFFF"/>
    </w:rPr>
  </w:style>
  <w:style w:type="character" w:customStyle="1" w:styleId="149pt">
    <w:name w:val="Основной текст (14) + 9 pt;Полужирный"/>
    <w:basedOn w:val="140"/>
    <w:rsid w:val="00EB6EBC"/>
    <w:rPr>
      <w:rFonts w:ascii="Garamond" w:eastAsia="Garamond" w:hAnsi="Garamond" w:cs="Garamond"/>
      <w:b/>
      <w:bCs/>
      <w:i w:val="0"/>
      <w:iCs w:val="0"/>
      <w:smallCaps w:val="0"/>
      <w:strike w:val="0"/>
      <w:spacing w:val="0"/>
      <w:sz w:val="18"/>
      <w:szCs w:val="18"/>
      <w:shd w:val="clear" w:color="auto" w:fill="FFFFFF"/>
    </w:rPr>
  </w:style>
  <w:style w:type="character" w:customStyle="1" w:styleId="149pt0">
    <w:name w:val="Основной текст (14) + 9 pt"/>
    <w:basedOn w:val="140"/>
    <w:rsid w:val="00EB6EBC"/>
    <w:rPr>
      <w:rFonts w:ascii="Garamond" w:eastAsia="Garamond" w:hAnsi="Garamond" w:cs="Garamond"/>
      <w:b w:val="0"/>
      <w:bCs w:val="0"/>
      <w:i w:val="0"/>
      <w:iCs w:val="0"/>
      <w:smallCaps w:val="0"/>
      <w:strike w:val="0"/>
      <w:spacing w:val="0"/>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208280">
      <w:bodyDiv w:val="1"/>
      <w:marLeft w:val="0"/>
      <w:marRight w:val="0"/>
      <w:marTop w:val="0"/>
      <w:marBottom w:val="0"/>
      <w:divBdr>
        <w:top w:val="none" w:sz="0" w:space="0" w:color="auto"/>
        <w:left w:val="none" w:sz="0" w:space="0" w:color="auto"/>
        <w:bottom w:val="none" w:sz="0" w:space="0" w:color="auto"/>
        <w:right w:val="none" w:sz="0" w:space="0" w:color="auto"/>
      </w:divBdr>
    </w:div>
    <w:div w:id="1217354113">
      <w:bodyDiv w:val="1"/>
      <w:marLeft w:val="0"/>
      <w:marRight w:val="0"/>
      <w:marTop w:val="0"/>
      <w:marBottom w:val="0"/>
      <w:divBdr>
        <w:top w:val="none" w:sz="0" w:space="0" w:color="auto"/>
        <w:left w:val="none" w:sz="0" w:space="0" w:color="auto"/>
        <w:bottom w:val="none" w:sz="0" w:space="0" w:color="auto"/>
        <w:right w:val="none" w:sz="0" w:space="0" w:color="auto"/>
      </w:divBdr>
    </w:div>
    <w:div w:id="1839268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117" Type="http://schemas.openxmlformats.org/officeDocument/2006/relationships/image" Target="media/image103.jpeg"/><Relationship Id="rId21" Type="http://schemas.openxmlformats.org/officeDocument/2006/relationships/image" Target="media/image8.jpeg"/><Relationship Id="rId42" Type="http://schemas.openxmlformats.org/officeDocument/2006/relationships/image" Target="media/image29.png"/><Relationship Id="rId47" Type="http://schemas.openxmlformats.org/officeDocument/2006/relationships/image" Target="media/image34.jpeg"/><Relationship Id="rId63" Type="http://schemas.openxmlformats.org/officeDocument/2006/relationships/image" Target="media/image50.jpeg"/><Relationship Id="rId68" Type="http://schemas.openxmlformats.org/officeDocument/2006/relationships/image" Target="media/image55.jpeg"/><Relationship Id="rId84" Type="http://schemas.openxmlformats.org/officeDocument/2006/relationships/image" Target="media/image71.jpeg"/><Relationship Id="rId89" Type="http://schemas.openxmlformats.org/officeDocument/2006/relationships/image" Target="media/image76.png"/><Relationship Id="rId112" Type="http://schemas.openxmlformats.org/officeDocument/2006/relationships/image" Target="media/image98.png"/><Relationship Id="rId133" Type="http://schemas.openxmlformats.org/officeDocument/2006/relationships/chart" Target="charts/chart6.xml"/><Relationship Id="rId138" Type="http://schemas.openxmlformats.org/officeDocument/2006/relationships/hyperlink" Target="https://www.lvrach.ru/2009/01/5897877/" TargetMode="External"/><Relationship Id="rId16" Type="http://schemas.openxmlformats.org/officeDocument/2006/relationships/chart" Target="charts/chart1.xml"/><Relationship Id="rId107" Type="http://schemas.openxmlformats.org/officeDocument/2006/relationships/image" Target="media/image93.png"/><Relationship Id="rId11" Type="http://schemas.openxmlformats.org/officeDocument/2006/relationships/image" Target="media/image3.png"/><Relationship Id="rId32" Type="http://schemas.openxmlformats.org/officeDocument/2006/relationships/image" Target="media/image19.png"/><Relationship Id="rId37" Type="http://schemas.openxmlformats.org/officeDocument/2006/relationships/image" Target="media/image24.jpeg"/><Relationship Id="rId53" Type="http://schemas.openxmlformats.org/officeDocument/2006/relationships/image" Target="media/image40.png"/><Relationship Id="rId58" Type="http://schemas.openxmlformats.org/officeDocument/2006/relationships/image" Target="media/image45.jpeg"/><Relationship Id="rId74" Type="http://schemas.openxmlformats.org/officeDocument/2006/relationships/image" Target="media/image61.jpeg"/><Relationship Id="rId79" Type="http://schemas.openxmlformats.org/officeDocument/2006/relationships/image" Target="media/image66.png"/><Relationship Id="rId102" Type="http://schemas.openxmlformats.org/officeDocument/2006/relationships/image" Target="media/image88.png"/><Relationship Id="rId123" Type="http://schemas.openxmlformats.org/officeDocument/2006/relationships/image" Target="media/image109.emf"/><Relationship Id="rId128" Type="http://schemas.openxmlformats.org/officeDocument/2006/relationships/image" Target="media/image114.emf"/><Relationship Id="rId5" Type="http://schemas.openxmlformats.org/officeDocument/2006/relationships/settings" Target="settings.xml"/><Relationship Id="rId90" Type="http://schemas.openxmlformats.org/officeDocument/2006/relationships/image" Target="media/image77.jpeg"/><Relationship Id="rId95" Type="http://schemas.openxmlformats.org/officeDocument/2006/relationships/image" Target="media/image81.jpeg"/><Relationship Id="rId22" Type="http://schemas.openxmlformats.org/officeDocument/2006/relationships/image" Target="media/image9.jpeg"/><Relationship Id="rId27" Type="http://schemas.openxmlformats.org/officeDocument/2006/relationships/image" Target="media/image14.jpe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jpeg"/><Relationship Id="rId113" Type="http://schemas.openxmlformats.org/officeDocument/2006/relationships/image" Target="media/image99.png"/><Relationship Id="rId118" Type="http://schemas.openxmlformats.org/officeDocument/2006/relationships/image" Target="media/image104.jpeg"/><Relationship Id="rId134" Type="http://schemas.openxmlformats.org/officeDocument/2006/relationships/chart" Target="charts/chart7.xml"/><Relationship Id="rId139" Type="http://schemas.openxmlformats.org/officeDocument/2006/relationships/hyperlink" Target="https://www.ncbi.nlm.nih.gov/pmc/articles/PMC4509465/" TargetMode="External"/><Relationship Id="rId8" Type="http://schemas.openxmlformats.org/officeDocument/2006/relationships/endnotes" Target="endnotes.xml"/><Relationship Id="rId51" Type="http://schemas.openxmlformats.org/officeDocument/2006/relationships/image" Target="media/image38.png"/><Relationship Id="rId72" Type="http://schemas.openxmlformats.org/officeDocument/2006/relationships/image" Target="media/image59.jpeg"/><Relationship Id="rId80" Type="http://schemas.openxmlformats.org/officeDocument/2006/relationships/image" Target="media/image67.jpeg"/><Relationship Id="rId85" Type="http://schemas.openxmlformats.org/officeDocument/2006/relationships/image" Target="media/image72.png"/><Relationship Id="rId93" Type="http://schemas.openxmlformats.org/officeDocument/2006/relationships/image" Target="media/image80.png"/><Relationship Id="rId98" Type="http://schemas.openxmlformats.org/officeDocument/2006/relationships/image" Target="media/image84.png"/><Relationship Id="rId121" Type="http://schemas.openxmlformats.org/officeDocument/2006/relationships/image" Target="media/image107.emf"/><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chart" Target="charts/chart2.xml"/><Relationship Id="rId25" Type="http://schemas.openxmlformats.org/officeDocument/2006/relationships/image" Target="media/image12.pn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image" Target="media/image46.jpeg"/><Relationship Id="rId67" Type="http://schemas.openxmlformats.org/officeDocument/2006/relationships/image" Target="media/image54.png"/><Relationship Id="rId103" Type="http://schemas.openxmlformats.org/officeDocument/2006/relationships/image" Target="media/image89.png"/><Relationship Id="rId108" Type="http://schemas.openxmlformats.org/officeDocument/2006/relationships/image" Target="media/image94.png"/><Relationship Id="rId116" Type="http://schemas.openxmlformats.org/officeDocument/2006/relationships/image" Target="media/image102.png"/><Relationship Id="rId124" Type="http://schemas.openxmlformats.org/officeDocument/2006/relationships/image" Target="media/image110.emf"/><Relationship Id="rId129" Type="http://schemas.openxmlformats.org/officeDocument/2006/relationships/image" Target="media/image115.emf"/><Relationship Id="rId137" Type="http://schemas.openxmlformats.org/officeDocument/2006/relationships/hyperlink" Target="http://nbuv.gov.ua/UJRN/Zdmu_2012_1_25" TargetMode="External"/><Relationship Id="rId20" Type="http://schemas.openxmlformats.org/officeDocument/2006/relationships/chart" Target="charts/chart5.xml"/><Relationship Id="rId41" Type="http://schemas.openxmlformats.org/officeDocument/2006/relationships/image" Target="media/image28.png"/><Relationship Id="rId54" Type="http://schemas.openxmlformats.org/officeDocument/2006/relationships/image" Target="media/image41.jpe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image" Target="media/image62.png"/><Relationship Id="rId83" Type="http://schemas.openxmlformats.org/officeDocument/2006/relationships/image" Target="media/image70.jpeg"/><Relationship Id="rId88" Type="http://schemas.openxmlformats.org/officeDocument/2006/relationships/image" Target="media/image75.jpeg"/><Relationship Id="rId91" Type="http://schemas.openxmlformats.org/officeDocument/2006/relationships/image" Target="media/image78.png"/><Relationship Id="rId96" Type="http://schemas.openxmlformats.org/officeDocument/2006/relationships/image" Target="media/image82.png"/><Relationship Id="rId111" Type="http://schemas.openxmlformats.org/officeDocument/2006/relationships/image" Target="media/image97.png"/><Relationship Id="rId132" Type="http://schemas.openxmlformats.org/officeDocument/2006/relationships/image" Target="media/image118.png"/><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jpeg"/><Relationship Id="rId57" Type="http://schemas.openxmlformats.org/officeDocument/2006/relationships/image" Target="media/image44.png"/><Relationship Id="rId106" Type="http://schemas.openxmlformats.org/officeDocument/2006/relationships/image" Target="media/image92.png"/><Relationship Id="rId114" Type="http://schemas.openxmlformats.org/officeDocument/2006/relationships/image" Target="media/image100.png"/><Relationship Id="rId119" Type="http://schemas.openxmlformats.org/officeDocument/2006/relationships/image" Target="media/image105.jpeg"/><Relationship Id="rId127" Type="http://schemas.openxmlformats.org/officeDocument/2006/relationships/image" Target="media/image113.emf"/><Relationship Id="rId10" Type="http://schemas.openxmlformats.org/officeDocument/2006/relationships/image" Target="media/image2.png"/><Relationship Id="rId31" Type="http://schemas.openxmlformats.org/officeDocument/2006/relationships/image" Target="media/image18.png"/><Relationship Id="rId44" Type="http://schemas.openxmlformats.org/officeDocument/2006/relationships/image" Target="media/image31.jpeg"/><Relationship Id="rId52" Type="http://schemas.openxmlformats.org/officeDocument/2006/relationships/image" Target="media/image39.jpeg"/><Relationship Id="rId60" Type="http://schemas.openxmlformats.org/officeDocument/2006/relationships/image" Target="media/image47.jpe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image" Target="media/image65.jpeg"/><Relationship Id="rId81" Type="http://schemas.openxmlformats.org/officeDocument/2006/relationships/image" Target="media/image68.png"/><Relationship Id="rId86" Type="http://schemas.openxmlformats.org/officeDocument/2006/relationships/image" Target="media/image73.jpeg"/><Relationship Id="rId94" Type="http://schemas.openxmlformats.org/officeDocument/2006/relationships/header" Target="header1.xml"/><Relationship Id="rId99" Type="http://schemas.openxmlformats.org/officeDocument/2006/relationships/image" Target="media/image85.jpeg"/><Relationship Id="rId101" Type="http://schemas.openxmlformats.org/officeDocument/2006/relationships/image" Target="media/image87.jpeg"/><Relationship Id="rId122" Type="http://schemas.openxmlformats.org/officeDocument/2006/relationships/image" Target="media/image108.emf"/><Relationship Id="rId130" Type="http://schemas.openxmlformats.org/officeDocument/2006/relationships/image" Target="media/image116.emf"/><Relationship Id="rId13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3%D1%80%D0%B6%D0%B5%D0%BD%D0%BA%D0%BE%20%D0%AE$" TargetMode="Externa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chart" Target="charts/chart3.xml"/><Relationship Id="rId39" Type="http://schemas.openxmlformats.org/officeDocument/2006/relationships/image" Target="media/image26.png"/><Relationship Id="rId109" Type="http://schemas.openxmlformats.org/officeDocument/2006/relationships/image" Target="media/image95.png"/><Relationship Id="rId34" Type="http://schemas.openxmlformats.org/officeDocument/2006/relationships/image" Target="media/image21.jpe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3.jpeg"/><Relationship Id="rId104" Type="http://schemas.openxmlformats.org/officeDocument/2006/relationships/image" Target="media/image90.png"/><Relationship Id="rId120" Type="http://schemas.openxmlformats.org/officeDocument/2006/relationships/image" Target="media/image106.jpeg"/><Relationship Id="rId125" Type="http://schemas.openxmlformats.org/officeDocument/2006/relationships/image" Target="media/image111.emf"/><Relationship Id="rId141"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58.jpeg"/><Relationship Id="rId92" Type="http://schemas.openxmlformats.org/officeDocument/2006/relationships/image" Target="media/image79.png"/><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11.png"/><Relationship Id="rId40" Type="http://schemas.openxmlformats.org/officeDocument/2006/relationships/image" Target="media/image27.jpeg"/><Relationship Id="rId45" Type="http://schemas.openxmlformats.org/officeDocument/2006/relationships/image" Target="media/image32.jpeg"/><Relationship Id="rId66" Type="http://schemas.openxmlformats.org/officeDocument/2006/relationships/image" Target="media/image53.png"/><Relationship Id="rId87" Type="http://schemas.openxmlformats.org/officeDocument/2006/relationships/image" Target="media/image74.jpeg"/><Relationship Id="rId110" Type="http://schemas.openxmlformats.org/officeDocument/2006/relationships/image" Target="media/image96.png"/><Relationship Id="rId115" Type="http://schemas.openxmlformats.org/officeDocument/2006/relationships/image" Target="media/image101.png"/><Relationship Id="rId131" Type="http://schemas.openxmlformats.org/officeDocument/2006/relationships/image" Target="media/image117.emf"/><Relationship Id="rId1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369" TargetMode="External"/><Relationship Id="rId61" Type="http://schemas.openxmlformats.org/officeDocument/2006/relationships/image" Target="media/image48.jpeg"/><Relationship Id="rId82" Type="http://schemas.openxmlformats.org/officeDocument/2006/relationships/image" Target="media/image69.png"/><Relationship Id="rId19" Type="http://schemas.openxmlformats.org/officeDocument/2006/relationships/chart" Target="charts/chart4.xml"/><Relationship Id="rId14" Type="http://schemas.openxmlformats.org/officeDocument/2006/relationships/image" Target="media/image6.png"/><Relationship Id="rId30" Type="http://schemas.openxmlformats.org/officeDocument/2006/relationships/image" Target="media/image17.jpeg"/><Relationship Id="rId35" Type="http://schemas.openxmlformats.org/officeDocument/2006/relationships/image" Target="media/image22.jpeg"/><Relationship Id="rId56" Type="http://schemas.openxmlformats.org/officeDocument/2006/relationships/image" Target="media/image43.png"/><Relationship Id="rId77" Type="http://schemas.openxmlformats.org/officeDocument/2006/relationships/image" Target="media/image64.jpeg"/><Relationship Id="rId100" Type="http://schemas.openxmlformats.org/officeDocument/2006/relationships/image" Target="media/image86.png"/><Relationship Id="rId105" Type="http://schemas.openxmlformats.org/officeDocument/2006/relationships/image" Target="media/image91.png"/><Relationship Id="rId126" Type="http://schemas.openxmlformats.org/officeDocument/2006/relationships/image" Target="media/image112.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55988307729082E-2"/>
          <c:y val="3.8840262732745615E-2"/>
          <c:w val="0.87793573469483432"/>
          <c:h val="0.76157640081591149"/>
        </c:manualLayout>
      </c:layout>
      <c:barChart>
        <c:barDir val="col"/>
        <c:grouping val="clustered"/>
        <c:varyColors val="0"/>
        <c:ser>
          <c:idx val="0"/>
          <c:order val="0"/>
          <c:tx>
            <c:strRef>
              <c:f>Лист1!$B$1</c:f>
              <c:strCache>
                <c:ptCount val="1"/>
                <c:pt idx="0">
                  <c:v>Контрольна</c:v>
                </c:pt>
              </c:strCache>
            </c:strRef>
          </c:tx>
          <c:invertIfNegative val="0"/>
          <c:dLbls>
            <c:dLbl>
              <c:idx val="0"/>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ru-RU"/>
              </a:p>
            </c:txPr>
            <c:showLegendKey val="0"/>
            <c:showVal val="0"/>
            <c:showCatName val="0"/>
            <c:showSerName val="0"/>
            <c:showPercent val="0"/>
            <c:showBubbleSize val="0"/>
          </c:dLbls>
          <c:cat>
            <c:strRef>
              <c:f>Лист1!$A$2</c:f>
              <c:strCache>
                <c:ptCount val="1"/>
                <c:pt idx="0">
                  <c:v>28-а доба</c:v>
                </c:pt>
              </c:strCache>
            </c:strRef>
          </c:cat>
          <c:val>
            <c:numRef>
              <c:f>Лист1!$B$2</c:f>
              <c:numCache>
                <c:formatCode>General</c:formatCode>
                <c:ptCount val="1"/>
                <c:pt idx="0">
                  <c:v>3489.15</c:v>
                </c:pt>
              </c:numCache>
            </c:numRef>
          </c:val>
        </c:ser>
        <c:ser>
          <c:idx val="1"/>
          <c:order val="1"/>
          <c:tx>
            <c:strRef>
              <c:f>Лист1!$C$1</c:f>
              <c:strCache>
                <c:ptCount val="1"/>
                <c:pt idx="0">
                  <c:v>2-а група</c:v>
                </c:pt>
              </c:strCache>
            </c:strRef>
          </c:tx>
          <c:invertIfNegative val="0"/>
          <c:dLbls>
            <c:dLbl>
              <c:idx val="2"/>
              <c:layout>
                <c:manualLayout>
                  <c:x val="-3.8242005313062592E-2"/>
                  <c:y val="1.1523907457578754E-2"/>
                </c:manualLayout>
              </c:layout>
              <c:dLblPos val="outEnd"/>
              <c:showLegendKey val="0"/>
              <c:showVal val="1"/>
              <c:showCatName val="0"/>
              <c:showSerName val="0"/>
              <c:showPercent val="0"/>
              <c:showBubbleSize val="0"/>
            </c:dLbl>
            <c:dLbl>
              <c:idx val="3"/>
              <c:layout>
                <c:manualLayout>
                  <c:x val="-3.1870816955274668E-2"/>
                  <c:y val="-1.1524056467876714E-2"/>
                </c:manualLayout>
              </c:layout>
              <c:dLblPos val="outEnd"/>
              <c:showLegendKey val="0"/>
              <c:showVal val="1"/>
              <c:showCatName val="0"/>
              <c:showSerName val="0"/>
              <c:showPercent val="0"/>
              <c:showBubbleSize val="0"/>
            </c:dLbl>
            <c:numFmt formatCode="#,##0.0" sourceLinked="0"/>
            <c:txPr>
              <a:bodyPr/>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c:f>
              <c:strCache>
                <c:ptCount val="1"/>
                <c:pt idx="0">
                  <c:v>28-а доба</c:v>
                </c:pt>
              </c:strCache>
            </c:strRef>
          </c:cat>
          <c:val>
            <c:numRef>
              <c:f>Лист1!$C$2</c:f>
              <c:numCache>
                <c:formatCode>General</c:formatCode>
                <c:ptCount val="1"/>
                <c:pt idx="0">
                  <c:v>3497.85</c:v>
                </c:pt>
              </c:numCache>
            </c:numRef>
          </c:val>
        </c:ser>
        <c:ser>
          <c:idx val="2"/>
          <c:order val="2"/>
          <c:tx>
            <c:strRef>
              <c:f>Лист1!$D$1</c:f>
              <c:strCache>
                <c:ptCount val="1"/>
                <c:pt idx="0">
                  <c:v>3-я група</c:v>
                </c:pt>
              </c:strCache>
            </c:strRef>
          </c:tx>
          <c:invertIfNegative val="0"/>
          <c:dLbls>
            <c:dLbl>
              <c:idx val="0"/>
              <c:numFmt formatCode="#,##0.0" sourceLinked="0"/>
              <c:spPr/>
              <c:txPr>
                <a:bodyPr/>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dLbl>
            <c:dLbl>
              <c:idx val="1"/>
              <c:layout>
                <c:manualLayout>
                  <c:x val="2.7619226059434052E-2"/>
                  <c:y val="-2.8809768643946885E-2"/>
                </c:manualLayout>
              </c:layout>
              <c:dLblPos val="outEnd"/>
              <c:showLegendKey val="0"/>
              <c:showVal val="1"/>
              <c:showCatName val="0"/>
              <c:showSerName val="0"/>
              <c:showPercent val="0"/>
              <c:showBubbleSize val="0"/>
            </c:dLbl>
            <c:dLbl>
              <c:idx val="2"/>
              <c:layout>
                <c:manualLayout>
                  <c:x val="2.7619226059434052E-2"/>
                  <c:y val="-1.1523907457578754E-2"/>
                </c:manualLayout>
              </c:layout>
              <c:dLblPos val="outEnd"/>
              <c:showLegendKey val="0"/>
              <c:showVal val="1"/>
              <c:showCatName val="0"/>
              <c:showSerName val="0"/>
              <c:showPercent val="0"/>
              <c:showBubbleSize val="0"/>
            </c:dLbl>
            <c:dLbl>
              <c:idx val="3"/>
              <c:layout>
                <c:manualLayout>
                  <c:x val="4.5327315431301585E-2"/>
                  <c:y val="3.9099619869847934E-3"/>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Лист1!$D$2</c:f>
              <c:numCache>
                <c:formatCode>General</c:formatCode>
                <c:ptCount val="1"/>
                <c:pt idx="0">
                  <c:v>3489.1</c:v>
                </c:pt>
              </c:numCache>
            </c:numRef>
          </c:val>
        </c:ser>
        <c:ser>
          <c:idx val="3"/>
          <c:order val="3"/>
          <c:tx>
            <c:strRef>
              <c:f>Лист1!$E$1</c:f>
              <c:strCache>
                <c:ptCount val="1"/>
                <c:pt idx="0">
                  <c:v>4-а група</c:v>
                </c:pt>
              </c:strCache>
            </c:strRef>
          </c:tx>
          <c:invertIfNegative val="0"/>
          <c:dLbls>
            <c:dLbl>
              <c:idx val="1"/>
              <c:layout>
                <c:manualLayout>
                  <c:x val="4.2491117014513934E-2"/>
                  <c:y val="-5.7619537287893806E-3"/>
                </c:manualLayout>
              </c:layout>
              <c:dLblPos val="outEnd"/>
              <c:showLegendKey val="0"/>
              <c:showVal val="1"/>
              <c:showCatName val="0"/>
              <c:showSerName val="0"/>
              <c:showPercent val="0"/>
              <c:showBubbleSize val="0"/>
            </c:dLbl>
            <c:dLbl>
              <c:idx val="2"/>
              <c:layout>
                <c:manualLayout>
                  <c:x val="3.399289361161114E-2"/>
                  <c:y val="-2.8809768643946886E-3"/>
                </c:manualLayout>
              </c:layout>
              <c:dLblPos val="outEnd"/>
              <c:showLegendKey val="0"/>
              <c:showVal val="1"/>
              <c:showCatName val="0"/>
              <c:showSerName val="0"/>
              <c:showPercent val="0"/>
              <c:showBubbleSize val="0"/>
            </c:dLbl>
            <c:dLbl>
              <c:idx val="3"/>
              <c:layout>
                <c:manualLayout>
                  <c:x val="2.7619226059434052E-2"/>
                  <c:y val="-2.5928791779552183E-2"/>
                </c:manualLayout>
              </c:layout>
              <c:dLblPos val="outEnd"/>
              <c:showLegendKey val="0"/>
              <c:showVal val="1"/>
              <c:showCatName val="0"/>
              <c:showSerName val="0"/>
              <c:showPercent val="0"/>
              <c:showBubbleSize val="0"/>
            </c:dLbl>
            <c:numFmt formatCode="#,##0.0" sourceLinked="0"/>
            <c:txPr>
              <a:bodyPr/>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c:f>
              <c:strCache>
                <c:ptCount val="1"/>
                <c:pt idx="0">
                  <c:v>28-а доба</c:v>
                </c:pt>
              </c:strCache>
            </c:strRef>
          </c:cat>
          <c:val>
            <c:numRef>
              <c:f>Лист1!$E$2</c:f>
              <c:numCache>
                <c:formatCode>General</c:formatCode>
                <c:ptCount val="1"/>
                <c:pt idx="0">
                  <c:v>3127.7</c:v>
                </c:pt>
              </c:numCache>
            </c:numRef>
          </c:val>
        </c:ser>
        <c:dLbls>
          <c:showLegendKey val="0"/>
          <c:showVal val="0"/>
          <c:showCatName val="0"/>
          <c:showSerName val="0"/>
          <c:showPercent val="0"/>
          <c:showBubbleSize val="0"/>
        </c:dLbls>
        <c:gapWidth val="90"/>
        <c:overlap val="-54"/>
        <c:axId val="336788480"/>
        <c:axId val="338686720"/>
      </c:barChart>
      <c:catAx>
        <c:axId val="33678848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ru-RU"/>
          </a:p>
        </c:txPr>
        <c:crossAx val="338686720"/>
        <c:crosses val="autoZero"/>
        <c:auto val="1"/>
        <c:lblAlgn val="ctr"/>
        <c:lblOffset val="100"/>
        <c:noMultiLvlLbl val="0"/>
      </c:catAx>
      <c:valAx>
        <c:axId val="338686720"/>
        <c:scaling>
          <c:orientation val="minMax"/>
        </c:scaling>
        <c:delete val="0"/>
        <c:axPos val="l"/>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336788480"/>
        <c:crosses val="autoZero"/>
        <c:crossBetween val="between"/>
      </c:valAx>
    </c:plotArea>
    <c:legend>
      <c:legendPos val="r"/>
      <c:layout>
        <c:manualLayout>
          <c:xMode val="edge"/>
          <c:yMode val="edge"/>
          <c:x val="0.13114755683163914"/>
          <c:y val="0.88837209302325593"/>
          <c:w val="0.64754088059434567"/>
          <c:h val="0.11162790697674407"/>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55988307729082E-2"/>
          <c:y val="3.8840262732745601E-2"/>
          <c:w val="0.87793573469483432"/>
          <c:h val="0.76157640081591149"/>
        </c:manualLayout>
      </c:layout>
      <c:barChart>
        <c:barDir val="col"/>
        <c:grouping val="clustered"/>
        <c:varyColors val="0"/>
        <c:ser>
          <c:idx val="0"/>
          <c:order val="0"/>
          <c:tx>
            <c:strRef>
              <c:f>Лист1!$B$1</c:f>
              <c:strCache>
                <c:ptCount val="1"/>
                <c:pt idx="0">
                  <c:v>Контрольна</c:v>
                </c:pt>
              </c:strCache>
            </c:strRef>
          </c:tx>
          <c:invertIfNegative val="0"/>
          <c:dLbls>
            <c:dLbl>
              <c:idx val="0"/>
              <c:spPr/>
              <c:txPr>
                <a:bodyPr/>
                <a:lstStyle/>
                <a:p>
                  <a:pPr>
                    <a:defRPr/>
                  </a:pPr>
                  <a:endParaRPr lang="ru-RU"/>
                </a:p>
              </c:txPr>
              <c:showLegendKey val="0"/>
              <c:showVal val="1"/>
              <c:showCatName val="0"/>
              <c:showSerName val="0"/>
              <c:showPercent val="0"/>
              <c:showBubbleSize val="0"/>
            </c:dLbl>
            <c:showLegendKey val="0"/>
            <c:showVal val="0"/>
            <c:showCatName val="0"/>
            <c:showSerName val="0"/>
            <c:showPercent val="0"/>
            <c:showBubbleSize val="0"/>
          </c:dLbls>
          <c:cat>
            <c:strRef>
              <c:f>Лист1!$A$2</c:f>
              <c:strCache>
                <c:ptCount val="1"/>
                <c:pt idx="0">
                  <c:v>28-а доба</c:v>
                </c:pt>
              </c:strCache>
            </c:strRef>
          </c:cat>
          <c:val>
            <c:numRef>
              <c:f>Лист1!$B$2</c:f>
              <c:numCache>
                <c:formatCode>General</c:formatCode>
                <c:ptCount val="1"/>
                <c:pt idx="0">
                  <c:v>981.7</c:v>
                </c:pt>
              </c:numCache>
            </c:numRef>
          </c:val>
        </c:ser>
        <c:ser>
          <c:idx val="1"/>
          <c:order val="1"/>
          <c:tx>
            <c:strRef>
              <c:f>Лист1!$C$1</c:f>
              <c:strCache>
                <c:ptCount val="1"/>
                <c:pt idx="0">
                  <c:v>2-а група</c:v>
                </c:pt>
              </c:strCache>
            </c:strRef>
          </c:tx>
          <c:invertIfNegative val="0"/>
          <c:dLbls>
            <c:dLbl>
              <c:idx val="1"/>
              <c:layout>
                <c:manualLayout>
                  <c:x val="-7.0110343073947923E-2"/>
                  <c:y val="6.6262467881077813E-2"/>
                </c:manualLayout>
              </c:layout>
              <c:dLblPos val="outEnd"/>
              <c:showLegendKey val="0"/>
              <c:showVal val="1"/>
              <c:showCatName val="0"/>
              <c:showSerName val="0"/>
              <c:showPercent val="0"/>
              <c:showBubbleSize val="0"/>
            </c:dLbl>
            <c:dLbl>
              <c:idx val="2"/>
              <c:layout>
                <c:manualLayout>
                  <c:x val="-2.7619226059434048E-2"/>
                  <c:y val="-2.3047814915157481E-2"/>
                </c:manualLayout>
              </c:layout>
              <c:dLblPos val="outEnd"/>
              <c:showLegendKey val="0"/>
              <c:showVal val="1"/>
              <c:showCatName val="0"/>
              <c:showSerName val="0"/>
              <c:showPercent val="0"/>
              <c:showBubbleSize val="0"/>
            </c:dLbl>
            <c:dLbl>
              <c:idx val="3"/>
              <c:layout>
                <c:manualLayout>
                  <c:x val="-3.1870816955274668E-2"/>
                  <c:y val="-1.1524056467876707E-2"/>
                </c:manualLayout>
              </c:layout>
              <c:dLblPos val="outEnd"/>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c:f>
              <c:strCache>
                <c:ptCount val="1"/>
                <c:pt idx="0">
                  <c:v>28-а доба</c:v>
                </c:pt>
              </c:strCache>
            </c:strRef>
          </c:cat>
          <c:val>
            <c:numRef>
              <c:f>Лист1!$C$2</c:f>
              <c:numCache>
                <c:formatCode>General</c:formatCode>
                <c:ptCount val="1"/>
                <c:pt idx="0">
                  <c:v>932.3</c:v>
                </c:pt>
              </c:numCache>
            </c:numRef>
          </c:val>
        </c:ser>
        <c:ser>
          <c:idx val="2"/>
          <c:order val="2"/>
          <c:tx>
            <c:strRef>
              <c:f>Лист1!$D$1</c:f>
              <c:strCache>
                <c:ptCount val="1"/>
                <c:pt idx="0">
                  <c:v>3-я група</c:v>
                </c:pt>
              </c:strCache>
            </c:strRef>
          </c:tx>
          <c:invertIfNegative val="0"/>
          <c:dLbls>
            <c:dLbl>
              <c:idx val="1"/>
              <c:layout>
                <c:manualLayout>
                  <c:x val="0"/>
                  <c:y val="-7.4905398474261878E-2"/>
                </c:manualLayout>
              </c:layout>
              <c:dLblPos val="outEnd"/>
              <c:showLegendKey val="0"/>
              <c:showVal val="1"/>
              <c:showCatName val="0"/>
              <c:showSerName val="0"/>
              <c:showPercent val="0"/>
              <c:showBubbleSize val="0"/>
            </c:dLbl>
            <c:dLbl>
              <c:idx val="2"/>
              <c:layout>
                <c:manualLayout>
                  <c:x val="1.0622611965766221E-2"/>
                  <c:y val="-3.1690745508341597E-2"/>
                </c:manualLayout>
              </c:layout>
              <c:dLblPos val="outEnd"/>
              <c:showLegendKey val="0"/>
              <c:showVal val="1"/>
              <c:showCatName val="0"/>
              <c:showSerName val="0"/>
              <c:showPercent val="0"/>
              <c:showBubbleSize val="0"/>
            </c:dLbl>
            <c:dLbl>
              <c:idx val="3"/>
              <c:layout>
                <c:manualLayout>
                  <c:x val="4.5327315431301564E-2"/>
                  <c:y val="3.9099619869847899E-3"/>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Лист1!$D$2</c:f>
              <c:numCache>
                <c:formatCode>General</c:formatCode>
                <c:ptCount val="1"/>
                <c:pt idx="0">
                  <c:v>978.8</c:v>
                </c:pt>
              </c:numCache>
            </c:numRef>
          </c:val>
        </c:ser>
        <c:ser>
          <c:idx val="3"/>
          <c:order val="3"/>
          <c:tx>
            <c:strRef>
              <c:f>Лист1!$E$1</c:f>
              <c:strCache>
                <c:ptCount val="1"/>
                <c:pt idx="0">
                  <c:v>4-а група</c:v>
                </c:pt>
              </c:strCache>
            </c:strRef>
          </c:tx>
          <c:invertIfNegative val="0"/>
          <c:dLbls>
            <c:dLbl>
              <c:idx val="1"/>
              <c:layout>
                <c:manualLayout>
                  <c:x val="4.2491117014513927E-2"/>
                  <c:y val="-5.7619537287893789E-3"/>
                </c:manualLayout>
              </c:layout>
              <c:dLblPos val="outEnd"/>
              <c:showLegendKey val="0"/>
              <c:showVal val="1"/>
              <c:showCatName val="0"/>
              <c:showSerName val="0"/>
              <c:showPercent val="0"/>
              <c:showBubbleSize val="0"/>
            </c:dLbl>
            <c:dLbl>
              <c:idx val="2"/>
              <c:layout>
                <c:manualLayout>
                  <c:x val="3.3992893611611119E-2"/>
                  <c:y val="-2.8809768643946881E-3"/>
                </c:manualLayout>
              </c:layout>
              <c:dLblPos val="outEnd"/>
              <c:showLegendKey val="0"/>
              <c:showVal val="1"/>
              <c:showCatName val="0"/>
              <c:showSerName val="0"/>
              <c:showPercent val="0"/>
              <c:showBubbleSize val="0"/>
            </c:dLbl>
            <c:dLbl>
              <c:idx val="3"/>
              <c:layout>
                <c:manualLayout>
                  <c:x val="2.7619226059434048E-2"/>
                  <c:y val="-2.5928791779552183E-2"/>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Лист1!$E$2</c:f>
              <c:numCache>
                <c:formatCode>General</c:formatCode>
                <c:ptCount val="1"/>
                <c:pt idx="0">
                  <c:v>634.9</c:v>
                </c:pt>
              </c:numCache>
            </c:numRef>
          </c:val>
        </c:ser>
        <c:dLbls>
          <c:showLegendKey val="0"/>
          <c:showVal val="0"/>
          <c:showCatName val="0"/>
          <c:showSerName val="0"/>
          <c:showPercent val="0"/>
          <c:showBubbleSize val="0"/>
        </c:dLbls>
        <c:gapWidth val="200"/>
        <c:overlap val="-33"/>
        <c:axId val="339297024"/>
        <c:axId val="339299712"/>
      </c:barChart>
      <c:catAx>
        <c:axId val="339297024"/>
        <c:scaling>
          <c:orientation val="minMax"/>
        </c:scaling>
        <c:delete val="0"/>
        <c:axPos val="b"/>
        <c:numFmt formatCode="General" sourceLinked="0"/>
        <c:majorTickMark val="out"/>
        <c:minorTickMark val="none"/>
        <c:tickLblPos val="nextTo"/>
        <c:crossAx val="339299712"/>
        <c:crosses val="autoZero"/>
        <c:auto val="1"/>
        <c:lblAlgn val="ctr"/>
        <c:lblOffset val="100"/>
        <c:noMultiLvlLbl val="0"/>
      </c:catAx>
      <c:valAx>
        <c:axId val="339299712"/>
        <c:scaling>
          <c:orientation val="minMax"/>
        </c:scaling>
        <c:delete val="0"/>
        <c:axPos val="l"/>
        <c:numFmt formatCode="General" sourceLinked="1"/>
        <c:majorTickMark val="out"/>
        <c:minorTickMark val="none"/>
        <c:tickLblPos val="nextTo"/>
        <c:crossAx val="339297024"/>
        <c:crosses val="autoZero"/>
        <c:crossBetween val="between"/>
      </c:valAx>
    </c:plotArea>
    <c:legend>
      <c:legendPos val="r"/>
      <c:layout>
        <c:manualLayout>
          <c:xMode val="edge"/>
          <c:yMode val="edge"/>
          <c:x val="0.1359750800037329"/>
          <c:y val="0.87444418712366834"/>
          <c:w val="0.64754097404491107"/>
          <c:h val="0.11162795605323206"/>
        </c:manualLayout>
      </c:layout>
      <c:overlay val="0"/>
      <c:txPr>
        <a:bodyPr/>
        <a:lstStyle/>
        <a:p>
          <a:pPr>
            <a:defRPr sz="1400"/>
          </a:pPr>
          <a:endParaRPr lang="ru-RU"/>
        </a:p>
      </c:txPr>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55988307729082E-2"/>
          <c:y val="3.8840262732745601E-2"/>
          <c:w val="0.87793573469483432"/>
          <c:h val="0.76157640081591149"/>
        </c:manualLayout>
      </c:layout>
      <c:barChart>
        <c:barDir val="col"/>
        <c:grouping val="clustered"/>
        <c:varyColors val="0"/>
        <c:ser>
          <c:idx val="0"/>
          <c:order val="0"/>
          <c:tx>
            <c:strRef>
              <c:f>Лист1!$B$1</c:f>
              <c:strCache>
                <c:ptCount val="1"/>
                <c:pt idx="0">
                  <c:v>Контрольна</c:v>
                </c:pt>
              </c:strCache>
            </c:strRef>
          </c:tx>
          <c:invertIfNegative val="0"/>
          <c:dLbls>
            <c:dLbl>
              <c:idx val="0"/>
              <c:layout>
                <c:manualLayout>
                  <c:x val="0"/>
                  <c:y val="-2.8809768643946881E-2"/>
                </c:manualLayout>
              </c:layout>
              <c:spPr/>
              <c:txPr>
                <a:bodyPr/>
                <a:lstStyle/>
                <a:p>
                  <a:pPr>
                    <a:defRPr/>
                  </a:pPr>
                  <a:endParaRPr lang="ru-RU"/>
                </a:p>
              </c:txPr>
              <c:dLblPos val="outEnd"/>
              <c:showLegendKey val="0"/>
              <c:showVal val="1"/>
              <c:showCatName val="0"/>
              <c:showSerName val="0"/>
              <c:showPercent val="0"/>
              <c:showBubbleSize val="0"/>
            </c:dLbl>
            <c:showLegendKey val="0"/>
            <c:showVal val="0"/>
            <c:showCatName val="0"/>
            <c:showSerName val="0"/>
            <c:showPercent val="0"/>
            <c:showBubbleSize val="0"/>
          </c:dLbls>
          <c:cat>
            <c:strRef>
              <c:f>Лист1!$A$2</c:f>
              <c:strCache>
                <c:ptCount val="1"/>
                <c:pt idx="0">
                  <c:v>28-а доба</c:v>
                </c:pt>
              </c:strCache>
            </c:strRef>
          </c:cat>
          <c:val>
            <c:numRef>
              <c:f>Лист1!$B$2</c:f>
              <c:numCache>
                <c:formatCode>General</c:formatCode>
                <c:ptCount val="1"/>
                <c:pt idx="0">
                  <c:v>950.4</c:v>
                </c:pt>
              </c:numCache>
            </c:numRef>
          </c:val>
        </c:ser>
        <c:ser>
          <c:idx val="1"/>
          <c:order val="1"/>
          <c:tx>
            <c:strRef>
              <c:f>Лист1!$C$1</c:f>
              <c:strCache>
                <c:ptCount val="1"/>
                <c:pt idx="0">
                  <c:v>2-а група</c:v>
                </c:pt>
              </c:strCache>
            </c:strRef>
          </c:tx>
          <c:invertIfNegative val="0"/>
          <c:dLbls>
            <c:dLbl>
              <c:idx val="1"/>
              <c:layout>
                <c:manualLayout>
                  <c:x val="-2.1245558507256967E-3"/>
                  <c:y val="1.1523907457578749E-2"/>
                </c:manualLayout>
              </c:layout>
              <c:dLblPos val="outEnd"/>
              <c:showLegendKey val="0"/>
              <c:showVal val="1"/>
              <c:showCatName val="0"/>
              <c:showSerName val="0"/>
              <c:showPercent val="0"/>
              <c:showBubbleSize val="0"/>
            </c:dLbl>
            <c:dLbl>
              <c:idx val="2"/>
              <c:layout>
                <c:manualLayout>
                  <c:x val="-2.1247231385879608E-3"/>
                  <c:y val="-2.5928791779552197E-2"/>
                </c:manualLayout>
              </c:layout>
              <c:dLblPos val="outEnd"/>
              <c:showLegendKey val="0"/>
              <c:showVal val="1"/>
              <c:showCatName val="0"/>
              <c:showSerName val="0"/>
              <c:showPercent val="0"/>
              <c:showBubbleSize val="0"/>
            </c:dLbl>
            <c:dLbl>
              <c:idx val="3"/>
              <c:layout>
                <c:manualLayout>
                  <c:x val="-4.6742738033899223E-2"/>
                  <c:y val="8.6427037446120611E-3"/>
                </c:manualLayout>
              </c:layout>
              <c:dLblPos val="outEnd"/>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c:f>
              <c:strCache>
                <c:ptCount val="1"/>
                <c:pt idx="0">
                  <c:v>28-а доба</c:v>
                </c:pt>
              </c:strCache>
            </c:strRef>
          </c:cat>
          <c:val>
            <c:numRef>
              <c:f>Лист1!$C$2</c:f>
              <c:numCache>
                <c:formatCode>General</c:formatCode>
                <c:ptCount val="1"/>
                <c:pt idx="0">
                  <c:v>941.8</c:v>
                </c:pt>
              </c:numCache>
            </c:numRef>
          </c:val>
        </c:ser>
        <c:ser>
          <c:idx val="2"/>
          <c:order val="2"/>
          <c:tx>
            <c:strRef>
              <c:f>Лист1!$D$1</c:f>
              <c:strCache>
                <c:ptCount val="1"/>
                <c:pt idx="0">
                  <c:v>3-я група</c:v>
                </c:pt>
              </c:strCache>
            </c:strRef>
          </c:tx>
          <c:invertIfNegative val="0"/>
          <c:dLbls>
            <c:dLbl>
              <c:idx val="1"/>
              <c:layout>
                <c:manualLayout>
                  <c:x val="1.062277925362849E-2"/>
                  <c:y val="-5.4738560423499096E-2"/>
                </c:manualLayout>
              </c:layout>
              <c:dLblPos val="outEnd"/>
              <c:showLegendKey val="0"/>
              <c:showVal val="1"/>
              <c:showCatName val="0"/>
              <c:showSerName val="0"/>
              <c:showPercent val="0"/>
              <c:showBubbleSize val="0"/>
            </c:dLbl>
            <c:dLbl>
              <c:idx val="2"/>
              <c:layout>
                <c:manualLayout>
                  <c:x val="2.3369947070120408E-2"/>
                  <c:y val="-4.6095629830315045E-2"/>
                </c:manualLayout>
              </c:layout>
              <c:dLblPos val="outEnd"/>
              <c:showLegendKey val="0"/>
              <c:showVal val="1"/>
              <c:showCatName val="0"/>
              <c:showSerName val="0"/>
              <c:showPercent val="0"/>
              <c:showBubbleSize val="0"/>
            </c:dLbl>
            <c:dLbl>
              <c:idx val="3"/>
              <c:layout>
                <c:manualLayout>
                  <c:x val="7.0853101182390644E-3"/>
                  <c:y val="-4.7329686061992771E-3"/>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Лист1!$D$2</c:f>
              <c:numCache>
                <c:formatCode>General</c:formatCode>
                <c:ptCount val="1"/>
                <c:pt idx="0">
                  <c:v>963</c:v>
                </c:pt>
              </c:numCache>
            </c:numRef>
          </c:val>
        </c:ser>
        <c:ser>
          <c:idx val="3"/>
          <c:order val="3"/>
          <c:tx>
            <c:strRef>
              <c:f>Лист1!$E$1</c:f>
              <c:strCache>
                <c:ptCount val="1"/>
                <c:pt idx="0">
                  <c:v>4-а група</c:v>
                </c:pt>
              </c:strCache>
            </c:strRef>
          </c:tx>
          <c:invertIfNegative val="0"/>
          <c:dLbls>
            <c:dLbl>
              <c:idx val="1"/>
              <c:layout>
                <c:manualLayout>
                  <c:x val="5.9487563820319514E-2"/>
                  <c:y val="2.8809768643946881E-2"/>
                </c:manualLayout>
              </c:layout>
              <c:dLblPos val="outEnd"/>
              <c:showLegendKey val="0"/>
              <c:showVal val="1"/>
              <c:showCatName val="0"/>
              <c:showSerName val="0"/>
              <c:showPercent val="0"/>
              <c:showBubbleSize val="0"/>
            </c:dLbl>
            <c:dLbl>
              <c:idx val="2"/>
              <c:layout>
                <c:manualLayout>
                  <c:x val="1.6996446805805639E-2"/>
                  <c:y val="-2.5928791779552183E-2"/>
                </c:manualLayout>
              </c:layout>
              <c:dLblPos val="outEnd"/>
              <c:showLegendKey val="0"/>
              <c:showVal val="1"/>
              <c:showCatName val="0"/>
              <c:showSerName val="0"/>
              <c:showPercent val="0"/>
              <c:showBubbleSize val="0"/>
            </c:dLbl>
            <c:dLbl>
              <c:idx val="3"/>
              <c:layout>
                <c:manualLayout>
                  <c:x val="3.1868337760885442E-2"/>
                  <c:y val="-2.8809768643946881E-3"/>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Лист1!$E$2</c:f>
              <c:numCache>
                <c:formatCode>General</c:formatCode>
                <c:ptCount val="1"/>
                <c:pt idx="0">
                  <c:v>877.5</c:v>
                </c:pt>
              </c:numCache>
            </c:numRef>
          </c:val>
        </c:ser>
        <c:dLbls>
          <c:showLegendKey val="0"/>
          <c:showVal val="0"/>
          <c:showCatName val="0"/>
          <c:showSerName val="0"/>
          <c:showPercent val="0"/>
          <c:showBubbleSize val="0"/>
        </c:dLbls>
        <c:gapWidth val="150"/>
        <c:overlap val="-44"/>
        <c:axId val="341027456"/>
        <c:axId val="343118208"/>
      </c:barChart>
      <c:catAx>
        <c:axId val="341027456"/>
        <c:scaling>
          <c:orientation val="minMax"/>
        </c:scaling>
        <c:delete val="0"/>
        <c:axPos val="b"/>
        <c:numFmt formatCode="General" sourceLinked="0"/>
        <c:majorTickMark val="out"/>
        <c:minorTickMark val="none"/>
        <c:tickLblPos val="nextTo"/>
        <c:crossAx val="343118208"/>
        <c:crosses val="autoZero"/>
        <c:auto val="1"/>
        <c:lblAlgn val="ctr"/>
        <c:lblOffset val="100"/>
        <c:noMultiLvlLbl val="0"/>
      </c:catAx>
      <c:valAx>
        <c:axId val="343118208"/>
        <c:scaling>
          <c:orientation val="minMax"/>
        </c:scaling>
        <c:delete val="0"/>
        <c:axPos val="l"/>
        <c:numFmt formatCode="General" sourceLinked="1"/>
        <c:majorTickMark val="out"/>
        <c:minorTickMark val="none"/>
        <c:tickLblPos val="nextTo"/>
        <c:crossAx val="341027456"/>
        <c:crosses val="autoZero"/>
        <c:crossBetween val="between"/>
      </c:valAx>
    </c:plotArea>
    <c:legend>
      <c:legendPos val="r"/>
      <c:layout>
        <c:manualLayout>
          <c:xMode val="edge"/>
          <c:yMode val="edge"/>
          <c:x val="0.11920614116676793"/>
          <c:y val="0.87143569959473777"/>
          <c:w val="0.64695655311127342"/>
          <c:h val="0.10972574983946481"/>
        </c:manualLayout>
      </c:layout>
      <c:overlay val="0"/>
      <c:txPr>
        <a:bodyPr/>
        <a:lstStyle/>
        <a:p>
          <a:pPr>
            <a:defRPr sz="1400"/>
          </a:pPr>
          <a:endParaRPr lang="ru-RU"/>
        </a:p>
      </c:txPr>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55988307729082E-2"/>
          <c:y val="3.8840262732745601E-2"/>
          <c:w val="0.87793573469483432"/>
          <c:h val="0.76157640081591149"/>
        </c:manualLayout>
      </c:layout>
      <c:barChart>
        <c:barDir val="col"/>
        <c:grouping val="clustered"/>
        <c:varyColors val="0"/>
        <c:ser>
          <c:idx val="0"/>
          <c:order val="0"/>
          <c:tx>
            <c:strRef>
              <c:f>Лист1!$B$1</c:f>
              <c:strCache>
                <c:ptCount val="1"/>
                <c:pt idx="0">
                  <c:v>Контрольна</c:v>
                </c:pt>
              </c:strCache>
            </c:strRef>
          </c:tx>
          <c:invertIfNegative val="0"/>
          <c:dLbls>
            <c:dLbl>
              <c:idx val="0"/>
              <c:layout>
                <c:manualLayout>
                  <c:x val="0"/>
                  <c:y val="-2.8809768643946881E-2"/>
                </c:manualLayout>
              </c:layout>
              <c:spPr/>
              <c:txPr>
                <a:bodyPr/>
                <a:lstStyle/>
                <a:p>
                  <a:pPr>
                    <a:defRPr/>
                  </a:pPr>
                  <a:endParaRPr lang="ru-RU"/>
                </a:p>
              </c:txPr>
              <c:dLblPos val="outEnd"/>
              <c:showLegendKey val="0"/>
              <c:showVal val="1"/>
              <c:showCatName val="0"/>
              <c:showSerName val="0"/>
              <c:showPercent val="0"/>
              <c:showBubbleSize val="0"/>
            </c:dLbl>
            <c:showLegendKey val="0"/>
            <c:showVal val="0"/>
            <c:showCatName val="0"/>
            <c:showSerName val="0"/>
            <c:showPercent val="0"/>
            <c:showBubbleSize val="0"/>
          </c:dLbls>
          <c:cat>
            <c:strRef>
              <c:f>Лист1!$A$2</c:f>
              <c:strCache>
                <c:ptCount val="1"/>
                <c:pt idx="0">
                  <c:v>28-а доба</c:v>
                </c:pt>
              </c:strCache>
            </c:strRef>
          </c:cat>
          <c:val>
            <c:numRef>
              <c:f>Лист1!$B$2</c:f>
              <c:numCache>
                <c:formatCode>General</c:formatCode>
                <c:ptCount val="1"/>
                <c:pt idx="0">
                  <c:v>1059.5</c:v>
                </c:pt>
              </c:numCache>
            </c:numRef>
          </c:val>
        </c:ser>
        <c:ser>
          <c:idx val="1"/>
          <c:order val="1"/>
          <c:tx>
            <c:strRef>
              <c:f>Лист1!$C$1</c:f>
              <c:strCache>
                <c:ptCount val="1"/>
                <c:pt idx="0">
                  <c:v>2-а група</c:v>
                </c:pt>
              </c:strCache>
            </c:strRef>
          </c:tx>
          <c:invertIfNegative val="0"/>
          <c:dLbls>
            <c:dLbl>
              <c:idx val="1"/>
              <c:layout>
                <c:manualLayout>
                  <c:x val="-2.9743781910159736E-2"/>
                  <c:y val="-2.3047814915157498E-2"/>
                </c:manualLayout>
              </c:layout>
              <c:dLblPos val="outEnd"/>
              <c:showLegendKey val="0"/>
              <c:showVal val="1"/>
              <c:showCatName val="0"/>
              <c:showSerName val="0"/>
              <c:showPercent val="0"/>
              <c:showBubbleSize val="0"/>
            </c:dLbl>
            <c:dLbl>
              <c:idx val="2"/>
              <c:layout>
                <c:manualLayout>
                  <c:x val="-2.1247231385879608E-3"/>
                  <c:y val="-2.5928791779552197E-2"/>
                </c:manualLayout>
              </c:layout>
              <c:dLblPos val="outEnd"/>
              <c:showLegendKey val="0"/>
              <c:showVal val="1"/>
              <c:showCatName val="0"/>
              <c:showSerName val="0"/>
              <c:showPercent val="0"/>
              <c:showBubbleSize val="0"/>
            </c:dLbl>
            <c:dLbl>
              <c:idx val="3"/>
              <c:layout>
                <c:manualLayout>
                  <c:x val="-4.6742738033899223E-2"/>
                  <c:y val="8.6427037446120611E-3"/>
                </c:manualLayout>
              </c:layout>
              <c:dLblPos val="outEnd"/>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c:f>
              <c:strCache>
                <c:ptCount val="1"/>
                <c:pt idx="0">
                  <c:v>28-а доба</c:v>
                </c:pt>
              </c:strCache>
            </c:strRef>
          </c:cat>
          <c:val>
            <c:numRef>
              <c:f>Лист1!$C$2</c:f>
              <c:numCache>
                <c:formatCode>General</c:formatCode>
                <c:ptCount val="1"/>
                <c:pt idx="0">
                  <c:v>1031.4000000000001</c:v>
                </c:pt>
              </c:numCache>
            </c:numRef>
          </c:val>
        </c:ser>
        <c:ser>
          <c:idx val="2"/>
          <c:order val="2"/>
          <c:tx>
            <c:strRef>
              <c:f>Лист1!$D$1</c:f>
              <c:strCache>
                <c:ptCount val="1"/>
                <c:pt idx="0">
                  <c:v>3-я група</c:v>
                </c:pt>
              </c:strCache>
            </c:strRef>
          </c:tx>
          <c:invertIfNegative val="0"/>
          <c:dLbls>
            <c:dLbl>
              <c:idx val="1"/>
              <c:layout>
                <c:manualLayout>
                  <c:x val="2.1245558507256967E-2"/>
                  <c:y val="-3.1690745508341597E-2"/>
                </c:manualLayout>
              </c:layout>
              <c:dLblPos val="outEnd"/>
              <c:showLegendKey val="0"/>
              <c:showVal val="1"/>
              <c:showCatName val="0"/>
              <c:showSerName val="0"/>
              <c:showPercent val="0"/>
              <c:showBubbleSize val="0"/>
            </c:dLbl>
            <c:dLbl>
              <c:idx val="2"/>
              <c:layout>
                <c:manualLayout>
                  <c:x val="3.3992726323748827E-2"/>
                  <c:y val="-2.8809768643946881E-3"/>
                </c:manualLayout>
              </c:layout>
              <c:dLblPos val="outEnd"/>
              <c:showLegendKey val="0"/>
              <c:showVal val="1"/>
              <c:showCatName val="0"/>
              <c:showSerName val="0"/>
              <c:showPercent val="0"/>
              <c:showBubbleSize val="0"/>
            </c:dLbl>
            <c:dLbl>
              <c:idx val="3"/>
              <c:layout>
                <c:manualLayout>
                  <c:x val="7.0853101182390644E-3"/>
                  <c:y val="-4.7329686061992771E-3"/>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Лист1!$D$2</c:f>
              <c:numCache>
                <c:formatCode>General</c:formatCode>
                <c:ptCount val="1"/>
                <c:pt idx="0">
                  <c:v>1039.9000000000001</c:v>
                </c:pt>
              </c:numCache>
            </c:numRef>
          </c:val>
        </c:ser>
        <c:ser>
          <c:idx val="3"/>
          <c:order val="3"/>
          <c:tx>
            <c:strRef>
              <c:f>Лист1!$E$1</c:f>
              <c:strCache>
                <c:ptCount val="1"/>
                <c:pt idx="0">
                  <c:v>4-а група</c:v>
                </c:pt>
              </c:strCache>
            </c:strRef>
          </c:tx>
          <c:invertIfNegative val="0"/>
          <c:dLbls>
            <c:dLbl>
              <c:idx val="1"/>
              <c:layout>
                <c:manualLayout>
                  <c:x val="5.9487563820319514E-2"/>
                  <c:y val="2.8809768643946881E-2"/>
                </c:manualLayout>
              </c:layout>
              <c:dLblPos val="outEnd"/>
              <c:showLegendKey val="0"/>
              <c:showVal val="1"/>
              <c:showCatName val="0"/>
              <c:showSerName val="0"/>
              <c:showPercent val="0"/>
              <c:showBubbleSize val="0"/>
            </c:dLbl>
            <c:dLbl>
              <c:idx val="2"/>
              <c:layout>
                <c:manualLayout>
                  <c:x val="4.0366561163788332E-2"/>
                  <c:y val="5.7619537287893789E-3"/>
                </c:manualLayout>
              </c:layout>
              <c:dLblPos val="outEnd"/>
              <c:showLegendKey val="0"/>
              <c:showVal val="1"/>
              <c:showCatName val="0"/>
              <c:showSerName val="0"/>
              <c:showPercent val="0"/>
              <c:showBubbleSize val="0"/>
            </c:dLbl>
            <c:dLbl>
              <c:idx val="3"/>
              <c:layout>
                <c:manualLayout>
                  <c:x val="3.1868337760885442E-2"/>
                  <c:y val="-2.8809768643946881E-3"/>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Лист1!$E$2</c:f>
              <c:numCache>
                <c:formatCode>General</c:formatCode>
                <c:ptCount val="1"/>
                <c:pt idx="0">
                  <c:v>886.3</c:v>
                </c:pt>
              </c:numCache>
            </c:numRef>
          </c:val>
        </c:ser>
        <c:dLbls>
          <c:showLegendKey val="0"/>
          <c:showVal val="0"/>
          <c:showCatName val="0"/>
          <c:showSerName val="0"/>
          <c:showPercent val="0"/>
          <c:showBubbleSize val="0"/>
        </c:dLbls>
        <c:gapWidth val="150"/>
        <c:overlap val="-33"/>
        <c:axId val="355934976"/>
        <c:axId val="355936512"/>
      </c:barChart>
      <c:catAx>
        <c:axId val="355934976"/>
        <c:scaling>
          <c:orientation val="minMax"/>
        </c:scaling>
        <c:delete val="0"/>
        <c:axPos val="b"/>
        <c:numFmt formatCode="General" sourceLinked="0"/>
        <c:majorTickMark val="out"/>
        <c:minorTickMark val="none"/>
        <c:tickLblPos val="nextTo"/>
        <c:crossAx val="355936512"/>
        <c:crosses val="autoZero"/>
        <c:auto val="1"/>
        <c:lblAlgn val="ctr"/>
        <c:lblOffset val="100"/>
        <c:noMultiLvlLbl val="0"/>
      </c:catAx>
      <c:valAx>
        <c:axId val="355936512"/>
        <c:scaling>
          <c:orientation val="minMax"/>
        </c:scaling>
        <c:delete val="0"/>
        <c:axPos val="l"/>
        <c:numFmt formatCode="General" sourceLinked="1"/>
        <c:majorTickMark val="out"/>
        <c:minorTickMark val="none"/>
        <c:tickLblPos val="nextTo"/>
        <c:crossAx val="355934976"/>
        <c:crosses val="autoZero"/>
        <c:crossBetween val="between"/>
      </c:valAx>
    </c:plotArea>
    <c:legend>
      <c:legendPos val="r"/>
      <c:layout>
        <c:manualLayout>
          <c:xMode val="edge"/>
          <c:yMode val="edge"/>
          <c:x val="0.16435579158362634"/>
          <c:y val="0.87458082445576657"/>
          <c:w val="0.64727260711116152"/>
          <c:h val="0.1094891328839116"/>
        </c:manualLayout>
      </c:layout>
      <c:overlay val="0"/>
      <c:txPr>
        <a:bodyPr/>
        <a:lstStyle/>
        <a:p>
          <a:pPr>
            <a:defRPr sz="1400"/>
          </a:pPr>
          <a:endParaRPr lang="ru-RU"/>
        </a:p>
      </c:txPr>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55988307729082E-2"/>
          <c:y val="3.8840262732745601E-2"/>
          <c:w val="0.87793573469483432"/>
          <c:h val="0.76157640081591149"/>
        </c:manualLayout>
      </c:layout>
      <c:barChart>
        <c:barDir val="col"/>
        <c:grouping val="clustered"/>
        <c:varyColors val="0"/>
        <c:ser>
          <c:idx val="0"/>
          <c:order val="0"/>
          <c:tx>
            <c:strRef>
              <c:f>Лист1!$B$1</c:f>
              <c:strCache>
                <c:ptCount val="1"/>
                <c:pt idx="0">
                  <c:v>Контрольна</c:v>
                </c:pt>
              </c:strCache>
            </c:strRef>
          </c:tx>
          <c:invertIfNegative val="0"/>
          <c:dLbls>
            <c:dLbl>
              <c:idx val="0"/>
              <c:layout>
                <c:manualLayout>
                  <c:x val="0"/>
                  <c:y val="-2.8809768643946881E-2"/>
                </c:manualLayout>
              </c:layout>
              <c:spPr/>
              <c:txPr>
                <a:bodyPr/>
                <a:lstStyle/>
                <a:p>
                  <a:pPr>
                    <a:defRPr/>
                  </a:pPr>
                  <a:endParaRPr lang="ru-RU"/>
                </a:p>
              </c:txPr>
              <c:dLblPos val="outEnd"/>
              <c:showLegendKey val="0"/>
              <c:showVal val="1"/>
              <c:showCatName val="0"/>
              <c:showSerName val="0"/>
              <c:showPercent val="0"/>
              <c:showBubbleSize val="0"/>
            </c:dLbl>
            <c:showLegendKey val="0"/>
            <c:showVal val="0"/>
            <c:showCatName val="0"/>
            <c:showSerName val="0"/>
            <c:showPercent val="0"/>
            <c:showBubbleSize val="0"/>
          </c:dLbls>
          <c:cat>
            <c:strRef>
              <c:f>Лист1!$A$2</c:f>
              <c:strCache>
                <c:ptCount val="1"/>
                <c:pt idx="0">
                  <c:v>28-а доба</c:v>
                </c:pt>
              </c:strCache>
            </c:strRef>
          </c:cat>
          <c:val>
            <c:numRef>
              <c:f>Лист1!$B$2</c:f>
              <c:numCache>
                <c:formatCode>General</c:formatCode>
                <c:ptCount val="1"/>
                <c:pt idx="0">
                  <c:v>6.8</c:v>
                </c:pt>
              </c:numCache>
            </c:numRef>
          </c:val>
        </c:ser>
        <c:ser>
          <c:idx val="1"/>
          <c:order val="1"/>
          <c:tx>
            <c:strRef>
              <c:f>Лист1!$C$1</c:f>
              <c:strCache>
                <c:ptCount val="1"/>
                <c:pt idx="0">
                  <c:v>2-а група</c:v>
                </c:pt>
              </c:strCache>
            </c:strRef>
          </c:tx>
          <c:invertIfNegative val="0"/>
          <c:dLbls>
            <c:dLbl>
              <c:idx val="1"/>
              <c:layout>
                <c:manualLayout>
                  <c:x val="-1.062277925362849E-2"/>
                  <c:y val="0"/>
                </c:manualLayout>
              </c:layout>
              <c:dLblPos val="outEnd"/>
              <c:showLegendKey val="0"/>
              <c:showVal val="1"/>
              <c:showCatName val="0"/>
              <c:showSerName val="0"/>
              <c:showPercent val="0"/>
              <c:showBubbleSize val="0"/>
            </c:dLbl>
            <c:dLbl>
              <c:idx val="2"/>
              <c:layout>
                <c:manualLayout>
                  <c:x val="-1.6996614093667834E-2"/>
                  <c:y val="5.7619537287893789E-3"/>
                </c:manualLayout>
              </c:layout>
              <c:dLblPos val="outEnd"/>
              <c:showLegendKey val="0"/>
              <c:showVal val="1"/>
              <c:showCatName val="0"/>
              <c:showSerName val="0"/>
              <c:showPercent val="0"/>
              <c:showBubbleSize val="0"/>
            </c:dLbl>
            <c:dLbl>
              <c:idx val="3"/>
              <c:layout>
                <c:manualLayout>
                  <c:x val="-6.3761768701110126E-3"/>
                  <c:y val="-2.2684857199958207E-7"/>
                </c:manualLayout>
              </c:layout>
              <c:dLblPos val="outEnd"/>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c:f>
              <c:strCache>
                <c:ptCount val="1"/>
                <c:pt idx="0">
                  <c:v>28-а доба</c:v>
                </c:pt>
              </c:strCache>
            </c:strRef>
          </c:cat>
          <c:val>
            <c:numRef>
              <c:f>Лист1!$C$2</c:f>
              <c:numCache>
                <c:formatCode>General</c:formatCode>
                <c:ptCount val="1"/>
                <c:pt idx="0">
                  <c:v>6.9</c:v>
                </c:pt>
              </c:numCache>
            </c:numRef>
          </c:val>
        </c:ser>
        <c:ser>
          <c:idx val="2"/>
          <c:order val="2"/>
          <c:tx>
            <c:strRef>
              <c:f>Лист1!$D$1</c:f>
              <c:strCache>
                <c:ptCount val="1"/>
                <c:pt idx="0">
                  <c:v>3-я група</c:v>
                </c:pt>
              </c:strCache>
            </c:strRef>
          </c:tx>
          <c:invertIfNegative val="0"/>
          <c:dLbls>
            <c:dLbl>
              <c:idx val="1"/>
              <c:layout>
                <c:manualLayout>
                  <c:x val="8.4982234029027676E-3"/>
                  <c:y val="-8.6429305931840714E-3"/>
                </c:manualLayout>
              </c:layout>
              <c:dLblPos val="outEnd"/>
              <c:showLegendKey val="0"/>
              <c:showVal val="1"/>
              <c:showCatName val="0"/>
              <c:showSerName val="0"/>
              <c:showPercent val="0"/>
              <c:showBubbleSize val="0"/>
            </c:dLbl>
            <c:dLbl>
              <c:idx val="2"/>
              <c:layout>
                <c:manualLayout>
                  <c:x val="-2.1247231385879608E-3"/>
                  <c:y val="-8.6429305931840714E-3"/>
                </c:manualLayout>
              </c:layout>
              <c:dLblPos val="outEnd"/>
              <c:showLegendKey val="0"/>
              <c:showVal val="1"/>
              <c:showCatName val="0"/>
              <c:showSerName val="0"/>
              <c:showPercent val="0"/>
              <c:showBubbleSize val="0"/>
            </c:dLbl>
            <c:dLbl>
              <c:idx val="3"/>
              <c:layout>
                <c:manualLayout>
                  <c:x val="7.0853101182390644E-3"/>
                  <c:y val="-4.7329686061992771E-3"/>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Лист1!$D$2</c:f>
              <c:numCache>
                <c:formatCode>General</c:formatCode>
                <c:ptCount val="1"/>
                <c:pt idx="0">
                  <c:v>7</c:v>
                </c:pt>
              </c:numCache>
            </c:numRef>
          </c:val>
        </c:ser>
        <c:ser>
          <c:idx val="3"/>
          <c:order val="3"/>
          <c:tx>
            <c:strRef>
              <c:f>Лист1!$E$1</c:f>
              <c:strCache>
                <c:ptCount val="1"/>
                <c:pt idx="0">
                  <c:v>4-а група</c:v>
                </c:pt>
              </c:strCache>
            </c:strRef>
          </c:tx>
          <c:invertIfNegative val="0"/>
          <c:dLbls>
            <c:dLbl>
              <c:idx val="1"/>
              <c:layout>
                <c:manualLayout>
                  <c:x val="6.3736675521770892E-3"/>
                  <c:y val="-8.6429305931840714E-3"/>
                </c:manualLayout>
              </c:layout>
              <c:dLblPos val="outEnd"/>
              <c:showLegendKey val="0"/>
              <c:showVal val="1"/>
              <c:showCatName val="0"/>
              <c:showSerName val="0"/>
              <c:showPercent val="0"/>
              <c:showBubbleSize val="0"/>
            </c:dLbl>
            <c:dLbl>
              <c:idx val="2"/>
              <c:layout>
                <c:manualLayout>
                  <c:x val="1.2747167816491906E-2"/>
                  <c:y val="5.7619537287893789E-3"/>
                </c:manualLayout>
              </c:layout>
              <c:dLblPos val="outEnd"/>
              <c:showLegendKey val="0"/>
              <c:showVal val="1"/>
              <c:showCatName val="0"/>
              <c:showSerName val="0"/>
              <c:showPercent val="0"/>
              <c:showBubbleSize val="0"/>
            </c:dLbl>
            <c:dLbl>
              <c:idx val="3"/>
              <c:layout>
                <c:manualLayout>
                  <c:x val="3.1868337760885442E-2"/>
                  <c:y val="-2.8809768643946881E-3"/>
                </c:manualLayout>
              </c:layout>
              <c:dLblPos val="outEnd"/>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Лист1!$A$2</c:f>
              <c:strCache>
                <c:ptCount val="1"/>
                <c:pt idx="0">
                  <c:v>28-а доба</c:v>
                </c:pt>
              </c:strCache>
            </c:strRef>
          </c:cat>
          <c:val>
            <c:numRef>
              <c:f>Лист1!$E$2</c:f>
              <c:numCache>
                <c:formatCode>General</c:formatCode>
                <c:ptCount val="1"/>
                <c:pt idx="0">
                  <c:v>7</c:v>
                </c:pt>
              </c:numCache>
            </c:numRef>
          </c:val>
        </c:ser>
        <c:dLbls>
          <c:showLegendKey val="0"/>
          <c:showVal val="0"/>
          <c:showCatName val="0"/>
          <c:showSerName val="0"/>
          <c:showPercent val="0"/>
          <c:showBubbleSize val="0"/>
        </c:dLbls>
        <c:gapWidth val="150"/>
        <c:overlap val="-43"/>
        <c:axId val="377060352"/>
        <c:axId val="388490368"/>
      </c:barChart>
      <c:catAx>
        <c:axId val="377060352"/>
        <c:scaling>
          <c:orientation val="minMax"/>
        </c:scaling>
        <c:delete val="0"/>
        <c:axPos val="b"/>
        <c:numFmt formatCode="General" sourceLinked="0"/>
        <c:majorTickMark val="out"/>
        <c:minorTickMark val="none"/>
        <c:tickLblPos val="nextTo"/>
        <c:crossAx val="388490368"/>
        <c:crosses val="autoZero"/>
        <c:auto val="1"/>
        <c:lblAlgn val="ctr"/>
        <c:lblOffset val="100"/>
        <c:noMultiLvlLbl val="0"/>
      </c:catAx>
      <c:valAx>
        <c:axId val="388490368"/>
        <c:scaling>
          <c:orientation val="minMax"/>
        </c:scaling>
        <c:delete val="0"/>
        <c:axPos val="l"/>
        <c:numFmt formatCode="General" sourceLinked="1"/>
        <c:majorTickMark val="out"/>
        <c:minorTickMark val="none"/>
        <c:tickLblPos val="nextTo"/>
        <c:crossAx val="377060352"/>
        <c:crosses val="autoZero"/>
        <c:crossBetween val="between"/>
      </c:valAx>
    </c:plotArea>
    <c:legend>
      <c:legendPos val="r"/>
      <c:layout>
        <c:manualLayout>
          <c:xMode val="edge"/>
          <c:yMode val="edge"/>
          <c:x val="0.16382302534952833"/>
          <c:y val="0.87157906266353502"/>
          <c:w val="0.64727260711116152"/>
          <c:h val="0.10972574983946481"/>
        </c:manualLayout>
      </c:layout>
      <c:overlay val="0"/>
      <c:txPr>
        <a:bodyPr/>
        <a:lstStyle/>
        <a:p>
          <a:pPr>
            <a:defRPr sz="1400"/>
          </a:pPr>
          <a:endParaRPr lang="ru-RU"/>
        </a:p>
      </c:txPr>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2307692307692337E-2"/>
          <c:y val="6.5116279069767469E-2"/>
          <c:w val="0.92923076923076897"/>
          <c:h val="0.6000000000000002"/>
        </c:manualLayout>
      </c:layout>
      <c:lineChart>
        <c:grouping val="standard"/>
        <c:varyColors val="0"/>
        <c:ser>
          <c:idx val="0"/>
          <c:order val="0"/>
          <c:tx>
            <c:strRef>
              <c:f>Sheet1!$A$2</c:f>
              <c:strCache>
                <c:ptCount val="1"/>
                <c:pt idx="0">
                  <c:v>Іа підгрупа</c:v>
                </c:pt>
              </c:strCache>
            </c:strRef>
          </c:tx>
          <c:cat>
            <c:strRef>
              <c:f>Sheet1!$B$1:$E$1</c:f>
              <c:strCache>
                <c:ptCount val="4"/>
                <c:pt idx="0">
                  <c:v>на початку лікуванні</c:v>
                </c:pt>
                <c:pt idx="1">
                  <c:v>через 4 тиж</c:v>
                </c:pt>
                <c:pt idx="2">
                  <c:v>черз 12 тиж</c:v>
                </c:pt>
                <c:pt idx="3">
                  <c:v>через 24 тиж</c:v>
                </c:pt>
              </c:strCache>
            </c:strRef>
          </c:cat>
          <c:val>
            <c:numRef>
              <c:f>Sheet1!$B$2:$E$2</c:f>
              <c:numCache>
                <c:formatCode>General</c:formatCode>
                <c:ptCount val="4"/>
                <c:pt idx="0">
                  <c:v>3.9</c:v>
                </c:pt>
                <c:pt idx="1">
                  <c:v>9.9</c:v>
                </c:pt>
                <c:pt idx="2">
                  <c:v>13.4</c:v>
                </c:pt>
                <c:pt idx="3">
                  <c:v>14</c:v>
                </c:pt>
              </c:numCache>
            </c:numRef>
          </c:val>
          <c:smooth val="0"/>
          <c:extLst xmlns:c16r2="http://schemas.microsoft.com/office/drawing/2015/06/chart">
            <c:ext xmlns:c16="http://schemas.microsoft.com/office/drawing/2014/chart" uri="{C3380CC4-5D6E-409C-BE32-E72D297353CC}">
              <c16:uniqueId val="{00000000-5B20-4C72-8BA2-688F2F7E3151}"/>
            </c:ext>
          </c:extLst>
        </c:ser>
        <c:ser>
          <c:idx val="1"/>
          <c:order val="1"/>
          <c:tx>
            <c:strRef>
              <c:f>Sheet1!$A$3</c:f>
              <c:strCache>
                <c:ptCount val="1"/>
                <c:pt idx="0">
                  <c:v>Іб підгрупа</c:v>
                </c:pt>
              </c:strCache>
            </c:strRef>
          </c:tx>
          <c:cat>
            <c:strRef>
              <c:f>Sheet1!$B$1:$E$1</c:f>
              <c:strCache>
                <c:ptCount val="4"/>
                <c:pt idx="0">
                  <c:v>на початку лікуванні</c:v>
                </c:pt>
                <c:pt idx="1">
                  <c:v>через 4 тиж</c:v>
                </c:pt>
                <c:pt idx="2">
                  <c:v>черз 12 тиж</c:v>
                </c:pt>
                <c:pt idx="3">
                  <c:v>через 24 тиж</c:v>
                </c:pt>
              </c:strCache>
            </c:strRef>
          </c:cat>
          <c:val>
            <c:numRef>
              <c:f>Sheet1!$B$3:$E$3</c:f>
              <c:numCache>
                <c:formatCode>General</c:formatCode>
                <c:ptCount val="4"/>
                <c:pt idx="0">
                  <c:v>4.0999999999999996</c:v>
                </c:pt>
                <c:pt idx="1">
                  <c:v>9.9</c:v>
                </c:pt>
                <c:pt idx="2">
                  <c:v>15.8</c:v>
                </c:pt>
                <c:pt idx="3">
                  <c:v>16.3</c:v>
                </c:pt>
              </c:numCache>
            </c:numRef>
          </c:val>
          <c:smooth val="0"/>
          <c:extLst xmlns:c16r2="http://schemas.microsoft.com/office/drawing/2015/06/chart">
            <c:ext xmlns:c16="http://schemas.microsoft.com/office/drawing/2014/chart" uri="{C3380CC4-5D6E-409C-BE32-E72D297353CC}">
              <c16:uniqueId val="{00000001-5B20-4C72-8BA2-688F2F7E3151}"/>
            </c:ext>
          </c:extLst>
        </c:ser>
        <c:ser>
          <c:idx val="2"/>
          <c:order val="2"/>
          <c:tx>
            <c:strRef>
              <c:f>Sheet1!$A$4</c:f>
              <c:strCache>
                <c:ptCount val="1"/>
                <c:pt idx="0">
                  <c:v>ІІ група</c:v>
                </c:pt>
              </c:strCache>
            </c:strRef>
          </c:tx>
          <c:marker>
            <c:symbol val="none"/>
          </c:marker>
          <c:cat>
            <c:strRef>
              <c:f>Sheet1!$B$1:$E$1</c:f>
              <c:strCache>
                <c:ptCount val="4"/>
                <c:pt idx="0">
                  <c:v>на початку лікуванні</c:v>
                </c:pt>
                <c:pt idx="1">
                  <c:v>через 4 тиж</c:v>
                </c:pt>
                <c:pt idx="2">
                  <c:v>черз 12 тиж</c:v>
                </c:pt>
                <c:pt idx="3">
                  <c:v>через 24 тиж</c:v>
                </c:pt>
              </c:strCache>
            </c:strRef>
          </c:cat>
          <c:val>
            <c:numRef>
              <c:f>Sheet1!$B$4:$E$4</c:f>
              <c:numCache>
                <c:formatCode>General</c:formatCode>
                <c:ptCount val="4"/>
                <c:pt idx="0">
                  <c:v>16.7</c:v>
                </c:pt>
                <c:pt idx="1">
                  <c:v>16.7</c:v>
                </c:pt>
                <c:pt idx="2">
                  <c:v>16.7</c:v>
                </c:pt>
                <c:pt idx="3">
                  <c:v>16.7</c:v>
                </c:pt>
              </c:numCache>
            </c:numRef>
          </c:val>
          <c:smooth val="0"/>
          <c:extLst xmlns:c16r2="http://schemas.microsoft.com/office/drawing/2015/06/chart">
            <c:ext xmlns:c16="http://schemas.microsoft.com/office/drawing/2014/chart" uri="{C3380CC4-5D6E-409C-BE32-E72D297353CC}">
              <c16:uniqueId val="{00000002-5B20-4C72-8BA2-688F2F7E3151}"/>
            </c:ext>
          </c:extLst>
        </c:ser>
        <c:dLbls>
          <c:showLegendKey val="0"/>
          <c:showVal val="0"/>
          <c:showCatName val="0"/>
          <c:showSerName val="0"/>
          <c:showPercent val="0"/>
          <c:showBubbleSize val="0"/>
        </c:dLbls>
        <c:marker val="1"/>
        <c:smooth val="0"/>
        <c:axId val="355155328"/>
        <c:axId val="355165312"/>
      </c:lineChart>
      <c:catAx>
        <c:axId val="355155328"/>
        <c:scaling>
          <c:orientation val="minMax"/>
        </c:scaling>
        <c:delete val="0"/>
        <c:axPos val="b"/>
        <c:numFmt formatCode="General" sourceLinked="1"/>
        <c:majorTickMark val="out"/>
        <c:minorTickMark val="none"/>
        <c:tickLblPos val="nextTo"/>
        <c:txPr>
          <a:bodyPr rot="0" vert="horz"/>
          <a:lstStyle/>
          <a:p>
            <a:pPr>
              <a:defRPr/>
            </a:pPr>
            <a:endParaRPr lang="ru-RU"/>
          </a:p>
        </c:txPr>
        <c:crossAx val="355165312"/>
        <c:crosses val="autoZero"/>
        <c:auto val="1"/>
        <c:lblAlgn val="ctr"/>
        <c:lblOffset val="100"/>
        <c:tickLblSkip val="1"/>
        <c:tickMarkSkip val="1"/>
        <c:noMultiLvlLbl val="0"/>
      </c:catAx>
      <c:valAx>
        <c:axId val="355165312"/>
        <c:scaling>
          <c:orientation val="minMax"/>
        </c:scaling>
        <c:delete val="0"/>
        <c:axPos val="l"/>
        <c:numFmt formatCode="General" sourceLinked="1"/>
        <c:majorTickMark val="out"/>
        <c:minorTickMark val="none"/>
        <c:tickLblPos val="nextTo"/>
        <c:txPr>
          <a:bodyPr rot="0" vert="horz"/>
          <a:lstStyle/>
          <a:p>
            <a:pPr>
              <a:defRPr/>
            </a:pPr>
            <a:endParaRPr lang="ru-RU"/>
          </a:p>
        </c:txPr>
        <c:crossAx val="355155328"/>
        <c:crosses val="autoZero"/>
        <c:crossBetween val="between"/>
      </c:valAx>
    </c:plotArea>
    <c:legend>
      <c:legendPos val="r"/>
      <c:layout>
        <c:manualLayout>
          <c:xMode val="edge"/>
          <c:yMode val="edge"/>
          <c:x val="0.13696051979516546"/>
          <c:y val="0.88095236475570149"/>
          <c:w val="0.76735458766954823"/>
          <c:h val="9.5238062844736238E-2"/>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2307692307692337E-2"/>
          <c:y val="6.5116279069767469E-2"/>
          <c:w val="0.92923076923076897"/>
          <c:h val="0.6000000000000002"/>
        </c:manualLayout>
      </c:layout>
      <c:lineChart>
        <c:grouping val="standard"/>
        <c:varyColors val="0"/>
        <c:ser>
          <c:idx val="0"/>
          <c:order val="0"/>
          <c:tx>
            <c:strRef>
              <c:f>Sheet1!$A$2</c:f>
              <c:strCache>
                <c:ptCount val="1"/>
                <c:pt idx="0">
                  <c:v>Іа підгрупа</c:v>
                </c:pt>
              </c:strCache>
            </c:strRef>
          </c:tx>
          <c:cat>
            <c:strRef>
              <c:f>Sheet1!$B$1:$E$1</c:f>
              <c:strCache>
                <c:ptCount val="4"/>
                <c:pt idx="0">
                  <c:v>на початку лікуванні</c:v>
                </c:pt>
                <c:pt idx="1">
                  <c:v>через 4 тиж</c:v>
                </c:pt>
                <c:pt idx="2">
                  <c:v>черз 12 тиж</c:v>
                </c:pt>
                <c:pt idx="3">
                  <c:v>через 24 тиж</c:v>
                </c:pt>
              </c:strCache>
            </c:strRef>
          </c:cat>
          <c:val>
            <c:numRef>
              <c:f>Sheet1!$B$2:$E$2</c:f>
              <c:numCache>
                <c:formatCode>General</c:formatCode>
                <c:ptCount val="4"/>
                <c:pt idx="0">
                  <c:v>8.9</c:v>
                </c:pt>
                <c:pt idx="1">
                  <c:v>11.2</c:v>
                </c:pt>
                <c:pt idx="2">
                  <c:v>14</c:v>
                </c:pt>
                <c:pt idx="3">
                  <c:v>14.9</c:v>
                </c:pt>
              </c:numCache>
            </c:numRef>
          </c:val>
          <c:smooth val="0"/>
          <c:extLst xmlns:c16r2="http://schemas.microsoft.com/office/drawing/2015/06/chart">
            <c:ext xmlns:c16="http://schemas.microsoft.com/office/drawing/2014/chart" uri="{C3380CC4-5D6E-409C-BE32-E72D297353CC}">
              <c16:uniqueId val="{00000000-FAB8-4906-8D7D-517A80EAA499}"/>
            </c:ext>
          </c:extLst>
        </c:ser>
        <c:ser>
          <c:idx val="1"/>
          <c:order val="1"/>
          <c:tx>
            <c:strRef>
              <c:f>Sheet1!$A$3</c:f>
              <c:strCache>
                <c:ptCount val="1"/>
                <c:pt idx="0">
                  <c:v>Іб підгрупа</c:v>
                </c:pt>
              </c:strCache>
            </c:strRef>
          </c:tx>
          <c:cat>
            <c:strRef>
              <c:f>Sheet1!$B$1:$E$1</c:f>
              <c:strCache>
                <c:ptCount val="4"/>
                <c:pt idx="0">
                  <c:v>на початку лікуванні</c:v>
                </c:pt>
                <c:pt idx="1">
                  <c:v>через 4 тиж</c:v>
                </c:pt>
                <c:pt idx="2">
                  <c:v>черз 12 тиж</c:v>
                </c:pt>
                <c:pt idx="3">
                  <c:v>через 24 тиж</c:v>
                </c:pt>
              </c:strCache>
            </c:strRef>
          </c:cat>
          <c:val>
            <c:numRef>
              <c:f>Sheet1!$B$3:$E$3</c:f>
              <c:numCache>
                <c:formatCode>General</c:formatCode>
                <c:ptCount val="4"/>
                <c:pt idx="0">
                  <c:v>10.4</c:v>
                </c:pt>
                <c:pt idx="1">
                  <c:v>12.8</c:v>
                </c:pt>
                <c:pt idx="2">
                  <c:v>16.3</c:v>
                </c:pt>
                <c:pt idx="3">
                  <c:v>17.2</c:v>
                </c:pt>
              </c:numCache>
            </c:numRef>
          </c:val>
          <c:smooth val="0"/>
          <c:extLst xmlns:c16r2="http://schemas.microsoft.com/office/drawing/2015/06/chart">
            <c:ext xmlns:c16="http://schemas.microsoft.com/office/drawing/2014/chart" uri="{C3380CC4-5D6E-409C-BE32-E72D297353CC}">
              <c16:uniqueId val="{00000001-FAB8-4906-8D7D-517A80EAA499}"/>
            </c:ext>
          </c:extLst>
        </c:ser>
        <c:ser>
          <c:idx val="2"/>
          <c:order val="2"/>
          <c:tx>
            <c:strRef>
              <c:f>Sheet1!$A$4</c:f>
              <c:strCache>
                <c:ptCount val="1"/>
                <c:pt idx="0">
                  <c:v>ІІ група</c:v>
                </c:pt>
              </c:strCache>
            </c:strRef>
          </c:tx>
          <c:marker>
            <c:symbol val="none"/>
          </c:marker>
          <c:cat>
            <c:strRef>
              <c:f>Sheet1!$B$1:$E$1</c:f>
              <c:strCache>
                <c:ptCount val="4"/>
                <c:pt idx="0">
                  <c:v>на початку лікуванні</c:v>
                </c:pt>
                <c:pt idx="1">
                  <c:v>через 4 тиж</c:v>
                </c:pt>
                <c:pt idx="2">
                  <c:v>черз 12 тиж</c:v>
                </c:pt>
                <c:pt idx="3">
                  <c:v>через 24 тиж</c:v>
                </c:pt>
              </c:strCache>
            </c:strRef>
          </c:cat>
          <c:val>
            <c:numRef>
              <c:f>Sheet1!$B$4:$E$4</c:f>
              <c:numCache>
                <c:formatCode>General</c:formatCode>
                <c:ptCount val="4"/>
                <c:pt idx="0">
                  <c:v>23</c:v>
                </c:pt>
                <c:pt idx="1">
                  <c:v>23</c:v>
                </c:pt>
                <c:pt idx="2">
                  <c:v>23</c:v>
                </c:pt>
                <c:pt idx="3">
                  <c:v>23</c:v>
                </c:pt>
              </c:numCache>
            </c:numRef>
          </c:val>
          <c:smooth val="0"/>
          <c:extLst xmlns:c16r2="http://schemas.microsoft.com/office/drawing/2015/06/chart">
            <c:ext xmlns:c16="http://schemas.microsoft.com/office/drawing/2014/chart" uri="{C3380CC4-5D6E-409C-BE32-E72D297353CC}">
              <c16:uniqueId val="{00000002-FAB8-4906-8D7D-517A80EAA499}"/>
            </c:ext>
          </c:extLst>
        </c:ser>
        <c:dLbls>
          <c:showLegendKey val="0"/>
          <c:showVal val="0"/>
          <c:showCatName val="0"/>
          <c:showSerName val="0"/>
          <c:showPercent val="0"/>
          <c:showBubbleSize val="0"/>
        </c:dLbls>
        <c:marker val="1"/>
        <c:smooth val="0"/>
        <c:axId val="355188096"/>
        <c:axId val="355214464"/>
      </c:lineChart>
      <c:catAx>
        <c:axId val="355188096"/>
        <c:scaling>
          <c:orientation val="minMax"/>
        </c:scaling>
        <c:delete val="0"/>
        <c:axPos val="b"/>
        <c:numFmt formatCode="General" sourceLinked="1"/>
        <c:majorTickMark val="out"/>
        <c:minorTickMark val="none"/>
        <c:tickLblPos val="nextTo"/>
        <c:txPr>
          <a:bodyPr rot="0" vert="horz"/>
          <a:lstStyle/>
          <a:p>
            <a:pPr>
              <a:defRPr sz="1200"/>
            </a:pPr>
            <a:endParaRPr lang="ru-RU"/>
          </a:p>
        </c:txPr>
        <c:crossAx val="355214464"/>
        <c:crosses val="autoZero"/>
        <c:auto val="1"/>
        <c:lblAlgn val="ctr"/>
        <c:lblOffset val="100"/>
        <c:tickLblSkip val="1"/>
        <c:tickMarkSkip val="1"/>
        <c:noMultiLvlLbl val="0"/>
      </c:catAx>
      <c:valAx>
        <c:axId val="355214464"/>
        <c:scaling>
          <c:orientation val="minMax"/>
        </c:scaling>
        <c:delete val="0"/>
        <c:axPos val="l"/>
        <c:numFmt formatCode="General" sourceLinked="1"/>
        <c:majorTickMark val="out"/>
        <c:minorTickMark val="none"/>
        <c:tickLblPos val="nextTo"/>
        <c:txPr>
          <a:bodyPr rot="0" vert="horz"/>
          <a:lstStyle/>
          <a:p>
            <a:pPr>
              <a:defRPr/>
            </a:pPr>
            <a:endParaRPr lang="ru-RU"/>
          </a:p>
        </c:txPr>
        <c:crossAx val="355188096"/>
        <c:crosses val="autoZero"/>
        <c:crossBetween val="between"/>
      </c:valAx>
    </c:plotArea>
    <c:legend>
      <c:legendPos val="r"/>
      <c:layout>
        <c:manualLayout>
          <c:xMode val="edge"/>
          <c:yMode val="edge"/>
          <c:x val="0.13188620653187583"/>
          <c:y val="0.8462725817809359"/>
          <c:w val="0.69216419502332516"/>
          <c:h val="0.10169494402114287"/>
        </c:manualLayout>
      </c:layout>
      <c:overlay val="0"/>
      <c:txPr>
        <a:bodyPr/>
        <a:lstStyle/>
        <a:p>
          <a:pPr>
            <a:defRPr sz="1200"/>
          </a:pPr>
          <a:endParaRPr lang="ru-RU"/>
        </a:p>
      </c:txPr>
    </c:legend>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66658D-CCF2-4C7F-A792-C6A6065A9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314</Pages>
  <Words>68630</Words>
  <Characters>391192</Characters>
  <Application>Microsoft Office Word</Application>
  <DocSecurity>0</DocSecurity>
  <Lines>3259</Lines>
  <Paragraphs>917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458905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Татьяна</cp:lastModifiedBy>
  <cp:revision>9</cp:revision>
  <cp:lastPrinted>2018-12-17T14:11:00Z</cp:lastPrinted>
  <dcterms:created xsi:type="dcterms:W3CDTF">2018-12-17T07:47:00Z</dcterms:created>
  <dcterms:modified xsi:type="dcterms:W3CDTF">2018-12-17T14:27:00Z</dcterms:modified>
</cp:coreProperties>
</file>