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7415" w:rsidRPr="008B7415" w:rsidRDefault="00091A52" w:rsidP="008B7415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8B7415">
        <w:rPr>
          <w:rFonts w:ascii="Times New Roman" w:hAnsi="Times New Roman" w:cs="Times New Roman"/>
          <w:sz w:val="28"/>
          <w:szCs w:val="28"/>
        </w:rPr>
        <w:t xml:space="preserve">ПАТОЛОГІЧНІ СТАНИ ЩИТОПОДІБНОЇ ЗАЛОЗИ, ЩО НАЙЧАСТІШЕ ЗУСТРІЧАЮТЬСЯ У ЖІНОК РЕПРОДУКТИВНОГО ВІКУ </w:t>
      </w:r>
      <w:proofErr w:type="gramStart"/>
      <w:r w:rsidRPr="008B7415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8B7415">
        <w:rPr>
          <w:rFonts w:ascii="Times New Roman" w:hAnsi="Times New Roman" w:cs="Times New Roman"/>
          <w:sz w:val="28"/>
          <w:szCs w:val="28"/>
        </w:rPr>
        <w:t xml:space="preserve"> АНОМАЛЬНИМИ МАТКОВИМИ КРОВОТЕЧАМИ</w:t>
      </w:r>
    </w:p>
    <w:p w:rsidR="008B7415" w:rsidRPr="008B7415" w:rsidRDefault="00091A52" w:rsidP="008B7415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proofErr w:type="gramStart"/>
      <w:r w:rsidRPr="008B7415">
        <w:rPr>
          <w:rFonts w:ascii="Times New Roman" w:hAnsi="Times New Roman" w:cs="Times New Roman"/>
          <w:sz w:val="28"/>
          <w:szCs w:val="28"/>
        </w:rPr>
        <w:t>Ал</w:t>
      </w:r>
      <w:proofErr w:type="gramEnd"/>
      <w:r w:rsidRPr="008B7415">
        <w:rPr>
          <w:rFonts w:ascii="Times New Roman" w:hAnsi="Times New Roman" w:cs="Times New Roman"/>
          <w:sz w:val="28"/>
          <w:szCs w:val="28"/>
        </w:rPr>
        <w:t>єксєєва</w:t>
      </w:r>
      <w:proofErr w:type="spellEnd"/>
      <w:r w:rsidRPr="008B74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7415">
        <w:rPr>
          <w:rFonts w:ascii="Times New Roman" w:hAnsi="Times New Roman" w:cs="Times New Roman"/>
          <w:sz w:val="28"/>
          <w:szCs w:val="28"/>
        </w:rPr>
        <w:t>О</w:t>
      </w:r>
      <w:r w:rsidRPr="008B741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8B7415">
        <w:rPr>
          <w:rFonts w:ascii="Times New Roman" w:hAnsi="Times New Roman" w:cs="Times New Roman"/>
          <w:sz w:val="28"/>
          <w:szCs w:val="28"/>
        </w:rPr>
        <w:t>С</w:t>
      </w:r>
      <w:r w:rsidRPr="008B7415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Стрюков</w:t>
      </w:r>
      <w:proofErr w:type="spellEnd"/>
      <w:r w:rsidRPr="008B74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7415">
        <w:rPr>
          <w:rFonts w:ascii="Times New Roman" w:hAnsi="Times New Roman" w:cs="Times New Roman"/>
          <w:sz w:val="28"/>
          <w:szCs w:val="28"/>
        </w:rPr>
        <w:t>Д</w:t>
      </w:r>
      <w:r w:rsidRPr="008B741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8B7415">
        <w:rPr>
          <w:rFonts w:ascii="Times New Roman" w:hAnsi="Times New Roman" w:cs="Times New Roman"/>
          <w:sz w:val="28"/>
          <w:szCs w:val="28"/>
        </w:rPr>
        <w:t>В</w:t>
      </w:r>
      <w:r w:rsidRPr="008B7415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8B7415">
        <w:rPr>
          <w:rFonts w:ascii="Times New Roman" w:hAnsi="Times New Roman" w:cs="Times New Roman"/>
          <w:sz w:val="28"/>
          <w:szCs w:val="28"/>
          <w:lang w:val="en-US"/>
        </w:rPr>
        <w:t>Saswat</w:t>
      </w:r>
      <w:proofErr w:type="spellEnd"/>
      <w:r w:rsidRPr="008B7415">
        <w:rPr>
          <w:rFonts w:ascii="Times New Roman" w:hAnsi="Times New Roman" w:cs="Times New Roman"/>
          <w:sz w:val="28"/>
          <w:szCs w:val="28"/>
          <w:lang w:val="en-US"/>
        </w:rPr>
        <w:t xml:space="preserve"> S.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8B74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8B74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8B74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8B741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8B7415">
        <w:rPr>
          <w:rFonts w:ascii="Times New Roman" w:hAnsi="Times New Roman" w:cs="Times New Roman"/>
          <w:sz w:val="28"/>
          <w:szCs w:val="28"/>
        </w:rPr>
        <w:t>кафедра</w:t>
      </w:r>
      <w:r w:rsidRPr="008B74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7415">
        <w:rPr>
          <w:rFonts w:ascii="Times New Roman" w:hAnsi="Times New Roman" w:cs="Times New Roman"/>
          <w:sz w:val="28"/>
          <w:szCs w:val="28"/>
        </w:rPr>
        <w:t>акушерства</w:t>
      </w:r>
      <w:r w:rsidRPr="008B74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7415">
        <w:rPr>
          <w:rFonts w:ascii="Times New Roman" w:hAnsi="Times New Roman" w:cs="Times New Roman"/>
          <w:sz w:val="28"/>
          <w:szCs w:val="28"/>
        </w:rPr>
        <w:t>та</w:t>
      </w:r>
      <w:r w:rsidRPr="008B74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8B7415">
        <w:rPr>
          <w:rFonts w:ascii="Times New Roman" w:hAnsi="Times New Roman" w:cs="Times New Roman"/>
          <w:sz w:val="28"/>
          <w:szCs w:val="28"/>
          <w:lang w:val="en-US"/>
        </w:rPr>
        <w:t xml:space="preserve"> №2,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8B741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Украї</w:t>
      </w:r>
      <w:proofErr w:type="gramStart"/>
      <w:r w:rsidRPr="008B7415">
        <w:rPr>
          <w:rFonts w:ascii="Times New Roman" w:hAnsi="Times New Roman" w:cs="Times New Roman"/>
          <w:sz w:val="28"/>
          <w:szCs w:val="28"/>
        </w:rPr>
        <w:t>на</w:t>
      </w:r>
      <w:proofErr w:type="spellEnd"/>
      <w:proofErr w:type="gramEnd"/>
    </w:p>
    <w:p w:rsidR="008B7415" w:rsidRPr="008B7415" w:rsidRDefault="00091A52" w:rsidP="008B7415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8B74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8B7415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Лазуренко</w:t>
      </w:r>
      <w:proofErr w:type="spellEnd"/>
      <w:r w:rsidRPr="008B74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7415">
        <w:rPr>
          <w:rFonts w:ascii="Times New Roman" w:hAnsi="Times New Roman" w:cs="Times New Roman"/>
          <w:sz w:val="28"/>
          <w:szCs w:val="28"/>
        </w:rPr>
        <w:t>В</w:t>
      </w:r>
      <w:r w:rsidRPr="008B741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8B7415">
        <w:rPr>
          <w:rFonts w:ascii="Times New Roman" w:hAnsi="Times New Roman" w:cs="Times New Roman"/>
          <w:sz w:val="28"/>
          <w:szCs w:val="28"/>
        </w:rPr>
        <w:t>В</w:t>
      </w:r>
      <w:r w:rsidRPr="008B7415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д</w:t>
      </w:r>
      <w:proofErr w:type="spellEnd"/>
      <w:proofErr w:type="gramStart"/>
      <w:r w:rsidRPr="008B741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8B7415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8B7415">
        <w:rPr>
          <w:rFonts w:ascii="Times New Roman" w:hAnsi="Times New Roman" w:cs="Times New Roman"/>
          <w:sz w:val="28"/>
          <w:szCs w:val="28"/>
        </w:rPr>
        <w:t>ед</w:t>
      </w:r>
      <w:r w:rsidRPr="008B7415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н</w:t>
      </w:r>
      <w:proofErr w:type="spellEnd"/>
      <w:r w:rsidRPr="008B7415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професор</w:t>
      </w:r>
      <w:proofErr w:type="spellEnd"/>
      <w:r w:rsidRPr="008B741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завідувач</w:t>
      </w:r>
      <w:proofErr w:type="spellEnd"/>
      <w:r w:rsidRPr="008B74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8B74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7415">
        <w:rPr>
          <w:rFonts w:ascii="Times New Roman" w:hAnsi="Times New Roman" w:cs="Times New Roman"/>
          <w:sz w:val="28"/>
          <w:szCs w:val="28"/>
        </w:rPr>
        <w:t>акушерства</w:t>
      </w:r>
      <w:r w:rsidRPr="008B74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7415">
        <w:rPr>
          <w:rFonts w:ascii="Times New Roman" w:hAnsi="Times New Roman" w:cs="Times New Roman"/>
          <w:sz w:val="28"/>
          <w:szCs w:val="28"/>
        </w:rPr>
        <w:t>та</w:t>
      </w:r>
      <w:r w:rsidRPr="008B74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8B7415">
        <w:rPr>
          <w:rFonts w:ascii="Times New Roman" w:hAnsi="Times New Roman" w:cs="Times New Roman"/>
          <w:sz w:val="28"/>
          <w:szCs w:val="28"/>
          <w:lang w:val="en-US"/>
        </w:rPr>
        <w:t xml:space="preserve"> №2</w:t>
      </w:r>
    </w:p>
    <w:p w:rsidR="00091A52" w:rsidRPr="008B7415" w:rsidRDefault="00091A52" w:rsidP="008B7415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Актуальність</w:t>
      </w:r>
      <w:proofErr w:type="spellEnd"/>
      <w:r w:rsidRPr="008B741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Патологія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щитоподібної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залози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(ЩЗ)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знаходиться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тісному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взаємозв’язку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B7415">
        <w:rPr>
          <w:rFonts w:ascii="Times New Roman" w:hAnsi="Times New Roman" w:cs="Times New Roman"/>
          <w:sz w:val="28"/>
          <w:szCs w:val="28"/>
        </w:rPr>
        <w:t>репродуктивною</w:t>
      </w:r>
      <w:proofErr w:type="gram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функцією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складає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10–20 %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причин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менструального циклу.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ЩЗ у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гінекологічними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захворюваннями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зустрічається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частіше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здорових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. А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аутоімунні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ЩЗ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спричинюють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гормональний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дисбаланс та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призводять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аномальних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маткових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кровтеч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. Мета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важкості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АМК </w:t>
      </w:r>
      <w:proofErr w:type="gramStart"/>
      <w:r w:rsidRPr="008B7415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патологічними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станами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щитоподібної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залози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8B7415">
        <w:rPr>
          <w:rFonts w:ascii="Times New Roman" w:hAnsi="Times New Roman" w:cs="Times New Roman"/>
          <w:sz w:val="28"/>
          <w:szCs w:val="28"/>
        </w:rPr>
        <w:t>Матер</w:t>
      </w:r>
      <w:proofErr w:type="gramEnd"/>
      <w:r w:rsidRPr="008B7415">
        <w:rPr>
          <w:rFonts w:ascii="Times New Roman" w:hAnsi="Times New Roman" w:cs="Times New Roman"/>
          <w:sz w:val="28"/>
          <w:szCs w:val="28"/>
        </w:rPr>
        <w:t>іали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Обстежена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склала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70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B7415">
        <w:rPr>
          <w:rFonts w:ascii="Times New Roman" w:hAnsi="Times New Roman" w:cs="Times New Roman"/>
          <w:sz w:val="28"/>
          <w:szCs w:val="28"/>
        </w:rPr>
        <w:t>репродуктивного</w:t>
      </w:r>
      <w:proofErr w:type="gram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АМК та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патологію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ЩЗ, а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20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АМК без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супутньої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контрольна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ЩЗ у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АМК, 25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клінічний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субклінічний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гіпотиреоз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тл</w:t>
      </w:r>
      <w:proofErr w:type="gramStart"/>
      <w:r w:rsidRPr="008B7415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8B7415">
        <w:rPr>
          <w:rFonts w:ascii="Times New Roman" w:hAnsi="Times New Roman" w:cs="Times New Roman"/>
          <w:sz w:val="28"/>
          <w:szCs w:val="28"/>
        </w:rPr>
        <w:t>ІТ (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І); 30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– АІТ,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еутиреоз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ІІ) та 15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тиреотоксикозом (ІІІ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proofErr w:type="gramStart"/>
      <w:r w:rsidRPr="008B741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B7415">
        <w:rPr>
          <w:rFonts w:ascii="Times New Roman" w:hAnsi="Times New Roman" w:cs="Times New Roman"/>
          <w:sz w:val="28"/>
          <w:szCs w:val="28"/>
        </w:rPr>
        <w:t>іктограми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самооцінки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обсягу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крововтрати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менструації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визначалась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ступінь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важкості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АМК. До та </w:t>
      </w:r>
      <w:proofErr w:type="spellStart"/>
      <w:proofErr w:type="gramStart"/>
      <w:r w:rsidRPr="008B741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B7415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закінчення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(3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місяці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клініко-лабораторно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проводилось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ЩЗ (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тиреотропного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гормону (ТТГ),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вільного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тироксина (вТ4),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сироваткових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антитіл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тиреопероксидази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(АТ до ТПО)), пролактину,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естрогену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лютеїнізуючого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гормону. </w:t>
      </w:r>
      <w:proofErr w:type="spellStart"/>
      <w:proofErr w:type="gramStart"/>
      <w:r w:rsidRPr="008B7415">
        <w:rPr>
          <w:rFonts w:ascii="Times New Roman" w:hAnsi="Times New Roman" w:cs="Times New Roman"/>
          <w:sz w:val="28"/>
          <w:szCs w:val="28"/>
        </w:rPr>
        <w:t>Окрім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комплексної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АМК та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замісної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L-тироксином при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відповідній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ЩЗ,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усі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пацієнтки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отримували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рослинний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препарат на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екстракту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Vitex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Agnus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Castus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>, 20 мг/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добу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8B7415">
        <w:rPr>
          <w:rFonts w:ascii="Times New Roman" w:hAnsi="Times New Roman" w:cs="Times New Roman"/>
          <w:sz w:val="28"/>
          <w:szCs w:val="28"/>
        </w:rPr>
        <w:t xml:space="preserve"> У 59%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, причиною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лікарні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скарги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proofErr w:type="gramStart"/>
      <w:r w:rsidRPr="008B7415">
        <w:rPr>
          <w:rFonts w:ascii="Times New Roman" w:hAnsi="Times New Roman" w:cs="Times New Roman"/>
          <w:sz w:val="28"/>
          <w:szCs w:val="28"/>
        </w:rPr>
        <w:t>кров’янист</w:t>
      </w:r>
      <w:proofErr w:type="gramEnd"/>
      <w:r w:rsidRPr="008B7415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виділення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статевих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шляхів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міжменструальний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, 32 %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рясні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тривалі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менструації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, у 7 %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безпліддя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8B7415">
        <w:rPr>
          <w:rFonts w:ascii="Times New Roman" w:hAnsi="Times New Roman" w:cs="Times New Roman"/>
          <w:sz w:val="28"/>
          <w:szCs w:val="28"/>
        </w:rPr>
        <w:t>Б</w:t>
      </w:r>
      <w:proofErr w:type="gramEnd"/>
      <w:r w:rsidRPr="008B7415">
        <w:rPr>
          <w:rFonts w:ascii="Times New Roman" w:hAnsi="Times New Roman" w:cs="Times New Roman"/>
          <w:sz w:val="28"/>
          <w:szCs w:val="28"/>
        </w:rPr>
        <w:t>ільшість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віком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33 до 37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Нормалізація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B7415">
        <w:rPr>
          <w:rFonts w:ascii="Times New Roman" w:hAnsi="Times New Roman" w:cs="Times New Roman"/>
          <w:sz w:val="28"/>
          <w:szCs w:val="28"/>
        </w:rPr>
        <w:t>менструального</w:t>
      </w:r>
      <w:proofErr w:type="gramEnd"/>
      <w:r w:rsidRPr="008B7415">
        <w:rPr>
          <w:rFonts w:ascii="Times New Roman" w:hAnsi="Times New Roman" w:cs="Times New Roman"/>
          <w:sz w:val="28"/>
          <w:szCs w:val="28"/>
        </w:rPr>
        <w:t xml:space="preserve"> циклу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відзначена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у 80 %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, 75 % та 72 % ІІ та ІІІ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Відмічено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B741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8B7415">
        <w:rPr>
          <w:rFonts w:ascii="Times New Roman" w:hAnsi="Times New Roman" w:cs="Times New Roman"/>
          <w:sz w:val="28"/>
          <w:szCs w:val="28"/>
        </w:rPr>
        <w:t>івнів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ТТГ та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естрогену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І та ІІ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лютеїнізуючого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гормону та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прогестерону у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ІІІ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Констатовано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B741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8B7415">
        <w:rPr>
          <w:rFonts w:ascii="Times New Roman" w:hAnsi="Times New Roman" w:cs="Times New Roman"/>
          <w:sz w:val="28"/>
          <w:szCs w:val="28"/>
        </w:rPr>
        <w:t>івнів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АТ до ТПО на 40 % та 35 % у І та ІІ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, та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lastRenderedPageBreak/>
        <w:t>зниження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ТТГ на 37 % у ІІІ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розгляді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важкості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АМК до початку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, максимальна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тяжкими АМК,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призводили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вторинної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анемії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вимагали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негайного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втручання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в I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- 5 (3,5%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загального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числа); </w:t>
      </w:r>
      <w:proofErr w:type="spellStart"/>
      <w:proofErr w:type="gramStart"/>
      <w:r w:rsidRPr="008B7415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8B7415">
        <w:rPr>
          <w:rFonts w:ascii="Times New Roman" w:hAnsi="Times New Roman" w:cs="Times New Roman"/>
          <w:sz w:val="28"/>
          <w:szCs w:val="28"/>
        </w:rPr>
        <w:t>інімальне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- в ІІI - 3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(2,1%).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Найчастіше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важкі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АМК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зумовлені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клінічним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субклінічним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гіпотиреозом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тл</w:t>
      </w:r>
      <w:proofErr w:type="gramStart"/>
      <w:r w:rsidRPr="008B7415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8B7415">
        <w:rPr>
          <w:rFonts w:ascii="Times New Roman" w:hAnsi="Times New Roman" w:cs="Times New Roman"/>
          <w:sz w:val="28"/>
          <w:szCs w:val="28"/>
        </w:rPr>
        <w:t xml:space="preserve">ІТ, а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частою причиною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МЦ та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безпліддя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Важкість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залежить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стадії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ЩЗ.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Комплексне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рослинного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препарату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Vitex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Agnus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Castus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>, 20 мг/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добу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суттєво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знижує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проліферативні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ендометрія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8B741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B7415">
        <w:rPr>
          <w:rFonts w:ascii="Times New Roman" w:hAnsi="Times New Roman" w:cs="Times New Roman"/>
          <w:sz w:val="28"/>
          <w:szCs w:val="28"/>
        </w:rPr>
        <w:t>ідтримує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секреторну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ЩЖ,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нормалізує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статевих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гормонів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гормонів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ЩЗ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маркерів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аутоімунного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ушкодження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наслідок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знижує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обсяг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крововтрати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нормалізує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менструальний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цикл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тому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рекомендований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 xml:space="preserve"> до широкого </w:t>
      </w:r>
      <w:proofErr w:type="spellStart"/>
      <w:r w:rsidRPr="008B7415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8B7415">
        <w:rPr>
          <w:rFonts w:ascii="Times New Roman" w:hAnsi="Times New Roman" w:cs="Times New Roman"/>
          <w:sz w:val="28"/>
          <w:szCs w:val="28"/>
        </w:rPr>
        <w:t>.</w:t>
      </w:r>
    </w:p>
    <w:sectPr w:rsidR="00091A52" w:rsidRPr="008B74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45406D"/>
    <w:rsid w:val="00091A52"/>
    <w:rsid w:val="00223985"/>
    <w:rsid w:val="0045406D"/>
    <w:rsid w:val="008B7415"/>
    <w:rsid w:val="00C43F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498</Words>
  <Characters>2843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3335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Apelsinka</dc:creator>
  <cp:lastModifiedBy>Apelsinka</cp:lastModifiedBy>
  <cp:revision>2</cp:revision>
  <dcterms:created xsi:type="dcterms:W3CDTF">2021-05-11T08:26:00Z</dcterms:created>
  <dcterms:modified xsi:type="dcterms:W3CDTF">2021-05-11T08:26:00Z</dcterms:modified>
</cp:coreProperties>
</file>