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3EF2" w:rsidRDefault="000D5D92" w:rsidP="00843EF2">
      <w:pPr>
        <w:ind w:left="567" w:firstLine="426"/>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t>ХАРКІВСЬ</w:t>
      </w:r>
      <w:r w:rsidR="00572254">
        <w:rPr>
          <w:rFonts w:ascii="Times New Roman" w:hAnsi="Times New Roman" w:cs="Times New Roman"/>
          <w:b/>
          <w:color w:val="000000" w:themeColor="text1"/>
          <w:sz w:val="28"/>
          <w:szCs w:val="28"/>
          <w:lang w:val="uk-UA"/>
        </w:rPr>
        <w:t xml:space="preserve">КИЙ НАЦІОНАЛЬНИЙ УНІВЕРСИТЕТ </w:t>
      </w:r>
    </w:p>
    <w:p w:rsidR="000D5D92" w:rsidRPr="000A32AD" w:rsidRDefault="00843EF2" w:rsidP="00843EF2">
      <w:pPr>
        <w:ind w:left="2410"/>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ІМЕНІ</w:t>
      </w:r>
      <w:r w:rsidRPr="000A32AD">
        <w:rPr>
          <w:rFonts w:ascii="Times New Roman" w:hAnsi="Times New Roman" w:cs="Times New Roman"/>
          <w:b/>
          <w:color w:val="000000" w:themeColor="text1"/>
          <w:sz w:val="28"/>
          <w:szCs w:val="28"/>
          <w:lang w:val="uk-UA"/>
        </w:rPr>
        <w:t xml:space="preserve"> В.Н.КАРАЗІНА</w:t>
      </w:r>
    </w:p>
    <w:p w:rsidR="00843EF2" w:rsidRDefault="00843EF2" w:rsidP="00843EF2">
      <w:pPr>
        <w:ind w:firstLine="1134"/>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t xml:space="preserve">МІНІСТЕРСТВО НАУКИ ТА ОСВІТИ УКРАЇНИ </w:t>
      </w:r>
    </w:p>
    <w:p w:rsidR="00843EF2" w:rsidRDefault="00843EF2" w:rsidP="00843EF2">
      <w:pPr>
        <w:tabs>
          <w:tab w:val="left" w:pos="1134"/>
        </w:tabs>
        <w:spacing w:line="276" w:lineRule="auto"/>
        <w:contextualSpacing/>
        <w:rPr>
          <w:rFonts w:ascii="Times New Roman" w:hAnsi="Times New Roman" w:cs="Times New Roman"/>
          <w:b/>
          <w:color w:val="000000" w:themeColor="text1"/>
          <w:sz w:val="28"/>
          <w:szCs w:val="28"/>
          <w:lang w:val="uk-UA"/>
        </w:rPr>
      </w:pPr>
    </w:p>
    <w:p w:rsidR="000D5D92" w:rsidRDefault="00843EF2" w:rsidP="009F7270">
      <w:pPr>
        <w:tabs>
          <w:tab w:val="left" w:pos="1134"/>
        </w:tabs>
        <w:spacing w:line="276" w:lineRule="auto"/>
        <w:ind w:left="142"/>
        <w:contextualSpacing/>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ХАРКІВСЬКИЙ НАЦІОНАЛЬНИЙ МЕДИЧНИЙ УНІВЕРСИТЕТ</w:t>
      </w:r>
    </w:p>
    <w:p w:rsidR="00572254" w:rsidRDefault="00572254" w:rsidP="00BB0FDF">
      <w:pPr>
        <w:tabs>
          <w:tab w:val="left" w:pos="1134"/>
        </w:tabs>
        <w:spacing w:line="276" w:lineRule="auto"/>
        <w:ind w:firstLine="1134"/>
        <w:contextualSpacing/>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МИНИСТЕРСТВО ОХОРОНИ </w:t>
      </w:r>
      <w:r w:rsidRPr="002060AE">
        <w:rPr>
          <w:rFonts w:ascii="Times New Roman" w:hAnsi="Times New Roman" w:cs="Times New Roman"/>
          <w:b/>
          <w:color w:val="000000" w:themeColor="text1"/>
          <w:sz w:val="28"/>
          <w:szCs w:val="28"/>
          <w:lang w:val="uk-UA"/>
        </w:rPr>
        <w:t>ЗДОРОВ</w:t>
      </w:r>
      <w:r w:rsidR="002060AE">
        <w:rPr>
          <w:rFonts w:ascii="Times New Roman" w:hAnsi="Times New Roman" w:cs="Times New Roman"/>
          <w:b/>
          <w:color w:val="000000" w:themeColor="text1"/>
          <w:sz w:val="28"/>
          <w:szCs w:val="28"/>
          <w:lang w:val="uk-UA"/>
        </w:rPr>
        <w:t xml:space="preserve"> ҆</w:t>
      </w:r>
      <w:bookmarkStart w:id="0" w:name="_GoBack"/>
      <w:bookmarkEnd w:id="0"/>
      <w:r w:rsidR="002060AE">
        <w:rPr>
          <w:rFonts w:ascii="Times New Roman" w:hAnsi="Times New Roman" w:cs="Times New Roman"/>
          <w:b/>
          <w:color w:val="000000" w:themeColor="text1"/>
          <w:sz w:val="28"/>
          <w:szCs w:val="28"/>
          <w:lang w:val="uk-UA"/>
        </w:rPr>
        <w:t xml:space="preserve"> </w:t>
      </w:r>
      <w:r w:rsidRPr="002060AE">
        <w:rPr>
          <w:rFonts w:ascii="Times New Roman" w:hAnsi="Times New Roman" w:cs="Times New Roman"/>
          <w:b/>
          <w:color w:val="000000" w:themeColor="text1"/>
          <w:sz w:val="28"/>
          <w:szCs w:val="28"/>
          <w:lang w:val="uk-UA"/>
        </w:rPr>
        <w:t>Я</w:t>
      </w:r>
      <w:r>
        <w:rPr>
          <w:rFonts w:ascii="Times New Roman" w:hAnsi="Times New Roman" w:cs="Times New Roman"/>
          <w:b/>
          <w:color w:val="000000" w:themeColor="text1"/>
          <w:sz w:val="28"/>
          <w:szCs w:val="28"/>
          <w:lang w:val="uk-UA"/>
        </w:rPr>
        <w:t xml:space="preserve"> УКРАЇНИ</w:t>
      </w:r>
    </w:p>
    <w:p w:rsidR="000D5D92" w:rsidRPr="000A32AD" w:rsidRDefault="000D5D92" w:rsidP="000D5D92">
      <w:pPr>
        <w:tabs>
          <w:tab w:val="left" w:pos="1134"/>
        </w:tabs>
        <w:spacing w:line="360" w:lineRule="auto"/>
        <w:contextualSpacing/>
        <w:jc w:val="center"/>
        <w:rPr>
          <w:rFonts w:ascii="Times New Roman" w:hAnsi="Times New Roman" w:cs="Times New Roman"/>
          <w:b/>
          <w:color w:val="000000" w:themeColor="text1"/>
          <w:sz w:val="28"/>
          <w:szCs w:val="28"/>
          <w:lang w:val="uk-UA"/>
        </w:rPr>
      </w:pPr>
    </w:p>
    <w:p w:rsidR="000D5D92" w:rsidRPr="000A32AD" w:rsidRDefault="00572254" w:rsidP="00572254">
      <w:pPr>
        <w:tabs>
          <w:tab w:val="left" w:pos="1134"/>
        </w:tabs>
        <w:spacing w:line="360" w:lineRule="auto"/>
        <w:contextualSpacing/>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0D5D92" w:rsidRPr="000A32AD">
        <w:rPr>
          <w:rFonts w:ascii="Times New Roman" w:hAnsi="Times New Roman" w:cs="Times New Roman"/>
          <w:color w:val="000000" w:themeColor="text1"/>
          <w:sz w:val="28"/>
          <w:szCs w:val="28"/>
          <w:lang w:val="uk-UA"/>
        </w:rPr>
        <w:t xml:space="preserve">Кваліфікаційна наукова </w:t>
      </w:r>
    </w:p>
    <w:p w:rsidR="000D5D92" w:rsidRPr="00F11099" w:rsidRDefault="000D5D92" w:rsidP="00F11099">
      <w:pPr>
        <w:tabs>
          <w:tab w:val="left" w:pos="1134"/>
        </w:tabs>
        <w:spacing w:line="360" w:lineRule="auto"/>
        <w:contextualSpacing/>
        <w:jc w:val="right"/>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праця на правах рукопису</w:t>
      </w:r>
    </w:p>
    <w:p w:rsidR="000D5D92" w:rsidRPr="000A32AD" w:rsidRDefault="000D5D92" w:rsidP="000D5D92">
      <w:pPr>
        <w:tabs>
          <w:tab w:val="left" w:pos="1134"/>
        </w:tabs>
        <w:spacing w:line="360" w:lineRule="auto"/>
        <w:contextualSpacing/>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ШЕРСТЮК </w:t>
      </w:r>
      <w:r w:rsidR="00572254" w:rsidRPr="000A32AD">
        <w:rPr>
          <w:rFonts w:ascii="Times New Roman" w:hAnsi="Times New Roman" w:cs="Times New Roman"/>
          <w:color w:val="000000" w:themeColor="text1"/>
          <w:sz w:val="28"/>
          <w:szCs w:val="28"/>
          <w:lang w:val="uk-UA"/>
        </w:rPr>
        <w:t>ЛЮДМИЛА ЛЕОНІДІВНА</w:t>
      </w:r>
    </w:p>
    <w:p w:rsidR="00F11099" w:rsidRDefault="00F11099" w:rsidP="000D5D92">
      <w:pPr>
        <w:tabs>
          <w:tab w:val="left" w:pos="1134"/>
        </w:tabs>
        <w:spacing w:line="360" w:lineRule="auto"/>
        <w:contextualSpacing/>
        <w:rPr>
          <w:rFonts w:ascii="Times New Roman" w:hAnsi="Times New Roman" w:cs="Times New Roman"/>
          <w:b/>
          <w:color w:val="000000" w:themeColor="text1"/>
          <w:sz w:val="28"/>
          <w:szCs w:val="28"/>
          <w:lang w:val="uk-UA"/>
        </w:rPr>
      </w:pPr>
    </w:p>
    <w:p w:rsidR="00F11099" w:rsidRPr="00F11099" w:rsidRDefault="00F11099" w:rsidP="00F11099">
      <w:pPr>
        <w:tabs>
          <w:tab w:val="left" w:pos="1134"/>
        </w:tabs>
        <w:spacing w:line="360" w:lineRule="auto"/>
        <w:contextualSpacing/>
        <w:rPr>
          <w:rFonts w:ascii="Times New Roman" w:hAnsi="Times New Roman" w:cs="Times New Roman"/>
          <w:color w:val="000000" w:themeColor="text1"/>
          <w:sz w:val="28"/>
          <w:szCs w:val="28"/>
          <w:lang w:val="uk-UA"/>
        </w:rPr>
      </w:pPr>
      <w:r w:rsidRPr="000A32AD">
        <w:rPr>
          <w:rFonts w:ascii="Times New Roman" w:hAnsi="Times New Roman" w:cs="Times New Roman"/>
          <w:b/>
          <w:color w:val="000000" w:themeColor="text1"/>
          <w:sz w:val="28"/>
          <w:szCs w:val="28"/>
          <w:lang w:val="uk-UA"/>
        </w:rPr>
        <w:t>УДК</w:t>
      </w:r>
      <w:r w:rsidRPr="000A32AD">
        <w:rPr>
          <w:rFonts w:ascii="Times New Roman" w:hAnsi="Times New Roman" w:cs="Times New Roman"/>
          <w:color w:val="000000" w:themeColor="text1"/>
          <w:sz w:val="28"/>
          <w:szCs w:val="28"/>
          <w:lang w:val="uk-UA"/>
        </w:rPr>
        <w:t xml:space="preserve"> 616-018.2-007.17:</w:t>
      </w:r>
      <w:r w:rsidRPr="000A48CC">
        <w:rPr>
          <w:rFonts w:ascii="Times New Roman" w:hAnsi="Times New Roman" w:cs="Times New Roman"/>
          <w:color w:val="000000" w:themeColor="text1"/>
          <w:sz w:val="28"/>
          <w:szCs w:val="28"/>
          <w:lang w:val="uk-UA"/>
        </w:rPr>
        <w:t>[616.12-008</w:t>
      </w:r>
      <w:r w:rsidRPr="000A32AD">
        <w:rPr>
          <w:rFonts w:ascii="Times New Roman" w:hAnsi="Times New Roman" w:cs="Times New Roman"/>
          <w:color w:val="000000" w:themeColor="text1"/>
          <w:sz w:val="28"/>
          <w:szCs w:val="28"/>
          <w:lang w:val="uk-UA"/>
        </w:rPr>
        <w:t>.331.1+616.379-008.64+616-008.6</w:t>
      </w:r>
      <w:r w:rsidRPr="000A48CC">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lang w:val="uk-UA"/>
        </w:rPr>
        <w:t>-06(043.5)</w:t>
      </w:r>
    </w:p>
    <w:p w:rsidR="000D5D92" w:rsidRPr="000A32AD" w:rsidRDefault="000D5D92" w:rsidP="000D5D92">
      <w:pPr>
        <w:tabs>
          <w:tab w:val="left" w:pos="1134"/>
        </w:tabs>
        <w:spacing w:line="360" w:lineRule="auto"/>
        <w:contextualSpacing/>
        <w:jc w:val="center"/>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t>ДИСЕРТАЦІЯ</w:t>
      </w:r>
    </w:p>
    <w:p w:rsidR="00F11099" w:rsidRDefault="00130568" w:rsidP="000A48CC">
      <w:pPr>
        <w:tabs>
          <w:tab w:val="left" w:pos="1134"/>
        </w:tabs>
        <w:spacing w:line="360" w:lineRule="auto"/>
        <w:contextualSpacing/>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ПАТОГЕНЕТИЧНЕ  </w:t>
      </w:r>
      <w:r w:rsidR="008B6615" w:rsidRPr="000A32AD">
        <w:rPr>
          <w:rFonts w:ascii="Times New Roman" w:hAnsi="Times New Roman" w:cs="Times New Roman"/>
          <w:color w:val="000000" w:themeColor="text1"/>
          <w:sz w:val="28"/>
          <w:szCs w:val="28"/>
          <w:lang w:val="uk-UA"/>
        </w:rPr>
        <w:t xml:space="preserve">ЗНАЧЕННЯ НЕДИФЕРЕНЦІЙОВАНОЇ ДИСПЛАЗІЇ СПОЛУЧНОЇ ТКАНИНИ </w:t>
      </w:r>
      <w:r w:rsidRPr="000A32AD">
        <w:rPr>
          <w:rFonts w:ascii="Times New Roman" w:hAnsi="Times New Roman" w:cs="Times New Roman"/>
          <w:color w:val="000000" w:themeColor="text1"/>
          <w:sz w:val="28"/>
          <w:szCs w:val="28"/>
          <w:lang w:val="uk-UA"/>
        </w:rPr>
        <w:t>У</w:t>
      </w:r>
      <w:r w:rsidR="008B6615" w:rsidRPr="000A32AD">
        <w:rPr>
          <w:rFonts w:ascii="Times New Roman" w:hAnsi="Times New Roman" w:cs="Times New Roman"/>
          <w:color w:val="000000" w:themeColor="text1"/>
          <w:sz w:val="28"/>
          <w:szCs w:val="28"/>
          <w:lang w:val="uk-UA"/>
        </w:rPr>
        <w:t xml:space="preserve"> РОЗВИТКУ АР</w:t>
      </w:r>
      <w:r w:rsidR="0013790D" w:rsidRPr="000A32AD">
        <w:rPr>
          <w:rFonts w:ascii="Times New Roman" w:hAnsi="Times New Roman" w:cs="Times New Roman"/>
          <w:color w:val="000000" w:themeColor="text1"/>
          <w:sz w:val="28"/>
          <w:szCs w:val="28"/>
          <w:lang w:val="uk-UA"/>
        </w:rPr>
        <w:t xml:space="preserve">ТЕРІАЛЬНОЇ ГІПЕРТЕНЗІЇ </w:t>
      </w:r>
      <w:r w:rsidR="00D50C94"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ТА НЕФРОПАТІЇ </w:t>
      </w:r>
      <w:r w:rsidR="008B6615" w:rsidRPr="000A32AD">
        <w:rPr>
          <w:rFonts w:ascii="Times New Roman" w:hAnsi="Times New Roman" w:cs="Times New Roman"/>
          <w:color w:val="000000" w:themeColor="text1"/>
          <w:sz w:val="28"/>
          <w:szCs w:val="28"/>
          <w:lang w:val="uk-UA"/>
        </w:rPr>
        <w:t xml:space="preserve">У ХВОРИХ НА ЦУКРОВИЙ ДІАБЕТ 2 ТИПУ </w:t>
      </w:r>
    </w:p>
    <w:p w:rsidR="000D5D92" w:rsidRDefault="000D5D92" w:rsidP="00F11099">
      <w:pPr>
        <w:tabs>
          <w:tab w:val="left" w:pos="1134"/>
        </w:tabs>
        <w:spacing w:line="360" w:lineRule="auto"/>
        <w:contextualSpacing/>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14.01.02 — внутрішні хвороби</w:t>
      </w:r>
    </w:p>
    <w:p w:rsidR="000A48CC" w:rsidRPr="000A32AD" w:rsidRDefault="000A48CC" w:rsidP="00F11099">
      <w:pPr>
        <w:tabs>
          <w:tab w:val="left" w:pos="1134"/>
        </w:tabs>
        <w:spacing w:line="360" w:lineRule="auto"/>
        <w:contextualSpacing/>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222 - медицина</w:t>
      </w:r>
    </w:p>
    <w:p w:rsidR="000D5D92" w:rsidRPr="000A32AD" w:rsidRDefault="000D5D92" w:rsidP="000D5D92">
      <w:pPr>
        <w:tabs>
          <w:tab w:val="left" w:pos="1134"/>
        </w:tabs>
        <w:spacing w:line="360" w:lineRule="auto"/>
        <w:contextualSpacing/>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Подається на здобуття наукового ступеня кандидата медичних наук</w:t>
      </w:r>
    </w:p>
    <w:p w:rsidR="000D5D92" w:rsidRPr="000A32AD" w:rsidRDefault="000D5D92" w:rsidP="000D5D92">
      <w:pPr>
        <w:tabs>
          <w:tab w:val="left" w:pos="1134"/>
        </w:tabs>
        <w:spacing w:line="360" w:lineRule="auto"/>
        <w:contextualSpacing/>
        <w:jc w:val="center"/>
        <w:rPr>
          <w:rFonts w:ascii="Times New Roman" w:hAnsi="Times New Roman" w:cs="Times New Roman"/>
          <w:color w:val="000000" w:themeColor="text1"/>
          <w:sz w:val="28"/>
          <w:szCs w:val="28"/>
          <w:lang w:val="uk-UA"/>
        </w:rPr>
      </w:pPr>
    </w:p>
    <w:p w:rsidR="000D5D92" w:rsidRPr="000A32AD" w:rsidRDefault="000D5D92" w:rsidP="000D5D92">
      <w:pPr>
        <w:tabs>
          <w:tab w:val="left" w:pos="1134"/>
        </w:tabs>
        <w:spacing w:line="360" w:lineRule="auto"/>
        <w:contextualSpacing/>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w:t>
      </w:r>
    </w:p>
    <w:p w:rsidR="000D5D92" w:rsidRPr="000A32AD" w:rsidRDefault="000D5D92" w:rsidP="000A48CC">
      <w:pPr>
        <w:tabs>
          <w:tab w:val="left" w:pos="1134"/>
        </w:tabs>
        <w:spacing w:line="360" w:lineRule="auto"/>
        <w:contextualSpacing/>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___________</w:t>
      </w:r>
      <w:r w:rsidR="000A48CC" w:rsidRPr="000A48CC">
        <w:rPr>
          <w:rFonts w:ascii="Times New Roman" w:hAnsi="Times New Roman" w:cs="Times New Roman"/>
          <w:color w:val="000000" w:themeColor="text1"/>
          <w:sz w:val="28"/>
          <w:szCs w:val="28"/>
          <w:lang w:val="uk-UA"/>
        </w:rPr>
        <w:t xml:space="preserve"> </w:t>
      </w:r>
      <w:r w:rsidR="000A48CC" w:rsidRPr="000A32AD">
        <w:rPr>
          <w:rFonts w:ascii="Times New Roman" w:hAnsi="Times New Roman" w:cs="Times New Roman"/>
          <w:color w:val="000000" w:themeColor="text1"/>
          <w:sz w:val="28"/>
          <w:szCs w:val="28"/>
          <w:lang w:val="uk-UA"/>
        </w:rPr>
        <w:t>Л.Л</w:t>
      </w:r>
      <w:r w:rsidR="000A48CC">
        <w:rPr>
          <w:rFonts w:ascii="Times New Roman" w:hAnsi="Times New Roman" w:cs="Times New Roman"/>
          <w:color w:val="000000" w:themeColor="text1"/>
          <w:sz w:val="28"/>
          <w:szCs w:val="28"/>
          <w:lang w:val="uk-UA"/>
        </w:rPr>
        <w:t>.</w:t>
      </w:r>
      <w:r w:rsidR="000A48CC" w:rsidRPr="000A32AD">
        <w:rPr>
          <w:rFonts w:ascii="Times New Roman" w:hAnsi="Times New Roman" w:cs="Times New Roman"/>
          <w:color w:val="000000" w:themeColor="text1"/>
          <w:sz w:val="28"/>
          <w:szCs w:val="28"/>
          <w:lang w:val="uk-UA"/>
        </w:rPr>
        <w:t xml:space="preserve"> Шерстюк</w:t>
      </w:r>
    </w:p>
    <w:p w:rsidR="000D5D92" w:rsidRPr="000A32AD" w:rsidRDefault="000D5D92" w:rsidP="000D5D92">
      <w:pPr>
        <w:ind w:right="-2"/>
        <w:contextualSpacing/>
        <w:rPr>
          <w:rFonts w:ascii="Times New Roman" w:eastAsia="Times New Roman" w:hAnsi="Times New Roman" w:cs="Times New Roman"/>
          <w:color w:val="000000" w:themeColor="text1"/>
          <w:sz w:val="28"/>
          <w:szCs w:val="28"/>
          <w:lang w:val="uk-UA"/>
        </w:rPr>
      </w:pPr>
    </w:p>
    <w:p w:rsidR="000D5D92" w:rsidRPr="000A32AD" w:rsidRDefault="000D5D92" w:rsidP="000D5D92">
      <w:pPr>
        <w:ind w:right="-2"/>
        <w:contextualSpacing/>
        <w:rPr>
          <w:rFonts w:ascii="Times New Roman" w:eastAsia="Times New Roman" w:hAnsi="Times New Roman" w:cs="Times New Roman"/>
          <w:color w:val="000000" w:themeColor="text1"/>
          <w:sz w:val="28"/>
          <w:szCs w:val="28"/>
          <w:lang w:val="uk-UA"/>
        </w:rPr>
      </w:pPr>
    </w:p>
    <w:p w:rsidR="000D5D92" w:rsidRPr="000A32AD" w:rsidRDefault="000D5D92" w:rsidP="000D5D92">
      <w:pPr>
        <w:ind w:right="-2"/>
        <w:contextualSpacing/>
        <w:rPr>
          <w:rFonts w:ascii="Times New Roman" w:eastAsia="Times New Roman" w:hAnsi="Times New Roman" w:cs="Times New Roman"/>
          <w:color w:val="000000" w:themeColor="text1"/>
          <w:sz w:val="28"/>
          <w:szCs w:val="28"/>
          <w:lang w:val="uk-UA"/>
        </w:rPr>
      </w:pPr>
    </w:p>
    <w:p w:rsidR="000D5D92" w:rsidRPr="000A32AD" w:rsidRDefault="000A48CC" w:rsidP="000D5D92">
      <w:pPr>
        <w:ind w:right="-2"/>
        <w:contextualSpacing/>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Науковий керівник Ніколенко Євген Якович, доктор медичних наук, професор</w:t>
      </w:r>
    </w:p>
    <w:p w:rsidR="000D5D92" w:rsidRPr="000A32AD" w:rsidRDefault="000A48CC" w:rsidP="000A48CC">
      <w:pPr>
        <w:ind w:right="-2"/>
        <w:contextualSpacing/>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w:t>
      </w:r>
    </w:p>
    <w:p w:rsidR="000D5D92" w:rsidRPr="000A32AD" w:rsidRDefault="000D5D92" w:rsidP="000D5D92">
      <w:pPr>
        <w:tabs>
          <w:tab w:val="left" w:pos="1134"/>
        </w:tabs>
        <w:spacing w:line="360" w:lineRule="auto"/>
        <w:contextualSpacing/>
        <w:rPr>
          <w:rFonts w:ascii="Times New Roman" w:hAnsi="Times New Roman" w:cs="Times New Roman"/>
          <w:color w:val="000000" w:themeColor="text1"/>
          <w:sz w:val="28"/>
          <w:szCs w:val="28"/>
          <w:lang w:val="uk-UA"/>
        </w:rPr>
      </w:pPr>
    </w:p>
    <w:p w:rsidR="000D5D92" w:rsidRPr="000A32AD" w:rsidRDefault="000D5D92" w:rsidP="000D5D92">
      <w:pPr>
        <w:tabs>
          <w:tab w:val="left" w:pos="1134"/>
        </w:tabs>
        <w:spacing w:line="360" w:lineRule="auto"/>
        <w:contextualSpacing/>
        <w:rPr>
          <w:rFonts w:ascii="Times New Roman" w:hAnsi="Times New Roman" w:cs="Times New Roman"/>
          <w:color w:val="000000" w:themeColor="text1"/>
          <w:sz w:val="28"/>
          <w:szCs w:val="28"/>
          <w:lang w:val="uk-UA"/>
        </w:rPr>
      </w:pPr>
    </w:p>
    <w:p w:rsidR="000D5D92" w:rsidRPr="000A32AD" w:rsidRDefault="000D5D92" w:rsidP="000D5D92">
      <w:pPr>
        <w:tabs>
          <w:tab w:val="left" w:pos="1134"/>
        </w:tabs>
        <w:spacing w:line="360" w:lineRule="auto"/>
        <w:contextualSpacing/>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Харків — 20</w:t>
      </w:r>
      <w:r w:rsidR="007F5FCD" w:rsidRPr="000A32AD">
        <w:rPr>
          <w:rFonts w:ascii="Times New Roman" w:hAnsi="Times New Roman" w:cs="Times New Roman"/>
          <w:color w:val="000000" w:themeColor="text1"/>
          <w:sz w:val="28"/>
          <w:szCs w:val="28"/>
          <w:lang w:val="uk-UA"/>
        </w:rPr>
        <w:t>19</w:t>
      </w:r>
      <w:r w:rsidRPr="000A32AD">
        <w:rPr>
          <w:rFonts w:ascii="Times New Roman" w:hAnsi="Times New Roman" w:cs="Times New Roman"/>
          <w:color w:val="000000" w:themeColor="text1"/>
          <w:sz w:val="28"/>
          <w:szCs w:val="28"/>
          <w:lang w:val="uk-UA"/>
        </w:rPr>
        <w:br w:type="page"/>
      </w:r>
    </w:p>
    <w:p w:rsidR="000D5D92" w:rsidRPr="000A32AD" w:rsidRDefault="000D5D92" w:rsidP="009F7270">
      <w:pPr>
        <w:tabs>
          <w:tab w:val="left" w:pos="1134"/>
        </w:tabs>
        <w:spacing w:line="360" w:lineRule="auto"/>
        <w:ind w:firstLine="3969"/>
        <w:contextualSpacing/>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lastRenderedPageBreak/>
        <w:t>АНОТАЦІЯ</w:t>
      </w:r>
    </w:p>
    <w:p w:rsidR="000D5D92" w:rsidRPr="000A32AD" w:rsidRDefault="000D5D92" w:rsidP="000D5D92">
      <w:pPr>
        <w:tabs>
          <w:tab w:val="left" w:pos="1134"/>
        </w:tabs>
        <w:spacing w:line="360" w:lineRule="auto"/>
        <w:ind w:firstLine="709"/>
        <w:contextualSpacing/>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Шерстюк Л.Л.</w:t>
      </w:r>
      <w:r w:rsidRPr="000A32AD">
        <w:rPr>
          <w:rFonts w:ascii="Times New Roman" w:hAnsi="Times New Roman" w:cs="Times New Roman"/>
          <w:i/>
          <w:color w:val="000000" w:themeColor="text1"/>
          <w:sz w:val="28"/>
          <w:szCs w:val="28"/>
          <w:lang w:val="uk-UA"/>
        </w:rPr>
        <w:t xml:space="preserve"> </w:t>
      </w:r>
      <w:r w:rsidR="007668EB" w:rsidRPr="000A32AD">
        <w:rPr>
          <w:rFonts w:ascii="Times New Roman" w:hAnsi="Times New Roman" w:cs="Times New Roman"/>
          <w:color w:val="000000" w:themeColor="text1"/>
          <w:sz w:val="28"/>
          <w:szCs w:val="28"/>
          <w:lang w:val="uk-UA"/>
        </w:rPr>
        <w:t>Патогенетичне з</w:t>
      </w:r>
      <w:r w:rsidR="00D50C94" w:rsidRPr="000A32AD">
        <w:rPr>
          <w:rFonts w:ascii="Times New Roman" w:hAnsi="Times New Roman" w:cs="Times New Roman"/>
          <w:color w:val="000000" w:themeColor="text1"/>
          <w:sz w:val="28"/>
          <w:szCs w:val="28"/>
          <w:lang w:val="uk-UA"/>
        </w:rPr>
        <w:t xml:space="preserve">начення недиференційованої дисплазії сполучної тканини </w:t>
      </w:r>
      <w:r w:rsidR="007668EB" w:rsidRPr="000A32AD">
        <w:rPr>
          <w:rFonts w:ascii="Times New Roman" w:hAnsi="Times New Roman" w:cs="Times New Roman"/>
          <w:color w:val="000000" w:themeColor="text1"/>
          <w:sz w:val="28"/>
          <w:szCs w:val="28"/>
          <w:lang w:val="uk-UA"/>
        </w:rPr>
        <w:t>у</w:t>
      </w:r>
      <w:r w:rsidR="00D50C94" w:rsidRPr="000A32AD">
        <w:rPr>
          <w:rFonts w:ascii="Times New Roman" w:hAnsi="Times New Roman" w:cs="Times New Roman"/>
          <w:color w:val="000000" w:themeColor="text1"/>
          <w:sz w:val="28"/>
          <w:szCs w:val="28"/>
          <w:lang w:val="uk-UA"/>
        </w:rPr>
        <w:t xml:space="preserve"> розвитку артеріальної гіпертензії </w:t>
      </w:r>
      <w:r w:rsidR="007668EB" w:rsidRPr="000A32AD">
        <w:rPr>
          <w:rFonts w:ascii="Times New Roman" w:hAnsi="Times New Roman" w:cs="Times New Roman"/>
          <w:color w:val="000000" w:themeColor="text1"/>
          <w:sz w:val="28"/>
          <w:szCs w:val="28"/>
          <w:lang w:val="uk-UA"/>
        </w:rPr>
        <w:t xml:space="preserve">та нефропатії </w:t>
      </w:r>
      <w:r w:rsidR="00D50C94" w:rsidRPr="000A32AD">
        <w:rPr>
          <w:rFonts w:ascii="Times New Roman" w:hAnsi="Times New Roman" w:cs="Times New Roman"/>
          <w:color w:val="000000" w:themeColor="text1"/>
          <w:sz w:val="28"/>
          <w:szCs w:val="28"/>
          <w:lang w:val="uk-UA"/>
        </w:rPr>
        <w:t>у хворих на цукровий діабет 2 типу</w:t>
      </w:r>
      <w:r w:rsidRPr="000A32AD">
        <w:rPr>
          <w:rFonts w:ascii="Times New Roman" w:hAnsi="Times New Roman" w:cs="Times New Roman"/>
          <w:color w:val="000000" w:themeColor="text1"/>
          <w:sz w:val="28"/>
          <w:szCs w:val="28"/>
          <w:lang w:val="uk-UA"/>
        </w:rPr>
        <w:t>. – Кваліфікаційна наукова праця на правах рукопису.</w:t>
      </w:r>
    </w:p>
    <w:p w:rsidR="000D5D92" w:rsidRPr="000A32AD" w:rsidRDefault="000D5D92" w:rsidP="000D5D92">
      <w:pPr>
        <w:tabs>
          <w:tab w:val="left" w:pos="1134"/>
        </w:tabs>
        <w:spacing w:line="360" w:lineRule="auto"/>
        <w:ind w:firstLine="709"/>
        <w:contextualSpacing/>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Дисертація на здобуття наукового ступеня кандидата медичних наук за спеціальністю 14.01.02 — внутрішні хвороби. — Харківський національний університет МОН України, Харків, 201</w:t>
      </w:r>
      <w:r w:rsidR="007F5FCD" w:rsidRPr="000A32AD">
        <w:rPr>
          <w:rFonts w:ascii="Times New Roman" w:hAnsi="Times New Roman" w:cs="Times New Roman"/>
          <w:color w:val="000000" w:themeColor="text1"/>
          <w:sz w:val="28"/>
          <w:szCs w:val="28"/>
          <w:lang w:val="uk-UA"/>
        </w:rPr>
        <w:t>9</w:t>
      </w:r>
      <w:r w:rsidRPr="000A32AD">
        <w:rPr>
          <w:rFonts w:ascii="Times New Roman" w:hAnsi="Times New Roman" w:cs="Times New Roman"/>
          <w:color w:val="000000" w:themeColor="text1"/>
          <w:sz w:val="28"/>
          <w:szCs w:val="28"/>
          <w:lang w:val="uk-UA"/>
        </w:rPr>
        <w:t>.</w:t>
      </w:r>
    </w:p>
    <w:p w:rsidR="00B5509D" w:rsidRPr="000A32AD" w:rsidRDefault="00B5509D" w:rsidP="00B5509D">
      <w:pPr>
        <w:pStyle w:val="Table0"/>
        <w:jc w:val="both"/>
        <w:rPr>
          <w:rFonts w:cs="Times New Roman"/>
          <w:i w:val="0"/>
          <w:color w:val="000000" w:themeColor="text1"/>
          <w:szCs w:val="28"/>
          <w:lang w:val="uk-UA"/>
        </w:rPr>
      </w:pPr>
      <w:r w:rsidRPr="000A32AD">
        <w:rPr>
          <w:rFonts w:cs="Times New Roman"/>
          <w:i w:val="0"/>
          <w:color w:val="000000" w:themeColor="text1"/>
          <w:szCs w:val="28"/>
          <w:lang w:val="uk-UA"/>
        </w:rPr>
        <w:t xml:space="preserve">Метою дослідження було підвищення ефективності ранньої діагностики та прогнозування </w:t>
      </w:r>
      <w:r w:rsidR="00D50C94" w:rsidRPr="000A32AD">
        <w:rPr>
          <w:rFonts w:cs="Times New Roman"/>
          <w:i w:val="0"/>
          <w:color w:val="000000" w:themeColor="text1"/>
          <w:szCs w:val="28"/>
          <w:lang w:val="uk-UA"/>
        </w:rPr>
        <w:t xml:space="preserve">артеріальної гіпертензії у хворих на цукровий діабет 2 типу </w:t>
      </w:r>
      <w:r w:rsidRPr="000A32AD">
        <w:rPr>
          <w:rFonts w:cs="Times New Roman"/>
          <w:i w:val="0"/>
          <w:color w:val="000000" w:themeColor="text1"/>
          <w:szCs w:val="28"/>
          <w:lang w:val="uk-UA"/>
        </w:rPr>
        <w:t xml:space="preserve">шляхом </w:t>
      </w:r>
      <w:r w:rsidR="001366EC" w:rsidRPr="000A32AD">
        <w:rPr>
          <w:rFonts w:cs="Times New Roman"/>
          <w:i w:val="0"/>
          <w:color w:val="000000" w:themeColor="text1"/>
          <w:szCs w:val="28"/>
          <w:lang w:val="uk-UA"/>
        </w:rPr>
        <w:t>визначення</w:t>
      </w:r>
      <w:r w:rsidRPr="000A32AD">
        <w:rPr>
          <w:rFonts w:cs="Times New Roman"/>
          <w:i w:val="0"/>
          <w:color w:val="000000" w:themeColor="text1"/>
          <w:szCs w:val="28"/>
          <w:lang w:val="uk-UA"/>
        </w:rPr>
        <w:t xml:space="preserve"> ланок патогенезу судинних </w:t>
      </w:r>
      <w:r w:rsidR="00D50C94" w:rsidRPr="000A32AD">
        <w:rPr>
          <w:rFonts w:cs="Times New Roman"/>
          <w:i w:val="0"/>
          <w:color w:val="000000" w:themeColor="text1"/>
          <w:szCs w:val="28"/>
          <w:lang w:val="uk-UA"/>
        </w:rPr>
        <w:t>ускладнень</w:t>
      </w:r>
      <w:r w:rsidRPr="000A32AD">
        <w:rPr>
          <w:rFonts w:cs="Times New Roman"/>
          <w:i w:val="0"/>
          <w:color w:val="000000" w:themeColor="text1"/>
          <w:szCs w:val="28"/>
          <w:lang w:val="uk-UA"/>
        </w:rPr>
        <w:t xml:space="preserve"> при наявності ознак дисплазії сполучної тканини. </w:t>
      </w:r>
    </w:p>
    <w:p w:rsidR="00B5509D" w:rsidRPr="000A32AD" w:rsidRDefault="00B5509D" w:rsidP="00B5509D">
      <w:pPr>
        <w:pStyle w:val="Table0"/>
        <w:jc w:val="both"/>
        <w:rPr>
          <w:rFonts w:cs="Times New Roman"/>
          <w:color w:val="000000" w:themeColor="text1"/>
          <w:lang w:val="uk-UA"/>
        </w:rPr>
      </w:pPr>
      <w:r w:rsidRPr="000A32AD">
        <w:rPr>
          <w:rFonts w:cs="Times New Roman"/>
          <w:i w:val="0"/>
          <w:color w:val="000000" w:themeColor="text1"/>
          <w:szCs w:val="28"/>
          <w:lang w:val="uk-UA"/>
        </w:rPr>
        <w:t>Дослідження виконано на базі ендокринологічного відділення Харківської обласної клінічної лікарні. У дослідження увійшли 90 пацієнтів, що знаходилися на лікуванні в період 2016–2018 рр., віком від 35 до 45 років, з тривалістю ЦД не більш 10 років та з відсутністю важких ускладнень</w:t>
      </w:r>
      <w:r w:rsidR="00D50C94" w:rsidRPr="000A32AD">
        <w:rPr>
          <w:rFonts w:cs="Times New Roman"/>
          <w:i w:val="0"/>
          <w:color w:val="000000" w:themeColor="text1"/>
          <w:szCs w:val="28"/>
          <w:lang w:val="uk-UA"/>
        </w:rPr>
        <w:t xml:space="preserve"> або ознак важкого перебігу захворювання</w:t>
      </w:r>
      <w:r w:rsidRPr="000A32AD">
        <w:rPr>
          <w:rFonts w:cs="Times New Roman"/>
          <w:i w:val="0"/>
          <w:color w:val="000000" w:themeColor="text1"/>
          <w:szCs w:val="28"/>
          <w:lang w:val="uk-UA"/>
        </w:rPr>
        <w:t xml:space="preserve">. Для вирішення поставлених завдань виконано проспективне дослідження хворих та ретроспективний аналіз епікризів цих пацієнтів при попередніх госпіталізаціях. </w:t>
      </w:r>
      <w:r w:rsidRPr="000A32AD">
        <w:rPr>
          <w:rFonts w:cs="Times New Roman"/>
          <w:i w:val="0"/>
          <w:color w:val="000000" w:themeColor="text1"/>
          <w:lang w:val="uk-UA"/>
        </w:rPr>
        <w:t>Середній вік хворих, що увійшли у дослідження, складав (37,8±3,3). Середня тривалість ЦД становила (4,7±2,5) р., у тому числі, 66 (73,3%) з тривалістю ЦД до 5 років та 24 (26,7%) – від 5 років та більше. Серед хворих було 54 (60,0%) жінок та 36 (40,0%) чоловіків</w:t>
      </w:r>
      <w:r w:rsidRPr="000A32AD">
        <w:rPr>
          <w:rFonts w:cs="Times New Roman"/>
          <w:color w:val="000000" w:themeColor="text1"/>
          <w:lang w:val="uk-UA"/>
        </w:rPr>
        <w:t>.</w:t>
      </w:r>
    </w:p>
    <w:p w:rsidR="00B5509D" w:rsidRPr="000A32AD" w:rsidRDefault="00B5509D" w:rsidP="00B5509D">
      <w:pPr>
        <w:pStyle w:val="af9"/>
        <w:rPr>
          <w:rFonts w:cs="Times New Roman"/>
          <w:color w:val="000000" w:themeColor="text1"/>
          <w:shd w:val="clear" w:color="auto" w:fill="FFFFFF"/>
          <w:lang w:val="uk-UA"/>
        </w:rPr>
      </w:pPr>
      <w:r w:rsidRPr="000A32AD">
        <w:rPr>
          <w:rFonts w:cs="Times New Roman"/>
          <w:color w:val="000000" w:themeColor="text1"/>
          <w:lang w:val="uk-UA"/>
        </w:rPr>
        <w:t>Всім хворим виконувалось комплексне клініко-лабораторне та інструментальне дослідження відповідно до діючих протоколів надання допомоги при ЦД 2 типу та при АГ. Діагностику НДСТ здійснювали шляхом комплексного обстеження та оцінки наявності внутрішніх (вісцеральних) та зовнішніх (скелетних, шкірних, суглобових) ознак згідно Т.І.Кадуріної (2009). Також д</w:t>
      </w:r>
      <w:r w:rsidRPr="000A32AD">
        <w:rPr>
          <w:rStyle w:val="14"/>
          <w:i w:val="0"/>
          <w:color w:val="000000" w:themeColor="text1"/>
          <w:lang w:val="uk-UA"/>
        </w:rPr>
        <w:t xml:space="preserve">осліджено концентрацію основного фактору росту фібробластів (FGF2) в </w:t>
      </w:r>
      <w:r w:rsidR="00C4044C">
        <w:rPr>
          <w:rStyle w:val="14"/>
          <w:i w:val="0"/>
          <w:color w:val="000000" w:themeColor="text1"/>
          <w:lang w:val="uk-UA"/>
        </w:rPr>
        <w:t>сиворотці крові імуноферментним методом з використанням набору реактивів</w:t>
      </w:r>
      <w:r w:rsidRPr="000A32AD">
        <w:rPr>
          <w:rStyle w:val="14"/>
          <w:i w:val="0"/>
          <w:color w:val="000000" w:themeColor="text1"/>
          <w:lang w:val="uk-UA"/>
        </w:rPr>
        <w:t xml:space="preserve"> </w:t>
      </w:r>
      <w:r w:rsidRPr="000A32AD">
        <w:rPr>
          <w:rFonts w:cs="Times New Roman"/>
          <w:color w:val="000000" w:themeColor="text1"/>
          <w:lang w:val="uk-UA"/>
        </w:rPr>
        <w:lastRenderedPageBreak/>
        <w:t>Quantikine</w:t>
      </w:r>
      <w:r w:rsidRPr="000A32AD">
        <w:rPr>
          <w:rStyle w:val="14"/>
          <w:i w:val="0"/>
          <w:color w:val="000000" w:themeColor="text1"/>
          <w:lang w:val="uk-UA"/>
        </w:rPr>
        <w:t xml:space="preserve"> (</w:t>
      </w:r>
      <w:r w:rsidRPr="000A32AD">
        <w:rPr>
          <w:rFonts w:cs="Times New Roman"/>
          <w:color w:val="000000" w:themeColor="text1"/>
          <w:lang w:val="uk-UA"/>
        </w:rPr>
        <w:t xml:space="preserve">Human FGF basic Immunoassay) виробництва </w:t>
      </w:r>
      <w:r w:rsidR="00C4044C">
        <w:rPr>
          <w:rFonts w:cs="Times New Roman"/>
          <w:color w:val="000000" w:themeColor="text1"/>
          <w:lang w:val="uk-UA"/>
        </w:rPr>
        <w:t xml:space="preserve">(«R&amp;D </w:t>
      </w:r>
      <w:r w:rsidRPr="000A32AD">
        <w:rPr>
          <w:rFonts w:cs="Times New Roman"/>
          <w:color w:val="000000" w:themeColor="text1"/>
          <w:lang w:val="uk-UA"/>
        </w:rPr>
        <w:t>Systems</w:t>
      </w:r>
      <w:r w:rsidR="00C4044C">
        <w:rPr>
          <w:rFonts w:cs="Times New Roman"/>
          <w:color w:val="000000" w:themeColor="text1"/>
          <w:lang w:val="uk-UA"/>
        </w:rPr>
        <w:t xml:space="preserve">», </w:t>
      </w:r>
      <w:r w:rsidRPr="000A32AD">
        <w:rPr>
          <w:rFonts w:cs="Times New Roman"/>
          <w:color w:val="000000" w:themeColor="text1"/>
          <w:lang w:val="uk-UA"/>
        </w:rPr>
        <w:t>США)</w:t>
      </w:r>
      <w:r w:rsidR="00C4044C">
        <w:rPr>
          <w:rFonts w:cs="Times New Roman"/>
          <w:color w:val="000000" w:themeColor="text1"/>
          <w:lang w:val="uk-UA"/>
        </w:rPr>
        <w:t xml:space="preserve">, </w:t>
      </w:r>
      <w:r w:rsidR="00C4044C">
        <w:rPr>
          <w:rFonts w:cs="Times New Roman"/>
          <w:color w:val="000000" w:themeColor="text1"/>
          <w:lang w:val="en-US"/>
        </w:rPr>
        <w:t>LOT</w:t>
      </w:r>
      <w:r w:rsidR="00C4044C" w:rsidRPr="00C4044C">
        <w:rPr>
          <w:rFonts w:cs="Times New Roman"/>
          <w:color w:val="000000" w:themeColor="text1"/>
          <w:lang w:val="uk-UA"/>
        </w:rPr>
        <w:t xml:space="preserve"> </w:t>
      </w:r>
      <w:r w:rsidR="00C4044C">
        <w:rPr>
          <w:rFonts w:cs="Times New Roman"/>
          <w:color w:val="000000" w:themeColor="text1"/>
          <w:lang w:val="en-US"/>
        </w:rPr>
        <w:t>P</w:t>
      </w:r>
      <w:r w:rsidR="00C4044C">
        <w:rPr>
          <w:rFonts w:cs="Times New Roman"/>
          <w:color w:val="000000" w:themeColor="text1"/>
          <w:lang w:val="uk-UA"/>
        </w:rPr>
        <w:t>142734, Cat/№</w:t>
      </w:r>
      <w:r w:rsidR="00DE073E">
        <w:rPr>
          <w:rFonts w:cs="Times New Roman"/>
          <w:color w:val="000000" w:themeColor="text1"/>
          <w:lang w:val="en-US"/>
        </w:rPr>
        <w:t>DFB</w:t>
      </w:r>
      <w:r w:rsidR="00DE073E" w:rsidRPr="00DE073E">
        <w:rPr>
          <w:rFonts w:cs="Times New Roman"/>
          <w:color w:val="000000" w:themeColor="text1"/>
          <w:lang w:val="uk-UA"/>
        </w:rPr>
        <w:t xml:space="preserve">50 </w:t>
      </w:r>
      <w:r w:rsidRPr="000A32AD">
        <w:rPr>
          <w:rFonts w:cs="Times New Roman"/>
          <w:color w:val="000000" w:themeColor="text1"/>
          <w:lang w:val="uk-UA"/>
        </w:rPr>
        <w:t xml:space="preserve">на </w:t>
      </w:r>
      <w:r w:rsidRPr="000A32AD">
        <w:rPr>
          <w:rStyle w:val="14"/>
          <w:i w:val="0"/>
          <w:color w:val="000000" w:themeColor="text1"/>
          <w:lang w:val="uk-UA"/>
        </w:rPr>
        <w:t xml:space="preserve">напівавтоматичному аналізаторі </w:t>
      </w:r>
      <w:r w:rsidR="00DE073E">
        <w:rPr>
          <w:rFonts w:cs="Times New Roman"/>
          <w:color w:val="000000" w:themeColor="text1"/>
          <w:shd w:val="clear" w:color="auto" w:fill="FFFFFF"/>
          <w:lang w:val="en-US"/>
        </w:rPr>
        <w:t>StarFax</w:t>
      </w:r>
      <w:r w:rsidR="00DE073E" w:rsidRPr="00DE073E">
        <w:rPr>
          <w:rFonts w:cs="Times New Roman"/>
          <w:color w:val="000000" w:themeColor="text1"/>
          <w:shd w:val="clear" w:color="auto" w:fill="FFFFFF"/>
          <w:lang w:val="uk-UA"/>
        </w:rPr>
        <w:t xml:space="preserve">2100 </w:t>
      </w:r>
      <w:r w:rsidRPr="000A32AD">
        <w:rPr>
          <w:rFonts w:cs="Times New Roman"/>
          <w:color w:val="000000" w:themeColor="text1"/>
          <w:shd w:val="clear" w:color="auto" w:fill="FFFFFF"/>
          <w:lang w:val="uk-UA"/>
        </w:rPr>
        <w:t xml:space="preserve">у відділу експериментальної фармакології та токсикології ДУ «Інститут проблем ендокринної патології ім. В.Я. Данілевського НАМН України». </w:t>
      </w:r>
      <w:r w:rsidRPr="000A32AD">
        <w:rPr>
          <w:rStyle w:val="14"/>
          <w:i w:val="0"/>
          <w:color w:val="000000" w:themeColor="text1"/>
          <w:lang w:val="uk-UA"/>
        </w:rPr>
        <w:t xml:space="preserve">Патоморфологічні дослідження </w:t>
      </w:r>
      <w:r w:rsidRPr="000A32AD">
        <w:rPr>
          <w:rFonts w:cs="Times New Roman"/>
          <w:color w:val="000000" w:themeColor="text1"/>
          <w:lang w:val="uk-UA"/>
        </w:rPr>
        <w:t>засновано на вивченні 20 випадків аутопсій жінок зі встановленим діагнозом ЦД 2 типу різного степеню тяжкості та з наявністю фенотипічних ознак дисплазії сполучної тканини, а також 15 жінок з підтвердженим діагнозом ЦД 2 типу різного ступеня тяжкості без наявності ознак дисплазії сполучної тканини. Отримані дані оброблено за допомогою методів математичної статистики з урахуванням вимог до медико-біологічних досліджень.</w:t>
      </w:r>
    </w:p>
    <w:p w:rsidR="00B5509D" w:rsidRPr="000A32AD" w:rsidRDefault="00B5509D" w:rsidP="00B5509D">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Фенотипічні ознаки НДСТ мали 48 пацієнтів (І група) та у 42 пацієнтів ознак НДСТ не було (ІІ група). В обох групах переважали жінки з недостовірним відносним збільшенням їх питомої </w:t>
      </w:r>
      <w:r w:rsidR="00DE073E">
        <w:rPr>
          <w:rFonts w:ascii="Times New Roman" w:hAnsi="Times New Roman" w:cs="Times New Roman"/>
          <w:color w:val="000000" w:themeColor="text1"/>
          <w:sz w:val="28"/>
          <w:szCs w:val="28"/>
          <w:lang w:val="uk-UA"/>
        </w:rPr>
        <w:t xml:space="preserve">ваги </w:t>
      </w:r>
      <w:r w:rsidRPr="000A32AD">
        <w:rPr>
          <w:rFonts w:ascii="Times New Roman" w:hAnsi="Times New Roman" w:cs="Times New Roman"/>
          <w:color w:val="000000" w:themeColor="text1"/>
          <w:sz w:val="28"/>
          <w:szCs w:val="28"/>
          <w:lang w:val="uk-UA"/>
        </w:rPr>
        <w:t xml:space="preserve">в І групі (р=0,470). Середній зріст хворих І групи був незначно, але достовірно більшим ніж у хворих ІІ групи (р=0,045). Вага, навпаки, у пацієнтів І групи була достовірно меншою (р=0,020). Кількість пацієнтів з надмірною вагою в І групі була вищою, ніж в ІІ групі (р=0,197), але кількість хворих з ожирінням в І групі була менше, ніж в ІІ групі, що наближалось до достовірного рівня (р=0,070). </w:t>
      </w:r>
    </w:p>
    <w:p w:rsidR="00B5509D" w:rsidRPr="000A32AD" w:rsidRDefault="00B5509D" w:rsidP="00B5509D">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За результатами аналізу особливостей перебігу ЦД встановлено, що діабетична нефропатія в І групі виявлялась частіше, ніж в ІІ групі (р=0,002), більш часто у хворих І групи виявлялася МАУ (р=0,040). Медіана величини ШКФ в І групі була меншою, ніж в ІІ групі (р=0,007), більш часто в цей групі виявлялись хворі зі зниженою ШКФ (р=0,059). Це є свідченням того, що НДСТ може бути причиною розвитку нефропатії у хворих на ЦД.</w:t>
      </w:r>
    </w:p>
    <w:p w:rsidR="00B5509D" w:rsidRPr="000A32AD" w:rsidRDefault="00B5509D" w:rsidP="00B5509D">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Аналіз супутньої патології виявив, що АГ та хронічний холецистит в І групі були достовірно частішими, ніж в ІІ групі (р&lt;0,001 та &lt;0,05 відповідно). В І групі АГ 2 та 3 ст. виявлялась у 35,4% та 6,3% хворих відповідно, в ІІ групі – у </w:t>
      </w:r>
      <w:r w:rsidRPr="000A32AD">
        <w:rPr>
          <w:rFonts w:ascii="Times New Roman" w:hAnsi="Times New Roman" w:cs="Times New Roman"/>
          <w:color w:val="000000" w:themeColor="text1"/>
          <w:sz w:val="28"/>
          <w:szCs w:val="28"/>
          <w:lang w:val="uk-UA"/>
        </w:rPr>
        <w:lastRenderedPageBreak/>
        <w:t>11,9% та 2,4% хворих відповідно. За результатами кореляційного аналізу встановлено, що в І групі кореляція АГ з тривалістю ЦД дуже слабка та не достовірна (p=0,538), в ІІ групі кореляція позитивна сильна позитивна та достовірна (p&lt;0,001).</w:t>
      </w:r>
    </w:p>
    <w:p w:rsidR="00B5509D" w:rsidRPr="000A32AD" w:rsidRDefault="00B5509D" w:rsidP="00AB29DF">
      <w:pPr>
        <w:tabs>
          <w:tab w:val="left" w:pos="1134"/>
        </w:tabs>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Загалом в результаті аналізу загально-клінічних даних, особливостей перебігу ЦД 2 типу та супутньої патології встановлено</w:t>
      </w:r>
      <w:r w:rsidR="00AB29DF">
        <w:rPr>
          <w:rFonts w:ascii="Times New Roman" w:hAnsi="Times New Roman" w:cs="Times New Roman"/>
          <w:color w:val="000000" w:themeColor="text1"/>
          <w:sz w:val="28"/>
          <w:szCs w:val="28"/>
          <w:lang w:val="uk-UA"/>
        </w:rPr>
        <w:t xml:space="preserve"> у</w:t>
      </w:r>
      <w:r w:rsidR="00AB29DF" w:rsidRPr="008857F3">
        <w:rPr>
          <w:rFonts w:ascii="Times New Roman" w:hAnsi="Times New Roman" w:cs="Times New Roman"/>
          <w:color w:val="auto"/>
          <w:sz w:val="28"/>
          <w:szCs w:val="28"/>
          <w:lang w:val="uk-UA"/>
        </w:rPr>
        <w:t xml:space="preserve"> хворих на ЦД 2 типу з вісцеральними та скелетними ознаками НДСТ рідше зустрічається ожиріння, спостерігається тенденція до зниження ІМТ, </w:t>
      </w:r>
      <w:r w:rsidR="00AB29DF">
        <w:rPr>
          <w:rFonts w:ascii="Times New Roman" w:hAnsi="Times New Roman" w:cs="Times New Roman"/>
          <w:color w:val="auto"/>
          <w:sz w:val="28"/>
          <w:szCs w:val="28"/>
          <w:lang w:val="uk-UA"/>
        </w:rPr>
        <w:t xml:space="preserve">ніж у </w:t>
      </w:r>
      <w:r w:rsidR="00AB29DF" w:rsidRPr="008857F3">
        <w:rPr>
          <w:rFonts w:ascii="Times New Roman" w:hAnsi="Times New Roman" w:cs="Times New Roman"/>
          <w:color w:val="auto"/>
          <w:sz w:val="28"/>
          <w:szCs w:val="28"/>
          <w:lang w:val="uk-UA"/>
        </w:rPr>
        <w:t xml:space="preserve">хворих на ЦД без цих ознак. Встановлено, що поєднання ЦД 2 типу і НДСТ сприяє розвитку артеріальної гіпертензії та частоті формуванню  діабетичної нефропатії, ретинопатії, нейропатії. </w:t>
      </w:r>
      <w:r w:rsidRPr="000A32AD">
        <w:rPr>
          <w:rFonts w:ascii="Times New Roman" w:hAnsi="Times New Roman" w:cs="Times New Roman"/>
          <w:color w:val="000000" w:themeColor="text1"/>
          <w:sz w:val="28"/>
          <w:szCs w:val="28"/>
          <w:lang w:val="uk-UA"/>
        </w:rPr>
        <w:t>При цьому, розвиток АГ у хворих на ЦД 2 типу у сполученні з НДСТ відбувається раніше, та майже не залежить від тривалості діабету. Більш виразна АГ спостерігається у хворих при наявності вісцеральних та скелетних ознак НДСТ. Це є свідченням ролі НДСТ у патогенезі АГ у хворих на ЦД 2 типу.</w:t>
      </w:r>
    </w:p>
    <w:p w:rsidR="00B5509D" w:rsidRPr="000A32AD" w:rsidRDefault="00B5509D" w:rsidP="00B5509D">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Також встановлено, що у хворих з ЦД 2 типу медіана вмісту FGF2 була достовірно більшою, ніж в контролі (р&lt;0,05). У хворих І групи вміст FGF2 був достовірно більшим, ніж в контролі та ніж у хворих ІІ групи (р&lt;0,05). В результаті кореляційного аналізу вмісту FGF2 з іншими показниками виявлено, що в І групі кореляція FGF2 з віком та тривалістю цукрового діабету була відсутня – r=0,107 та r=0,059 відповідно (р&gt;0,05), в ІІ групі виявлено достовірну сильну позитивну кореляцію FGF2 з віком (r=0,649, р&lt;0,001) та з тривалістю ЦД (r=0,357, р=0,02). Це свідчить про те, що у хворих на ЦД 2 типу вміст FGF2 зростає з віком та протягом захворювання. При наяв</w:t>
      </w:r>
      <w:r w:rsidRPr="000A32AD">
        <w:rPr>
          <w:rFonts w:ascii="Times New Roman" w:hAnsi="Times New Roman" w:cs="Times New Roman"/>
          <w:color w:val="000000" w:themeColor="text1"/>
          <w:sz w:val="28"/>
          <w:szCs w:val="28"/>
          <w:lang w:val="uk-UA"/>
        </w:rPr>
        <w:softHyphen/>
        <w:t xml:space="preserve">ності НДСТ у хворих на ЦД 2 типу цієї залежності немає, що можна пояснити початковим збільшенням вмісту FGF2 на фоні порушень метаболізму сполучної тканини. </w:t>
      </w:r>
    </w:p>
    <w:p w:rsidR="00B5509D" w:rsidRPr="000A32AD" w:rsidRDefault="00576EA5" w:rsidP="00B5509D">
      <w:pPr>
        <w:widowControl w:val="0"/>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00B5509D" w:rsidRPr="000A32AD">
        <w:rPr>
          <w:rFonts w:ascii="Times New Roman" w:hAnsi="Times New Roman" w:cs="Times New Roman"/>
          <w:color w:val="000000" w:themeColor="text1"/>
          <w:sz w:val="28"/>
          <w:szCs w:val="28"/>
          <w:lang w:val="uk-UA"/>
        </w:rPr>
        <w:t xml:space="preserve">иявлено достовірну кореляцію вмісту </w:t>
      </w:r>
      <w:r w:rsidR="00B5509D" w:rsidRPr="000A32AD">
        <w:rPr>
          <w:rFonts w:ascii="Times New Roman" w:hAnsi="Times New Roman" w:cs="Times New Roman"/>
          <w:color w:val="000000" w:themeColor="text1"/>
          <w:sz w:val="28"/>
          <w:szCs w:val="28"/>
          <w:shd w:val="clear" w:color="auto" w:fill="FFFFFF"/>
          <w:lang w:val="uk-UA"/>
        </w:rPr>
        <w:t>FGF2 крові хворих на ЦД з наявністю та виразністю АГ в І</w:t>
      </w:r>
      <w:r w:rsidR="00B5509D" w:rsidRPr="000A32AD">
        <w:rPr>
          <w:rFonts w:ascii="Times New Roman" w:hAnsi="Times New Roman" w:cs="Times New Roman"/>
          <w:i/>
          <w:color w:val="000000" w:themeColor="text1"/>
          <w:sz w:val="28"/>
          <w:szCs w:val="28"/>
          <w:shd w:val="clear" w:color="auto" w:fill="FFFFFF"/>
          <w:lang w:val="uk-UA"/>
        </w:rPr>
        <w:t xml:space="preserve">  </w:t>
      </w:r>
      <w:r w:rsidR="00B5509D" w:rsidRPr="000A32AD">
        <w:rPr>
          <w:rFonts w:ascii="Times New Roman" w:hAnsi="Times New Roman" w:cs="Times New Roman"/>
          <w:color w:val="000000" w:themeColor="text1"/>
          <w:sz w:val="28"/>
          <w:szCs w:val="28"/>
          <w:shd w:val="clear" w:color="auto" w:fill="FFFFFF"/>
          <w:lang w:val="uk-UA"/>
        </w:rPr>
        <w:t>(</w:t>
      </w:r>
      <w:r w:rsidR="00B5509D" w:rsidRPr="000A32AD">
        <w:rPr>
          <w:rFonts w:ascii="Times New Roman" w:hAnsi="Times New Roman" w:cs="Times New Roman"/>
          <w:i/>
          <w:color w:val="000000" w:themeColor="text1"/>
          <w:sz w:val="28"/>
          <w:szCs w:val="28"/>
          <w:shd w:val="clear" w:color="auto" w:fill="FFFFFF"/>
          <w:lang w:val="uk-UA"/>
        </w:rPr>
        <w:t>r</w:t>
      </w:r>
      <w:r w:rsidR="00B5509D" w:rsidRPr="000A32AD">
        <w:rPr>
          <w:rFonts w:ascii="Times New Roman" w:hAnsi="Times New Roman" w:cs="Times New Roman"/>
          <w:color w:val="000000" w:themeColor="text1"/>
          <w:sz w:val="28"/>
          <w:szCs w:val="28"/>
          <w:shd w:val="clear" w:color="auto" w:fill="FFFFFF"/>
          <w:lang w:val="uk-UA"/>
        </w:rPr>
        <w:t>=0,564, р=0,001) та в ІІ групі</w:t>
      </w:r>
      <w:r w:rsidR="00B5509D" w:rsidRPr="000A32AD">
        <w:rPr>
          <w:rFonts w:ascii="Times New Roman" w:hAnsi="Times New Roman" w:cs="Times New Roman"/>
          <w:i/>
          <w:color w:val="000000" w:themeColor="text1"/>
          <w:sz w:val="28"/>
          <w:szCs w:val="28"/>
          <w:shd w:val="clear" w:color="auto" w:fill="FFFFFF"/>
          <w:lang w:val="uk-UA"/>
        </w:rPr>
        <w:t xml:space="preserve">  </w:t>
      </w:r>
      <w:r w:rsidR="00B5509D" w:rsidRPr="000A32AD">
        <w:rPr>
          <w:rFonts w:ascii="Times New Roman" w:hAnsi="Times New Roman" w:cs="Times New Roman"/>
          <w:color w:val="000000" w:themeColor="text1"/>
          <w:sz w:val="28"/>
          <w:szCs w:val="28"/>
          <w:shd w:val="clear" w:color="auto" w:fill="FFFFFF"/>
          <w:lang w:val="uk-UA"/>
        </w:rPr>
        <w:t>(</w:t>
      </w:r>
      <w:r w:rsidR="00B5509D" w:rsidRPr="000A32AD">
        <w:rPr>
          <w:rFonts w:ascii="Times New Roman" w:hAnsi="Times New Roman" w:cs="Times New Roman"/>
          <w:i/>
          <w:color w:val="000000" w:themeColor="text1"/>
          <w:sz w:val="28"/>
          <w:szCs w:val="28"/>
          <w:shd w:val="clear" w:color="auto" w:fill="FFFFFF"/>
          <w:lang w:val="uk-UA"/>
        </w:rPr>
        <w:t>r</w:t>
      </w:r>
      <w:r w:rsidR="00B5509D" w:rsidRPr="000A32AD">
        <w:rPr>
          <w:rFonts w:ascii="Times New Roman" w:hAnsi="Times New Roman" w:cs="Times New Roman"/>
          <w:color w:val="000000" w:themeColor="text1"/>
          <w:sz w:val="28"/>
          <w:szCs w:val="28"/>
          <w:shd w:val="clear" w:color="auto" w:fill="FFFFFF"/>
          <w:lang w:val="uk-UA"/>
        </w:rPr>
        <w:t xml:space="preserve">=0,413, </w:t>
      </w:r>
      <w:r w:rsidR="00B5509D" w:rsidRPr="000A32AD">
        <w:rPr>
          <w:rFonts w:ascii="Times New Roman" w:hAnsi="Times New Roman" w:cs="Times New Roman"/>
          <w:color w:val="000000" w:themeColor="text1"/>
          <w:sz w:val="28"/>
          <w:szCs w:val="28"/>
          <w:shd w:val="clear" w:color="auto" w:fill="FFFFFF"/>
          <w:lang w:val="uk-UA"/>
        </w:rPr>
        <w:lastRenderedPageBreak/>
        <w:t>р=0,006). У хворих з наявністю НДСТ виявлено не достовірну позитивну кореляцію з наявністю діабетичної нефропатії (</w:t>
      </w:r>
      <w:r w:rsidR="00B5509D" w:rsidRPr="000A32AD">
        <w:rPr>
          <w:rFonts w:ascii="Times New Roman" w:hAnsi="Times New Roman" w:cs="Times New Roman"/>
          <w:i/>
          <w:color w:val="000000" w:themeColor="text1"/>
          <w:sz w:val="28"/>
          <w:szCs w:val="28"/>
          <w:shd w:val="clear" w:color="auto" w:fill="FFFFFF"/>
          <w:lang w:val="uk-UA"/>
        </w:rPr>
        <w:t>r</w:t>
      </w:r>
      <w:r w:rsidR="00B5509D" w:rsidRPr="000A32AD">
        <w:rPr>
          <w:rFonts w:ascii="Times New Roman" w:hAnsi="Times New Roman" w:cs="Times New Roman"/>
          <w:color w:val="000000" w:themeColor="text1"/>
          <w:sz w:val="28"/>
          <w:szCs w:val="28"/>
          <w:shd w:val="clear" w:color="auto" w:fill="FFFFFF"/>
          <w:lang w:val="uk-UA"/>
        </w:rPr>
        <w:t>=0,206, р=0,159), у пацієнтів без наявності ознак НДСТ кореляція була достовірною (</w:t>
      </w:r>
      <w:r w:rsidR="00B5509D" w:rsidRPr="000A32AD">
        <w:rPr>
          <w:rFonts w:ascii="Times New Roman" w:hAnsi="Times New Roman" w:cs="Times New Roman"/>
          <w:i/>
          <w:color w:val="000000" w:themeColor="text1"/>
          <w:sz w:val="28"/>
          <w:szCs w:val="28"/>
          <w:shd w:val="clear" w:color="auto" w:fill="FFFFFF"/>
          <w:lang w:val="uk-UA"/>
        </w:rPr>
        <w:t>r</w:t>
      </w:r>
      <w:r w:rsidR="00B5509D" w:rsidRPr="000A32AD">
        <w:rPr>
          <w:rFonts w:ascii="Times New Roman" w:hAnsi="Times New Roman" w:cs="Times New Roman"/>
          <w:color w:val="000000" w:themeColor="text1"/>
          <w:sz w:val="28"/>
          <w:szCs w:val="28"/>
          <w:shd w:val="clear" w:color="auto" w:fill="FFFFFF"/>
          <w:lang w:val="uk-UA"/>
        </w:rPr>
        <w:t xml:space="preserve">=0,372, р=0,015). Це </w:t>
      </w:r>
      <w:r w:rsidR="00B5509D" w:rsidRPr="000A32AD">
        <w:rPr>
          <w:rFonts w:ascii="Times New Roman" w:hAnsi="Times New Roman" w:cs="Times New Roman"/>
          <w:color w:val="000000" w:themeColor="text1"/>
          <w:sz w:val="28"/>
          <w:szCs w:val="28"/>
          <w:lang w:val="uk-UA"/>
        </w:rPr>
        <w:t>свідчить про патогенетичну роль НДСТ у розвитку АГ та судинних уражень, зокрема, діабетичної нефропатії, у хворих на ЦД 2 типу.</w:t>
      </w:r>
    </w:p>
    <w:p w:rsidR="00B5509D" w:rsidRPr="000A32AD" w:rsidRDefault="00B5509D" w:rsidP="00B5509D">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При патогістологічному дослідженні нирок померлих з наявністю ЦД 2 типу та фенотипічних ознак НДСТ в анамнезі встановлено, що НД</w:t>
      </w:r>
      <w:r w:rsidR="00663B0C" w:rsidRPr="000A32AD">
        <w:rPr>
          <w:rFonts w:ascii="Times New Roman" w:hAnsi="Times New Roman" w:cs="Times New Roman"/>
          <w:color w:val="000000" w:themeColor="text1"/>
          <w:sz w:val="28"/>
          <w:szCs w:val="28"/>
          <w:lang w:val="uk-UA"/>
        </w:rPr>
        <w:t>СТ сприяє більш виразним склеро</w:t>
      </w:r>
      <w:r w:rsidRPr="000A32AD">
        <w:rPr>
          <w:rFonts w:ascii="Times New Roman" w:hAnsi="Times New Roman" w:cs="Times New Roman"/>
          <w:color w:val="000000" w:themeColor="text1"/>
          <w:sz w:val="28"/>
          <w:szCs w:val="28"/>
          <w:lang w:val="uk-UA"/>
        </w:rPr>
        <w:t xml:space="preserve">тичним змінам функціональної паренхіми нирок, що проявляється у вигляді масивного розростання міжканальцевої сполучної тканини, гіалінізації клубочків, різкому потовщенню капсули Шумлянського-Боумена і проліферації мезангіальных клітин. Значні зміни відбуваються й в артеріальних судинах, в яких виявлено різке потовщення інтими, а також її розпушування і набряк, що призводило до </w:t>
      </w:r>
      <w:r w:rsidRPr="000A32AD">
        <w:rPr>
          <w:rFonts w:ascii="Times New Roman" w:eastAsia="Times New Roman" w:hAnsi="Times New Roman" w:cs="Times New Roman"/>
          <w:color w:val="000000" w:themeColor="text1"/>
          <w:sz w:val="28"/>
          <w:szCs w:val="28"/>
          <w:lang w:val="uk-UA"/>
        </w:rPr>
        <w:t xml:space="preserve">потовщення стінки судин зі зменшенням їх просвіту аж до повної облітерації. Імуногістохімічне дослідження дозволило виявити у хворих з ЦД та НДСТ значне збільшення експресії колагену IV типу. </w:t>
      </w:r>
      <w:r w:rsidRPr="000A32AD">
        <w:rPr>
          <w:rFonts w:ascii="Times New Roman" w:hAnsi="Times New Roman" w:cs="Times New Roman"/>
          <w:color w:val="000000" w:themeColor="text1"/>
          <w:sz w:val="28"/>
          <w:szCs w:val="28"/>
          <w:lang w:val="uk-UA"/>
        </w:rPr>
        <w:t>Ці процеси у свою чергу сприяють поглибленню ендотеліальної дисфункції, порушенню структури базальних мембран та стінок судин, фіброзно-склеротичним процесам в паренхімі функціонально активних органів, зокрема, нирок.</w:t>
      </w:r>
    </w:p>
    <w:p w:rsidR="00B5509D" w:rsidRPr="000A32AD" w:rsidRDefault="00B5509D" w:rsidP="00B5509D">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Отримані результати свідчать, що НДСТ є додатковим, а в окремих випадках, можливо, основним фактором ураження судин у хворих на ЦД 2 типу та одним з важливих патогенетичних механізмів розвитку АГ та судинних ускладнень. Це свідчить про важливість своєчасного виявлення ознак НДСТ та про можливість застосування цих ознак в якості предикторів розвитку АГ у хворих на ЦД 2 типу.</w:t>
      </w:r>
    </w:p>
    <w:p w:rsidR="00B5509D" w:rsidRPr="000A32AD" w:rsidRDefault="00B5509D" w:rsidP="00B5509D">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Для визначення прогностичної значущості НДСТ у розвитку АГ був виконаний аналіз виписних епікризів після попереднього стаціонарного лікування (від двох до 5 років тому) у хворих з тривалістю ЦД 2 типу не менш 2 </w:t>
      </w:r>
      <w:r w:rsidRPr="000A32AD">
        <w:rPr>
          <w:rFonts w:ascii="Times New Roman" w:hAnsi="Times New Roman" w:cs="Times New Roman"/>
          <w:color w:val="000000" w:themeColor="text1"/>
          <w:sz w:val="28"/>
          <w:szCs w:val="28"/>
          <w:lang w:val="uk-UA"/>
        </w:rPr>
        <w:lastRenderedPageBreak/>
        <w:t>років. Під час аналізу перш за все звертали увагу на наявність АГ при попередніх госпіталізаціях, її ступінь та на наявність захворювань, що є характерними для НДСТ при останні</w:t>
      </w:r>
      <w:r w:rsidR="00E60672" w:rsidRPr="000A32AD">
        <w:rPr>
          <w:rFonts w:ascii="Times New Roman" w:hAnsi="Times New Roman" w:cs="Times New Roman"/>
          <w:color w:val="000000" w:themeColor="text1"/>
          <w:sz w:val="28"/>
          <w:szCs w:val="28"/>
          <w:lang w:val="uk-UA"/>
        </w:rPr>
        <w:t>й</w:t>
      </w:r>
      <w:r w:rsidRPr="000A32AD">
        <w:rPr>
          <w:rFonts w:ascii="Times New Roman" w:hAnsi="Times New Roman" w:cs="Times New Roman"/>
          <w:color w:val="000000" w:themeColor="text1"/>
          <w:sz w:val="28"/>
          <w:szCs w:val="28"/>
          <w:lang w:val="uk-UA"/>
        </w:rPr>
        <w:t xml:space="preserve"> госпіталізації. Хворі були розподілено на дві групи. У І групу увійшли хворі, у яких АГ не діагностувалась при попередніх госпіталізаціях та не виявилась під час останньої госпіталізації, а також хворі, у яких ступінь АГ під час попередньої та останньої госпіталізації не розрізнявся, тобто не спостерігалось прогресування АГ. Другу групу склали хворі, у яких АГ не діагностували під час попередньої госпіталізації, але під час останньої госпіталізації у них біло виявлено АГ, а також хворі, у яких ступінь АГ під час останньої госпіталізації збільшився у порівнянні з попередньою. Як видно, основною відмінністю груп було виникнення або прогресування АГ, чи відсутність АГ або її стабільний перебіг.</w:t>
      </w:r>
    </w:p>
    <w:p w:rsidR="00B5509D" w:rsidRPr="000A32AD" w:rsidRDefault="00B5509D" w:rsidP="00B5509D">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 якості предиктора розглядалось лише наявність або відсутність ознак НДСТ під час останньої госпіталізації. Крім цього, в якості предиктора додано тривалість ЦД 2 типу у зв’язку з відомим збільшенням частоти АГ при збільшенні тривалості ЦД. Концентрацію FGF2 не розглядали в якості предиктора у зв’язку з відсутністю цих даних під час попередньої госпіталізації, також важливим є той факт, що це досить коштовне дослідження, яке не застосовується в рутинній клінічній практиці.</w:t>
      </w:r>
    </w:p>
    <w:p w:rsidR="00B5509D" w:rsidRPr="000A32AD" w:rsidRDefault="00B5509D" w:rsidP="00B5509D">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З’ясування прогностичної значущості факторів, що були обрані для аналізу, виконано за допомогою регресійного аналізу з використанням бінарної логістичної регресії методом Вальда. В результаті аналізу у підсумкове рівняння визначення коефіцієнту z увійшли обидва фактори: наявність ознак НДСТ – з коефіцієнтом 2,970 (при рівні достовірності p&lt;0,001), та тривалість ЦД 2 типу – з коефіцієнтом 0,470 (при рівні достовірності p&lt;0,021). Це є доказом прямого впливу НДСТ на розвиток АГ, та більшої значимості цього фактору ніж тривалість ЦД 2 типу.</w:t>
      </w:r>
    </w:p>
    <w:p w:rsidR="00B5509D" w:rsidRPr="000A32AD" w:rsidRDefault="00B5509D" w:rsidP="00B5509D">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Перевірка регресійної моделі на збіг прогнозованих та спостережених </w:t>
      </w:r>
      <w:r w:rsidRPr="000A32AD">
        <w:rPr>
          <w:rFonts w:ascii="Times New Roman" w:hAnsi="Times New Roman" w:cs="Times New Roman"/>
          <w:color w:val="000000" w:themeColor="text1"/>
          <w:sz w:val="28"/>
          <w:szCs w:val="28"/>
          <w:lang w:val="uk-UA"/>
        </w:rPr>
        <w:lastRenderedPageBreak/>
        <w:t>значень виявила, що її специфічність склала 87,2%, чутливість – 89,7%. Загальна прогностичність дорівнює 88,5%. Це досить високі показники, які дозволяють застосовувати запропоновану модель для визначення хворих на ЦД 2 типу з високим ризиком розвитку АГ.</w:t>
      </w:r>
    </w:p>
    <w:p w:rsidR="00B5509D" w:rsidRPr="000A32AD" w:rsidRDefault="00B5509D" w:rsidP="00B5509D">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Однак слід зазначити, що дослідження має певні обмеження. Це обмежена вікова група (35–45 років), ретроспективний характер аналізу, відсутність у більшості випадків даних добового моніторування АТ, варіабельність глибини аналізу. Водночас ці обмеження визначають перспективи подальших досліджень у цьому напрямку. Доцільно більш широкомасштабне дослідження без вікових обмежень, із застосуванням сучасних методів об’єктивізації коливань АТ протягом доби, тривале дослідження з визначенням контрольних точок збору даних, а також визначення найбільш об’єктивних маркерів НДСТ.</w:t>
      </w:r>
    </w:p>
    <w:p w:rsidR="000D5D92" w:rsidRPr="000A32AD" w:rsidRDefault="000D5D92" w:rsidP="000D5D92">
      <w:pPr>
        <w:tabs>
          <w:tab w:val="left" w:pos="1134"/>
        </w:tabs>
        <w:spacing w:line="360" w:lineRule="auto"/>
        <w:ind w:firstLine="709"/>
        <w:contextualSpacing/>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Ключові слова: цукровий діабет, </w:t>
      </w:r>
      <w:r w:rsidR="008B6615" w:rsidRPr="000A32AD">
        <w:rPr>
          <w:rFonts w:ascii="Times New Roman" w:hAnsi="Times New Roman" w:cs="Times New Roman"/>
          <w:color w:val="000000" w:themeColor="text1"/>
          <w:sz w:val="28"/>
          <w:szCs w:val="28"/>
          <w:lang w:val="uk-UA"/>
        </w:rPr>
        <w:t>недиференційована дисплазія сполучної тканини,</w:t>
      </w:r>
      <w:r w:rsidRPr="000A32AD">
        <w:rPr>
          <w:rFonts w:ascii="Times New Roman" w:hAnsi="Times New Roman" w:cs="Times New Roman"/>
          <w:color w:val="000000" w:themeColor="text1"/>
          <w:sz w:val="28"/>
          <w:szCs w:val="28"/>
          <w:lang w:val="uk-UA"/>
        </w:rPr>
        <w:t xml:space="preserve"> </w:t>
      </w:r>
      <w:r w:rsidR="008B6615" w:rsidRPr="000A32AD">
        <w:rPr>
          <w:rFonts w:ascii="Times New Roman" w:hAnsi="Times New Roman" w:cs="Times New Roman"/>
          <w:color w:val="000000" w:themeColor="text1"/>
          <w:sz w:val="28"/>
          <w:szCs w:val="28"/>
          <w:lang w:val="uk-UA"/>
        </w:rPr>
        <w:t xml:space="preserve">основний </w:t>
      </w:r>
      <w:r w:rsidRPr="000A32AD">
        <w:rPr>
          <w:rFonts w:ascii="Times New Roman" w:hAnsi="Times New Roman" w:cs="Times New Roman"/>
          <w:color w:val="000000" w:themeColor="text1"/>
          <w:sz w:val="28"/>
          <w:szCs w:val="28"/>
          <w:lang w:val="uk-UA"/>
        </w:rPr>
        <w:t>фактор росту фібробластів, артеріальна гіпертензія</w:t>
      </w:r>
      <w:r w:rsidR="008B6615" w:rsidRPr="000A32AD">
        <w:rPr>
          <w:rFonts w:ascii="Times New Roman" w:hAnsi="Times New Roman" w:cs="Times New Roman"/>
          <w:color w:val="000000" w:themeColor="text1"/>
          <w:sz w:val="28"/>
          <w:szCs w:val="28"/>
          <w:lang w:val="uk-UA"/>
        </w:rPr>
        <w:t>, діабетична нефропатія, патогенез, прогнозування</w:t>
      </w:r>
      <w:r w:rsidRPr="000A32AD">
        <w:rPr>
          <w:rFonts w:ascii="Times New Roman" w:hAnsi="Times New Roman" w:cs="Times New Roman"/>
          <w:color w:val="000000" w:themeColor="text1"/>
          <w:sz w:val="28"/>
          <w:szCs w:val="28"/>
          <w:lang w:val="uk-UA"/>
        </w:rPr>
        <w:t xml:space="preserve">. </w:t>
      </w:r>
    </w:p>
    <w:p w:rsidR="000D5D92" w:rsidRPr="000A32AD" w:rsidRDefault="000D5D92" w:rsidP="000D5D92">
      <w:pPr>
        <w:tabs>
          <w:tab w:val="left" w:pos="1134"/>
        </w:tabs>
        <w:spacing w:line="360" w:lineRule="auto"/>
        <w:contextualSpacing/>
        <w:jc w:val="both"/>
        <w:rPr>
          <w:rFonts w:ascii="Times New Roman" w:hAnsi="Times New Roman" w:cs="Times New Roman"/>
          <w:color w:val="000000" w:themeColor="text1"/>
          <w:sz w:val="28"/>
          <w:szCs w:val="28"/>
          <w:lang w:val="uk-UA"/>
        </w:rPr>
      </w:pPr>
    </w:p>
    <w:p w:rsidR="000D5D92" w:rsidRPr="000A32AD" w:rsidRDefault="000D5D92" w:rsidP="000D5D92">
      <w:pPr>
        <w:tabs>
          <w:tab w:val="left" w:pos="1134"/>
        </w:tabs>
        <w:spacing w:line="360" w:lineRule="auto"/>
        <w:ind w:firstLine="709"/>
        <w:contextualSpacing/>
        <w:jc w:val="center"/>
        <w:rPr>
          <w:rFonts w:ascii="Times New Roman" w:hAnsi="Times New Roman" w:cs="Times New Roman"/>
          <w:b/>
          <w:color w:val="000000" w:themeColor="text1"/>
          <w:sz w:val="28"/>
          <w:szCs w:val="28"/>
          <w:lang w:val="en-US"/>
        </w:rPr>
      </w:pPr>
      <w:r w:rsidRPr="000A32AD">
        <w:rPr>
          <w:rFonts w:ascii="Times New Roman" w:hAnsi="Times New Roman" w:cs="Times New Roman"/>
          <w:b/>
          <w:color w:val="000000" w:themeColor="text1"/>
          <w:sz w:val="28"/>
          <w:szCs w:val="28"/>
          <w:lang w:val="en-US"/>
        </w:rPr>
        <w:t>ANNOTATION</w:t>
      </w:r>
    </w:p>
    <w:p w:rsidR="000D5D92" w:rsidRPr="000A32AD" w:rsidRDefault="000D5D92" w:rsidP="000D5D92">
      <w:pPr>
        <w:tabs>
          <w:tab w:val="left" w:pos="1134"/>
        </w:tabs>
        <w:spacing w:line="360" w:lineRule="auto"/>
        <w:ind w:firstLine="709"/>
        <w:contextualSpacing/>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 xml:space="preserve">Sherstyuk L.L. </w:t>
      </w:r>
      <w:r w:rsidR="007668EB" w:rsidRPr="000A32AD">
        <w:rPr>
          <w:rFonts w:ascii="Times New Roman" w:hAnsi="Times New Roman" w:cs="Times New Roman"/>
          <w:color w:val="000000" w:themeColor="text1"/>
          <w:sz w:val="28"/>
          <w:szCs w:val="28"/>
          <w:lang w:val="en-US"/>
        </w:rPr>
        <w:t>Pathogenetic s</w:t>
      </w:r>
      <w:r w:rsidR="008B6615" w:rsidRPr="000A32AD">
        <w:rPr>
          <w:rFonts w:ascii="Times New Roman" w:hAnsi="Times New Roman" w:cs="Times New Roman"/>
          <w:color w:val="000000" w:themeColor="text1"/>
          <w:sz w:val="28"/>
          <w:szCs w:val="28"/>
          <w:lang w:val="en-US"/>
        </w:rPr>
        <w:t xml:space="preserve">ignificance of undifferentiated connective tissue dysplasia in the development of arterial hypertension </w:t>
      </w:r>
      <w:r w:rsidR="007668EB" w:rsidRPr="000A32AD">
        <w:rPr>
          <w:rFonts w:ascii="Times New Roman" w:hAnsi="Times New Roman" w:cs="Times New Roman"/>
          <w:color w:val="000000" w:themeColor="text1"/>
          <w:sz w:val="28"/>
          <w:szCs w:val="28"/>
          <w:lang w:val="en-US"/>
        </w:rPr>
        <w:t xml:space="preserve">and nephropathy </w:t>
      </w:r>
      <w:r w:rsidR="008B6615" w:rsidRPr="000A32AD">
        <w:rPr>
          <w:rFonts w:ascii="Times New Roman" w:hAnsi="Times New Roman" w:cs="Times New Roman"/>
          <w:color w:val="000000" w:themeColor="text1"/>
          <w:sz w:val="28"/>
          <w:szCs w:val="28"/>
          <w:lang w:val="en-US"/>
        </w:rPr>
        <w:t>in patients with type 2 diabetes mellitus</w:t>
      </w:r>
      <w:r w:rsidR="008B6615" w:rsidRPr="000A32AD">
        <w:rPr>
          <w:rFonts w:ascii="Times New Roman" w:hAnsi="Times New Roman" w:cs="Times New Roman"/>
          <w:color w:val="000000" w:themeColor="text1"/>
          <w:sz w:val="28"/>
          <w:szCs w:val="28"/>
          <w:lang w:val="uk-UA"/>
        </w:rPr>
        <w:t>.</w:t>
      </w:r>
      <w:r w:rsidR="008B6615" w:rsidRPr="000A32AD">
        <w:rPr>
          <w:rFonts w:ascii="Times New Roman" w:hAnsi="Times New Roman" w:cs="Times New Roman"/>
          <w:color w:val="000000" w:themeColor="text1"/>
          <w:sz w:val="28"/>
          <w:szCs w:val="28"/>
          <w:lang w:val="en-US"/>
        </w:rPr>
        <w:t xml:space="preserve"> </w:t>
      </w:r>
      <w:r w:rsidRPr="000A32AD">
        <w:rPr>
          <w:rFonts w:ascii="Times New Roman" w:hAnsi="Times New Roman" w:cs="Times New Roman"/>
          <w:color w:val="000000" w:themeColor="text1"/>
          <w:sz w:val="28"/>
          <w:szCs w:val="28"/>
          <w:lang w:val="en-US"/>
        </w:rPr>
        <w:t>Qualification research. The Manuscript.</w:t>
      </w:r>
    </w:p>
    <w:p w:rsidR="000D5D92" w:rsidRPr="000A32AD" w:rsidRDefault="000D5D92" w:rsidP="000D5D92">
      <w:pPr>
        <w:tabs>
          <w:tab w:val="left" w:pos="1134"/>
        </w:tabs>
        <w:spacing w:line="360" w:lineRule="auto"/>
        <w:ind w:firstLine="709"/>
        <w:contextualSpacing/>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Dissertation for obtaining PhD scientific degree in specialty 14.01.02 — internal diseases. — Kharkiv national university named after V.N.Karazin. Ministry of Science and Education, Kharkiv, 201</w:t>
      </w:r>
      <w:r w:rsidR="007F5FCD" w:rsidRPr="000A32AD">
        <w:rPr>
          <w:rFonts w:ascii="Times New Roman" w:hAnsi="Times New Roman" w:cs="Times New Roman"/>
          <w:color w:val="000000" w:themeColor="text1"/>
          <w:sz w:val="28"/>
          <w:szCs w:val="28"/>
          <w:lang w:val="uk-UA"/>
        </w:rPr>
        <w:t>9</w:t>
      </w:r>
      <w:r w:rsidRPr="000A32AD">
        <w:rPr>
          <w:rFonts w:ascii="Times New Roman" w:hAnsi="Times New Roman" w:cs="Times New Roman"/>
          <w:color w:val="000000" w:themeColor="text1"/>
          <w:sz w:val="28"/>
          <w:szCs w:val="28"/>
          <w:lang w:val="en-US"/>
        </w:rPr>
        <w:t>.</w:t>
      </w:r>
    </w:p>
    <w:p w:rsidR="008B6615" w:rsidRPr="000A32AD" w:rsidRDefault="008B6615" w:rsidP="008B6615">
      <w:pPr>
        <w:pStyle w:val="af9"/>
        <w:rPr>
          <w:color w:val="000000" w:themeColor="text1"/>
          <w:lang w:val="en-US"/>
        </w:rPr>
      </w:pPr>
      <w:r w:rsidRPr="000A32AD">
        <w:rPr>
          <w:color w:val="000000" w:themeColor="text1"/>
          <w:lang w:val="en-US"/>
        </w:rPr>
        <w:t xml:space="preserve">The aim of the study was to increase the effectiveness of early diagnosis and </w:t>
      </w:r>
      <w:r w:rsidR="00D50C94" w:rsidRPr="000A32AD">
        <w:rPr>
          <w:color w:val="000000" w:themeColor="text1"/>
          <w:lang w:val="en-US"/>
        </w:rPr>
        <w:t xml:space="preserve">prognosis </w:t>
      </w:r>
      <w:r w:rsidRPr="000A32AD">
        <w:rPr>
          <w:color w:val="000000" w:themeColor="text1"/>
          <w:lang w:val="en-US"/>
        </w:rPr>
        <w:t xml:space="preserve">of </w:t>
      </w:r>
      <w:r w:rsidR="00D50C94" w:rsidRPr="000A32AD">
        <w:rPr>
          <w:rFonts w:cs="Times New Roman"/>
          <w:color w:val="000000" w:themeColor="text1"/>
          <w:lang w:val="en-US"/>
        </w:rPr>
        <w:t xml:space="preserve">arterial hypertension </w:t>
      </w:r>
      <w:r w:rsidR="00D50C94" w:rsidRPr="000A32AD">
        <w:rPr>
          <w:color w:val="000000" w:themeColor="text1"/>
          <w:lang w:val="en-US"/>
        </w:rPr>
        <w:t xml:space="preserve">in patients with type 2 diabetes mellitus by studying the pathogenesis of vascular complications in the presence of signs of connective tissue dysplasia </w:t>
      </w:r>
      <w:r w:rsidRPr="000A32AD">
        <w:rPr>
          <w:color w:val="000000" w:themeColor="text1"/>
          <w:lang w:val="en-US"/>
        </w:rPr>
        <w:t>(CTD).</w:t>
      </w:r>
    </w:p>
    <w:p w:rsidR="008B6615" w:rsidRPr="000A32AD" w:rsidRDefault="008B6615" w:rsidP="008B6615">
      <w:pPr>
        <w:pStyle w:val="af9"/>
        <w:rPr>
          <w:color w:val="000000" w:themeColor="text1"/>
          <w:lang w:val="en-US"/>
        </w:rPr>
      </w:pPr>
      <w:r w:rsidRPr="000A32AD">
        <w:rPr>
          <w:color w:val="000000" w:themeColor="text1"/>
          <w:lang w:val="en-US"/>
        </w:rPr>
        <w:t xml:space="preserve">The study was performed on the basis of the endocrinology department of the </w:t>
      </w:r>
      <w:r w:rsidRPr="000A32AD">
        <w:rPr>
          <w:color w:val="000000" w:themeColor="text1"/>
          <w:lang w:val="en-US"/>
        </w:rPr>
        <w:lastRenderedPageBreak/>
        <w:t>Kharkiv Regional Clinical Hospital. The study included 90 patients who were on treatment in the period 2016-2018, aged 35 to 45 years, with a duration of diabetes not more than 10 years and with no severe complications</w:t>
      </w:r>
      <w:r w:rsidR="00D50C94" w:rsidRPr="000A32AD">
        <w:rPr>
          <w:color w:val="000000" w:themeColor="text1"/>
          <w:lang w:val="en-US"/>
        </w:rPr>
        <w:t xml:space="preserve"> or signs of severe disease</w:t>
      </w:r>
      <w:r w:rsidRPr="000A32AD">
        <w:rPr>
          <w:color w:val="000000" w:themeColor="text1"/>
          <w:lang w:val="en-US"/>
        </w:rPr>
        <w:t xml:space="preserve">. For the solution of the tasks, a prospective study of patients was performed and a retrospective analysis of epicrisis of these patients in previous hospitalizations. The average age of the patients included in the study was (37.8 ± 3.3). The average duration of diabetes mellitus was (4.7 ± 2.5), Including 66 (73.3%) with duration of diabetes up to 5 years and 24 (26.7%) </w:t>
      </w:r>
      <w:r w:rsidR="00432A87" w:rsidRPr="000A32AD">
        <w:rPr>
          <w:color w:val="000000" w:themeColor="text1"/>
          <w:lang w:val="en-US"/>
        </w:rPr>
        <w:t>–</w:t>
      </w:r>
      <w:r w:rsidRPr="000A32AD">
        <w:rPr>
          <w:color w:val="000000" w:themeColor="text1"/>
          <w:lang w:val="en-US"/>
        </w:rPr>
        <w:t xml:space="preserve"> from 5 years or more. Among patients, 54 (60.0%) women and 36 (40.0%) men.</w:t>
      </w:r>
    </w:p>
    <w:p w:rsidR="008B6615" w:rsidRPr="000A32AD" w:rsidRDefault="008B6615" w:rsidP="008B6615">
      <w:pPr>
        <w:widowControl w:val="0"/>
        <w:spacing w:line="360" w:lineRule="auto"/>
        <w:ind w:firstLine="709"/>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 xml:space="preserve">All patients performed a comprehensive clinical-laboratory and instrumental study in accordance with the current protocols for the provision of assistance for type 2 diabetes mellitus (DM) and arterial hypertension. Diagnosis of undifferentiated CTD (uCTD) was carried out through a comprehensive examination and evaluation of the presence of internal (visceral) and external (skeletal, skin, articular) signs according to T.I.Kadurina (2009). Also, the concentration of the basic fibroblasts growth factor (FGF2) in blood plasma by immuno-enzymatic method was investigated using the Quantikine (Human FGF basic Immunoassay) reagent kit manufactured by </w:t>
      </w:r>
      <w:r w:rsidR="00F12105" w:rsidRPr="00F12105">
        <w:rPr>
          <w:rFonts w:ascii="Times New Roman" w:hAnsi="Times New Roman" w:cs="Times New Roman"/>
          <w:color w:val="000000" w:themeColor="text1"/>
          <w:sz w:val="28"/>
          <w:szCs w:val="28"/>
          <w:lang w:val="uk-UA"/>
        </w:rPr>
        <w:t xml:space="preserve">(«R&amp;D Systems», </w:t>
      </w:r>
      <w:r w:rsidR="00F12105" w:rsidRPr="000A32AD">
        <w:rPr>
          <w:rFonts w:ascii="Times New Roman" w:hAnsi="Times New Roman" w:cs="Times New Roman"/>
          <w:color w:val="000000" w:themeColor="text1"/>
          <w:sz w:val="28"/>
          <w:szCs w:val="28"/>
          <w:lang w:val="en-US"/>
        </w:rPr>
        <w:t>USA</w:t>
      </w:r>
      <w:r w:rsidR="00F12105" w:rsidRPr="00F12105">
        <w:rPr>
          <w:rFonts w:ascii="Times New Roman" w:hAnsi="Times New Roman" w:cs="Times New Roman"/>
          <w:color w:val="000000" w:themeColor="text1"/>
          <w:sz w:val="28"/>
          <w:szCs w:val="28"/>
          <w:lang w:val="uk-UA"/>
        </w:rPr>
        <w:t xml:space="preserve">), </w:t>
      </w:r>
      <w:r w:rsidR="00F12105" w:rsidRPr="00F12105">
        <w:rPr>
          <w:rFonts w:ascii="Times New Roman" w:hAnsi="Times New Roman" w:cs="Times New Roman"/>
          <w:color w:val="000000" w:themeColor="text1"/>
          <w:sz w:val="28"/>
          <w:szCs w:val="28"/>
          <w:lang w:val="en-US"/>
        </w:rPr>
        <w:t>LOT</w:t>
      </w:r>
      <w:r w:rsidR="00F12105" w:rsidRPr="00F12105">
        <w:rPr>
          <w:rFonts w:ascii="Times New Roman" w:hAnsi="Times New Roman" w:cs="Times New Roman"/>
          <w:color w:val="000000" w:themeColor="text1"/>
          <w:sz w:val="28"/>
          <w:szCs w:val="28"/>
          <w:lang w:val="uk-UA"/>
        </w:rPr>
        <w:t xml:space="preserve"> </w:t>
      </w:r>
      <w:r w:rsidR="00F12105" w:rsidRPr="00F12105">
        <w:rPr>
          <w:rFonts w:ascii="Times New Roman" w:hAnsi="Times New Roman" w:cs="Times New Roman"/>
          <w:color w:val="000000" w:themeColor="text1"/>
          <w:sz w:val="28"/>
          <w:szCs w:val="28"/>
          <w:lang w:val="en-US"/>
        </w:rPr>
        <w:t>P</w:t>
      </w:r>
      <w:r w:rsidR="00F12105" w:rsidRPr="00F12105">
        <w:rPr>
          <w:rFonts w:ascii="Times New Roman" w:hAnsi="Times New Roman" w:cs="Times New Roman"/>
          <w:color w:val="000000" w:themeColor="text1"/>
          <w:sz w:val="28"/>
          <w:szCs w:val="28"/>
          <w:lang w:val="uk-UA"/>
        </w:rPr>
        <w:t>142734, Cat/№</w:t>
      </w:r>
      <w:r w:rsidR="00F12105" w:rsidRPr="00F12105">
        <w:rPr>
          <w:rFonts w:ascii="Times New Roman" w:hAnsi="Times New Roman" w:cs="Times New Roman"/>
          <w:color w:val="000000" w:themeColor="text1"/>
          <w:sz w:val="28"/>
          <w:szCs w:val="28"/>
          <w:lang w:val="en-US"/>
        </w:rPr>
        <w:t>DFB</w:t>
      </w:r>
      <w:r w:rsidR="00F12105" w:rsidRPr="00F12105">
        <w:rPr>
          <w:rFonts w:ascii="Times New Roman" w:hAnsi="Times New Roman" w:cs="Times New Roman"/>
          <w:color w:val="000000" w:themeColor="text1"/>
          <w:sz w:val="28"/>
          <w:szCs w:val="28"/>
          <w:lang w:val="uk-UA"/>
        </w:rPr>
        <w:t xml:space="preserve">50 </w:t>
      </w:r>
      <w:r w:rsidRPr="000A32AD">
        <w:rPr>
          <w:rFonts w:ascii="Times New Roman" w:hAnsi="Times New Roman" w:cs="Times New Roman"/>
          <w:color w:val="000000" w:themeColor="text1"/>
          <w:sz w:val="28"/>
          <w:szCs w:val="28"/>
          <w:lang w:val="en-US"/>
        </w:rPr>
        <w:t xml:space="preserve">on the </w:t>
      </w:r>
      <w:r w:rsidR="00F12105" w:rsidRPr="00F12105">
        <w:rPr>
          <w:rFonts w:ascii="Times New Roman" w:hAnsi="Times New Roman" w:cs="Times New Roman"/>
          <w:color w:val="000000" w:themeColor="text1"/>
          <w:sz w:val="28"/>
          <w:szCs w:val="28"/>
          <w:shd w:val="clear" w:color="auto" w:fill="FFFFFF"/>
          <w:lang w:val="en-US"/>
        </w:rPr>
        <w:t>StarFax</w:t>
      </w:r>
      <w:r w:rsidR="00F12105" w:rsidRPr="00F12105">
        <w:rPr>
          <w:rFonts w:ascii="Times New Roman" w:hAnsi="Times New Roman" w:cs="Times New Roman"/>
          <w:color w:val="000000" w:themeColor="text1"/>
          <w:sz w:val="28"/>
          <w:szCs w:val="28"/>
          <w:shd w:val="clear" w:color="auto" w:fill="FFFFFF"/>
          <w:lang w:val="uk-UA"/>
        </w:rPr>
        <w:t>2100</w:t>
      </w:r>
      <w:r w:rsidR="00F12105">
        <w:rPr>
          <w:rFonts w:ascii="Times New Roman" w:hAnsi="Times New Roman" w:cs="Times New Roman"/>
          <w:color w:val="000000" w:themeColor="text1"/>
          <w:sz w:val="28"/>
          <w:szCs w:val="28"/>
          <w:shd w:val="clear" w:color="auto" w:fill="FFFFFF"/>
          <w:lang w:val="uk-UA"/>
        </w:rPr>
        <w:t xml:space="preserve"> </w:t>
      </w:r>
      <w:r w:rsidRPr="000A32AD">
        <w:rPr>
          <w:rFonts w:ascii="Times New Roman" w:hAnsi="Times New Roman" w:cs="Times New Roman"/>
          <w:color w:val="000000" w:themeColor="text1"/>
          <w:sz w:val="28"/>
          <w:szCs w:val="28"/>
          <w:lang w:val="en-US"/>
        </w:rPr>
        <w:t xml:space="preserve">semi-automatic analyzer in the Department of Experimental Pharmacology and Toxicology, Department of Endocrine Problems Institute pathology to them. V.Ya. Danilevsky of the National Academy of Sciences of Ukraine». </w:t>
      </w:r>
    </w:p>
    <w:p w:rsidR="008B6615" w:rsidRPr="000A32AD" w:rsidRDefault="008B6615" w:rsidP="008B6615">
      <w:pPr>
        <w:widowControl w:val="0"/>
        <w:spacing w:line="360" w:lineRule="auto"/>
        <w:ind w:firstLine="709"/>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Pathomorphological studies was based on the study of 20 cases of autopsies of women with DM2 of varying degrees of severity and with the presence of phenotypic signs of uCTD, as well as 15 women with a confirmed diagnosis DM2 of varying degrees of severity without evidence of uCTD. The obtained data are processed using methods of mathematical statistics taking into account the requirements for medical-biological research.</w:t>
      </w:r>
    </w:p>
    <w:p w:rsidR="008B6615" w:rsidRPr="000A32AD" w:rsidRDefault="008B6615" w:rsidP="008B6615">
      <w:pPr>
        <w:widowControl w:val="0"/>
        <w:spacing w:line="360" w:lineRule="auto"/>
        <w:ind w:firstLine="709"/>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lastRenderedPageBreak/>
        <w:t>Phenotypic signs of uCTD were founded in 48 patients (Group I) and 42 patients had no signs of uCTD (Group II). In both groups women prevailed, with an unreliable relative increase in their specificity in group І (p = 0.470). The average height of patients in Group I was negligible, but significantly higher than in patients with Group II (p = 0.045). In contrast, the weight of patients in Group I was significantly lower (p = 0.020). The number of overweight patients in group I was higher than in group II (p = 0.197), but the number of patients with obesity in group I was less than in group II, approaching the reliable level (p = 0.070).</w:t>
      </w:r>
    </w:p>
    <w:p w:rsidR="008B6615" w:rsidRPr="000A32AD" w:rsidRDefault="008B6615" w:rsidP="008B6615">
      <w:pPr>
        <w:widowControl w:val="0"/>
        <w:spacing w:line="360" w:lineRule="auto"/>
        <w:ind w:firstLine="709"/>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According to the results of analysis of the peculiarities of the course of diabetes, it was found that diabetic nephropathy in the I group was more frequent than in group II (p = 0.002); more often, in patients with Group I, microalbuminuria was detected (p = 0.040). The median magnitude of glomerular filtration rate (GFR) in group I was lower than that in group II (p = 0.007), more often in this group, patients with decreased GFR (p = 0.059). This is evidence that nCTD may be responsible for the development of nephropathy in patients with diabetes.</w:t>
      </w:r>
    </w:p>
    <w:p w:rsidR="008B6615" w:rsidRPr="000A32AD" w:rsidRDefault="008B6615" w:rsidP="008B6615">
      <w:pPr>
        <w:widowControl w:val="0"/>
        <w:spacing w:line="360" w:lineRule="auto"/>
        <w:ind w:firstLine="709"/>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The analysis of concomitant pathology revealed that AG and chronic cholecystitis in group I were significantly more frequent than in group II (p &lt;0.001 and &lt;0.05 respectively). In group I AG 2 and 3  was detected in 35.4% and 6.3% of patients respectively, in the II group - 11.9% and 2.4% of patients respectively. According to the results of the correlation analysis, the correlation of hypertension with duration of diabetes is very weak and not reliable in group І (p = 0.538), in the II group the correlation is positive, strong positive and reliable (p &lt;0.001).</w:t>
      </w:r>
    </w:p>
    <w:p w:rsidR="008B6615" w:rsidRPr="000A32AD" w:rsidRDefault="008B6615" w:rsidP="008B6615">
      <w:pPr>
        <w:widowControl w:val="0"/>
        <w:spacing w:line="360" w:lineRule="auto"/>
        <w:ind w:firstLine="709"/>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 xml:space="preserve">In general, as a result of the analysis of general clinical data, the characteristics of the course DM2 and concomitant pathology, it has been found that in patients with the presence of signs of uCTD, there is a younger age, even in the age group of 35-45 years, less weight, with a tendency to decrease BMI and decrease the number of obese patients, the frequency of diabetic nephropathy, retinopathy and neuropathy, and the frequency of hypertension are increasing. In this case, the development of </w:t>
      </w:r>
      <w:r w:rsidRPr="000A32AD">
        <w:rPr>
          <w:rFonts w:ascii="Times New Roman" w:hAnsi="Times New Roman" w:cs="Times New Roman"/>
          <w:color w:val="000000" w:themeColor="text1"/>
          <w:sz w:val="28"/>
          <w:szCs w:val="28"/>
          <w:lang w:val="en-US"/>
        </w:rPr>
        <w:lastRenderedPageBreak/>
        <w:t>hypertension in patients with DM2 in combination with uCTD occurs earlier, but almost does not depend on the duration of diabetes. More pronounced hypertension is observed in patients with visceral and skeletal signs of uCTD. This is evidence of the role of uCTD in the pathogenesis of hypertension in patients with DM2.</w:t>
      </w:r>
    </w:p>
    <w:p w:rsidR="008B6615" w:rsidRPr="000A32AD" w:rsidRDefault="008B6615" w:rsidP="008B6615">
      <w:pPr>
        <w:widowControl w:val="0"/>
        <w:spacing w:line="360" w:lineRule="auto"/>
        <w:ind w:firstLine="709"/>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It was also found that in patients with DM2, the median content of FGF2 was significantly higher than in the control (p &lt;0.05). In patients Group I, the content of FGF2 was significantly higher than in the control group and in patients Group II (p &lt;0.05). As a result of the correlation analysis of FGF2 content with other parameters, it was found that in group I there was no correlation between FGF2 with age and duration of diabetes mellitus - r = 0.107 and r = 0.059 respectively (p&gt; 0.05), in group І, a strong positive correlation was found FGF2 with age (r = 0.649, p &lt;0.001) and with duration of diabetes (r = 0.357, p = 0.02). This suggests that in patients with DM 2, the content of FGF2 increases with age and during the course of the disease. In the presence of uCTD in patients with DM2 this dependence not found, which can be explained by the initial increase in the content of FGF2 against the background of metabolic disorders of the connective tissue.</w:t>
      </w:r>
    </w:p>
    <w:p w:rsidR="008B6615" w:rsidRPr="000A32AD" w:rsidRDefault="008B6615" w:rsidP="008B6615">
      <w:pPr>
        <w:widowControl w:val="0"/>
        <w:spacing w:line="360" w:lineRule="auto"/>
        <w:ind w:firstLine="709"/>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Also, a reliable correlation was found between the blood FGF2 content of patients with diabetes with the presence and severity of hypertension in I (r = 0.564, p = 0.001) and in group II (r = 0.413, p = 0.006). In patients with uCTD, there was no significant positive correlation with the presence of diabetic nephropathy (r = 0.206, p = 0.159); in patients without evidence of uCTD, the correlation was significant (r = 0.372, p = 0.015). This indicates the pathogenetic role of CTD in the development of hypertension and vascular lesions, in particular, diabetic nephropathy, in patients with DM2.</w:t>
      </w:r>
    </w:p>
    <w:p w:rsidR="008B6615" w:rsidRPr="000A32AD" w:rsidRDefault="008B6615" w:rsidP="008B6615">
      <w:pPr>
        <w:widowControl w:val="0"/>
        <w:spacing w:line="360" w:lineRule="auto"/>
        <w:ind w:firstLine="709"/>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 xml:space="preserve">In the pathogistological study of the kidneys of the dead with the presence of DM2 and phenotypic signs of uCTD in history, it has been established that uCTD contributes to more distinct sclerotic changes in the functional renal parenchyma, which manifests itself in the form of massive growth of the intracanal connective </w:t>
      </w:r>
      <w:r w:rsidRPr="000A32AD">
        <w:rPr>
          <w:rFonts w:ascii="Times New Roman" w:hAnsi="Times New Roman" w:cs="Times New Roman"/>
          <w:color w:val="000000" w:themeColor="text1"/>
          <w:sz w:val="28"/>
          <w:szCs w:val="28"/>
          <w:lang w:val="en-US"/>
        </w:rPr>
        <w:lastRenderedPageBreak/>
        <w:t>tissue, the hyalinization of the glomeruli, the sharp thickening of the Shumlyansky-Bowman capsule and proliferation of mesangial cells. Significant changes also occur in arterial vessels, which revealed a sharp thickening of the intima, as well as its loosening and edema, which led to thickening of the walls of the vessels with a decrease in their lumen up to complete obliteration. Immunohistochemical study allowed to detect a significant increase in expression of collagen type IV in patients with DM2 and uCTD. These processes, in turn, contribute to deepening of endothelial dysfunction, violation of the structure of basal membranes and vascular walls, fibro-sclerotic processes in the parenchyma of functionally active organs, in particular, the kidneys.</w:t>
      </w:r>
    </w:p>
    <w:p w:rsidR="008B6615" w:rsidRPr="000A32AD" w:rsidRDefault="008B6615" w:rsidP="008B6615">
      <w:pPr>
        <w:widowControl w:val="0"/>
        <w:spacing w:line="360" w:lineRule="auto"/>
        <w:ind w:firstLine="709"/>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The obtained results indicate that uCTD is an additional, and in some cases, possibly the main factor in vascular defeat in patients with DM2 and one of the important pathogenetic mechanisms of development of hypertension and vascular complications. This indicates the importance of timely detection of signs of uCTD and the possibility of using these features as predictors of hypertension in patients with DM2.</w:t>
      </w:r>
    </w:p>
    <w:p w:rsidR="008B6615" w:rsidRPr="000A32AD" w:rsidRDefault="008B6615" w:rsidP="008B6615">
      <w:pPr>
        <w:widowControl w:val="0"/>
        <w:spacing w:line="360" w:lineRule="auto"/>
        <w:ind w:firstLine="709"/>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 xml:space="preserve">To determine the prognostic significance of uCTD in the development of hypertension, an analysis of written epicrisis was performed after a previous inpatient treatment (from two to five years ago) in patients with a duration of DM2 for at least 2 years. During the analysis, first of all, attention was paid to the presence of hypertension in previous hospitalizations, its degree and the presence of diseases that are characteristic of uCTD during the last hospitalization. The patients were divided into two groups. The I group included patients who had not been diagnosed with hypertension during previous hospitalizations and did not show up during the last hospitalization, as well as patients who did not differ in the degree of hypertension during the last and last hospitalization, that is, there was no progression of hypertension. The second group consisted of patients whose hypertension were not diagnosed during the previous hospitalization, but during their last hospitalization </w:t>
      </w:r>
      <w:r w:rsidRPr="000A32AD">
        <w:rPr>
          <w:rFonts w:ascii="Times New Roman" w:hAnsi="Times New Roman" w:cs="Times New Roman"/>
          <w:color w:val="000000" w:themeColor="text1"/>
          <w:sz w:val="28"/>
          <w:szCs w:val="28"/>
          <w:lang w:val="en-US"/>
        </w:rPr>
        <w:lastRenderedPageBreak/>
        <w:t>they were detected hypertension, as well as patients whose hypertension during the last hospitalization increased in comparison with the previous one. Apparently, the main difference between groups was the emergence or progression of hypertension, or absence of hypertension or its stable course.</w:t>
      </w:r>
    </w:p>
    <w:p w:rsidR="008B6615" w:rsidRPr="000A32AD" w:rsidRDefault="008B6615" w:rsidP="008B6615">
      <w:pPr>
        <w:widowControl w:val="0"/>
        <w:spacing w:line="360" w:lineRule="auto"/>
        <w:ind w:firstLine="709"/>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As a predictor, only the presence or absence of signs of uCTD was considered during the last hospitalization. In addition, as a predictor, the duration of DM2 is added due to the known increase in the frequency of hypertension with an increase in the duration of diabetes. The concentration of FGF2 was not considered as a predictor due to the lack of these data during the previous hospitalization, and it is also important that this is a rather expensive study that is not used in routine clinical practice.</w:t>
      </w:r>
    </w:p>
    <w:p w:rsidR="008B6615" w:rsidRPr="000A32AD" w:rsidRDefault="008B6615" w:rsidP="008B6615">
      <w:pPr>
        <w:widowControl w:val="0"/>
        <w:spacing w:line="360" w:lineRule="auto"/>
        <w:ind w:firstLine="709"/>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The determination of the predictive significance of the factors selected for analysis was performed using regression analysis using binary logistic regression by Wald method. As a result of the analysis, both factors are included in the final equation for determining the coefficient z: the presence of signs of uCTD with a coefficient of 2,970 (with a confidence level of p &lt;0,001), and the duration of DM2  with a coefficient of 0,470 (with a confidence level of p &lt;0,021). This is evidence of the direct effect of uCTD on the development of hypertension, and the greater significance of this factor than the duration of DM2.</w:t>
      </w:r>
    </w:p>
    <w:p w:rsidR="008B6615" w:rsidRPr="000A32AD" w:rsidRDefault="008B6615" w:rsidP="008B6615">
      <w:pPr>
        <w:widowControl w:val="0"/>
        <w:spacing w:line="360" w:lineRule="auto"/>
        <w:ind w:firstLine="709"/>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Checking the regression model for the coincidence of predicted and observed values ​​revealed that its specificity was 87.2%, sensitivity - 89.7%. Overall prognosticity is 88.5%. This is a rather high indicator that allows us to apply the proposed model to identify patients with DM2 with high risk of hypertension.</w:t>
      </w:r>
    </w:p>
    <w:p w:rsidR="008B6615" w:rsidRPr="000A32AD" w:rsidRDefault="008B6615" w:rsidP="008B6615">
      <w:pPr>
        <w:widowControl w:val="0"/>
        <w:spacing w:line="360" w:lineRule="auto"/>
        <w:ind w:firstLine="709"/>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 xml:space="preserve">However, it should be noted that the study has limitations. This is a limited age group (35-45 years), the retrospective nature of the analysis, the absence in most cases of daily blood pressure monitoring, variability in the depth of analysis. At the same time, these restrictions determine the prospects for further research in this direction. It is advisable to carry out a more extensive research without age restrictions, using </w:t>
      </w:r>
      <w:r w:rsidRPr="000A32AD">
        <w:rPr>
          <w:rFonts w:ascii="Times New Roman" w:hAnsi="Times New Roman" w:cs="Times New Roman"/>
          <w:color w:val="000000" w:themeColor="text1"/>
          <w:sz w:val="28"/>
          <w:szCs w:val="28"/>
          <w:lang w:val="en-US"/>
        </w:rPr>
        <w:lastRenderedPageBreak/>
        <w:t>modern methods of objectification of blood pressure fluctuations during the day, a long-term study to determine the control points of data collection, as well as the identification of the most objective markers of uCTD.</w:t>
      </w:r>
    </w:p>
    <w:p w:rsidR="000D5D92" w:rsidRPr="000A32AD" w:rsidRDefault="000D5D92" w:rsidP="000D5D92">
      <w:pPr>
        <w:tabs>
          <w:tab w:val="left" w:pos="1134"/>
        </w:tabs>
        <w:spacing w:line="360" w:lineRule="auto"/>
        <w:ind w:firstLine="709"/>
        <w:contextualSpacing/>
        <w:jc w:val="both"/>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 xml:space="preserve">Keywords: </w:t>
      </w:r>
      <w:r w:rsidR="008B6615" w:rsidRPr="000A32AD">
        <w:rPr>
          <w:rFonts w:ascii="Times New Roman" w:hAnsi="Times New Roman" w:cs="Times New Roman"/>
          <w:color w:val="000000" w:themeColor="text1"/>
          <w:sz w:val="28"/>
          <w:szCs w:val="28"/>
          <w:lang w:val="en-US"/>
        </w:rPr>
        <w:t>diabetes mellitus, undifferentiated connective tissue dysplasia, basic fibroblast growth factor, arterial hypertension, diabetic nephropathy, pathogenesis, prognosis</w:t>
      </w:r>
    </w:p>
    <w:p w:rsidR="000D5D92" w:rsidRPr="000A32AD" w:rsidRDefault="000D5D92" w:rsidP="000D5D92">
      <w:pPr>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br w:type="page"/>
      </w:r>
    </w:p>
    <w:p w:rsidR="007B5470" w:rsidRDefault="008C2C8D" w:rsidP="008C2C8D">
      <w:pPr>
        <w:tabs>
          <w:tab w:val="left" w:pos="1134"/>
        </w:tabs>
        <w:spacing w:line="360" w:lineRule="auto"/>
        <w:contextualSpacing/>
        <w:jc w:val="center"/>
        <w:rPr>
          <w:rFonts w:ascii="Times New Roman" w:hAnsi="Times New Roman" w:cs="Times New Roman"/>
          <w:b/>
          <w:color w:val="000000" w:themeColor="text1"/>
          <w:sz w:val="28"/>
          <w:szCs w:val="28"/>
          <w:lang w:val="uk-UA"/>
        </w:rPr>
      </w:pPr>
      <w:bookmarkStart w:id="1" w:name="Zmist"/>
      <w:r>
        <w:rPr>
          <w:rFonts w:ascii="Times New Roman" w:hAnsi="Times New Roman" w:cs="Times New Roman"/>
          <w:b/>
          <w:color w:val="000000" w:themeColor="text1"/>
          <w:sz w:val="28"/>
          <w:szCs w:val="28"/>
          <w:lang w:val="uk-UA"/>
        </w:rPr>
        <w:lastRenderedPageBreak/>
        <w:t>Список публікацій здобувача:</w:t>
      </w:r>
    </w:p>
    <w:p w:rsidR="00074B83" w:rsidRPr="008C2C8D" w:rsidRDefault="00074B83" w:rsidP="008C2C8D">
      <w:pPr>
        <w:tabs>
          <w:tab w:val="left" w:pos="1134"/>
        </w:tabs>
        <w:spacing w:line="360" w:lineRule="auto"/>
        <w:contextualSpacing/>
        <w:jc w:val="center"/>
        <w:rPr>
          <w:rFonts w:ascii="Times New Roman" w:hAnsi="Times New Roman" w:cs="Times New Roman"/>
          <w:b/>
          <w:color w:val="000000" w:themeColor="text1"/>
          <w:sz w:val="28"/>
          <w:szCs w:val="28"/>
          <w:lang w:val="uk-UA"/>
        </w:rPr>
      </w:pPr>
    </w:p>
    <w:p w:rsidR="008C2C8D" w:rsidRPr="008B1164" w:rsidRDefault="008C2C8D" w:rsidP="008C2C8D">
      <w:pPr>
        <w:pStyle w:val="a3"/>
        <w:numPr>
          <w:ilvl w:val="0"/>
          <w:numId w:val="32"/>
        </w:numPr>
        <w:tabs>
          <w:tab w:val="left" w:pos="1276"/>
        </w:tabs>
        <w:spacing w:line="276" w:lineRule="auto"/>
        <w:ind w:left="0" w:firstLine="709"/>
        <w:jc w:val="both"/>
        <w:rPr>
          <w:rFonts w:ascii="Times New Roman" w:hAnsi="Times New Roman" w:cs="Times New Roman"/>
          <w:lang w:val="uk-UA"/>
        </w:rPr>
      </w:pPr>
      <w:bookmarkStart w:id="2" w:name="Per_skor"/>
      <w:bookmarkEnd w:id="1"/>
      <w:r w:rsidRPr="00073FFA">
        <w:rPr>
          <w:rFonts w:ascii="Times New Roman" w:hAnsi="Times New Roman" w:cs="Times New Roman"/>
          <w:color w:val="000000" w:themeColor="text1"/>
          <w:shd w:val="clear" w:color="auto" w:fill="FFFFFF"/>
        </w:rPr>
        <w:t>Шерстюк Л</w:t>
      </w:r>
      <w:r>
        <w:rPr>
          <w:rFonts w:ascii="Times New Roman" w:hAnsi="Times New Roman" w:cs="Times New Roman"/>
          <w:color w:val="000000" w:themeColor="text1"/>
          <w:shd w:val="clear" w:color="auto" w:fill="FFFFFF"/>
          <w:lang w:val="uk-UA"/>
        </w:rPr>
        <w:t>.</w:t>
      </w:r>
      <w:r w:rsidRPr="00073FFA">
        <w:rPr>
          <w:rFonts w:ascii="Times New Roman" w:hAnsi="Times New Roman" w:cs="Times New Roman"/>
          <w:color w:val="000000" w:themeColor="text1"/>
          <w:shd w:val="clear" w:color="auto" w:fill="FFFFFF"/>
        </w:rPr>
        <w:t>Л</w:t>
      </w:r>
      <w:r>
        <w:rPr>
          <w:rFonts w:ascii="Times New Roman" w:hAnsi="Times New Roman" w:cs="Times New Roman"/>
          <w:color w:val="000000" w:themeColor="text1"/>
          <w:shd w:val="clear" w:color="auto" w:fill="FFFFFF"/>
          <w:lang w:val="uk-UA"/>
        </w:rPr>
        <w:t>.</w:t>
      </w:r>
      <w:r w:rsidRPr="00073FFA">
        <w:rPr>
          <w:rFonts w:ascii="Times New Roman" w:hAnsi="Times New Roman" w:cs="Times New Roman"/>
          <w:color w:val="000000" w:themeColor="text1"/>
          <w:shd w:val="clear" w:color="auto" w:fill="FFFFFF"/>
        </w:rPr>
        <w:t>, Н</w:t>
      </w:r>
      <w:r w:rsidRPr="00073FFA">
        <w:rPr>
          <w:rFonts w:ascii="Times New Roman" w:hAnsi="Times New Roman" w:cs="Times New Roman"/>
          <w:color w:val="000000" w:themeColor="text1"/>
          <w:shd w:val="clear" w:color="auto" w:fill="FFFFFF"/>
          <w:lang w:val="uk-UA"/>
        </w:rPr>
        <w:t>и</w:t>
      </w:r>
      <w:r w:rsidRPr="00073FFA">
        <w:rPr>
          <w:rFonts w:ascii="Times New Roman" w:hAnsi="Times New Roman" w:cs="Times New Roman"/>
          <w:color w:val="000000" w:themeColor="text1"/>
          <w:shd w:val="clear" w:color="auto" w:fill="FFFFFF"/>
        </w:rPr>
        <w:t xml:space="preserve">коленко </w:t>
      </w:r>
      <w:r w:rsidRPr="00073FFA">
        <w:rPr>
          <w:rFonts w:ascii="Times New Roman" w:hAnsi="Times New Roman" w:cs="Times New Roman"/>
          <w:color w:val="000000" w:themeColor="text1"/>
          <w:shd w:val="clear" w:color="auto" w:fill="FFFFFF"/>
          <w:lang w:val="uk-UA"/>
        </w:rPr>
        <w:t>Е</w:t>
      </w:r>
      <w:r>
        <w:rPr>
          <w:rFonts w:ascii="Times New Roman" w:hAnsi="Times New Roman" w:cs="Times New Roman"/>
          <w:color w:val="000000" w:themeColor="text1"/>
          <w:shd w:val="clear" w:color="auto" w:fill="FFFFFF"/>
          <w:lang w:val="uk-UA"/>
        </w:rPr>
        <w:t>.</w:t>
      </w:r>
      <w:r w:rsidRPr="00073FFA">
        <w:rPr>
          <w:rFonts w:ascii="Times New Roman" w:hAnsi="Times New Roman" w:cs="Times New Roman"/>
          <w:color w:val="000000" w:themeColor="text1"/>
          <w:shd w:val="clear" w:color="auto" w:fill="FFFFFF"/>
        </w:rPr>
        <w:t>Я. Морфологическая характеристика почки больных сахарным диабетом 2 типа средней степени тяжести на фоне дисплазии соединительной ткани</w:t>
      </w:r>
      <w:r w:rsidRPr="00073FFA">
        <w:rPr>
          <w:rFonts w:ascii="Times New Roman" w:hAnsi="Times New Roman" w:cs="Times New Roman"/>
          <w:color w:val="000000" w:themeColor="text1"/>
          <w:shd w:val="clear" w:color="auto" w:fill="FFFFFF"/>
          <w:lang w:val="uk-UA"/>
        </w:rPr>
        <w:t>.</w:t>
      </w:r>
      <w:r w:rsidRPr="00073FFA">
        <w:rPr>
          <w:rFonts w:ascii="Times New Roman" w:hAnsi="Times New Roman" w:cs="Times New Roman"/>
          <w:color w:val="000000" w:themeColor="text1"/>
          <w:shd w:val="clear" w:color="auto" w:fill="FFFFFF"/>
        </w:rPr>
        <w:t xml:space="preserve"> </w:t>
      </w:r>
      <w:r w:rsidRPr="00073FFA">
        <w:rPr>
          <w:rFonts w:ascii="Times New Roman" w:hAnsi="Times New Roman" w:cs="Times New Roman"/>
          <w:color w:val="000000" w:themeColor="text1"/>
          <w:shd w:val="clear" w:color="auto" w:fill="FFFFFF"/>
          <w:lang w:val="uk-UA"/>
        </w:rPr>
        <w:t>Вісник проблем біології і медицини.</w:t>
      </w:r>
      <w:r w:rsidRPr="00073FFA">
        <w:rPr>
          <w:rFonts w:ascii="Times New Roman" w:hAnsi="Times New Roman" w:cs="Times New Roman"/>
          <w:color w:val="000000" w:themeColor="text1"/>
          <w:shd w:val="clear" w:color="auto" w:fill="FFFFFF"/>
        </w:rPr>
        <w:t xml:space="preserve"> 2013</w:t>
      </w:r>
      <w:r w:rsidRPr="00073FFA">
        <w:rPr>
          <w:rFonts w:ascii="Times New Roman" w:hAnsi="Times New Roman" w:cs="Times New Roman"/>
          <w:color w:val="000000" w:themeColor="text1"/>
          <w:shd w:val="clear" w:color="auto" w:fill="FFFFFF"/>
          <w:lang w:val="uk-UA"/>
        </w:rPr>
        <w:t xml:space="preserve">; </w:t>
      </w:r>
      <w:r w:rsidRPr="00073FFA">
        <w:rPr>
          <w:rFonts w:ascii="Times New Roman" w:hAnsi="Times New Roman" w:cs="Times New Roman"/>
          <w:color w:val="000000" w:themeColor="text1"/>
          <w:shd w:val="clear" w:color="auto" w:fill="FFFFFF"/>
        </w:rPr>
        <w:t>4, 1 (104)</w:t>
      </w:r>
      <w:r w:rsidRPr="00073FFA">
        <w:rPr>
          <w:rFonts w:ascii="Times New Roman" w:hAnsi="Times New Roman" w:cs="Times New Roman"/>
          <w:color w:val="000000" w:themeColor="text1"/>
          <w:shd w:val="clear" w:color="auto" w:fill="FFFFFF"/>
          <w:lang w:val="uk-UA"/>
        </w:rPr>
        <w:t xml:space="preserve">: </w:t>
      </w:r>
      <w:r w:rsidRPr="00073FFA">
        <w:rPr>
          <w:rFonts w:ascii="Times New Roman" w:hAnsi="Times New Roman" w:cs="Times New Roman"/>
          <w:color w:val="000000" w:themeColor="text1"/>
          <w:shd w:val="clear" w:color="auto" w:fill="FFFFFF"/>
        </w:rPr>
        <w:t>302-306</w:t>
      </w:r>
      <w:r>
        <w:rPr>
          <w:rFonts w:ascii="Times New Roman" w:hAnsi="Times New Roman" w:cs="Times New Roman"/>
          <w:color w:val="000000" w:themeColor="text1"/>
          <w:shd w:val="clear" w:color="auto" w:fill="FFFFFF"/>
          <w:lang w:val="uk-UA"/>
        </w:rPr>
        <w:t xml:space="preserve"> </w:t>
      </w:r>
      <w:r w:rsidRPr="008B1164">
        <w:rPr>
          <w:rFonts w:ascii="Times New Roman" w:hAnsi="Times New Roman" w:cs="Times New Roman"/>
          <w:shd w:val="clear" w:color="auto" w:fill="FFFFFF"/>
          <w:lang w:val="uk-UA"/>
        </w:rPr>
        <w:t>(</w:t>
      </w:r>
      <w:r w:rsidRPr="008B1164">
        <w:rPr>
          <w:rFonts w:ascii="Times New Roman" w:hAnsi="Times New Roman"/>
          <w:bCs/>
          <w:i/>
          <w:lang w:val="uk-UA"/>
        </w:rPr>
        <w:t xml:space="preserve">Здобувач проаналізувала результати </w:t>
      </w:r>
      <w:r>
        <w:rPr>
          <w:rFonts w:ascii="Times New Roman" w:hAnsi="Times New Roman"/>
          <w:bCs/>
          <w:i/>
          <w:lang w:val="uk-UA"/>
        </w:rPr>
        <w:t xml:space="preserve">патоморфологічних </w:t>
      </w:r>
      <w:r w:rsidRPr="008B1164">
        <w:rPr>
          <w:rFonts w:ascii="Times New Roman" w:hAnsi="Times New Roman"/>
          <w:bCs/>
          <w:i/>
          <w:lang w:val="uk-UA"/>
        </w:rPr>
        <w:t xml:space="preserve">досліджень та </w:t>
      </w:r>
      <w:r>
        <w:rPr>
          <w:rFonts w:ascii="Times New Roman" w:hAnsi="Times New Roman"/>
          <w:bCs/>
          <w:i/>
          <w:lang w:val="uk-UA"/>
        </w:rPr>
        <w:t>підготувала</w:t>
      </w:r>
      <w:r w:rsidRPr="008B1164">
        <w:rPr>
          <w:rFonts w:ascii="Times New Roman" w:hAnsi="Times New Roman"/>
          <w:bCs/>
          <w:i/>
          <w:lang w:val="uk-UA"/>
        </w:rPr>
        <w:t xml:space="preserve"> статтю до друку</w:t>
      </w:r>
      <w:r w:rsidRPr="008B1164">
        <w:rPr>
          <w:rFonts w:ascii="Times New Roman" w:hAnsi="Times New Roman"/>
          <w:bCs/>
          <w:lang w:val="uk-UA"/>
        </w:rPr>
        <w:t>)</w:t>
      </w:r>
      <w:r w:rsidRPr="008B1164">
        <w:rPr>
          <w:rFonts w:ascii="Times New Roman" w:hAnsi="Times New Roman" w:cs="Times New Roman"/>
          <w:shd w:val="clear" w:color="auto" w:fill="FFFFFF"/>
        </w:rPr>
        <w:t>.</w:t>
      </w:r>
    </w:p>
    <w:p w:rsidR="008C2C8D" w:rsidRPr="00545863" w:rsidRDefault="008C2C8D" w:rsidP="008C2C8D">
      <w:pPr>
        <w:pStyle w:val="a3"/>
        <w:numPr>
          <w:ilvl w:val="0"/>
          <w:numId w:val="32"/>
        </w:numPr>
        <w:tabs>
          <w:tab w:val="left" w:pos="1276"/>
        </w:tabs>
        <w:spacing w:line="276" w:lineRule="auto"/>
        <w:ind w:left="0" w:firstLine="709"/>
        <w:jc w:val="both"/>
        <w:rPr>
          <w:rFonts w:ascii="Times New Roman" w:hAnsi="Times New Roman" w:cs="Times New Roman"/>
          <w:lang w:val="uk-UA"/>
        </w:rPr>
      </w:pPr>
      <w:r w:rsidRPr="00177671">
        <w:rPr>
          <w:rFonts w:ascii="Times New Roman" w:hAnsi="Times New Roman" w:cs="Times New Roman"/>
          <w:color w:val="000000" w:themeColor="text1"/>
          <w:shd w:val="clear" w:color="auto" w:fill="FFFFFF"/>
        </w:rPr>
        <w:t>Шерстюк Л</w:t>
      </w:r>
      <w:r w:rsidRPr="00177671">
        <w:rPr>
          <w:rFonts w:ascii="Times New Roman" w:hAnsi="Times New Roman" w:cs="Times New Roman"/>
          <w:color w:val="000000" w:themeColor="text1"/>
          <w:shd w:val="clear" w:color="auto" w:fill="FFFFFF"/>
          <w:lang w:val="uk-UA"/>
        </w:rPr>
        <w:t>.</w:t>
      </w:r>
      <w:r w:rsidRPr="00177671">
        <w:rPr>
          <w:rFonts w:ascii="Times New Roman" w:hAnsi="Times New Roman" w:cs="Times New Roman"/>
          <w:color w:val="000000" w:themeColor="text1"/>
          <w:shd w:val="clear" w:color="auto" w:fill="FFFFFF"/>
        </w:rPr>
        <w:t>Л</w:t>
      </w:r>
      <w:r w:rsidRPr="00177671">
        <w:rPr>
          <w:rFonts w:ascii="Times New Roman" w:hAnsi="Times New Roman" w:cs="Times New Roman"/>
          <w:color w:val="000000" w:themeColor="text1"/>
          <w:shd w:val="clear" w:color="auto" w:fill="FFFFFF"/>
          <w:lang w:val="uk-UA"/>
        </w:rPr>
        <w:t>.</w:t>
      </w:r>
      <w:r w:rsidRPr="00177671">
        <w:rPr>
          <w:rFonts w:ascii="Times New Roman" w:hAnsi="Times New Roman" w:cs="Times New Roman"/>
          <w:color w:val="000000" w:themeColor="text1"/>
          <w:shd w:val="clear" w:color="auto" w:fill="FFFFFF"/>
        </w:rPr>
        <w:t>, Н</w:t>
      </w:r>
      <w:r w:rsidRPr="00177671">
        <w:rPr>
          <w:rFonts w:ascii="Times New Roman" w:hAnsi="Times New Roman" w:cs="Times New Roman"/>
          <w:color w:val="000000" w:themeColor="text1"/>
          <w:shd w:val="clear" w:color="auto" w:fill="FFFFFF"/>
          <w:lang w:val="uk-UA"/>
        </w:rPr>
        <w:t>и</w:t>
      </w:r>
      <w:r w:rsidRPr="00177671">
        <w:rPr>
          <w:rFonts w:ascii="Times New Roman" w:hAnsi="Times New Roman" w:cs="Times New Roman"/>
          <w:color w:val="000000" w:themeColor="text1"/>
          <w:shd w:val="clear" w:color="auto" w:fill="FFFFFF"/>
        </w:rPr>
        <w:t xml:space="preserve">коленко </w:t>
      </w:r>
      <w:r w:rsidRPr="00177671">
        <w:rPr>
          <w:rFonts w:ascii="Times New Roman" w:hAnsi="Times New Roman" w:cs="Times New Roman"/>
          <w:color w:val="000000" w:themeColor="text1"/>
          <w:shd w:val="clear" w:color="auto" w:fill="FFFFFF"/>
          <w:lang w:val="uk-UA"/>
        </w:rPr>
        <w:t>Е.</w:t>
      </w:r>
      <w:r w:rsidRPr="00177671">
        <w:rPr>
          <w:rFonts w:ascii="Times New Roman" w:hAnsi="Times New Roman" w:cs="Times New Roman"/>
          <w:color w:val="000000" w:themeColor="text1"/>
          <w:shd w:val="clear" w:color="auto" w:fill="FFFFFF"/>
        </w:rPr>
        <w:t>Я. Морфологическая характеристика почки больных сахарным диабетом 2 типа легкой степени тяжести на фоне дисплазии соединительной ткани</w:t>
      </w:r>
      <w:r w:rsidRPr="00177671">
        <w:rPr>
          <w:rFonts w:ascii="Times New Roman" w:hAnsi="Times New Roman" w:cs="Times New Roman"/>
          <w:color w:val="000000" w:themeColor="text1"/>
          <w:shd w:val="clear" w:color="auto" w:fill="FFFFFF"/>
          <w:lang w:val="uk-UA"/>
        </w:rPr>
        <w:t>.</w:t>
      </w:r>
      <w:r w:rsidRPr="00177671">
        <w:rPr>
          <w:rFonts w:ascii="Times New Roman" w:hAnsi="Times New Roman" w:cs="Times New Roman"/>
          <w:color w:val="000000" w:themeColor="text1"/>
          <w:shd w:val="clear" w:color="auto" w:fill="FFFFFF"/>
        </w:rPr>
        <w:t xml:space="preserve"> Медицинские новости </w:t>
      </w:r>
      <w:r w:rsidRPr="00177671">
        <w:rPr>
          <w:rFonts w:ascii="Times New Roman" w:hAnsi="Times New Roman" w:cs="Times New Roman"/>
          <w:color w:val="000000" w:themeColor="text1"/>
          <w:shd w:val="clear" w:color="auto" w:fill="FFFFFF"/>
          <w:lang w:val="uk-UA"/>
        </w:rPr>
        <w:t>(</w:t>
      </w:r>
      <w:r w:rsidRPr="00177671">
        <w:rPr>
          <w:rFonts w:ascii="Times New Roman" w:hAnsi="Times New Roman" w:cs="Times New Roman"/>
          <w:color w:val="000000" w:themeColor="text1"/>
          <w:shd w:val="clear" w:color="auto" w:fill="FFFFFF"/>
        </w:rPr>
        <w:t>Meditsinskie novosti</w:t>
      </w:r>
      <w:r w:rsidRPr="00177671">
        <w:rPr>
          <w:rFonts w:ascii="Times New Roman" w:hAnsi="Times New Roman" w:cs="Times New Roman"/>
          <w:color w:val="000000" w:themeColor="text1"/>
          <w:shd w:val="clear" w:color="auto" w:fill="FFFFFF"/>
          <w:lang w:val="uk-UA"/>
        </w:rPr>
        <w:t>).</w:t>
      </w:r>
      <w:r w:rsidRPr="00177671">
        <w:rPr>
          <w:rFonts w:ascii="Times New Roman" w:hAnsi="Times New Roman" w:cs="Times New Roman"/>
          <w:color w:val="000000" w:themeColor="text1"/>
          <w:shd w:val="clear" w:color="auto" w:fill="FFFFFF"/>
        </w:rPr>
        <w:t xml:space="preserve"> 2014</w:t>
      </w:r>
      <w:r w:rsidRPr="00177671">
        <w:rPr>
          <w:rFonts w:ascii="Times New Roman" w:hAnsi="Times New Roman" w:cs="Times New Roman"/>
          <w:color w:val="000000" w:themeColor="text1"/>
          <w:shd w:val="clear" w:color="auto" w:fill="FFFFFF"/>
          <w:lang w:val="uk-UA"/>
        </w:rPr>
        <w:t>;</w:t>
      </w:r>
      <w:r w:rsidRPr="00177671">
        <w:rPr>
          <w:rFonts w:ascii="Times New Roman" w:hAnsi="Times New Roman" w:cs="Times New Roman"/>
          <w:color w:val="000000" w:themeColor="text1"/>
          <w:shd w:val="clear" w:color="auto" w:fill="FFFFFF"/>
        </w:rPr>
        <w:t xml:space="preserve"> 3 (234)</w:t>
      </w:r>
      <w:r w:rsidRPr="00177671">
        <w:rPr>
          <w:rFonts w:ascii="Times New Roman" w:hAnsi="Times New Roman" w:cs="Times New Roman"/>
          <w:color w:val="000000" w:themeColor="text1"/>
          <w:shd w:val="clear" w:color="auto" w:fill="FFFFFF"/>
          <w:lang w:val="uk-UA"/>
        </w:rPr>
        <w:t xml:space="preserve">: </w:t>
      </w:r>
      <w:r w:rsidRPr="00177671">
        <w:rPr>
          <w:rFonts w:ascii="Times New Roman" w:hAnsi="Times New Roman" w:cs="Times New Roman"/>
          <w:color w:val="000000" w:themeColor="text1"/>
          <w:shd w:val="clear" w:color="auto" w:fill="FFFFFF"/>
        </w:rPr>
        <w:t>72-73</w:t>
      </w:r>
      <w:r w:rsidRPr="00177671">
        <w:rPr>
          <w:rFonts w:ascii="Times New Roman" w:hAnsi="Times New Roman" w:cs="Times New Roman"/>
          <w:color w:val="000000" w:themeColor="text1"/>
          <w:shd w:val="clear" w:color="auto" w:fill="FFFFFF"/>
          <w:lang w:val="uk-UA"/>
        </w:rPr>
        <w:t xml:space="preserve"> </w:t>
      </w:r>
      <w:r w:rsidRPr="00545863">
        <w:rPr>
          <w:rFonts w:ascii="Times New Roman" w:hAnsi="Times New Roman" w:cs="Times New Roman"/>
          <w:i/>
          <w:shd w:val="clear" w:color="auto" w:fill="FFFFFF"/>
          <w:lang w:val="uk-UA"/>
        </w:rPr>
        <w:t xml:space="preserve">(Здобувач </w:t>
      </w:r>
      <w:r>
        <w:rPr>
          <w:rFonts w:ascii="Times New Roman" w:hAnsi="Times New Roman" w:cs="Times New Roman"/>
          <w:i/>
          <w:shd w:val="clear" w:color="auto" w:fill="FFFFFF"/>
          <w:lang w:val="uk-UA"/>
        </w:rPr>
        <w:t xml:space="preserve">провела огляд літератури, </w:t>
      </w:r>
      <w:r w:rsidRPr="00545863">
        <w:rPr>
          <w:rFonts w:ascii="Times New Roman" w:hAnsi="Times New Roman"/>
          <w:bCs/>
          <w:i/>
          <w:lang w:val="uk-UA"/>
        </w:rPr>
        <w:t xml:space="preserve">проаналізувала результати досліджень, провела статистичну обробку </w:t>
      </w:r>
      <w:r>
        <w:rPr>
          <w:rFonts w:ascii="Times New Roman" w:hAnsi="Times New Roman"/>
          <w:bCs/>
          <w:i/>
          <w:lang w:val="uk-UA"/>
        </w:rPr>
        <w:t xml:space="preserve">отриманих результатів </w:t>
      </w:r>
      <w:r w:rsidRPr="00545863">
        <w:rPr>
          <w:rFonts w:ascii="Times New Roman" w:hAnsi="Times New Roman"/>
          <w:bCs/>
          <w:i/>
          <w:lang w:val="uk-UA"/>
        </w:rPr>
        <w:t xml:space="preserve">та </w:t>
      </w:r>
      <w:r>
        <w:rPr>
          <w:rFonts w:ascii="Times New Roman" w:hAnsi="Times New Roman"/>
          <w:bCs/>
          <w:i/>
          <w:lang w:val="uk-UA"/>
        </w:rPr>
        <w:t>підготувала</w:t>
      </w:r>
      <w:r w:rsidRPr="00545863">
        <w:rPr>
          <w:rFonts w:ascii="Times New Roman" w:hAnsi="Times New Roman"/>
          <w:bCs/>
          <w:i/>
          <w:lang w:val="uk-UA"/>
        </w:rPr>
        <w:t xml:space="preserve"> </w:t>
      </w:r>
      <w:r>
        <w:rPr>
          <w:rFonts w:ascii="Times New Roman" w:hAnsi="Times New Roman"/>
          <w:bCs/>
          <w:i/>
          <w:lang w:val="uk-UA"/>
        </w:rPr>
        <w:t xml:space="preserve">матеріали </w:t>
      </w:r>
      <w:r w:rsidRPr="00545863">
        <w:rPr>
          <w:rFonts w:ascii="Times New Roman" w:hAnsi="Times New Roman"/>
          <w:bCs/>
          <w:i/>
          <w:lang w:val="uk-UA"/>
        </w:rPr>
        <w:t>до друку</w:t>
      </w:r>
      <w:r w:rsidRPr="00545863">
        <w:rPr>
          <w:rFonts w:ascii="Times New Roman" w:hAnsi="Times New Roman" w:cs="Times New Roman"/>
          <w:i/>
          <w:shd w:val="clear" w:color="auto" w:fill="FFFFFF"/>
          <w:lang w:val="uk-UA"/>
        </w:rPr>
        <w:t xml:space="preserve">). </w:t>
      </w:r>
    </w:p>
    <w:p w:rsidR="008C2C8D" w:rsidRPr="003A45BE" w:rsidRDefault="008C2C8D" w:rsidP="008C2C8D">
      <w:pPr>
        <w:pStyle w:val="a3"/>
        <w:numPr>
          <w:ilvl w:val="0"/>
          <w:numId w:val="32"/>
        </w:numPr>
        <w:tabs>
          <w:tab w:val="left" w:pos="1276"/>
        </w:tabs>
        <w:spacing w:line="276" w:lineRule="auto"/>
        <w:ind w:left="0" w:firstLine="709"/>
        <w:jc w:val="both"/>
        <w:rPr>
          <w:rFonts w:ascii="Times New Roman" w:hAnsi="Times New Roman" w:cs="Times New Roman"/>
          <w:lang w:val="uk-UA"/>
        </w:rPr>
      </w:pPr>
      <w:r w:rsidRPr="00177671">
        <w:rPr>
          <w:rFonts w:ascii="Times New Roman" w:hAnsi="Times New Roman" w:cs="Times New Roman"/>
          <w:color w:val="000000" w:themeColor="text1"/>
          <w:lang w:val="uk-UA"/>
        </w:rPr>
        <w:t>Шерстюк Л.Л. Роль недиференційованої дисплазії сполучної тканини у розвитку артеріальної гіпертензії у хворих на цукровий діабет 2 типу. Медицина невідкладних станів. 2018; 7(94): 94-98.</w:t>
      </w:r>
      <w:r w:rsidRPr="00040BB9">
        <w:rPr>
          <w:rFonts w:ascii="Times New Roman" w:hAnsi="Times New Roman" w:cs="Times New Roman"/>
          <w:i/>
          <w:color w:val="000000" w:themeColor="text1"/>
          <w:shd w:val="clear" w:color="auto" w:fill="FFFFFF"/>
          <w:lang w:val="uk-UA"/>
        </w:rPr>
        <w:t xml:space="preserve"> </w:t>
      </w:r>
    </w:p>
    <w:p w:rsidR="008C2C8D" w:rsidRPr="00E33FE8" w:rsidRDefault="008C2C8D" w:rsidP="008C2C8D">
      <w:pPr>
        <w:pStyle w:val="a3"/>
        <w:numPr>
          <w:ilvl w:val="0"/>
          <w:numId w:val="32"/>
        </w:numPr>
        <w:tabs>
          <w:tab w:val="left" w:pos="1276"/>
        </w:tabs>
        <w:spacing w:line="276" w:lineRule="auto"/>
        <w:ind w:left="0" w:firstLine="709"/>
        <w:jc w:val="both"/>
        <w:rPr>
          <w:rFonts w:ascii="Times New Roman" w:hAnsi="Times New Roman" w:cs="Times New Roman"/>
          <w:i/>
          <w:lang w:val="uk-UA"/>
        </w:rPr>
      </w:pPr>
      <w:r w:rsidRPr="00073FFA">
        <w:rPr>
          <w:rFonts w:ascii="Times New Roman" w:hAnsi="Times New Roman" w:cs="Times New Roman"/>
          <w:color w:val="000000" w:themeColor="text1"/>
          <w:lang w:val="uk-UA"/>
        </w:rPr>
        <w:t>Шерстюк Л</w:t>
      </w:r>
      <w:r>
        <w:rPr>
          <w:rFonts w:ascii="Times New Roman" w:hAnsi="Times New Roman" w:cs="Times New Roman"/>
          <w:color w:val="000000" w:themeColor="text1"/>
          <w:lang w:val="uk-UA"/>
        </w:rPr>
        <w:t>.</w:t>
      </w:r>
      <w:r w:rsidRPr="00073FFA">
        <w:rPr>
          <w:rFonts w:ascii="Times New Roman" w:hAnsi="Times New Roman" w:cs="Times New Roman"/>
          <w:color w:val="000000" w:themeColor="text1"/>
          <w:lang w:val="uk-UA"/>
        </w:rPr>
        <w:t>Л</w:t>
      </w:r>
      <w:r>
        <w:rPr>
          <w:rFonts w:ascii="Times New Roman" w:hAnsi="Times New Roman" w:cs="Times New Roman"/>
          <w:color w:val="000000" w:themeColor="text1"/>
          <w:lang w:val="uk-UA"/>
        </w:rPr>
        <w:t>.</w:t>
      </w:r>
      <w:r w:rsidRPr="00073FFA">
        <w:rPr>
          <w:rFonts w:ascii="Times New Roman" w:hAnsi="Times New Roman" w:cs="Times New Roman"/>
          <w:color w:val="000000" w:themeColor="text1"/>
          <w:lang w:val="uk-UA"/>
        </w:rPr>
        <w:t>, Ніколенко Є</w:t>
      </w:r>
      <w:r>
        <w:rPr>
          <w:rFonts w:ascii="Times New Roman" w:hAnsi="Times New Roman" w:cs="Times New Roman"/>
          <w:color w:val="000000" w:themeColor="text1"/>
          <w:lang w:val="uk-UA"/>
        </w:rPr>
        <w:t>.</w:t>
      </w:r>
      <w:r w:rsidRPr="00073FFA">
        <w:rPr>
          <w:rFonts w:ascii="Times New Roman" w:hAnsi="Times New Roman" w:cs="Times New Roman"/>
          <w:color w:val="000000" w:themeColor="text1"/>
          <w:lang w:val="uk-UA"/>
        </w:rPr>
        <w:t>Я. Значення основного фактору росту фібробластів в розвитку артеріальної гіпертензії у хворих на цукровий діабет 2 типу залежно від наявності дисплазії сполучної тканини. Медицина невідкладних станів. 2018; 8(95):</w:t>
      </w:r>
      <w:r>
        <w:rPr>
          <w:rFonts w:ascii="Times New Roman" w:hAnsi="Times New Roman" w:cs="Times New Roman"/>
          <w:color w:val="000000" w:themeColor="text1"/>
          <w:lang w:val="uk-UA"/>
        </w:rPr>
        <w:t xml:space="preserve"> 49-54 </w:t>
      </w:r>
      <w:r w:rsidRPr="00C75CCF">
        <w:rPr>
          <w:rFonts w:ascii="Times New Roman" w:hAnsi="Times New Roman" w:cs="Times New Roman"/>
          <w:i/>
          <w:shd w:val="clear" w:color="auto" w:fill="FFFFFF"/>
          <w:lang w:val="uk-UA"/>
        </w:rPr>
        <w:t xml:space="preserve">(Здобувач </w:t>
      </w:r>
      <w:r>
        <w:rPr>
          <w:rFonts w:ascii="Times New Roman" w:hAnsi="Times New Roman"/>
          <w:bCs/>
          <w:i/>
          <w:lang w:val="uk-UA"/>
        </w:rPr>
        <w:t>здійснила клініко-лабораторне дослідження та аналіз взаємозв’язку показників основного фактору роста фібробластів з розвитком артеріальної гіпертензії, тривалістю ЦД 2 типу та проявами НДСТ, підготувала</w:t>
      </w:r>
      <w:r w:rsidRPr="00C75CCF">
        <w:rPr>
          <w:rFonts w:ascii="Times New Roman" w:hAnsi="Times New Roman"/>
          <w:bCs/>
          <w:i/>
          <w:lang w:val="uk-UA"/>
        </w:rPr>
        <w:t xml:space="preserve"> статтю до друку</w:t>
      </w:r>
      <w:r w:rsidRPr="00256677">
        <w:rPr>
          <w:rFonts w:ascii="Times New Roman" w:hAnsi="Times New Roman"/>
          <w:bCs/>
          <w:i/>
          <w:color w:val="000000"/>
          <w:lang w:val="uk-UA"/>
        </w:rPr>
        <w:t>)</w:t>
      </w:r>
      <w:r>
        <w:rPr>
          <w:rFonts w:ascii="Times New Roman" w:hAnsi="Times New Roman"/>
          <w:bCs/>
          <w:i/>
          <w:color w:val="000000"/>
          <w:lang w:val="uk-UA"/>
        </w:rPr>
        <w:t xml:space="preserve">. </w:t>
      </w:r>
    </w:p>
    <w:p w:rsidR="008C2C8D" w:rsidRPr="008B1164" w:rsidRDefault="008C2C8D" w:rsidP="008C2C8D">
      <w:pPr>
        <w:pStyle w:val="a3"/>
        <w:numPr>
          <w:ilvl w:val="0"/>
          <w:numId w:val="32"/>
        </w:numPr>
        <w:tabs>
          <w:tab w:val="left" w:pos="1276"/>
        </w:tabs>
        <w:spacing w:line="276" w:lineRule="auto"/>
        <w:ind w:left="0" w:firstLine="709"/>
        <w:jc w:val="both"/>
        <w:rPr>
          <w:rFonts w:ascii="Times New Roman" w:hAnsi="Times New Roman" w:cs="Times New Roman"/>
          <w:i/>
          <w:lang w:val="uk-UA"/>
        </w:rPr>
      </w:pPr>
      <w:r w:rsidRPr="00B571B8">
        <w:rPr>
          <w:rFonts w:ascii="Times New Roman" w:hAnsi="Times New Roman" w:cs="Times New Roman"/>
          <w:color w:val="000000" w:themeColor="text1"/>
          <w:lang w:val="en-US"/>
        </w:rPr>
        <w:t>Sherstyuk</w:t>
      </w:r>
      <w:r w:rsidRPr="00B571B8">
        <w:rPr>
          <w:rFonts w:ascii="Times New Roman" w:hAnsi="Times New Roman" w:cs="Times New Roman"/>
          <w:color w:val="000000" w:themeColor="text1"/>
          <w:lang w:val="uk-UA"/>
        </w:rPr>
        <w:t xml:space="preserve"> </w:t>
      </w:r>
      <w:r w:rsidRPr="00B571B8">
        <w:rPr>
          <w:rFonts w:ascii="Times New Roman" w:hAnsi="Times New Roman" w:cs="Times New Roman"/>
          <w:color w:val="000000" w:themeColor="text1"/>
          <w:lang w:val="en-US"/>
        </w:rPr>
        <w:t>L</w:t>
      </w:r>
      <w:r w:rsidRPr="00B571B8">
        <w:rPr>
          <w:rFonts w:ascii="Times New Roman" w:hAnsi="Times New Roman" w:cs="Times New Roman"/>
          <w:color w:val="000000" w:themeColor="text1"/>
          <w:lang w:val="uk-UA"/>
        </w:rPr>
        <w:t>.</w:t>
      </w:r>
      <w:r w:rsidRPr="00B571B8">
        <w:rPr>
          <w:rFonts w:ascii="Times New Roman" w:hAnsi="Times New Roman" w:cs="Times New Roman"/>
          <w:color w:val="000000" w:themeColor="text1"/>
          <w:lang w:val="en-US"/>
        </w:rPr>
        <w:t>L</w:t>
      </w:r>
      <w:r w:rsidRPr="00B571B8">
        <w:rPr>
          <w:rFonts w:ascii="Times New Roman" w:hAnsi="Times New Roman" w:cs="Times New Roman"/>
          <w:color w:val="000000" w:themeColor="text1"/>
          <w:lang w:val="uk-UA"/>
        </w:rPr>
        <w:t xml:space="preserve">., </w:t>
      </w:r>
      <w:r w:rsidRPr="00B571B8">
        <w:rPr>
          <w:rFonts w:ascii="Times New Roman" w:hAnsi="Times New Roman" w:cs="Times New Roman"/>
          <w:color w:val="000000" w:themeColor="text1"/>
          <w:lang w:val="en-US"/>
        </w:rPr>
        <w:t>Nikolenko</w:t>
      </w:r>
      <w:r w:rsidRPr="00B571B8">
        <w:rPr>
          <w:rFonts w:ascii="Times New Roman" w:hAnsi="Times New Roman" w:cs="Times New Roman"/>
          <w:color w:val="000000" w:themeColor="text1"/>
          <w:lang w:val="uk-UA"/>
        </w:rPr>
        <w:t xml:space="preserve"> </w:t>
      </w:r>
      <w:r w:rsidRPr="00B571B8">
        <w:rPr>
          <w:rFonts w:ascii="Times New Roman" w:hAnsi="Times New Roman" w:cs="Times New Roman"/>
          <w:color w:val="000000" w:themeColor="text1"/>
          <w:lang w:val="en-US"/>
        </w:rPr>
        <w:t>Y</w:t>
      </w:r>
      <w:r w:rsidRPr="00B571B8">
        <w:rPr>
          <w:rFonts w:ascii="Times New Roman" w:hAnsi="Times New Roman" w:cs="Times New Roman"/>
          <w:color w:val="000000" w:themeColor="text1"/>
          <w:lang w:val="uk-UA"/>
        </w:rPr>
        <w:t>е.</w:t>
      </w:r>
      <w:r w:rsidRPr="00B571B8">
        <w:rPr>
          <w:rFonts w:ascii="Times New Roman" w:hAnsi="Times New Roman" w:cs="Times New Roman"/>
          <w:color w:val="000000" w:themeColor="text1"/>
          <w:lang w:val="en-US"/>
        </w:rPr>
        <w:t>Ya</w:t>
      </w:r>
      <w:r w:rsidRPr="00B571B8">
        <w:rPr>
          <w:rFonts w:ascii="Times New Roman" w:hAnsi="Times New Roman" w:cs="Times New Roman"/>
          <w:color w:val="000000" w:themeColor="text1"/>
          <w:lang w:val="uk-UA"/>
        </w:rPr>
        <w:t xml:space="preserve">. </w:t>
      </w:r>
      <w:r w:rsidRPr="00B571B8">
        <w:rPr>
          <w:rFonts w:ascii="Times New Roman" w:hAnsi="Times New Roman" w:cs="Times New Roman"/>
          <w:color w:val="000000" w:themeColor="text1"/>
          <w:lang w:val="en-US"/>
        </w:rPr>
        <w:t>Undifferentiated</w:t>
      </w:r>
      <w:r w:rsidRPr="00B571B8">
        <w:rPr>
          <w:rFonts w:ascii="Times New Roman" w:hAnsi="Times New Roman" w:cs="Times New Roman"/>
          <w:color w:val="000000" w:themeColor="text1"/>
          <w:lang w:val="uk-UA"/>
        </w:rPr>
        <w:t xml:space="preserve"> </w:t>
      </w:r>
      <w:r w:rsidRPr="00B571B8">
        <w:rPr>
          <w:rFonts w:ascii="Times New Roman" w:hAnsi="Times New Roman" w:cs="Times New Roman"/>
          <w:color w:val="000000" w:themeColor="text1"/>
          <w:lang w:val="en-US"/>
        </w:rPr>
        <w:t>connective</w:t>
      </w:r>
      <w:r w:rsidRPr="00B571B8">
        <w:rPr>
          <w:rFonts w:ascii="Times New Roman" w:hAnsi="Times New Roman" w:cs="Times New Roman"/>
          <w:color w:val="000000" w:themeColor="text1"/>
          <w:lang w:val="uk-UA"/>
        </w:rPr>
        <w:t xml:space="preserve"> </w:t>
      </w:r>
      <w:r w:rsidRPr="00B571B8">
        <w:rPr>
          <w:rFonts w:ascii="Times New Roman" w:hAnsi="Times New Roman" w:cs="Times New Roman"/>
          <w:color w:val="000000" w:themeColor="text1"/>
          <w:lang w:val="en-US"/>
        </w:rPr>
        <w:t>tissue</w:t>
      </w:r>
      <w:r w:rsidRPr="00B571B8">
        <w:rPr>
          <w:rFonts w:ascii="Times New Roman" w:hAnsi="Times New Roman" w:cs="Times New Roman"/>
          <w:color w:val="000000" w:themeColor="text1"/>
          <w:lang w:val="uk-UA"/>
        </w:rPr>
        <w:t xml:space="preserve"> </w:t>
      </w:r>
      <w:r w:rsidRPr="00B571B8">
        <w:rPr>
          <w:rFonts w:ascii="Times New Roman" w:hAnsi="Times New Roman" w:cs="Times New Roman"/>
          <w:color w:val="000000" w:themeColor="text1"/>
          <w:lang w:val="en-US"/>
        </w:rPr>
        <w:t>dysplasia</w:t>
      </w:r>
      <w:r w:rsidRPr="00B571B8">
        <w:rPr>
          <w:rFonts w:ascii="Times New Roman" w:hAnsi="Times New Roman" w:cs="Times New Roman"/>
          <w:color w:val="000000" w:themeColor="text1"/>
          <w:lang w:val="uk-UA"/>
        </w:rPr>
        <w:t xml:space="preserve"> </w:t>
      </w:r>
      <w:r w:rsidRPr="00B571B8">
        <w:rPr>
          <w:rFonts w:ascii="Times New Roman" w:hAnsi="Times New Roman" w:cs="Times New Roman"/>
          <w:color w:val="000000" w:themeColor="text1"/>
          <w:lang w:val="en-US"/>
        </w:rPr>
        <w:t>as</w:t>
      </w:r>
      <w:r w:rsidRPr="00B571B8">
        <w:rPr>
          <w:rFonts w:ascii="Times New Roman" w:hAnsi="Times New Roman" w:cs="Times New Roman"/>
          <w:color w:val="000000" w:themeColor="text1"/>
          <w:lang w:val="uk-UA"/>
        </w:rPr>
        <w:t xml:space="preserve"> </w:t>
      </w:r>
      <w:r w:rsidRPr="00B571B8">
        <w:rPr>
          <w:rFonts w:ascii="Times New Roman" w:hAnsi="Times New Roman" w:cs="Times New Roman"/>
          <w:color w:val="000000" w:themeColor="text1"/>
          <w:lang w:val="en-US"/>
        </w:rPr>
        <w:t>a</w:t>
      </w:r>
      <w:r w:rsidRPr="00B571B8">
        <w:rPr>
          <w:rFonts w:ascii="Times New Roman" w:hAnsi="Times New Roman" w:cs="Times New Roman"/>
          <w:color w:val="000000" w:themeColor="text1"/>
          <w:lang w:val="uk-UA"/>
        </w:rPr>
        <w:t xml:space="preserve"> </w:t>
      </w:r>
      <w:r w:rsidRPr="00B571B8">
        <w:rPr>
          <w:rFonts w:ascii="Times New Roman" w:hAnsi="Times New Roman" w:cs="Times New Roman"/>
          <w:color w:val="000000" w:themeColor="text1"/>
          <w:lang w:val="en-US"/>
        </w:rPr>
        <w:t>potential</w:t>
      </w:r>
      <w:r w:rsidRPr="00B571B8">
        <w:rPr>
          <w:rFonts w:ascii="Times New Roman" w:hAnsi="Times New Roman" w:cs="Times New Roman"/>
          <w:color w:val="000000" w:themeColor="text1"/>
          <w:lang w:val="uk-UA"/>
        </w:rPr>
        <w:t xml:space="preserve"> </w:t>
      </w:r>
      <w:r w:rsidRPr="00B571B8">
        <w:rPr>
          <w:rFonts w:ascii="Times New Roman" w:hAnsi="Times New Roman" w:cs="Times New Roman"/>
          <w:color w:val="000000" w:themeColor="text1"/>
          <w:lang w:val="en-US"/>
        </w:rPr>
        <w:t>predictor</w:t>
      </w:r>
      <w:r w:rsidRPr="00B571B8">
        <w:rPr>
          <w:rFonts w:ascii="Times New Roman" w:hAnsi="Times New Roman" w:cs="Times New Roman"/>
          <w:color w:val="000000" w:themeColor="text1"/>
          <w:lang w:val="uk-UA"/>
        </w:rPr>
        <w:t xml:space="preserve"> </w:t>
      </w:r>
      <w:r w:rsidRPr="00B571B8">
        <w:rPr>
          <w:rFonts w:ascii="Times New Roman" w:hAnsi="Times New Roman" w:cs="Times New Roman"/>
          <w:color w:val="000000" w:themeColor="text1"/>
          <w:lang w:val="en-US"/>
        </w:rPr>
        <w:t>of</w:t>
      </w:r>
      <w:r w:rsidRPr="00B571B8">
        <w:rPr>
          <w:rFonts w:ascii="Times New Roman" w:hAnsi="Times New Roman" w:cs="Times New Roman"/>
          <w:color w:val="000000" w:themeColor="text1"/>
          <w:lang w:val="uk-UA"/>
        </w:rPr>
        <w:t xml:space="preserve"> </w:t>
      </w:r>
      <w:r w:rsidRPr="00B571B8">
        <w:rPr>
          <w:rFonts w:ascii="Times New Roman" w:hAnsi="Times New Roman" w:cs="Times New Roman"/>
          <w:color w:val="000000" w:themeColor="text1"/>
          <w:lang w:val="en-US"/>
        </w:rPr>
        <w:t>arterial</w:t>
      </w:r>
      <w:r w:rsidRPr="00B571B8">
        <w:rPr>
          <w:rFonts w:ascii="Times New Roman" w:hAnsi="Times New Roman" w:cs="Times New Roman"/>
          <w:color w:val="000000" w:themeColor="text1"/>
          <w:lang w:val="uk-UA"/>
        </w:rPr>
        <w:t xml:space="preserve"> </w:t>
      </w:r>
      <w:r w:rsidRPr="00B571B8">
        <w:rPr>
          <w:rFonts w:ascii="Times New Roman" w:hAnsi="Times New Roman" w:cs="Times New Roman"/>
          <w:color w:val="000000" w:themeColor="text1"/>
          <w:lang w:val="en-US"/>
        </w:rPr>
        <w:t xml:space="preserve">hypertension development in patients with type 2 diabetes mellitus. </w:t>
      </w:r>
      <w:r w:rsidRPr="008B1164">
        <w:rPr>
          <w:rFonts w:ascii="Times New Roman" w:hAnsi="Times New Roman" w:cs="Times New Roman"/>
          <w:color w:val="000000" w:themeColor="text1"/>
          <w:lang w:val="en-US"/>
        </w:rPr>
        <w:t xml:space="preserve">J </w:t>
      </w:r>
      <w:r w:rsidRPr="00B571B8">
        <w:rPr>
          <w:rFonts w:ascii="Times New Roman" w:hAnsi="Times New Roman" w:cs="Times New Roman"/>
          <w:color w:val="000000" w:themeColor="text1"/>
          <w:lang w:val="en-US"/>
        </w:rPr>
        <w:t>of</w:t>
      </w:r>
      <w:r w:rsidRPr="008B1164">
        <w:rPr>
          <w:rFonts w:ascii="Times New Roman" w:hAnsi="Times New Roman" w:cs="Times New Roman"/>
          <w:color w:val="000000" w:themeColor="text1"/>
          <w:lang w:val="en-US"/>
        </w:rPr>
        <w:t xml:space="preserve"> V. N. Karazin` KhNU. 2018; 36: 23-32</w:t>
      </w:r>
      <w:r w:rsidRPr="00B571B8">
        <w:rPr>
          <w:rFonts w:ascii="Times New Roman" w:hAnsi="Times New Roman" w:cs="Times New Roman"/>
          <w:color w:val="000000" w:themeColor="text1"/>
          <w:lang w:val="uk-UA"/>
        </w:rPr>
        <w:t xml:space="preserve"> </w:t>
      </w:r>
      <w:r>
        <w:rPr>
          <w:rFonts w:ascii="Times New Roman" w:hAnsi="Times New Roman" w:cs="Times New Roman"/>
          <w:i/>
          <w:color w:val="000000" w:themeColor="text1"/>
          <w:shd w:val="clear" w:color="auto" w:fill="FFFFFF"/>
          <w:lang w:val="uk-UA"/>
        </w:rPr>
        <w:t>(</w:t>
      </w:r>
      <w:r w:rsidRPr="008B1164">
        <w:rPr>
          <w:rFonts w:ascii="Times New Roman" w:hAnsi="Times New Roman" w:cs="Times New Roman"/>
          <w:i/>
          <w:shd w:val="clear" w:color="auto" w:fill="FFFFFF"/>
          <w:lang w:val="uk-UA"/>
        </w:rPr>
        <w:t>Здобувач</w:t>
      </w:r>
      <w:r w:rsidRPr="008B1164">
        <w:rPr>
          <w:rFonts w:ascii="Times New Roman" w:hAnsi="Times New Roman"/>
          <w:bCs/>
          <w:i/>
          <w:lang w:val="uk-UA"/>
        </w:rPr>
        <w:t xml:space="preserve"> здійснила </w:t>
      </w:r>
      <w:r>
        <w:rPr>
          <w:rFonts w:ascii="Times New Roman" w:hAnsi="Times New Roman"/>
          <w:bCs/>
          <w:i/>
          <w:lang w:val="uk-UA"/>
        </w:rPr>
        <w:t>відбір тематичних хворих, провела оцінку антропометричних параметрів та показників артеріального тиску</w:t>
      </w:r>
      <w:r w:rsidRPr="008B1164">
        <w:rPr>
          <w:rFonts w:ascii="Times New Roman" w:hAnsi="Times New Roman"/>
          <w:bCs/>
          <w:i/>
          <w:lang w:val="uk-UA"/>
        </w:rPr>
        <w:t xml:space="preserve">, статистичну обробку </w:t>
      </w:r>
      <w:r>
        <w:rPr>
          <w:rFonts w:ascii="Times New Roman" w:hAnsi="Times New Roman"/>
          <w:bCs/>
          <w:i/>
          <w:lang w:val="uk-UA"/>
        </w:rPr>
        <w:t>отриманих результатів та</w:t>
      </w:r>
      <w:r w:rsidRPr="008B1164">
        <w:rPr>
          <w:rFonts w:ascii="Times New Roman" w:hAnsi="Times New Roman"/>
          <w:bCs/>
          <w:i/>
          <w:lang w:val="uk-UA"/>
        </w:rPr>
        <w:t xml:space="preserve"> </w:t>
      </w:r>
      <w:r w:rsidRPr="000B165C">
        <w:rPr>
          <w:rFonts w:ascii="Times New Roman" w:hAnsi="Times New Roman"/>
          <w:bCs/>
          <w:i/>
          <w:lang w:val="uk-UA"/>
        </w:rPr>
        <w:t>підготувала</w:t>
      </w:r>
      <w:r w:rsidRPr="008B1164">
        <w:rPr>
          <w:rFonts w:ascii="Times New Roman" w:hAnsi="Times New Roman"/>
          <w:bCs/>
          <w:i/>
          <w:lang w:val="uk-UA"/>
        </w:rPr>
        <w:t xml:space="preserve"> статтю до друку)</w:t>
      </w:r>
      <w:r w:rsidRPr="008B1164">
        <w:rPr>
          <w:rFonts w:ascii="Times New Roman" w:hAnsi="Times New Roman" w:cs="Times New Roman"/>
          <w:i/>
          <w:lang w:val="en-US"/>
        </w:rPr>
        <w:t>.</w:t>
      </w:r>
    </w:p>
    <w:p w:rsidR="008C2C8D" w:rsidRPr="008B1164" w:rsidRDefault="008C2C8D" w:rsidP="008C2C8D">
      <w:pPr>
        <w:pStyle w:val="a3"/>
        <w:numPr>
          <w:ilvl w:val="0"/>
          <w:numId w:val="32"/>
        </w:numPr>
        <w:tabs>
          <w:tab w:val="left" w:pos="1276"/>
        </w:tabs>
        <w:spacing w:line="276" w:lineRule="auto"/>
        <w:ind w:left="0" w:firstLine="709"/>
        <w:jc w:val="both"/>
        <w:rPr>
          <w:rFonts w:ascii="Times New Roman" w:hAnsi="Times New Roman" w:cs="Times New Roman"/>
          <w:lang w:val="uk-UA"/>
        </w:rPr>
      </w:pPr>
      <w:r w:rsidRPr="008B1164">
        <w:rPr>
          <w:rFonts w:ascii="Times New Roman" w:hAnsi="Times New Roman" w:cs="Times New Roman"/>
          <w:color w:val="000000" w:themeColor="text1"/>
          <w:lang w:val="uk-UA"/>
        </w:rPr>
        <w:t xml:space="preserve">Шерстюк ЛЛ. Прогностичне значення недиференційованої дисплазії сполучної тканини у розвитку коморбідної патології. Український журнал медицини, біології та спорту. 2019; 4 (20): 158-164. </w:t>
      </w:r>
    </w:p>
    <w:p w:rsidR="008C2C8D" w:rsidRPr="008B1164" w:rsidRDefault="008C2C8D" w:rsidP="008C2C8D">
      <w:pPr>
        <w:pStyle w:val="a3"/>
        <w:numPr>
          <w:ilvl w:val="0"/>
          <w:numId w:val="32"/>
        </w:numPr>
        <w:tabs>
          <w:tab w:val="left" w:pos="1276"/>
        </w:tabs>
        <w:spacing w:line="276" w:lineRule="auto"/>
        <w:ind w:left="0" w:firstLine="709"/>
        <w:jc w:val="both"/>
        <w:rPr>
          <w:rFonts w:ascii="Times New Roman" w:hAnsi="Times New Roman" w:cs="Times New Roman"/>
          <w:lang w:val="uk-UA"/>
        </w:rPr>
      </w:pPr>
      <w:r w:rsidRPr="008B1164">
        <w:rPr>
          <w:rFonts w:ascii="Times New Roman" w:hAnsi="Times New Roman" w:cs="Times New Roman"/>
          <w:color w:val="000000" w:themeColor="text1"/>
          <w:lang w:val="uk-UA"/>
        </w:rPr>
        <w:t xml:space="preserve">Шерстюк ЛЛ. Особенности артериальной гипертензии у лиц с сахарным диабетом 2 типа на фоне недифференцированной дисплазии соединительной ткани В: </w:t>
      </w:r>
      <w:r w:rsidRPr="008B1164">
        <w:rPr>
          <w:rFonts w:ascii="Times New Roman" w:hAnsi="Times New Roman" w:cs="Times New Roman"/>
          <w:color w:val="000000" w:themeColor="text1"/>
          <w:lang w:val="en-US"/>
        </w:rPr>
        <w:t>ADVANCES</w:t>
      </w:r>
      <w:r w:rsidRPr="008B1164">
        <w:rPr>
          <w:rFonts w:ascii="Times New Roman" w:hAnsi="Times New Roman" w:cs="Times New Roman"/>
          <w:color w:val="000000" w:themeColor="text1"/>
          <w:lang w:val="uk-UA"/>
        </w:rPr>
        <w:t xml:space="preserve"> </w:t>
      </w:r>
      <w:r w:rsidRPr="008B1164">
        <w:rPr>
          <w:rFonts w:ascii="Times New Roman" w:hAnsi="Times New Roman" w:cs="Times New Roman"/>
          <w:color w:val="000000" w:themeColor="text1"/>
          <w:lang w:val="en-US"/>
        </w:rPr>
        <w:t>OF</w:t>
      </w:r>
      <w:r w:rsidRPr="008B1164">
        <w:rPr>
          <w:rFonts w:ascii="Times New Roman" w:hAnsi="Times New Roman" w:cs="Times New Roman"/>
          <w:color w:val="000000" w:themeColor="text1"/>
          <w:lang w:val="uk-UA"/>
        </w:rPr>
        <w:t xml:space="preserve"> </w:t>
      </w:r>
      <w:r w:rsidRPr="008B1164">
        <w:rPr>
          <w:rFonts w:ascii="Times New Roman" w:hAnsi="Times New Roman" w:cs="Times New Roman"/>
          <w:color w:val="000000" w:themeColor="text1"/>
          <w:lang w:val="en-US"/>
        </w:rPr>
        <w:t>SCIENCE</w:t>
      </w:r>
      <w:r w:rsidRPr="008B1164">
        <w:rPr>
          <w:rFonts w:ascii="Times New Roman" w:hAnsi="Times New Roman" w:cs="Times New Roman"/>
          <w:color w:val="000000" w:themeColor="text1"/>
          <w:lang w:val="uk-UA"/>
        </w:rPr>
        <w:t xml:space="preserve">: </w:t>
      </w:r>
      <w:r w:rsidRPr="008B1164">
        <w:rPr>
          <w:rFonts w:ascii="Times New Roman" w:hAnsi="Times New Roman" w:cs="Times New Roman"/>
          <w:color w:val="000000" w:themeColor="text1"/>
          <w:lang w:val="en-US"/>
        </w:rPr>
        <w:t>Proceedings</w:t>
      </w:r>
      <w:r w:rsidRPr="008B1164">
        <w:rPr>
          <w:rFonts w:ascii="Times New Roman" w:hAnsi="Times New Roman" w:cs="Times New Roman"/>
          <w:color w:val="000000" w:themeColor="text1"/>
          <w:lang w:val="uk-UA"/>
        </w:rPr>
        <w:t xml:space="preserve"> </w:t>
      </w:r>
      <w:r w:rsidRPr="008B1164">
        <w:rPr>
          <w:rFonts w:ascii="Times New Roman" w:hAnsi="Times New Roman" w:cs="Times New Roman"/>
          <w:color w:val="000000" w:themeColor="text1"/>
          <w:lang w:val="en-US"/>
        </w:rPr>
        <w:t>of</w:t>
      </w:r>
      <w:r w:rsidRPr="008B1164">
        <w:rPr>
          <w:rFonts w:ascii="Times New Roman" w:hAnsi="Times New Roman" w:cs="Times New Roman"/>
          <w:color w:val="000000" w:themeColor="text1"/>
          <w:lang w:val="uk-UA"/>
        </w:rPr>
        <w:t xml:space="preserve"> </w:t>
      </w:r>
      <w:r w:rsidRPr="008B1164">
        <w:rPr>
          <w:rFonts w:ascii="Times New Roman" w:hAnsi="Times New Roman" w:cs="Times New Roman"/>
          <w:color w:val="000000" w:themeColor="text1"/>
          <w:lang w:val="en-US"/>
        </w:rPr>
        <w:t>articles</w:t>
      </w:r>
      <w:r w:rsidRPr="008B1164">
        <w:rPr>
          <w:rFonts w:ascii="Times New Roman" w:hAnsi="Times New Roman" w:cs="Times New Roman"/>
          <w:color w:val="000000" w:themeColor="text1"/>
          <w:lang w:val="uk-UA"/>
        </w:rPr>
        <w:t xml:space="preserve"> </w:t>
      </w:r>
      <w:r w:rsidRPr="008B1164">
        <w:rPr>
          <w:rFonts w:ascii="Times New Roman" w:hAnsi="Times New Roman" w:cs="Times New Roman"/>
          <w:color w:val="000000" w:themeColor="text1"/>
          <w:lang w:val="en-US"/>
        </w:rPr>
        <w:t>the</w:t>
      </w:r>
      <w:r w:rsidRPr="008B1164">
        <w:rPr>
          <w:rFonts w:ascii="Times New Roman" w:hAnsi="Times New Roman" w:cs="Times New Roman"/>
          <w:color w:val="000000" w:themeColor="text1"/>
          <w:lang w:val="uk-UA"/>
        </w:rPr>
        <w:t xml:space="preserve"> </w:t>
      </w:r>
      <w:r w:rsidRPr="008B1164">
        <w:rPr>
          <w:rFonts w:ascii="Times New Roman" w:hAnsi="Times New Roman" w:cs="Times New Roman"/>
          <w:color w:val="000000" w:themeColor="text1"/>
          <w:lang w:val="en-US"/>
        </w:rPr>
        <w:t>international</w:t>
      </w:r>
      <w:r w:rsidRPr="008B1164">
        <w:rPr>
          <w:rFonts w:ascii="Times New Roman" w:hAnsi="Times New Roman" w:cs="Times New Roman"/>
          <w:color w:val="000000" w:themeColor="text1"/>
          <w:lang w:val="uk-UA"/>
        </w:rPr>
        <w:t xml:space="preserve"> </w:t>
      </w:r>
      <w:r w:rsidRPr="008B1164">
        <w:rPr>
          <w:rFonts w:ascii="Times New Roman" w:hAnsi="Times New Roman" w:cs="Times New Roman"/>
          <w:color w:val="000000" w:themeColor="text1"/>
          <w:lang w:val="en-US"/>
        </w:rPr>
        <w:t>scientific</w:t>
      </w:r>
      <w:r w:rsidRPr="008B1164">
        <w:rPr>
          <w:rFonts w:ascii="Times New Roman" w:hAnsi="Times New Roman" w:cs="Times New Roman"/>
          <w:color w:val="000000" w:themeColor="text1"/>
          <w:lang w:val="uk-UA"/>
        </w:rPr>
        <w:t xml:space="preserve"> </w:t>
      </w:r>
      <w:r w:rsidRPr="008B1164">
        <w:rPr>
          <w:rFonts w:ascii="Times New Roman" w:hAnsi="Times New Roman" w:cs="Times New Roman"/>
          <w:color w:val="000000" w:themeColor="text1"/>
          <w:lang w:val="en-US"/>
        </w:rPr>
        <w:t>conference</w:t>
      </w:r>
      <w:r w:rsidRPr="008B1164">
        <w:rPr>
          <w:rFonts w:ascii="Times New Roman" w:hAnsi="Times New Roman" w:cs="Times New Roman"/>
          <w:color w:val="000000" w:themeColor="text1"/>
          <w:lang w:val="uk-UA"/>
        </w:rPr>
        <w:t xml:space="preserve">. </w:t>
      </w:r>
      <w:r w:rsidRPr="008B1164">
        <w:rPr>
          <w:rFonts w:ascii="Times New Roman" w:hAnsi="Times New Roman" w:cs="Times New Roman"/>
          <w:color w:val="000000" w:themeColor="text1"/>
          <w:lang w:val="en-US"/>
        </w:rPr>
        <w:t xml:space="preserve">Czech Republic, Karlovy Vary – Ukraine, Kyiv, 6 </w:t>
      </w:r>
      <w:r w:rsidRPr="008B1164">
        <w:rPr>
          <w:rFonts w:ascii="Times New Roman" w:hAnsi="Times New Roman" w:cs="Times New Roman"/>
          <w:color w:val="000000" w:themeColor="text1"/>
          <w:lang w:val="en-US"/>
        </w:rPr>
        <w:lastRenderedPageBreak/>
        <w:t>April 2018 [Electronic resource] / Editors prof. L.N. Katjuhin, I.A. Salov, I.S. Danilova, N.S. Burina. – Electron. txt. d. (1 файл 3 MB). – Czech Republic, Karlovy Vary: Skleněný Můstek – Ukraine, Kyiv: MCNIP, 2018</w:t>
      </w:r>
      <w:r w:rsidRPr="008B1164">
        <w:rPr>
          <w:rFonts w:ascii="Times New Roman" w:hAnsi="Times New Roman" w:cs="Times New Roman"/>
          <w:color w:val="000000" w:themeColor="text1"/>
          <w:lang w:val="uk-UA"/>
        </w:rPr>
        <w:t>; 330-334.</w:t>
      </w:r>
    </w:p>
    <w:p w:rsidR="008C2C8D" w:rsidRPr="00610F1A" w:rsidRDefault="008C2C8D" w:rsidP="008C2C8D">
      <w:pPr>
        <w:pStyle w:val="a3"/>
        <w:numPr>
          <w:ilvl w:val="0"/>
          <w:numId w:val="32"/>
        </w:numPr>
        <w:tabs>
          <w:tab w:val="left" w:pos="993"/>
          <w:tab w:val="left" w:pos="1276"/>
        </w:tabs>
        <w:spacing w:line="276" w:lineRule="auto"/>
        <w:ind w:left="0" w:firstLine="709"/>
        <w:jc w:val="both"/>
        <w:rPr>
          <w:rFonts w:ascii="Times New Roman" w:hAnsi="Times New Roman" w:cs="Times New Roman"/>
          <w:color w:val="000000" w:themeColor="text1"/>
        </w:rPr>
      </w:pPr>
      <w:r w:rsidRPr="00610F1A">
        <w:rPr>
          <w:rFonts w:ascii="Times New Roman" w:hAnsi="Times New Roman" w:cs="Times New Roman"/>
          <w:color w:val="000000" w:themeColor="text1"/>
        </w:rPr>
        <w:t>Шерстюк ЛЛ. Морфологическая характеристика почки больных СД 2 типа легкой степени тяжести на фоне дисплазии соединительной ткани</w:t>
      </w:r>
      <w:r w:rsidRPr="00610F1A">
        <w:rPr>
          <w:rFonts w:ascii="Times New Roman" w:hAnsi="Times New Roman" w:cs="Times New Roman"/>
          <w:color w:val="000000" w:themeColor="text1"/>
          <w:lang w:val="uk-UA"/>
        </w:rPr>
        <w:t xml:space="preserve">. В кн.: </w:t>
      </w:r>
      <w:r w:rsidRPr="00610F1A">
        <w:rPr>
          <w:rFonts w:ascii="Times New Roman" w:hAnsi="Times New Roman" w:cs="Times New Roman"/>
          <w:color w:val="000000" w:themeColor="text1"/>
          <w:lang w:val="en-US"/>
        </w:rPr>
        <w:t>The development of nature sciences: problems and solutions: Conference</w:t>
      </w:r>
      <w:r w:rsidRPr="00610F1A">
        <w:rPr>
          <w:rFonts w:ascii="Times New Roman" w:hAnsi="Times New Roman" w:cs="Times New Roman"/>
          <w:color w:val="000000" w:themeColor="text1"/>
          <w:lang w:val="uk-UA"/>
        </w:rPr>
        <w:t xml:space="preserve"> </w:t>
      </w:r>
      <w:r w:rsidRPr="00610F1A">
        <w:rPr>
          <w:rFonts w:ascii="Times New Roman" w:hAnsi="Times New Roman" w:cs="Times New Roman"/>
          <w:color w:val="000000" w:themeColor="text1"/>
          <w:lang w:val="en-US"/>
        </w:rPr>
        <w:t>Proceedings, April 27-28, 2018. Brno</w:t>
      </w:r>
      <w:r w:rsidRPr="00610F1A">
        <w:rPr>
          <w:rFonts w:ascii="Times New Roman" w:hAnsi="Times New Roman" w:cs="Times New Roman"/>
          <w:color w:val="000000" w:themeColor="text1"/>
        </w:rPr>
        <w:t xml:space="preserve">: </w:t>
      </w:r>
      <w:r w:rsidRPr="00610F1A">
        <w:rPr>
          <w:rFonts w:ascii="Times New Roman" w:hAnsi="Times New Roman" w:cs="Times New Roman"/>
          <w:color w:val="000000" w:themeColor="text1"/>
          <w:lang w:val="en-US"/>
        </w:rPr>
        <w:t>Baltija</w:t>
      </w:r>
      <w:r w:rsidRPr="00610F1A">
        <w:rPr>
          <w:rFonts w:ascii="Times New Roman" w:hAnsi="Times New Roman" w:cs="Times New Roman"/>
          <w:color w:val="000000" w:themeColor="text1"/>
        </w:rPr>
        <w:t xml:space="preserve"> </w:t>
      </w:r>
      <w:r w:rsidRPr="00610F1A">
        <w:rPr>
          <w:rFonts w:ascii="Times New Roman" w:hAnsi="Times New Roman" w:cs="Times New Roman"/>
          <w:color w:val="000000" w:themeColor="text1"/>
          <w:lang w:val="en-US"/>
        </w:rPr>
        <w:t>Publishing</w:t>
      </w:r>
      <w:r w:rsidRPr="00610F1A">
        <w:rPr>
          <w:rFonts w:ascii="Times New Roman" w:hAnsi="Times New Roman" w:cs="Times New Roman"/>
          <w:color w:val="000000" w:themeColor="text1"/>
        </w:rPr>
        <w:t xml:space="preserve">, 244 </w:t>
      </w:r>
      <w:r w:rsidRPr="00610F1A">
        <w:rPr>
          <w:rFonts w:ascii="Times New Roman" w:hAnsi="Times New Roman" w:cs="Times New Roman"/>
          <w:color w:val="000000" w:themeColor="text1"/>
          <w:lang w:val="en-US"/>
        </w:rPr>
        <w:t>pages</w:t>
      </w:r>
      <w:r w:rsidRPr="00610F1A">
        <w:rPr>
          <w:rFonts w:ascii="Times New Roman" w:hAnsi="Times New Roman" w:cs="Times New Roman"/>
          <w:color w:val="000000" w:themeColor="text1"/>
          <w:lang w:val="uk-UA"/>
        </w:rPr>
        <w:t>; 228-230.</w:t>
      </w:r>
      <w:r w:rsidRPr="00610F1A">
        <w:rPr>
          <w:rFonts w:ascii="Times New Roman" w:hAnsi="Times New Roman"/>
          <w:bCs/>
          <w:i/>
          <w:lang w:val="uk-UA"/>
        </w:rPr>
        <w:t xml:space="preserve"> </w:t>
      </w:r>
    </w:p>
    <w:p w:rsidR="008C2C8D" w:rsidRPr="00E227B8" w:rsidRDefault="008C2C8D" w:rsidP="008C2C8D">
      <w:pPr>
        <w:pStyle w:val="a3"/>
        <w:numPr>
          <w:ilvl w:val="0"/>
          <w:numId w:val="32"/>
        </w:numPr>
        <w:tabs>
          <w:tab w:val="left" w:pos="993"/>
          <w:tab w:val="left" w:pos="1276"/>
        </w:tabs>
        <w:spacing w:line="276" w:lineRule="auto"/>
        <w:ind w:left="0" w:firstLine="709"/>
        <w:jc w:val="both"/>
        <w:rPr>
          <w:rFonts w:ascii="Times New Roman" w:hAnsi="Times New Roman" w:cs="Times New Roman"/>
          <w:color w:val="000000" w:themeColor="text1"/>
          <w:lang w:val="en-US"/>
        </w:rPr>
      </w:pPr>
      <w:r w:rsidRPr="00610F1A">
        <w:rPr>
          <w:rFonts w:ascii="Times New Roman" w:hAnsi="Times New Roman" w:cs="Times New Roman"/>
          <w:color w:val="000000" w:themeColor="text1"/>
          <w:lang w:val="uk-UA"/>
        </w:rPr>
        <w:t xml:space="preserve">Шерстюк ЛЛ. Місце та Роль серцево-судинних захворювань, цукрового діабету та дисплазії сполучної тканини у коморбідній патології. (огляд літератури). В зб.: </w:t>
      </w:r>
      <w:r w:rsidRPr="00610F1A">
        <w:rPr>
          <w:rFonts w:ascii="Times New Roman" w:hAnsi="Times New Roman" w:cs="Times New Roman"/>
          <w:color w:val="000000" w:themeColor="text1"/>
          <w:lang w:val="en-US"/>
        </w:rPr>
        <w:t>ADVANCES OF SCIENCE: Proceedings of articles the international scientific conference. Czech Republic, Karlovy Vary – Ukraine, Kyiv, 16 November 2018 [Electronic resource] / Editors prof. L.N. Katjuhin, I.A. Salov, I.S. Danilova, N.S. Burina. – Electron. txt. d. (1 файл 1 MB). – Czech Republic, Karlovy Vary: Skleněný Můstek – Ukraine, Kyiv: MCNIP, 2018.</w:t>
      </w:r>
      <w:r w:rsidRPr="00610F1A">
        <w:rPr>
          <w:rFonts w:ascii="Times New Roman" w:hAnsi="Times New Roman" w:cs="Times New Roman"/>
          <w:color w:val="000000" w:themeColor="text1"/>
          <w:lang w:val="uk-UA"/>
        </w:rPr>
        <w:t xml:space="preserve"> </w:t>
      </w:r>
    </w:p>
    <w:p w:rsidR="008C2C8D" w:rsidRPr="00B571B8" w:rsidRDefault="008C2C8D" w:rsidP="008C2C8D">
      <w:pPr>
        <w:pStyle w:val="a3"/>
        <w:numPr>
          <w:ilvl w:val="0"/>
          <w:numId w:val="32"/>
        </w:numPr>
        <w:tabs>
          <w:tab w:val="left" w:pos="993"/>
          <w:tab w:val="left" w:pos="1276"/>
        </w:tabs>
        <w:spacing w:line="276" w:lineRule="auto"/>
        <w:ind w:left="0" w:firstLine="709"/>
        <w:jc w:val="both"/>
        <w:rPr>
          <w:rFonts w:ascii="Times New Roman" w:hAnsi="Times New Roman" w:cs="Times New Roman"/>
          <w:i/>
          <w:color w:val="000000" w:themeColor="text1"/>
          <w:lang w:val="uk-UA"/>
        </w:rPr>
      </w:pPr>
      <w:r w:rsidRPr="000A32AD">
        <w:rPr>
          <w:rFonts w:ascii="Times New Roman" w:hAnsi="Times New Roman" w:cs="Times New Roman"/>
          <w:color w:val="000000" w:themeColor="text1"/>
          <w:lang w:val="uk-UA"/>
        </w:rPr>
        <w:t>Шерстюк ЛЛ, Ніколенко ЄЯ. Вміст основного фактору росту фібробластів в крові хворих на цукровий діабет та його залежність від наявності дисплазії сполучної тканини та інших показників.</w:t>
      </w:r>
      <w:r w:rsidRPr="00E227B8">
        <w:rPr>
          <w:rFonts w:ascii="Times New Roman" w:hAnsi="Times New Roman" w:cs="Times New Roman"/>
          <w:color w:val="000000" w:themeColor="text1"/>
          <w:lang w:val="en-US"/>
        </w:rPr>
        <w:t xml:space="preserve"> </w:t>
      </w:r>
      <w:r w:rsidRPr="000A32AD">
        <w:rPr>
          <w:rFonts w:ascii="Times New Roman" w:hAnsi="Times New Roman" w:cs="Times New Roman"/>
          <w:color w:val="000000" w:themeColor="text1"/>
          <w:lang w:val="uk-UA"/>
        </w:rPr>
        <w:t>В зб.</w:t>
      </w:r>
      <w:r w:rsidRPr="000A32AD">
        <w:rPr>
          <w:rFonts w:ascii="Times New Roman" w:hAnsi="Times New Roman" w:cs="Times New Roman"/>
          <w:color w:val="000000" w:themeColor="text1"/>
          <w:lang w:val="en-US"/>
        </w:rPr>
        <w:t xml:space="preserve">: Science and society. Proceedings of the 8th International conference. Accent Graphics Communications &amp; Publishing. Hamilton, Canada. </w:t>
      </w:r>
      <w:r w:rsidRPr="000A5905">
        <w:rPr>
          <w:rFonts w:ascii="Times New Roman" w:hAnsi="Times New Roman" w:cs="Times New Roman"/>
          <w:color w:val="000000" w:themeColor="text1"/>
          <w:lang w:val="en-US"/>
        </w:rPr>
        <w:t>2018: 276-284</w:t>
      </w:r>
      <w:r>
        <w:rPr>
          <w:rFonts w:ascii="Times New Roman" w:hAnsi="Times New Roman" w:cs="Times New Roman"/>
          <w:color w:val="000000" w:themeColor="text1"/>
          <w:lang w:val="uk-UA"/>
        </w:rPr>
        <w:t xml:space="preserve"> </w:t>
      </w:r>
      <w:r w:rsidRPr="00B571B8">
        <w:rPr>
          <w:rFonts w:ascii="Times New Roman" w:hAnsi="Times New Roman" w:cs="Times New Roman"/>
          <w:i/>
          <w:color w:val="000000" w:themeColor="text1"/>
          <w:shd w:val="clear" w:color="auto" w:fill="FFFFFF"/>
          <w:lang w:val="uk-UA"/>
        </w:rPr>
        <w:t>(</w:t>
      </w:r>
      <w:r>
        <w:rPr>
          <w:rFonts w:ascii="Times New Roman" w:hAnsi="Times New Roman"/>
          <w:bCs/>
          <w:i/>
          <w:color w:val="000000"/>
          <w:lang w:val="uk-UA"/>
        </w:rPr>
        <w:t>Здобувач здійснила відбір тематичних хворих, проаналізувала взаємозв’язок показників основного фактору росту фібробластів з частотою та виразністю АГ, провела статистичну обробку та аналіз отриманих результатів</w:t>
      </w:r>
      <w:r w:rsidRPr="00B571B8">
        <w:rPr>
          <w:rFonts w:ascii="Times New Roman" w:hAnsi="Times New Roman"/>
          <w:bCs/>
          <w:i/>
          <w:color w:val="000000"/>
          <w:lang w:val="uk-UA"/>
        </w:rPr>
        <w:t>)</w:t>
      </w:r>
      <w:r w:rsidRPr="000A5905">
        <w:rPr>
          <w:rFonts w:ascii="Times New Roman" w:hAnsi="Times New Roman" w:cs="Times New Roman"/>
          <w:i/>
          <w:color w:val="000000" w:themeColor="text1"/>
          <w:lang w:val="en-US"/>
        </w:rPr>
        <w:t>.</w:t>
      </w:r>
    </w:p>
    <w:p w:rsidR="008C2C8D" w:rsidRPr="00F20C2F" w:rsidRDefault="008C2C8D" w:rsidP="008C2C8D">
      <w:pPr>
        <w:pStyle w:val="a3"/>
        <w:numPr>
          <w:ilvl w:val="0"/>
          <w:numId w:val="32"/>
        </w:numPr>
        <w:spacing w:line="276" w:lineRule="auto"/>
        <w:ind w:left="0" w:firstLine="709"/>
        <w:jc w:val="both"/>
        <w:rPr>
          <w:rFonts w:ascii="Times New Roman" w:hAnsi="Times New Roman" w:cs="Times New Roman"/>
          <w:color w:val="000000" w:themeColor="text1"/>
          <w:lang w:val="uk-UA"/>
        </w:rPr>
      </w:pPr>
      <w:r w:rsidRPr="00F20C2F">
        <w:rPr>
          <w:rFonts w:ascii="Times New Roman" w:hAnsi="Times New Roman" w:cs="Times New Roman"/>
          <w:color w:val="000000" w:themeColor="text1"/>
          <w:lang w:val="uk-UA"/>
        </w:rPr>
        <w:t>Шерстюк ЛЛ. Особливості перебігу цукрового діабету 2 типу та супутньої патології залежно від наявності недиференційованої дисплазії сполучної тканини. В кн.: Нові досягнення у галузі медичних та фармацевтичних наук: матеріали міжнар. наук.-практ. конф. (м. Одеса 16–17 листопада 2018 року). – Одеса: ГО «Південна фундація медицини», 2018: 108-111.</w:t>
      </w:r>
      <w:r w:rsidRPr="00F20C2F">
        <w:t xml:space="preserve"> </w:t>
      </w:r>
    </w:p>
    <w:p w:rsidR="008C2C8D" w:rsidRPr="00E227B8" w:rsidRDefault="008C2C8D" w:rsidP="008C2C8D">
      <w:pPr>
        <w:pStyle w:val="a3"/>
        <w:numPr>
          <w:ilvl w:val="0"/>
          <w:numId w:val="32"/>
        </w:numPr>
        <w:tabs>
          <w:tab w:val="left" w:pos="993"/>
          <w:tab w:val="left" w:pos="1276"/>
        </w:tabs>
        <w:spacing w:line="276" w:lineRule="auto"/>
        <w:ind w:left="0" w:firstLine="709"/>
        <w:jc w:val="both"/>
        <w:rPr>
          <w:rFonts w:ascii="Times New Roman" w:hAnsi="Times New Roman" w:cs="Times New Roman"/>
          <w:i/>
          <w:color w:val="000000" w:themeColor="text1"/>
          <w:lang w:val="uk-UA"/>
        </w:rPr>
      </w:pPr>
      <w:r w:rsidRPr="000A32AD">
        <w:rPr>
          <w:rFonts w:ascii="Times New Roman" w:hAnsi="Times New Roman" w:cs="Times New Roman"/>
          <w:color w:val="000000" w:themeColor="text1"/>
          <w:lang w:val="uk-UA"/>
        </w:rPr>
        <w:t xml:space="preserve">Шерстюк ЛЛ. Недиференційована дисплазія сполучної тканини як потенційний предиктор розвитку артеріальної гіпертензії у хворих на цукровий діабет 2 типу. 358-368. В кн.: </w:t>
      </w:r>
      <w:r w:rsidRPr="000A32AD">
        <w:rPr>
          <w:rFonts w:ascii="Times New Roman" w:hAnsi="Times New Roman" w:cs="Times New Roman"/>
          <w:color w:val="000000" w:themeColor="text1"/>
          <w:lang w:val="en-US"/>
        </w:rPr>
        <w:t>Perspectives of science and education. Proceedings of the 6th International youth conference. SLOVO\WORD, New York, USA. 2018. Pp. 12–17.</w:t>
      </w:r>
    </w:p>
    <w:p w:rsidR="008C2C8D" w:rsidRDefault="008C2C8D" w:rsidP="000D5D92">
      <w:pPr>
        <w:spacing w:line="360" w:lineRule="auto"/>
        <w:jc w:val="center"/>
        <w:rPr>
          <w:rFonts w:ascii="Times New Roman" w:hAnsi="Times New Roman" w:cs="Times New Roman"/>
          <w:color w:val="000000" w:themeColor="text1"/>
          <w:sz w:val="28"/>
          <w:szCs w:val="28"/>
          <w:lang w:val="uk-UA"/>
        </w:rPr>
      </w:pPr>
    </w:p>
    <w:p w:rsidR="008C2C8D" w:rsidRDefault="008C2C8D" w:rsidP="000D5D92">
      <w:pPr>
        <w:spacing w:line="360" w:lineRule="auto"/>
        <w:jc w:val="center"/>
        <w:rPr>
          <w:rFonts w:ascii="Times New Roman" w:hAnsi="Times New Roman" w:cs="Times New Roman"/>
          <w:color w:val="000000" w:themeColor="text1"/>
          <w:sz w:val="28"/>
          <w:szCs w:val="28"/>
          <w:lang w:val="uk-UA"/>
        </w:rPr>
      </w:pPr>
    </w:p>
    <w:p w:rsidR="008C2C8D" w:rsidRDefault="008C2C8D" w:rsidP="000D5D92">
      <w:pPr>
        <w:spacing w:line="360" w:lineRule="auto"/>
        <w:jc w:val="center"/>
        <w:rPr>
          <w:rFonts w:ascii="Times New Roman" w:hAnsi="Times New Roman" w:cs="Times New Roman"/>
          <w:color w:val="000000" w:themeColor="text1"/>
          <w:sz w:val="28"/>
          <w:szCs w:val="28"/>
          <w:lang w:val="uk-UA"/>
        </w:rPr>
      </w:pPr>
    </w:p>
    <w:p w:rsidR="000D5D92" w:rsidRPr="000A32AD" w:rsidRDefault="000D5D92" w:rsidP="000D5D92">
      <w:pPr>
        <w:spacing w:line="360" w:lineRule="auto"/>
        <w:jc w:val="center"/>
        <w:rPr>
          <w:rFonts w:ascii="Times New Roman" w:hAnsi="Times New Roman" w:cs="Times New Roman"/>
          <w:color w:val="000000" w:themeColor="text1"/>
          <w:kern w:val="1"/>
          <w:sz w:val="28"/>
          <w:szCs w:val="28"/>
          <w:lang w:val="uk-UA"/>
        </w:rPr>
      </w:pPr>
      <w:r w:rsidRPr="000A32AD">
        <w:rPr>
          <w:rFonts w:ascii="Times New Roman" w:hAnsi="Times New Roman" w:cs="Times New Roman"/>
          <w:color w:val="000000" w:themeColor="text1"/>
          <w:sz w:val="28"/>
          <w:szCs w:val="28"/>
          <w:lang w:val="uk-UA"/>
        </w:rPr>
        <w:lastRenderedPageBreak/>
        <w:t>З</w:t>
      </w:r>
      <w:r w:rsidRPr="000A32AD">
        <w:rPr>
          <w:rFonts w:ascii="Times New Roman" w:hAnsi="Times New Roman" w:cs="Times New Roman"/>
          <w:color w:val="000000" w:themeColor="text1"/>
          <w:kern w:val="1"/>
          <w:sz w:val="28"/>
          <w:szCs w:val="28"/>
          <w:lang w:val="uk-UA"/>
        </w:rPr>
        <w:t>МІСТ</w:t>
      </w:r>
    </w:p>
    <w:p w:rsidR="000D5D92" w:rsidRPr="000A32AD" w:rsidRDefault="003C4A7F" w:rsidP="000D5D92">
      <w:pPr>
        <w:pStyle w:val="210"/>
        <w:keepLines/>
        <w:widowControl/>
        <w:shd w:val="clear" w:color="auto" w:fill="auto"/>
        <w:tabs>
          <w:tab w:val="left" w:leader="dot" w:pos="9214"/>
        </w:tabs>
        <w:spacing w:line="360" w:lineRule="auto"/>
        <w:ind w:right="708"/>
        <w:jc w:val="left"/>
        <w:rPr>
          <w:rFonts w:ascii="Times New Roman" w:hAnsi="Times New Roman"/>
          <w:b w:val="0"/>
          <w:color w:val="000000" w:themeColor="text1"/>
          <w:sz w:val="28"/>
          <w:szCs w:val="28"/>
          <w:lang w:val="uk-UA"/>
        </w:rPr>
      </w:pPr>
      <w:r w:rsidRPr="000A32AD">
        <w:rPr>
          <w:rFonts w:ascii="Times New Roman" w:hAnsi="Times New Roman"/>
          <w:b w:val="0"/>
          <w:color w:val="000000" w:themeColor="text1"/>
          <w:sz w:val="28"/>
          <w:szCs w:val="28"/>
          <w:lang w:val="uk-UA"/>
        </w:rPr>
        <w:t>ПЕРЕЛІК</w:t>
      </w:r>
      <w:r w:rsidR="000D5D92" w:rsidRPr="000A32AD">
        <w:rPr>
          <w:rFonts w:ascii="Times New Roman" w:hAnsi="Times New Roman"/>
          <w:b w:val="0"/>
          <w:color w:val="000000" w:themeColor="text1"/>
          <w:sz w:val="28"/>
          <w:szCs w:val="28"/>
          <w:lang w:val="uk-UA"/>
        </w:rPr>
        <w:t xml:space="preserve"> </w:t>
      </w:r>
      <w:r w:rsidRPr="000A32AD">
        <w:rPr>
          <w:rFonts w:ascii="Times New Roman" w:hAnsi="Times New Roman"/>
          <w:b w:val="0"/>
          <w:color w:val="000000" w:themeColor="text1"/>
          <w:sz w:val="28"/>
          <w:szCs w:val="28"/>
          <w:lang w:val="uk-UA"/>
        </w:rPr>
        <w:t xml:space="preserve">УМОВНИХ </w:t>
      </w:r>
      <w:r w:rsidR="000D5D92" w:rsidRPr="000A32AD">
        <w:rPr>
          <w:rFonts w:ascii="Times New Roman" w:hAnsi="Times New Roman"/>
          <w:b w:val="0"/>
          <w:color w:val="000000" w:themeColor="text1"/>
          <w:sz w:val="28"/>
          <w:szCs w:val="28"/>
          <w:lang w:val="uk-UA"/>
        </w:rPr>
        <w:t>СКОРОЧЕНЬ</w:t>
      </w:r>
      <w:r w:rsidR="000D5D92" w:rsidRPr="000A32AD">
        <w:rPr>
          <w:rFonts w:ascii="Times New Roman" w:hAnsi="Times New Roman"/>
          <w:b w:val="0"/>
          <w:color w:val="000000" w:themeColor="text1"/>
          <w:sz w:val="28"/>
          <w:szCs w:val="28"/>
          <w:lang w:val="uk-UA"/>
        </w:rPr>
        <w:tab/>
      </w:r>
      <w:r w:rsidRPr="000A32AD">
        <w:rPr>
          <w:rFonts w:ascii="Times New Roman" w:hAnsi="Times New Roman"/>
          <w:b w:val="0"/>
          <w:color w:val="000000" w:themeColor="text1"/>
          <w:sz w:val="28"/>
          <w:szCs w:val="28"/>
          <w:lang w:val="uk-UA"/>
        </w:rPr>
        <w:t>18</w:t>
      </w:r>
    </w:p>
    <w:p w:rsidR="000D5D92" w:rsidRPr="000A32AD" w:rsidRDefault="000D5D92" w:rsidP="000D5D92">
      <w:pPr>
        <w:pStyle w:val="210"/>
        <w:keepLines/>
        <w:widowControl/>
        <w:shd w:val="clear" w:color="auto" w:fill="auto"/>
        <w:tabs>
          <w:tab w:val="left" w:leader="dot" w:pos="9214"/>
        </w:tabs>
        <w:spacing w:line="360" w:lineRule="auto"/>
        <w:ind w:right="708"/>
        <w:jc w:val="left"/>
        <w:rPr>
          <w:rFonts w:ascii="Times New Roman" w:hAnsi="Times New Roman"/>
          <w:b w:val="0"/>
          <w:color w:val="000000" w:themeColor="text1"/>
          <w:sz w:val="28"/>
          <w:szCs w:val="28"/>
          <w:lang w:val="uk-UA"/>
        </w:rPr>
      </w:pPr>
      <w:r w:rsidRPr="000A32AD">
        <w:rPr>
          <w:rFonts w:ascii="Times New Roman" w:hAnsi="Times New Roman"/>
          <w:b w:val="0"/>
          <w:color w:val="000000" w:themeColor="text1"/>
          <w:sz w:val="28"/>
          <w:szCs w:val="28"/>
          <w:lang w:val="uk-UA"/>
        </w:rPr>
        <w:t xml:space="preserve">ВСТУП </w:t>
      </w:r>
      <w:r w:rsidRPr="000A32AD">
        <w:rPr>
          <w:rFonts w:ascii="Times New Roman" w:hAnsi="Times New Roman"/>
          <w:b w:val="0"/>
          <w:color w:val="000000" w:themeColor="text1"/>
          <w:sz w:val="28"/>
          <w:szCs w:val="28"/>
          <w:lang w:val="uk-UA"/>
        </w:rPr>
        <w:tab/>
      </w:r>
      <w:r w:rsidR="003C4A7F" w:rsidRPr="000A32AD">
        <w:rPr>
          <w:rFonts w:ascii="Times New Roman" w:hAnsi="Times New Roman"/>
          <w:b w:val="0"/>
          <w:color w:val="000000" w:themeColor="text1"/>
          <w:sz w:val="28"/>
          <w:szCs w:val="28"/>
          <w:lang w:val="uk-UA"/>
        </w:rPr>
        <w:t>20</w:t>
      </w:r>
    </w:p>
    <w:p w:rsidR="000D5D92" w:rsidRPr="000A32AD" w:rsidRDefault="000D5D92" w:rsidP="003C4A7F">
      <w:pPr>
        <w:pStyle w:val="210"/>
        <w:keepLines/>
        <w:widowControl/>
        <w:shd w:val="clear" w:color="auto" w:fill="auto"/>
        <w:tabs>
          <w:tab w:val="left" w:leader="dot" w:pos="9214"/>
        </w:tabs>
        <w:spacing w:line="360" w:lineRule="auto"/>
        <w:ind w:left="1134" w:right="566" w:hanging="1134"/>
        <w:jc w:val="left"/>
        <w:rPr>
          <w:rFonts w:ascii="Times New Roman" w:hAnsi="Times New Roman"/>
          <w:b w:val="0"/>
          <w:color w:val="000000" w:themeColor="text1"/>
          <w:sz w:val="28"/>
          <w:szCs w:val="28"/>
          <w:lang w:val="uk-UA"/>
        </w:rPr>
      </w:pPr>
      <w:r w:rsidRPr="000A32AD">
        <w:rPr>
          <w:rFonts w:ascii="Times New Roman" w:hAnsi="Times New Roman"/>
          <w:b w:val="0"/>
          <w:color w:val="000000" w:themeColor="text1"/>
          <w:sz w:val="28"/>
          <w:szCs w:val="28"/>
          <w:lang w:val="uk-UA"/>
        </w:rPr>
        <w:t>Розділ 1.</w:t>
      </w:r>
      <w:r w:rsidR="00F17BD2" w:rsidRPr="000A32AD">
        <w:rPr>
          <w:rFonts w:ascii="Times New Roman" w:hAnsi="Times New Roman"/>
          <w:b w:val="0"/>
          <w:color w:val="000000" w:themeColor="text1"/>
          <w:sz w:val="28"/>
          <w:szCs w:val="28"/>
          <w:lang w:val="uk-UA"/>
        </w:rPr>
        <w:t xml:space="preserve"> </w:t>
      </w:r>
      <w:r w:rsidRPr="000A32AD">
        <w:rPr>
          <w:rFonts w:ascii="Times New Roman" w:hAnsi="Times New Roman"/>
          <w:b w:val="0"/>
          <w:color w:val="000000" w:themeColor="text1"/>
          <w:sz w:val="28"/>
          <w:szCs w:val="28"/>
          <w:lang w:val="uk-UA"/>
        </w:rPr>
        <w:t>ОГЛЯД ЛІТЕРАТУРИ</w:t>
      </w:r>
      <w:r w:rsidR="003C4A7F" w:rsidRPr="000A32AD">
        <w:rPr>
          <w:rFonts w:ascii="Times New Roman" w:hAnsi="Times New Roman"/>
          <w:b w:val="0"/>
          <w:color w:val="000000" w:themeColor="text1"/>
          <w:sz w:val="28"/>
          <w:szCs w:val="28"/>
          <w:lang w:val="uk-UA"/>
        </w:rPr>
        <w:tab/>
        <w:t>2</w:t>
      </w:r>
      <w:r w:rsidR="007F5FCD" w:rsidRPr="000A32AD">
        <w:rPr>
          <w:rFonts w:ascii="Times New Roman" w:hAnsi="Times New Roman"/>
          <w:b w:val="0"/>
          <w:color w:val="000000" w:themeColor="text1"/>
          <w:sz w:val="28"/>
          <w:szCs w:val="28"/>
          <w:lang w:val="uk-UA"/>
        </w:rPr>
        <w:t>6</w:t>
      </w:r>
    </w:p>
    <w:p w:rsidR="000D5D92" w:rsidRPr="000A32AD" w:rsidRDefault="000D5D92" w:rsidP="001366EC">
      <w:pPr>
        <w:pStyle w:val="220"/>
        <w:keepLines/>
        <w:widowControl/>
        <w:shd w:val="clear" w:color="auto" w:fill="auto"/>
        <w:tabs>
          <w:tab w:val="left" w:leader="dot" w:pos="9214"/>
        </w:tabs>
        <w:spacing w:after="0" w:line="360" w:lineRule="auto"/>
        <w:ind w:left="1134" w:right="709" w:hanging="567"/>
        <w:jc w:val="both"/>
        <w:rPr>
          <w:color w:val="000000" w:themeColor="text1"/>
          <w:sz w:val="28"/>
          <w:szCs w:val="28"/>
          <w:lang w:val="uk-UA"/>
        </w:rPr>
      </w:pPr>
      <w:r w:rsidRPr="000A32AD">
        <w:rPr>
          <w:color w:val="000000" w:themeColor="text1"/>
          <w:sz w:val="28"/>
          <w:szCs w:val="28"/>
          <w:lang w:val="uk-UA"/>
        </w:rPr>
        <w:t>1.1.</w:t>
      </w:r>
      <w:r w:rsidR="00F17BD2" w:rsidRPr="000A32AD">
        <w:rPr>
          <w:color w:val="000000" w:themeColor="text1"/>
          <w:sz w:val="28"/>
          <w:szCs w:val="28"/>
          <w:lang w:val="uk-UA"/>
        </w:rPr>
        <w:t xml:space="preserve"> </w:t>
      </w:r>
      <w:r w:rsidRPr="000A32AD">
        <w:rPr>
          <w:color w:val="000000" w:themeColor="text1"/>
          <w:sz w:val="28"/>
          <w:szCs w:val="28"/>
          <w:lang w:val="uk-UA"/>
        </w:rPr>
        <w:t>Місце та роль</w:t>
      </w:r>
      <w:r w:rsidR="00432A87" w:rsidRPr="000A32AD">
        <w:rPr>
          <w:color w:val="000000" w:themeColor="text1"/>
          <w:sz w:val="28"/>
          <w:szCs w:val="28"/>
          <w:lang w:val="uk-UA"/>
        </w:rPr>
        <w:t xml:space="preserve"> артеріальної гіпертензії</w:t>
      </w:r>
      <w:r w:rsidRPr="000A32AD">
        <w:rPr>
          <w:color w:val="000000" w:themeColor="text1"/>
          <w:sz w:val="28"/>
          <w:szCs w:val="28"/>
          <w:lang w:val="uk-UA"/>
        </w:rPr>
        <w:t>, цукрового діабету та дисплазії сполучної тканини у коморбідній патологій</w:t>
      </w:r>
      <w:r w:rsidRPr="000A32AD">
        <w:rPr>
          <w:color w:val="000000" w:themeColor="text1"/>
          <w:sz w:val="28"/>
          <w:szCs w:val="28"/>
          <w:lang w:val="uk-UA"/>
        </w:rPr>
        <w:tab/>
        <w:t xml:space="preserve"> </w:t>
      </w:r>
      <w:r w:rsidR="003C4A7F" w:rsidRPr="000A32AD">
        <w:rPr>
          <w:color w:val="000000" w:themeColor="text1"/>
          <w:sz w:val="28"/>
          <w:szCs w:val="28"/>
          <w:lang w:val="uk-UA"/>
        </w:rPr>
        <w:t>2</w:t>
      </w:r>
      <w:r w:rsidR="007F5FCD" w:rsidRPr="000A32AD">
        <w:rPr>
          <w:color w:val="000000" w:themeColor="text1"/>
          <w:sz w:val="28"/>
          <w:szCs w:val="28"/>
          <w:lang w:val="uk-UA"/>
        </w:rPr>
        <w:t>6</w:t>
      </w:r>
    </w:p>
    <w:p w:rsidR="000D5D92" w:rsidRPr="000A32AD" w:rsidRDefault="000D5D92" w:rsidP="001366EC">
      <w:pPr>
        <w:pStyle w:val="220"/>
        <w:keepLines/>
        <w:widowControl/>
        <w:shd w:val="clear" w:color="auto" w:fill="auto"/>
        <w:tabs>
          <w:tab w:val="left" w:leader="dot" w:pos="9214"/>
        </w:tabs>
        <w:spacing w:after="0" w:line="360" w:lineRule="auto"/>
        <w:ind w:left="1134" w:right="709" w:hanging="567"/>
        <w:jc w:val="left"/>
        <w:rPr>
          <w:color w:val="000000" w:themeColor="text1"/>
          <w:sz w:val="28"/>
          <w:szCs w:val="28"/>
          <w:lang w:val="uk-UA"/>
        </w:rPr>
      </w:pPr>
      <w:r w:rsidRPr="000A32AD">
        <w:rPr>
          <w:color w:val="000000" w:themeColor="text1"/>
          <w:sz w:val="28"/>
          <w:szCs w:val="28"/>
          <w:lang w:val="uk-UA"/>
        </w:rPr>
        <w:t>1.2.</w:t>
      </w:r>
      <w:r w:rsidR="00F17BD2" w:rsidRPr="000A32AD">
        <w:rPr>
          <w:color w:val="000000" w:themeColor="text1"/>
          <w:sz w:val="28"/>
          <w:szCs w:val="28"/>
          <w:lang w:val="uk-UA"/>
        </w:rPr>
        <w:t xml:space="preserve"> </w:t>
      </w:r>
      <w:r w:rsidRPr="000A32AD">
        <w:rPr>
          <w:color w:val="000000" w:themeColor="text1"/>
          <w:sz w:val="28"/>
          <w:szCs w:val="28"/>
          <w:lang w:val="uk-UA"/>
        </w:rPr>
        <w:t xml:space="preserve">Патогенез судинних </w:t>
      </w:r>
      <w:r w:rsidR="00504223" w:rsidRPr="000A32AD">
        <w:rPr>
          <w:color w:val="000000" w:themeColor="text1"/>
          <w:sz w:val="28"/>
          <w:szCs w:val="28"/>
          <w:lang w:val="uk-UA"/>
        </w:rPr>
        <w:t>уражень</w:t>
      </w:r>
      <w:r w:rsidRPr="000A32AD">
        <w:rPr>
          <w:color w:val="000000" w:themeColor="text1"/>
          <w:sz w:val="28"/>
          <w:szCs w:val="28"/>
          <w:lang w:val="uk-UA"/>
        </w:rPr>
        <w:t xml:space="preserve"> у хворих на артеріальну гіпертензію, цукровий діабет та дисплазію сполучної тканини</w:t>
      </w:r>
      <w:r w:rsidRPr="000A32AD">
        <w:rPr>
          <w:color w:val="000000" w:themeColor="text1"/>
          <w:sz w:val="28"/>
          <w:szCs w:val="28"/>
          <w:lang w:val="uk-UA"/>
        </w:rPr>
        <w:tab/>
        <w:t>.</w:t>
      </w:r>
      <w:r w:rsidR="003C4A7F" w:rsidRPr="000A32AD">
        <w:rPr>
          <w:color w:val="000000" w:themeColor="text1"/>
          <w:sz w:val="28"/>
          <w:szCs w:val="28"/>
          <w:lang w:val="uk-UA"/>
        </w:rPr>
        <w:t>3</w:t>
      </w:r>
      <w:r w:rsidR="00E00C4B">
        <w:rPr>
          <w:color w:val="000000" w:themeColor="text1"/>
          <w:sz w:val="28"/>
          <w:szCs w:val="28"/>
          <w:lang w:val="uk-UA"/>
        </w:rPr>
        <w:t>1</w:t>
      </w:r>
    </w:p>
    <w:p w:rsidR="000D5D92" w:rsidRPr="000A32AD" w:rsidRDefault="000D5D92" w:rsidP="003C4A7F">
      <w:pPr>
        <w:pStyle w:val="220"/>
        <w:keepLines/>
        <w:widowControl/>
        <w:shd w:val="clear" w:color="auto" w:fill="auto"/>
        <w:tabs>
          <w:tab w:val="left" w:leader="dot" w:pos="9214"/>
        </w:tabs>
        <w:spacing w:after="0" w:line="360" w:lineRule="auto"/>
        <w:ind w:left="1134" w:right="709" w:hanging="567"/>
        <w:jc w:val="left"/>
        <w:rPr>
          <w:color w:val="000000" w:themeColor="text1"/>
          <w:sz w:val="28"/>
          <w:szCs w:val="28"/>
          <w:lang w:val="uk-UA"/>
        </w:rPr>
      </w:pPr>
      <w:r w:rsidRPr="000A32AD">
        <w:rPr>
          <w:color w:val="000000" w:themeColor="text1"/>
          <w:sz w:val="28"/>
          <w:szCs w:val="28"/>
          <w:lang w:val="uk-UA"/>
        </w:rPr>
        <w:t>1.3.</w:t>
      </w:r>
      <w:r w:rsidR="00F17BD2" w:rsidRPr="000A32AD">
        <w:rPr>
          <w:color w:val="000000" w:themeColor="text1"/>
          <w:sz w:val="28"/>
          <w:szCs w:val="28"/>
          <w:lang w:val="uk-UA"/>
        </w:rPr>
        <w:t xml:space="preserve"> </w:t>
      </w:r>
      <w:r w:rsidR="00E62DCE" w:rsidRPr="000A32AD">
        <w:rPr>
          <w:color w:val="000000" w:themeColor="text1"/>
          <w:sz w:val="28"/>
          <w:szCs w:val="28"/>
          <w:lang w:val="uk-UA"/>
        </w:rPr>
        <w:t>О</w:t>
      </w:r>
      <w:r w:rsidRPr="000A32AD">
        <w:rPr>
          <w:color w:val="000000" w:themeColor="text1"/>
          <w:sz w:val="28"/>
          <w:szCs w:val="28"/>
          <w:lang w:val="uk-UA"/>
        </w:rPr>
        <w:t>сновн</w:t>
      </w:r>
      <w:r w:rsidR="00E62DCE" w:rsidRPr="000A32AD">
        <w:rPr>
          <w:color w:val="000000" w:themeColor="text1"/>
          <w:sz w:val="28"/>
          <w:szCs w:val="28"/>
          <w:lang w:val="uk-UA"/>
        </w:rPr>
        <w:t xml:space="preserve">ий </w:t>
      </w:r>
      <w:r w:rsidRPr="000A32AD">
        <w:rPr>
          <w:color w:val="000000" w:themeColor="text1"/>
          <w:sz w:val="28"/>
          <w:szCs w:val="28"/>
          <w:lang w:val="uk-UA"/>
        </w:rPr>
        <w:t xml:space="preserve">фактор росту фібробластів </w:t>
      </w:r>
      <w:r w:rsidR="00E62DCE" w:rsidRPr="000A32AD">
        <w:rPr>
          <w:color w:val="000000" w:themeColor="text1"/>
          <w:sz w:val="28"/>
          <w:szCs w:val="28"/>
          <w:lang w:val="uk-UA"/>
        </w:rPr>
        <w:t xml:space="preserve">та його роль </w:t>
      </w:r>
      <w:r w:rsidRPr="000A32AD">
        <w:rPr>
          <w:color w:val="000000" w:themeColor="text1"/>
          <w:sz w:val="28"/>
          <w:szCs w:val="28"/>
          <w:lang w:val="uk-UA"/>
        </w:rPr>
        <w:t xml:space="preserve">в патогенезі </w:t>
      </w:r>
      <w:r w:rsidR="00E62DCE" w:rsidRPr="000A32AD">
        <w:rPr>
          <w:color w:val="000000" w:themeColor="text1"/>
          <w:sz w:val="28"/>
          <w:szCs w:val="28"/>
          <w:lang w:val="uk-UA"/>
        </w:rPr>
        <w:t xml:space="preserve">дисплазії сполучної тканини, </w:t>
      </w:r>
      <w:r w:rsidR="00432A87" w:rsidRPr="000A32AD">
        <w:rPr>
          <w:color w:val="000000" w:themeColor="text1"/>
          <w:sz w:val="28"/>
          <w:szCs w:val="28"/>
          <w:lang w:val="uk-UA"/>
        </w:rPr>
        <w:t xml:space="preserve">артеріальної гіпертензії та </w:t>
      </w:r>
      <w:r w:rsidRPr="000A32AD">
        <w:rPr>
          <w:color w:val="000000" w:themeColor="text1"/>
          <w:sz w:val="28"/>
          <w:szCs w:val="28"/>
          <w:lang w:val="uk-UA"/>
        </w:rPr>
        <w:t>цукрового діабету</w:t>
      </w:r>
      <w:r w:rsidRPr="000A32AD">
        <w:rPr>
          <w:color w:val="000000" w:themeColor="text1"/>
          <w:sz w:val="28"/>
          <w:szCs w:val="28"/>
          <w:lang w:val="uk-UA"/>
        </w:rPr>
        <w:tab/>
      </w:r>
      <w:r w:rsidR="003C4A7F" w:rsidRPr="000A32AD">
        <w:rPr>
          <w:color w:val="000000" w:themeColor="text1"/>
          <w:sz w:val="28"/>
          <w:szCs w:val="28"/>
          <w:lang w:val="uk-UA"/>
        </w:rPr>
        <w:t>4</w:t>
      </w:r>
      <w:r w:rsidR="00E00C4B">
        <w:rPr>
          <w:color w:val="000000" w:themeColor="text1"/>
          <w:sz w:val="28"/>
          <w:szCs w:val="28"/>
          <w:lang w:val="uk-UA"/>
        </w:rPr>
        <w:t>1</w:t>
      </w:r>
    </w:p>
    <w:p w:rsidR="000D5D92" w:rsidRPr="000A32AD" w:rsidRDefault="000D5D92" w:rsidP="003C4A7F">
      <w:pPr>
        <w:pStyle w:val="210"/>
        <w:keepLines/>
        <w:widowControl/>
        <w:shd w:val="clear" w:color="auto" w:fill="auto"/>
        <w:tabs>
          <w:tab w:val="left" w:leader="dot" w:pos="9214"/>
        </w:tabs>
        <w:spacing w:line="360" w:lineRule="auto"/>
        <w:ind w:right="709"/>
        <w:jc w:val="left"/>
        <w:rPr>
          <w:rFonts w:ascii="Times New Roman" w:hAnsi="Times New Roman"/>
          <w:b w:val="0"/>
          <w:color w:val="000000" w:themeColor="text1"/>
          <w:sz w:val="28"/>
          <w:szCs w:val="28"/>
          <w:lang w:val="uk-UA"/>
        </w:rPr>
      </w:pPr>
      <w:r w:rsidRPr="000A32AD">
        <w:rPr>
          <w:rFonts w:ascii="Times New Roman" w:hAnsi="Times New Roman"/>
          <w:b w:val="0"/>
          <w:color w:val="000000" w:themeColor="text1"/>
          <w:sz w:val="28"/>
          <w:szCs w:val="28"/>
          <w:lang w:val="uk-UA"/>
        </w:rPr>
        <w:t xml:space="preserve">Розділ 2. МАТЕРІАЛ І МЕТОДИ ДОСЛІДЖЕННЯ </w:t>
      </w:r>
      <w:r w:rsidRPr="000A32AD">
        <w:rPr>
          <w:rFonts w:ascii="Times New Roman" w:hAnsi="Times New Roman"/>
          <w:b w:val="0"/>
          <w:color w:val="000000" w:themeColor="text1"/>
          <w:sz w:val="28"/>
          <w:szCs w:val="28"/>
          <w:lang w:val="uk-UA"/>
        </w:rPr>
        <w:tab/>
      </w:r>
      <w:r w:rsidR="003C4A7F" w:rsidRPr="000A32AD">
        <w:rPr>
          <w:rFonts w:ascii="Times New Roman" w:hAnsi="Times New Roman"/>
          <w:b w:val="0"/>
          <w:color w:val="000000" w:themeColor="text1"/>
          <w:sz w:val="28"/>
          <w:szCs w:val="28"/>
          <w:lang w:val="uk-UA"/>
        </w:rPr>
        <w:t>5</w:t>
      </w:r>
      <w:r w:rsidR="00E00C4B">
        <w:rPr>
          <w:rFonts w:ascii="Times New Roman" w:hAnsi="Times New Roman"/>
          <w:b w:val="0"/>
          <w:color w:val="000000" w:themeColor="text1"/>
          <w:sz w:val="28"/>
          <w:szCs w:val="28"/>
          <w:lang w:val="uk-UA"/>
        </w:rPr>
        <w:t>5</w:t>
      </w:r>
    </w:p>
    <w:p w:rsidR="000D5D92" w:rsidRPr="000A32AD" w:rsidRDefault="000D5D92" w:rsidP="003C4A7F">
      <w:pPr>
        <w:pStyle w:val="220"/>
        <w:keepLines/>
        <w:widowControl/>
        <w:shd w:val="clear" w:color="auto" w:fill="auto"/>
        <w:tabs>
          <w:tab w:val="left" w:leader="dot" w:pos="9214"/>
        </w:tabs>
        <w:spacing w:after="0" w:line="360" w:lineRule="auto"/>
        <w:ind w:left="1134" w:right="708" w:hanging="567"/>
        <w:jc w:val="left"/>
        <w:rPr>
          <w:color w:val="000000" w:themeColor="text1"/>
          <w:sz w:val="28"/>
          <w:szCs w:val="28"/>
          <w:lang w:val="uk-UA"/>
        </w:rPr>
      </w:pPr>
      <w:r w:rsidRPr="000A32AD">
        <w:rPr>
          <w:color w:val="000000" w:themeColor="text1"/>
          <w:sz w:val="28"/>
          <w:szCs w:val="28"/>
          <w:lang w:val="uk-UA"/>
        </w:rPr>
        <w:t xml:space="preserve">2.1. </w:t>
      </w:r>
      <w:r w:rsidRPr="000A32AD">
        <w:rPr>
          <w:rFonts w:eastAsia="Times New Roman"/>
          <w:color w:val="000000" w:themeColor="text1"/>
          <w:sz w:val="28"/>
          <w:szCs w:val="28"/>
          <w:lang w:val="uk-UA"/>
        </w:rPr>
        <w:t>Загальна клінічна характеристика обстежених хворих</w:t>
      </w:r>
      <w:r w:rsidRPr="000A32AD">
        <w:rPr>
          <w:color w:val="000000" w:themeColor="text1"/>
          <w:sz w:val="28"/>
          <w:szCs w:val="28"/>
          <w:lang w:val="uk-UA"/>
        </w:rPr>
        <w:t>.</w:t>
      </w:r>
      <w:r w:rsidR="00F17BD2" w:rsidRPr="000A32AD">
        <w:rPr>
          <w:color w:val="000000" w:themeColor="text1"/>
          <w:sz w:val="28"/>
          <w:szCs w:val="28"/>
          <w:lang w:val="uk-UA"/>
        </w:rPr>
        <w:t xml:space="preserve"> </w:t>
      </w:r>
      <w:r w:rsidRPr="000A32AD">
        <w:rPr>
          <w:color w:val="000000" w:themeColor="text1"/>
          <w:sz w:val="28"/>
          <w:szCs w:val="28"/>
          <w:lang w:val="uk-UA"/>
        </w:rPr>
        <w:tab/>
      </w:r>
      <w:r w:rsidR="003C4A7F" w:rsidRPr="000A32AD">
        <w:rPr>
          <w:color w:val="000000" w:themeColor="text1"/>
          <w:sz w:val="28"/>
          <w:szCs w:val="28"/>
          <w:lang w:val="uk-UA"/>
        </w:rPr>
        <w:t>5</w:t>
      </w:r>
      <w:r w:rsidR="00E00C4B">
        <w:rPr>
          <w:color w:val="000000" w:themeColor="text1"/>
          <w:sz w:val="28"/>
          <w:szCs w:val="28"/>
          <w:lang w:val="uk-UA"/>
        </w:rPr>
        <w:t>5</w:t>
      </w:r>
    </w:p>
    <w:p w:rsidR="000D5D92" w:rsidRPr="000A32AD" w:rsidRDefault="000D5D92" w:rsidP="003C4A7F">
      <w:pPr>
        <w:pStyle w:val="220"/>
        <w:keepLines/>
        <w:widowControl/>
        <w:shd w:val="clear" w:color="auto" w:fill="auto"/>
        <w:tabs>
          <w:tab w:val="left" w:leader="dot" w:pos="9214"/>
        </w:tabs>
        <w:spacing w:after="0" w:line="360" w:lineRule="auto"/>
        <w:ind w:left="1134" w:right="708" w:hanging="567"/>
        <w:jc w:val="left"/>
        <w:rPr>
          <w:color w:val="000000" w:themeColor="text1"/>
          <w:sz w:val="28"/>
          <w:szCs w:val="28"/>
          <w:lang w:val="uk-UA"/>
        </w:rPr>
      </w:pPr>
      <w:r w:rsidRPr="000A32AD">
        <w:rPr>
          <w:color w:val="000000" w:themeColor="text1"/>
          <w:sz w:val="28"/>
          <w:szCs w:val="28"/>
          <w:lang w:val="uk-UA"/>
        </w:rPr>
        <w:t>2.2. Методи дослідження</w:t>
      </w:r>
      <w:r w:rsidRPr="000A32AD">
        <w:rPr>
          <w:color w:val="000000" w:themeColor="text1"/>
          <w:sz w:val="28"/>
          <w:szCs w:val="28"/>
          <w:lang w:val="uk-UA"/>
        </w:rPr>
        <w:tab/>
      </w:r>
      <w:r w:rsidR="00E00C4B">
        <w:rPr>
          <w:color w:val="000000" w:themeColor="text1"/>
          <w:sz w:val="28"/>
          <w:szCs w:val="28"/>
          <w:lang w:val="uk-UA"/>
        </w:rPr>
        <w:t>57</w:t>
      </w:r>
    </w:p>
    <w:p w:rsidR="000D5D92" w:rsidRPr="000A32AD" w:rsidRDefault="000D5D92" w:rsidP="003C4A7F">
      <w:pPr>
        <w:pStyle w:val="220"/>
        <w:keepLines/>
        <w:widowControl/>
        <w:shd w:val="clear" w:color="auto" w:fill="auto"/>
        <w:tabs>
          <w:tab w:val="left" w:leader="dot" w:pos="9214"/>
        </w:tabs>
        <w:spacing w:after="0" w:line="360" w:lineRule="auto"/>
        <w:ind w:left="1134" w:right="708" w:hanging="567"/>
        <w:jc w:val="left"/>
        <w:rPr>
          <w:color w:val="000000" w:themeColor="text1"/>
          <w:sz w:val="28"/>
          <w:szCs w:val="28"/>
          <w:lang w:val="uk-UA"/>
        </w:rPr>
      </w:pPr>
      <w:r w:rsidRPr="000A32AD">
        <w:rPr>
          <w:color w:val="000000" w:themeColor="text1"/>
          <w:sz w:val="28"/>
          <w:szCs w:val="28"/>
          <w:lang w:val="uk-UA"/>
        </w:rPr>
        <w:t xml:space="preserve">2.3. </w:t>
      </w:r>
      <w:r w:rsidRPr="000A32AD">
        <w:rPr>
          <w:rStyle w:val="14"/>
          <w:i w:val="0"/>
          <w:color w:val="000000" w:themeColor="text1"/>
          <w:lang w:val="uk-UA" w:eastAsia="ar-SA"/>
        </w:rPr>
        <w:t>Методи статистичної обробки</w:t>
      </w:r>
      <w:r w:rsidRPr="000A32AD">
        <w:rPr>
          <w:rStyle w:val="14"/>
          <w:color w:val="000000" w:themeColor="text1"/>
          <w:lang w:val="uk-UA" w:eastAsia="ar-SA"/>
        </w:rPr>
        <w:t xml:space="preserve"> </w:t>
      </w:r>
      <w:r w:rsidRPr="000A32AD">
        <w:rPr>
          <w:color w:val="000000" w:themeColor="text1"/>
          <w:sz w:val="28"/>
          <w:szCs w:val="28"/>
          <w:lang w:val="uk-UA"/>
        </w:rPr>
        <w:t>результатів дослідження</w:t>
      </w:r>
      <w:r w:rsidRPr="000A32AD">
        <w:rPr>
          <w:rStyle w:val="14"/>
          <w:color w:val="000000" w:themeColor="text1"/>
          <w:lang w:val="uk-UA" w:eastAsia="ar-SA"/>
        </w:rPr>
        <w:tab/>
      </w:r>
      <w:r w:rsidR="003C4A7F" w:rsidRPr="000A32AD">
        <w:rPr>
          <w:color w:val="000000" w:themeColor="text1"/>
          <w:sz w:val="28"/>
          <w:szCs w:val="28"/>
          <w:lang w:val="uk-UA"/>
        </w:rPr>
        <w:t>6</w:t>
      </w:r>
      <w:r w:rsidR="00E00C4B">
        <w:rPr>
          <w:color w:val="000000" w:themeColor="text1"/>
          <w:sz w:val="28"/>
          <w:szCs w:val="28"/>
          <w:lang w:val="uk-UA"/>
        </w:rPr>
        <w:t>3</w:t>
      </w:r>
    </w:p>
    <w:p w:rsidR="000D5D92" w:rsidRPr="000A32AD" w:rsidRDefault="000D5D92" w:rsidP="003C4A7F">
      <w:pPr>
        <w:keepLines/>
        <w:tabs>
          <w:tab w:val="left" w:leader="dot" w:pos="9214"/>
        </w:tabs>
        <w:spacing w:line="360" w:lineRule="auto"/>
        <w:ind w:left="1134" w:right="708" w:hanging="1134"/>
        <w:rPr>
          <w:rFonts w:ascii="Times New Roman" w:hAnsi="Times New Roman" w:cs="Times New Roman"/>
          <w:color w:val="000000" w:themeColor="text1"/>
          <w:sz w:val="28"/>
          <w:szCs w:val="28"/>
          <w:lang w:val="uk-UA"/>
        </w:rPr>
      </w:pPr>
      <w:r w:rsidRPr="000A32AD">
        <w:rPr>
          <w:rFonts w:ascii="Times New Roman" w:hAnsi="Times New Roman" w:cs="Times New Roman"/>
          <w:bCs/>
          <w:color w:val="000000" w:themeColor="text1"/>
          <w:sz w:val="28"/>
          <w:szCs w:val="28"/>
          <w:lang w:val="uk-UA" w:eastAsia="en-US"/>
        </w:rPr>
        <w:t xml:space="preserve">Розділ 3. </w:t>
      </w:r>
      <w:r w:rsidRPr="000A32AD">
        <w:rPr>
          <w:rFonts w:ascii="Times New Roman" w:hAnsi="Times New Roman" w:cs="Times New Roman"/>
          <w:color w:val="000000" w:themeColor="text1"/>
          <w:sz w:val="28"/>
          <w:szCs w:val="28"/>
          <w:lang w:val="uk-UA"/>
        </w:rPr>
        <w:t xml:space="preserve">ОСОБЛИВОСТІ ПЕРЕБІГУ ЦУКРОВОГО ДІАБЕТУ 2 ТИПУ ТА </w:t>
      </w:r>
      <w:r w:rsidR="00432A87" w:rsidRPr="000A32AD">
        <w:rPr>
          <w:rFonts w:ascii="Times New Roman" w:hAnsi="Times New Roman" w:cs="Times New Roman"/>
          <w:color w:val="000000" w:themeColor="text1"/>
          <w:sz w:val="28"/>
          <w:szCs w:val="28"/>
          <w:lang w:val="uk-UA"/>
        </w:rPr>
        <w:t xml:space="preserve">АРТЕРІАЛЬНОЇ ГІПЕРТЕНЗІЇ </w:t>
      </w:r>
      <w:r w:rsidRPr="000A32AD">
        <w:rPr>
          <w:rFonts w:ascii="Times New Roman" w:hAnsi="Times New Roman" w:cs="Times New Roman"/>
          <w:color w:val="000000" w:themeColor="text1"/>
          <w:sz w:val="28"/>
          <w:szCs w:val="28"/>
          <w:lang w:val="uk-UA"/>
        </w:rPr>
        <w:t>ЗАЛЕЖНО ВІД НАЯВНОСТІ НЕДИФЕРЕНЦІЙОВАНОЇ ДИСПЛАЗІЇ СПОЛУЧНОЇ ТКАНИНИ</w:t>
      </w:r>
      <w:r w:rsidRPr="000A32AD">
        <w:rPr>
          <w:rFonts w:ascii="Times New Roman" w:hAnsi="Times New Roman" w:cs="Times New Roman"/>
          <w:color w:val="000000" w:themeColor="text1"/>
          <w:sz w:val="28"/>
          <w:szCs w:val="28"/>
          <w:lang w:val="uk-UA"/>
        </w:rPr>
        <w:tab/>
      </w:r>
      <w:r w:rsidR="003C4A7F" w:rsidRPr="000A32AD">
        <w:rPr>
          <w:rFonts w:ascii="Times New Roman" w:hAnsi="Times New Roman" w:cs="Times New Roman"/>
          <w:color w:val="000000" w:themeColor="text1"/>
          <w:sz w:val="28"/>
          <w:szCs w:val="28"/>
          <w:lang w:val="uk-UA"/>
        </w:rPr>
        <w:t>6</w:t>
      </w:r>
      <w:r w:rsidR="00E00C4B">
        <w:rPr>
          <w:rFonts w:ascii="Times New Roman" w:hAnsi="Times New Roman" w:cs="Times New Roman"/>
          <w:color w:val="000000" w:themeColor="text1"/>
          <w:sz w:val="28"/>
          <w:szCs w:val="28"/>
          <w:lang w:val="uk-UA"/>
        </w:rPr>
        <w:t>4</w:t>
      </w:r>
    </w:p>
    <w:p w:rsidR="00E00C4B" w:rsidRDefault="000D5D92" w:rsidP="00E00C4B">
      <w:pPr>
        <w:keepLines/>
        <w:tabs>
          <w:tab w:val="left" w:leader="dot" w:pos="9214"/>
        </w:tabs>
        <w:spacing w:line="360" w:lineRule="auto"/>
        <w:ind w:left="1134" w:right="566" w:hanging="1134"/>
        <w:rPr>
          <w:rFonts w:ascii="Times New Roman" w:hAnsi="Times New Roman" w:cs="Times New Roman"/>
          <w:bCs/>
          <w:color w:val="000000" w:themeColor="text1"/>
          <w:sz w:val="28"/>
          <w:szCs w:val="28"/>
          <w:lang w:val="uk-UA" w:eastAsia="en-US"/>
        </w:rPr>
      </w:pPr>
      <w:r w:rsidRPr="000A32AD">
        <w:rPr>
          <w:rFonts w:ascii="Times New Roman" w:hAnsi="Times New Roman" w:cs="Times New Roman"/>
          <w:bCs/>
          <w:color w:val="000000" w:themeColor="text1"/>
          <w:sz w:val="28"/>
          <w:szCs w:val="28"/>
          <w:lang w:val="uk-UA" w:eastAsia="en-US"/>
        </w:rPr>
        <w:t>Розділ 4.</w:t>
      </w:r>
      <w:r w:rsidR="002E1492" w:rsidRPr="000A32AD">
        <w:rPr>
          <w:rFonts w:ascii="Times New Roman" w:hAnsi="Times New Roman" w:cs="Times New Roman"/>
          <w:b/>
          <w:color w:val="000000" w:themeColor="text1"/>
          <w:sz w:val="28"/>
          <w:szCs w:val="28"/>
          <w:lang w:val="uk-UA"/>
        </w:rPr>
        <w:t xml:space="preserve"> </w:t>
      </w:r>
      <w:r w:rsidR="00EC225D" w:rsidRPr="000A32AD">
        <w:rPr>
          <w:rFonts w:ascii="Times New Roman" w:hAnsi="Times New Roman" w:cs="Times New Roman"/>
          <w:color w:val="000000" w:themeColor="text1"/>
          <w:sz w:val="28"/>
          <w:szCs w:val="28"/>
          <w:lang w:val="uk-UA"/>
        </w:rPr>
        <w:t>ЗНАЧЕННЯ ОСНОВНОГО ФАКТОРУ РОСТУ ФІБРОБЛАСТІВ ТА ПРОЯВІВ НЕДИФЕРЕНЦІЙОВАНОЇ ДИСПЛАЗІЇ СПОЛУЧНОЇ ТКАНИНИ У ПРОГНОЗУВАННІ ТА РОЗВИТКУ АРТЕРІАЛЬНОЮ ГІПЕРТЕНЗІЄЮ У ХВОРИХ НА ЦУКРОВИЙ ДІАБЕТ</w:t>
      </w:r>
      <w:r w:rsidRPr="000A32AD">
        <w:rPr>
          <w:rFonts w:ascii="Times New Roman" w:hAnsi="Times New Roman" w:cs="Times New Roman"/>
          <w:bCs/>
          <w:color w:val="000000" w:themeColor="text1"/>
          <w:sz w:val="28"/>
          <w:szCs w:val="28"/>
          <w:lang w:val="uk-UA" w:eastAsia="en-US"/>
        </w:rPr>
        <w:tab/>
      </w:r>
      <w:r w:rsidR="004B7A55" w:rsidRPr="000A32AD">
        <w:rPr>
          <w:rFonts w:ascii="Times New Roman" w:hAnsi="Times New Roman" w:cs="Times New Roman"/>
          <w:bCs/>
          <w:color w:val="000000" w:themeColor="text1"/>
          <w:sz w:val="28"/>
          <w:szCs w:val="28"/>
          <w:lang w:val="uk-UA" w:eastAsia="en-US"/>
        </w:rPr>
        <w:t>7</w:t>
      </w:r>
      <w:r w:rsidR="00E00C4B">
        <w:rPr>
          <w:rFonts w:ascii="Times New Roman" w:hAnsi="Times New Roman" w:cs="Times New Roman"/>
          <w:bCs/>
          <w:color w:val="000000" w:themeColor="text1"/>
          <w:sz w:val="28"/>
          <w:szCs w:val="28"/>
          <w:lang w:val="uk-UA" w:eastAsia="en-US"/>
        </w:rPr>
        <w:t>4</w:t>
      </w:r>
    </w:p>
    <w:p w:rsidR="00092E57" w:rsidRPr="000A32AD" w:rsidRDefault="00092E57" w:rsidP="00E00C4B">
      <w:pPr>
        <w:pStyle w:val="220"/>
        <w:keepLines/>
        <w:widowControl/>
        <w:shd w:val="clear" w:color="auto" w:fill="auto"/>
        <w:tabs>
          <w:tab w:val="left" w:leader="dot" w:pos="9214"/>
        </w:tabs>
        <w:spacing w:after="0" w:line="360" w:lineRule="auto"/>
        <w:ind w:left="1134" w:right="709" w:hanging="567"/>
        <w:jc w:val="left"/>
        <w:rPr>
          <w:color w:val="000000" w:themeColor="text1"/>
          <w:sz w:val="28"/>
          <w:szCs w:val="28"/>
          <w:lang w:val="uk-UA"/>
        </w:rPr>
      </w:pPr>
      <w:r w:rsidRPr="000A32AD">
        <w:rPr>
          <w:color w:val="000000" w:themeColor="text1"/>
          <w:sz w:val="28"/>
          <w:szCs w:val="28"/>
          <w:lang w:val="uk-UA"/>
        </w:rPr>
        <w:t xml:space="preserve">4.1. </w:t>
      </w:r>
      <w:r w:rsidR="00AC5CB4" w:rsidRPr="000A32AD">
        <w:rPr>
          <w:color w:val="000000" w:themeColor="text1"/>
          <w:sz w:val="28"/>
          <w:szCs w:val="28"/>
          <w:lang w:val="uk-UA"/>
        </w:rPr>
        <w:t>Аналіз вмісту основного фактору росту фібробластів в крові</w:t>
      </w:r>
      <w:r w:rsidR="00E00C4B">
        <w:rPr>
          <w:color w:val="000000" w:themeColor="text1"/>
          <w:sz w:val="28"/>
          <w:szCs w:val="28"/>
          <w:lang w:val="uk-UA"/>
        </w:rPr>
        <w:t xml:space="preserve"> </w:t>
      </w:r>
      <w:r w:rsidR="00AC5CB4" w:rsidRPr="000A32AD">
        <w:rPr>
          <w:color w:val="000000" w:themeColor="text1"/>
          <w:sz w:val="28"/>
          <w:szCs w:val="28"/>
          <w:lang w:val="uk-UA"/>
        </w:rPr>
        <w:t>хворих на цукровий діабет з артеріальною гіпертензією залежно</w:t>
      </w:r>
      <w:r w:rsidR="00E00C4B">
        <w:rPr>
          <w:color w:val="000000" w:themeColor="text1"/>
          <w:sz w:val="28"/>
          <w:szCs w:val="28"/>
          <w:lang w:val="uk-UA"/>
        </w:rPr>
        <w:t xml:space="preserve"> </w:t>
      </w:r>
      <w:r w:rsidR="00AC5CB4" w:rsidRPr="000A32AD">
        <w:rPr>
          <w:color w:val="000000" w:themeColor="text1"/>
          <w:sz w:val="28"/>
          <w:szCs w:val="28"/>
          <w:lang w:val="uk-UA"/>
        </w:rPr>
        <w:t>від наявності НДСТ</w:t>
      </w:r>
      <w:r w:rsidR="00E00C4B">
        <w:rPr>
          <w:color w:val="000000" w:themeColor="text1"/>
          <w:sz w:val="28"/>
          <w:szCs w:val="28"/>
          <w:lang w:val="uk-UA"/>
        </w:rPr>
        <w:tab/>
      </w:r>
      <w:r w:rsidR="004B7A55" w:rsidRPr="000A32AD">
        <w:rPr>
          <w:color w:val="000000" w:themeColor="text1"/>
          <w:sz w:val="28"/>
          <w:szCs w:val="28"/>
          <w:lang w:val="uk-UA"/>
        </w:rPr>
        <w:t>7</w:t>
      </w:r>
      <w:r w:rsidR="00E00C4B">
        <w:rPr>
          <w:color w:val="000000" w:themeColor="text1"/>
          <w:sz w:val="28"/>
          <w:szCs w:val="28"/>
          <w:lang w:val="uk-UA"/>
        </w:rPr>
        <w:t>4</w:t>
      </w:r>
    </w:p>
    <w:p w:rsidR="00E00C4B" w:rsidRDefault="00E00C4B" w:rsidP="00E00C4B">
      <w:pPr>
        <w:pStyle w:val="220"/>
        <w:keepLines/>
        <w:shd w:val="clear" w:color="auto" w:fill="auto"/>
        <w:tabs>
          <w:tab w:val="left" w:leader="dot" w:pos="9214"/>
        </w:tabs>
        <w:spacing w:after="0" w:line="360" w:lineRule="auto"/>
        <w:ind w:left="1134" w:right="709" w:hanging="567"/>
        <w:jc w:val="left"/>
        <w:rPr>
          <w:color w:val="000000" w:themeColor="text1"/>
          <w:sz w:val="28"/>
          <w:szCs w:val="28"/>
          <w:lang w:val="uk-UA"/>
        </w:rPr>
      </w:pPr>
    </w:p>
    <w:p w:rsidR="00092E57" w:rsidRPr="000A32AD" w:rsidRDefault="00092E57" w:rsidP="00E00C4B">
      <w:pPr>
        <w:pStyle w:val="220"/>
        <w:keepLines/>
        <w:widowControl/>
        <w:shd w:val="clear" w:color="auto" w:fill="auto"/>
        <w:tabs>
          <w:tab w:val="left" w:leader="dot" w:pos="9214"/>
        </w:tabs>
        <w:spacing w:after="0" w:line="360" w:lineRule="auto"/>
        <w:ind w:left="1134" w:right="709" w:hanging="567"/>
        <w:jc w:val="left"/>
        <w:rPr>
          <w:color w:val="000000" w:themeColor="text1"/>
          <w:sz w:val="28"/>
          <w:szCs w:val="28"/>
          <w:lang w:val="uk-UA"/>
        </w:rPr>
      </w:pPr>
      <w:r w:rsidRPr="000A32AD">
        <w:rPr>
          <w:color w:val="000000" w:themeColor="text1"/>
          <w:sz w:val="28"/>
          <w:szCs w:val="28"/>
          <w:lang w:val="uk-UA"/>
        </w:rPr>
        <w:lastRenderedPageBreak/>
        <w:t>4.2. Значення фенотипічних проявів НДСТ в прогнозуванні</w:t>
      </w:r>
      <w:r w:rsidR="00E00C4B">
        <w:rPr>
          <w:color w:val="000000" w:themeColor="text1"/>
          <w:sz w:val="28"/>
          <w:szCs w:val="28"/>
          <w:lang w:val="uk-UA"/>
        </w:rPr>
        <w:t xml:space="preserve"> </w:t>
      </w:r>
      <w:r w:rsidRPr="000A32AD">
        <w:rPr>
          <w:color w:val="000000" w:themeColor="text1"/>
          <w:sz w:val="28"/>
          <w:szCs w:val="28"/>
          <w:lang w:val="uk-UA"/>
        </w:rPr>
        <w:t>розвитку артеріальної гіпертензії у хворих на цукровий</w:t>
      </w:r>
      <w:r w:rsidR="00E00C4B">
        <w:rPr>
          <w:color w:val="000000" w:themeColor="text1"/>
          <w:sz w:val="28"/>
          <w:szCs w:val="28"/>
          <w:lang w:val="uk-UA"/>
        </w:rPr>
        <w:t xml:space="preserve"> </w:t>
      </w:r>
      <w:r w:rsidR="00AC5CB4" w:rsidRPr="000A32AD">
        <w:rPr>
          <w:color w:val="000000" w:themeColor="text1"/>
          <w:sz w:val="28"/>
          <w:szCs w:val="28"/>
          <w:lang w:val="uk-UA"/>
        </w:rPr>
        <w:t>діабет 2 типу</w:t>
      </w:r>
      <w:r w:rsidR="00E00C4B">
        <w:rPr>
          <w:color w:val="000000" w:themeColor="text1"/>
          <w:sz w:val="28"/>
          <w:szCs w:val="28"/>
          <w:lang w:val="uk-UA"/>
        </w:rPr>
        <w:t xml:space="preserve"> </w:t>
      </w:r>
      <w:r w:rsidR="00E00C4B">
        <w:rPr>
          <w:color w:val="000000" w:themeColor="text1"/>
          <w:sz w:val="28"/>
          <w:szCs w:val="28"/>
          <w:lang w:val="uk-UA"/>
        </w:rPr>
        <w:tab/>
      </w:r>
      <w:r w:rsidR="008B5D09" w:rsidRPr="000A32AD">
        <w:rPr>
          <w:color w:val="000000" w:themeColor="text1"/>
          <w:sz w:val="28"/>
          <w:szCs w:val="28"/>
          <w:lang w:val="uk-UA"/>
        </w:rPr>
        <w:t>8</w:t>
      </w:r>
      <w:r w:rsidR="00E00C4B">
        <w:rPr>
          <w:color w:val="000000" w:themeColor="text1"/>
          <w:sz w:val="28"/>
          <w:szCs w:val="28"/>
          <w:lang w:val="uk-UA"/>
        </w:rPr>
        <w:t>0</w:t>
      </w:r>
    </w:p>
    <w:p w:rsidR="00092E57" w:rsidRPr="000A32AD" w:rsidRDefault="00AC5CB4" w:rsidP="00E00C4B">
      <w:pPr>
        <w:pStyle w:val="220"/>
        <w:keepLines/>
        <w:widowControl/>
        <w:shd w:val="clear" w:color="auto" w:fill="auto"/>
        <w:tabs>
          <w:tab w:val="left" w:leader="dot" w:pos="9214"/>
        </w:tabs>
        <w:spacing w:after="0" w:line="360" w:lineRule="auto"/>
        <w:ind w:left="1134" w:right="709" w:hanging="567"/>
        <w:jc w:val="left"/>
        <w:rPr>
          <w:color w:val="000000" w:themeColor="text1"/>
          <w:sz w:val="28"/>
          <w:szCs w:val="28"/>
          <w:lang w:val="uk-UA"/>
        </w:rPr>
      </w:pPr>
      <w:r w:rsidRPr="000A32AD">
        <w:rPr>
          <w:color w:val="000000" w:themeColor="text1"/>
          <w:sz w:val="28"/>
          <w:szCs w:val="28"/>
          <w:lang w:val="uk-UA"/>
        </w:rPr>
        <w:t>4.3.</w:t>
      </w:r>
      <w:r w:rsidR="008B5D09" w:rsidRPr="000A32AD">
        <w:rPr>
          <w:color w:val="000000" w:themeColor="text1"/>
          <w:sz w:val="28"/>
          <w:szCs w:val="28"/>
          <w:lang w:val="uk-UA"/>
        </w:rPr>
        <w:t xml:space="preserve"> Результати патоморфологічних досліджень нирок у хворих на цукровий діабет 2 т</w:t>
      </w:r>
      <w:r w:rsidR="00EC225D" w:rsidRPr="000A32AD">
        <w:rPr>
          <w:color w:val="000000" w:themeColor="text1"/>
          <w:sz w:val="28"/>
          <w:szCs w:val="28"/>
          <w:lang w:val="uk-UA"/>
        </w:rPr>
        <w:t>ипу з артеріальною гіпертензією</w:t>
      </w:r>
      <w:r w:rsidR="008B5D09" w:rsidRPr="000A32AD">
        <w:rPr>
          <w:color w:val="000000" w:themeColor="text1"/>
          <w:sz w:val="28"/>
          <w:szCs w:val="28"/>
          <w:lang w:val="uk-UA"/>
        </w:rPr>
        <w:t xml:space="preserve"> на тлі недиференційованої дисплазії сполучної тканини</w:t>
      </w:r>
      <w:r w:rsidR="00E00C4B">
        <w:rPr>
          <w:color w:val="000000" w:themeColor="text1"/>
          <w:sz w:val="28"/>
          <w:szCs w:val="28"/>
          <w:lang w:val="uk-UA"/>
        </w:rPr>
        <w:tab/>
      </w:r>
      <w:r w:rsidR="004B7A55" w:rsidRPr="000A32AD">
        <w:rPr>
          <w:color w:val="000000" w:themeColor="text1"/>
          <w:sz w:val="28"/>
          <w:szCs w:val="28"/>
          <w:lang w:val="uk-UA"/>
        </w:rPr>
        <w:t>8</w:t>
      </w:r>
      <w:r w:rsidR="00E00C4B">
        <w:rPr>
          <w:color w:val="000000" w:themeColor="text1"/>
          <w:sz w:val="28"/>
          <w:szCs w:val="28"/>
          <w:lang w:val="uk-UA"/>
        </w:rPr>
        <w:t>6</w:t>
      </w:r>
    </w:p>
    <w:p w:rsidR="000D5D92" w:rsidRPr="000A32AD" w:rsidRDefault="000D5D92" w:rsidP="00640A56">
      <w:pPr>
        <w:keepLines/>
        <w:tabs>
          <w:tab w:val="left" w:leader="dot" w:pos="9214"/>
        </w:tabs>
        <w:spacing w:line="360" w:lineRule="auto"/>
        <w:ind w:right="708"/>
        <w:rPr>
          <w:rFonts w:ascii="Times New Roman" w:hAnsi="Times New Roman" w:cs="Times New Roman"/>
          <w:bCs/>
          <w:color w:val="000000" w:themeColor="text1"/>
          <w:sz w:val="28"/>
          <w:szCs w:val="28"/>
          <w:lang w:val="uk-UA" w:eastAsia="en-US"/>
        </w:rPr>
      </w:pPr>
      <w:r w:rsidRPr="000A32AD">
        <w:rPr>
          <w:rFonts w:ascii="Times New Roman" w:hAnsi="Times New Roman" w:cs="Times New Roman"/>
          <w:bCs/>
          <w:color w:val="000000" w:themeColor="text1"/>
          <w:sz w:val="28"/>
          <w:szCs w:val="28"/>
          <w:lang w:val="uk-UA" w:eastAsia="en-US"/>
        </w:rPr>
        <w:t>Розділ</w:t>
      </w:r>
      <w:r w:rsidR="00467D2E" w:rsidRPr="000A32AD">
        <w:rPr>
          <w:rFonts w:ascii="Times New Roman" w:hAnsi="Times New Roman" w:cs="Times New Roman"/>
          <w:bCs/>
          <w:color w:val="000000" w:themeColor="text1"/>
          <w:sz w:val="28"/>
          <w:szCs w:val="28"/>
          <w:lang w:val="uk-UA" w:eastAsia="en-US"/>
        </w:rPr>
        <w:t xml:space="preserve"> 5</w:t>
      </w:r>
      <w:r w:rsidR="001366EC" w:rsidRPr="000A32AD">
        <w:rPr>
          <w:rFonts w:ascii="Times New Roman" w:hAnsi="Times New Roman" w:cs="Times New Roman"/>
          <w:bCs/>
          <w:color w:val="000000" w:themeColor="text1"/>
          <w:sz w:val="28"/>
          <w:szCs w:val="28"/>
          <w:lang w:val="uk-UA" w:eastAsia="en-US"/>
        </w:rPr>
        <w:t>.</w:t>
      </w:r>
      <w:r w:rsidRPr="000A32AD">
        <w:rPr>
          <w:rFonts w:ascii="Times New Roman" w:hAnsi="Times New Roman" w:cs="Times New Roman"/>
          <w:bCs/>
          <w:color w:val="000000" w:themeColor="text1"/>
          <w:sz w:val="28"/>
          <w:szCs w:val="28"/>
          <w:lang w:val="uk-UA" w:eastAsia="en-US"/>
        </w:rPr>
        <w:t xml:space="preserve"> Аналіз результатів дослідження та їх обговорення</w:t>
      </w:r>
      <w:r w:rsidRPr="000A32AD">
        <w:rPr>
          <w:rFonts w:ascii="Times New Roman" w:hAnsi="Times New Roman" w:cs="Times New Roman"/>
          <w:bCs/>
          <w:color w:val="000000" w:themeColor="text1"/>
          <w:sz w:val="28"/>
          <w:szCs w:val="28"/>
          <w:lang w:val="uk-UA" w:eastAsia="en-US"/>
        </w:rPr>
        <w:tab/>
      </w:r>
      <w:r w:rsidR="004B7A55" w:rsidRPr="000A32AD">
        <w:rPr>
          <w:rFonts w:ascii="Times New Roman" w:hAnsi="Times New Roman" w:cs="Times New Roman"/>
          <w:bCs/>
          <w:color w:val="000000" w:themeColor="text1"/>
          <w:sz w:val="28"/>
          <w:szCs w:val="28"/>
          <w:lang w:val="uk-UA" w:eastAsia="en-US"/>
        </w:rPr>
        <w:t>9</w:t>
      </w:r>
      <w:r w:rsidR="00AD5225">
        <w:rPr>
          <w:rFonts w:ascii="Times New Roman" w:hAnsi="Times New Roman" w:cs="Times New Roman"/>
          <w:bCs/>
          <w:color w:val="000000" w:themeColor="text1"/>
          <w:sz w:val="28"/>
          <w:szCs w:val="28"/>
          <w:lang w:val="uk-UA" w:eastAsia="en-US"/>
        </w:rPr>
        <w:t>4</w:t>
      </w:r>
    </w:p>
    <w:p w:rsidR="000D5D92" w:rsidRPr="000A32AD" w:rsidRDefault="000D5D92" w:rsidP="003701DC">
      <w:pPr>
        <w:keepLines/>
        <w:tabs>
          <w:tab w:val="left" w:leader="dot" w:pos="9214"/>
        </w:tabs>
        <w:spacing w:line="360" w:lineRule="auto"/>
        <w:ind w:right="708"/>
        <w:rPr>
          <w:rFonts w:ascii="Times New Roman" w:hAnsi="Times New Roman" w:cs="Times New Roman"/>
          <w:bCs/>
          <w:color w:val="000000" w:themeColor="text1"/>
          <w:sz w:val="28"/>
          <w:szCs w:val="28"/>
          <w:lang w:val="uk-UA" w:eastAsia="en-US"/>
        </w:rPr>
      </w:pPr>
      <w:r w:rsidRPr="000A32AD">
        <w:rPr>
          <w:rFonts w:ascii="Times New Roman" w:hAnsi="Times New Roman" w:cs="Times New Roman"/>
          <w:bCs/>
          <w:color w:val="000000" w:themeColor="text1"/>
          <w:sz w:val="28"/>
          <w:szCs w:val="28"/>
          <w:lang w:val="uk-UA" w:eastAsia="en-US"/>
        </w:rPr>
        <w:t xml:space="preserve">ВИСНОВКИ </w:t>
      </w:r>
      <w:r w:rsidRPr="000A32AD">
        <w:rPr>
          <w:rFonts w:ascii="Times New Roman" w:hAnsi="Times New Roman" w:cs="Times New Roman"/>
          <w:bCs/>
          <w:color w:val="000000" w:themeColor="text1"/>
          <w:sz w:val="28"/>
          <w:szCs w:val="28"/>
          <w:lang w:val="uk-UA" w:eastAsia="en-US"/>
        </w:rPr>
        <w:tab/>
      </w:r>
      <w:r w:rsidR="004B7A55" w:rsidRPr="000A32AD">
        <w:rPr>
          <w:rFonts w:ascii="Times New Roman" w:hAnsi="Times New Roman" w:cs="Times New Roman"/>
          <w:bCs/>
          <w:color w:val="000000" w:themeColor="text1"/>
          <w:sz w:val="28"/>
          <w:szCs w:val="28"/>
          <w:lang w:val="uk-UA" w:eastAsia="en-US"/>
        </w:rPr>
        <w:t>10</w:t>
      </w:r>
      <w:r w:rsidR="00AD5225">
        <w:rPr>
          <w:rFonts w:ascii="Times New Roman" w:hAnsi="Times New Roman" w:cs="Times New Roman"/>
          <w:bCs/>
          <w:color w:val="000000" w:themeColor="text1"/>
          <w:sz w:val="28"/>
          <w:szCs w:val="28"/>
          <w:lang w:val="uk-UA" w:eastAsia="en-US"/>
        </w:rPr>
        <w:t>5</w:t>
      </w:r>
    </w:p>
    <w:p w:rsidR="000D5D92" w:rsidRPr="000A32AD" w:rsidRDefault="000D5D92" w:rsidP="003701DC">
      <w:pPr>
        <w:keepLines/>
        <w:tabs>
          <w:tab w:val="left" w:leader="dot" w:pos="9214"/>
        </w:tabs>
        <w:spacing w:line="360" w:lineRule="auto"/>
        <w:ind w:right="708"/>
        <w:rPr>
          <w:rFonts w:ascii="Times New Roman" w:hAnsi="Times New Roman" w:cs="Times New Roman"/>
          <w:bCs/>
          <w:color w:val="000000" w:themeColor="text1"/>
          <w:sz w:val="28"/>
          <w:szCs w:val="28"/>
          <w:lang w:val="uk-UA" w:eastAsia="en-US"/>
        </w:rPr>
      </w:pPr>
      <w:r w:rsidRPr="000A32AD">
        <w:rPr>
          <w:rFonts w:ascii="Times New Roman" w:hAnsi="Times New Roman" w:cs="Times New Roman"/>
          <w:bCs/>
          <w:color w:val="000000" w:themeColor="text1"/>
          <w:sz w:val="28"/>
          <w:szCs w:val="28"/>
          <w:lang w:val="uk-UA" w:eastAsia="en-US"/>
        </w:rPr>
        <w:t xml:space="preserve">ПРАКТИЧНІ РЕКОМЕНДАЦІЇ </w:t>
      </w:r>
      <w:r w:rsidRPr="000A32AD">
        <w:rPr>
          <w:rFonts w:ascii="Times New Roman" w:hAnsi="Times New Roman" w:cs="Times New Roman"/>
          <w:bCs/>
          <w:color w:val="000000" w:themeColor="text1"/>
          <w:sz w:val="28"/>
          <w:szCs w:val="28"/>
          <w:lang w:val="uk-UA" w:eastAsia="en-US"/>
        </w:rPr>
        <w:tab/>
      </w:r>
      <w:r w:rsidR="004B7A55" w:rsidRPr="000A32AD">
        <w:rPr>
          <w:rFonts w:ascii="Times New Roman" w:hAnsi="Times New Roman" w:cs="Times New Roman"/>
          <w:bCs/>
          <w:color w:val="000000" w:themeColor="text1"/>
          <w:sz w:val="28"/>
          <w:szCs w:val="28"/>
          <w:lang w:val="uk-UA" w:eastAsia="en-US"/>
        </w:rPr>
        <w:t>1</w:t>
      </w:r>
      <w:r w:rsidR="00AD5225">
        <w:rPr>
          <w:rFonts w:ascii="Times New Roman" w:hAnsi="Times New Roman" w:cs="Times New Roman"/>
          <w:bCs/>
          <w:color w:val="000000" w:themeColor="text1"/>
          <w:sz w:val="28"/>
          <w:szCs w:val="28"/>
          <w:lang w:val="uk-UA" w:eastAsia="en-US"/>
        </w:rPr>
        <w:t>07</w:t>
      </w:r>
    </w:p>
    <w:p w:rsidR="000D5D92" w:rsidRPr="000A32AD" w:rsidRDefault="000D5D92" w:rsidP="003701DC">
      <w:pPr>
        <w:keepLines/>
        <w:tabs>
          <w:tab w:val="left" w:leader="dot" w:pos="9214"/>
        </w:tabs>
        <w:spacing w:line="360" w:lineRule="auto"/>
        <w:ind w:right="708"/>
        <w:rPr>
          <w:rFonts w:ascii="Times New Roman" w:hAnsi="Times New Roman" w:cs="Times New Roman"/>
          <w:bCs/>
          <w:color w:val="000000" w:themeColor="text1"/>
          <w:sz w:val="28"/>
          <w:szCs w:val="28"/>
          <w:lang w:val="uk-UA" w:eastAsia="en-US"/>
        </w:rPr>
      </w:pPr>
      <w:r w:rsidRPr="000A32AD">
        <w:rPr>
          <w:rFonts w:ascii="Times New Roman" w:hAnsi="Times New Roman" w:cs="Times New Roman"/>
          <w:bCs/>
          <w:color w:val="000000" w:themeColor="text1"/>
          <w:sz w:val="28"/>
          <w:szCs w:val="28"/>
          <w:lang w:val="uk-UA" w:eastAsia="en-US"/>
        </w:rPr>
        <w:t>СПИСОК ЛІТЕРАТУРИ</w:t>
      </w:r>
      <w:r w:rsidRPr="000A32AD">
        <w:rPr>
          <w:rFonts w:ascii="Times New Roman" w:hAnsi="Times New Roman" w:cs="Times New Roman"/>
          <w:bCs/>
          <w:color w:val="000000" w:themeColor="text1"/>
          <w:sz w:val="28"/>
          <w:szCs w:val="28"/>
          <w:lang w:val="uk-UA" w:eastAsia="en-US"/>
        </w:rPr>
        <w:tab/>
      </w:r>
      <w:r w:rsidR="004B7A55" w:rsidRPr="000A32AD">
        <w:rPr>
          <w:rFonts w:ascii="Times New Roman" w:hAnsi="Times New Roman" w:cs="Times New Roman"/>
          <w:bCs/>
          <w:color w:val="000000" w:themeColor="text1"/>
          <w:sz w:val="28"/>
          <w:szCs w:val="28"/>
          <w:lang w:val="uk-UA" w:eastAsia="en-US"/>
        </w:rPr>
        <w:t>1</w:t>
      </w:r>
      <w:r w:rsidR="00AD5225">
        <w:rPr>
          <w:rFonts w:ascii="Times New Roman" w:hAnsi="Times New Roman" w:cs="Times New Roman"/>
          <w:bCs/>
          <w:color w:val="000000" w:themeColor="text1"/>
          <w:sz w:val="28"/>
          <w:szCs w:val="28"/>
          <w:lang w:val="uk-UA" w:eastAsia="en-US"/>
        </w:rPr>
        <w:t>08</w:t>
      </w:r>
    </w:p>
    <w:p w:rsidR="003701DC" w:rsidRPr="000A32AD" w:rsidRDefault="000D5D92" w:rsidP="003701DC">
      <w:pPr>
        <w:keepLines/>
        <w:tabs>
          <w:tab w:val="left" w:leader="dot" w:pos="9214"/>
        </w:tabs>
        <w:spacing w:line="360" w:lineRule="auto"/>
        <w:ind w:left="1134" w:right="708" w:hanging="1134"/>
        <w:rPr>
          <w:rFonts w:ascii="Times New Roman" w:hAnsi="Times New Roman" w:cs="Times New Roman"/>
          <w:bCs/>
          <w:color w:val="000000" w:themeColor="text1"/>
          <w:sz w:val="28"/>
          <w:szCs w:val="28"/>
          <w:lang w:val="uk-UA" w:eastAsia="en-US"/>
        </w:rPr>
      </w:pPr>
      <w:r w:rsidRPr="000A32AD">
        <w:rPr>
          <w:rFonts w:ascii="Times New Roman" w:hAnsi="Times New Roman" w:cs="Times New Roman"/>
          <w:bCs/>
          <w:color w:val="000000" w:themeColor="text1"/>
          <w:sz w:val="28"/>
          <w:szCs w:val="28"/>
          <w:lang w:val="uk-UA" w:eastAsia="en-US"/>
        </w:rPr>
        <w:t>Д</w:t>
      </w:r>
      <w:r w:rsidR="003701DC" w:rsidRPr="000A32AD">
        <w:rPr>
          <w:rFonts w:ascii="Times New Roman" w:hAnsi="Times New Roman" w:cs="Times New Roman"/>
          <w:bCs/>
          <w:color w:val="000000" w:themeColor="text1"/>
          <w:sz w:val="28"/>
          <w:szCs w:val="28"/>
          <w:lang w:val="uk-UA" w:eastAsia="en-US"/>
        </w:rPr>
        <w:t>о</w:t>
      </w:r>
      <w:r w:rsidRPr="000A32AD">
        <w:rPr>
          <w:rFonts w:ascii="Times New Roman" w:hAnsi="Times New Roman" w:cs="Times New Roman"/>
          <w:bCs/>
          <w:color w:val="000000" w:themeColor="text1"/>
          <w:sz w:val="28"/>
          <w:szCs w:val="28"/>
          <w:lang w:val="uk-UA" w:eastAsia="en-US"/>
        </w:rPr>
        <w:t>даток А. Список наукових праць добувача</w:t>
      </w:r>
      <w:r w:rsidRPr="000A32AD">
        <w:rPr>
          <w:rFonts w:ascii="Times New Roman" w:hAnsi="Times New Roman" w:cs="Times New Roman"/>
          <w:bCs/>
          <w:color w:val="000000" w:themeColor="text1"/>
          <w:sz w:val="28"/>
          <w:szCs w:val="28"/>
          <w:lang w:val="uk-UA" w:eastAsia="en-US"/>
        </w:rPr>
        <w:tab/>
      </w:r>
      <w:r w:rsidR="004B7A55" w:rsidRPr="000A32AD">
        <w:rPr>
          <w:rFonts w:ascii="Times New Roman" w:hAnsi="Times New Roman" w:cs="Times New Roman"/>
          <w:bCs/>
          <w:color w:val="000000" w:themeColor="text1"/>
          <w:sz w:val="28"/>
          <w:szCs w:val="28"/>
          <w:lang w:val="uk-UA" w:eastAsia="en-US"/>
        </w:rPr>
        <w:t>1</w:t>
      </w:r>
      <w:r w:rsidR="00E00C4B">
        <w:rPr>
          <w:rFonts w:ascii="Times New Roman" w:hAnsi="Times New Roman" w:cs="Times New Roman"/>
          <w:bCs/>
          <w:color w:val="000000" w:themeColor="text1"/>
          <w:sz w:val="28"/>
          <w:szCs w:val="28"/>
          <w:lang w:val="uk-UA" w:eastAsia="en-US"/>
        </w:rPr>
        <w:t>39</w:t>
      </w:r>
    </w:p>
    <w:p w:rsidR="00BB3A17" w:rsidRPr="000A32AD" w:rsidRDefault="00BB3A17" w:rsidP="003701DC">
      <w:pPr>
        <w:keepLines/>
        <w:tabs>
          <w:tab w:val="left" w:leader="dot" w:pos="9214"/>
        </w:tabs>
        <w:spacing w:line="360" w:lineRule="auto"/>
        <w:ind w:left="1134" w:right="708" w:hanging="1134"/>
        <w:rPr>
          <w:rFonts w:ascii="Times New Roman" w:hAnsi="Times New Roman" w:cs="Times New Roman"/>
          <w:bCs/>
          <w:color w:val="000000" w:themeColor="text1"/>
          <w:sz w:val="28"/>
          <w:szCs w:val="28"/>
          <w:lang w:val="uk-UA" w:eastAsia="en-US"/>
        </w:rPr>
      </w:pPr>
      <w:r w:rsidRPr="000A32AD">
        <w:rPr>
          <w:rFonts w:ascii="Times New Roman" w:hAnsi="Times New Roman" w:cs="Times New Roman"/>
          <w:bCs/>
          <w:color w:val="000000" w:themeColor="text1"/>
          <w:sz w:val="28"/>
          <w:szCs w:val="28"/>
          <w:lang w:val="uk-UA" w:eastAsia="en-US"/>
        </w:rPr>
        <w:t>Д</w:t>
      </w:r>
      <w:r w:rsidR="00A67FEC">
        <w:rPr>
          <w:rFonts w:ascii="Times New Roman" w:hAnsi="Times New Roman" w:cs="Times New Roman"/>
          <w:bCs/>
          <w:color w:val="000000" w:themeColor="text1"/>
          <w:sz w:val="28"/>
          <w:szCs w:val="28"/>
          <w:lang w:val="uk-UA" w:eastAsia="en-US"/>
        </w:rPr>
        <w:t>одаток Б.</w:t>
      </w:r>
      <w:r w:rsidR="004B7A55" w:rsidRPr="000A32AD">
        <w:rPr>
          <w:rFonts w:ascii="Times New Roman" w:hAnsi="Times New Roman" w:cs="Times New Roman"/>
          <w:bCs/>
          <w:color w:val="000000" w:themeColor="text1"/>
          <w:sz w:val="28"/>
          <w:szCs w:val="28"/>
          <w:lang w:val="uk-UA" w:eastAsia="en-US"/>
        </w:rPr>
        <w:t xml:space="preserve"> Рисунки до розділу 4.3.</w:t>
      </w:r>
      <w:r w:rsidRPr="000A32AD">
        <w:rPr>
          <w:rFonts w:ascii="Times New Roman" w:hAnsi="Times New Roman" w:cs="Times New Roman"/>
          <w:bCs/>
          <w:color w:val="000000" w:themeColor="text1"/>
          <w:sz w:val="28"/>
          <w:szCs w:val="28"/>
          <w:lang w:val="uk-UA" w:eastAsia="en-US"/>
        </w:rPr>
        <w:tab/>
      </w:r>
      <w:r w:rsidR="004B7A55" w:rsidRPr="000A32AD">
        <w:rPr>
          <w:rFonts w:ascii="Times New Roman" w:hAnsi="Times New Roman" w:cs="Times New Roman"/>
          <w:bCs/>
          <w:color w:val="000000" w:themeColor="text1"/>
          <w:sz w:val="28"/>
          <w:szCs w:val="28"/>
          <w:lang w:val="uk-UA" w:eastAsia="en-US"/>
        </w:rPr>
        <w:t>14</w:t>
      </w:r>
      <w:r w:rsidR="00E00C4B">
        <w:rPr>
          <w:rFonts w:ascii="Times New Roman" w:hAnsi="Times New Roman" w:cs="Times New Roman"/>
          <w:bCs/>
          <w:color w:val="000000" w:themeColor="text1"/>
          <w:sz w:val="28"/>
          <w:szCs w:val="28"/>
          <w:lang w:val="uk-UA" w:eastAsia="en-US"/>
        </w:rPr>
        <w:t>3</w:t>
      </w:r>
    </w:p>
    <w:bookmarkEnd w:id="2"/>
    <w:p w:rsidR="000D5D92" w:rsidRPr="000A32AD" w:rsidRDefault="000D5D92" w:rsidP="000D5D92">
      <w:pP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br w:type="page"/>
      </w:r>
    </w:p>
    <w:p w:rsidR="000D5D92" w:rsidRPr="000A32AD" w:rsidRDefault="000D5D92" w:rsidP="000D5D92">
      <w:pPr>
        <w:spacing w:line="360" w:lineRule="auto"/>
        <w:jc w:val="center"/>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lastRenderedPageBreak/>
        <w:t>ПЕРЕЛІК УМОВНИХ СКОРОЧЕНЬ</w:t>
      </w:r>
    </w:p>
    <w:p w:rsidR="000D5D92" w:rsidRPr="000A32AD" w:rsidRDefault="000D5D92" w:rsidP="000D5D92">
      <w:pPr>
        <w:spacing w:line="360" w:lineRule="auto"/>
        <w:jc w:val="center"/>
        <w:rPr>
          <w:rFonts w:ascii="Times New Roman" w:hAnsi="Times New Roman" w:cs="Times New Roman"/>
          <w:b/>
          <w:color w:val="000000" w:themeColor="text1"/>
          <w:sz w:val="28"/>
          <w:szCs w:val="28"/>
          <w:lang w:val="uk-UA"/>
        </w:rPr>
      </w:pP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АГ</w:t>
      </w:r>
      <w:r w:rsidRPr="000A32AD">
        <w:rPr>
          <w:rFonts w:ascii="Times New Roman" w:hAnsi="Times New Roman" w:cs="Times New Roman"/>
          <w:color w:val="000000" w:themeColor="text1"/>
          <w:sz w:val="28"/>
          <w:szCs w:val="28"/>
          <w:lang w:val="uk-UA"/>
        </w:rPr>
        <w:tab/>
        <w:t>– артеріальна гіпертензія</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АТ</w:t>
      </w:r>
      <w:r w:rsidRPr="000A32AD">
        <w:rPr>
          <w:rFonts w:ascii="Times New Roman" w:hAnsi="Times New Roman" w:cs="Times New Roman"/>
          <w:color w:val="000000" w:themeColor="text1"/>
          <w:sz w:val="28"/>
          <w:szCs w:val="28"/>
          <w:lang w:val="uk-UA"/>
        </w:rPr>
        <w:tab/>
        <w:t>– артеріальний тиск</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БЛР</w:t>
      </w:r>
      <w:r w:rsidRPr="000A32AD">
        <w:rPr>
          <w:rFonts w:ascii="Times New Roman" w:hAnsi="Times New Roman" w:cs="Times New Roman"/>
          <w:color w:val="000000" w:themeColor="text1"/>
          <w:sz w:val="28"/>
          <w:szCs w:val="28"/>
          <w:lang w:val="uk-UA"/>
        </w:rPr>
        <w:tab/>
        <w:t>– бінарна логістична регресія</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АПФ – ангіотензинперетворюючий фермент</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БЛР</w:t>
      </w:r>
      <w:r w:rsidRPr="000A32AD">
        <w:rPr>
          <w:rFonts w:ascii="Times New Roman" w:hAnsi="Times New Roman" w:cs="Times New Roman"/>
          <w:color w:val="000000" w:themeColor="text1"/>
          <w:sz w:val="28"/>
          <w:szCs w:val="28"/>
          <w:lang w:val="uk-UA"/>
        </w:rPr>
        <w:tab/>
        <w:t>– бінарна лоігістична регресія</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ГАГ</w:t>
      </w:r>
      <w:r w:rsidRPr="000A32AD">
        <w:rPr>
          <w:rFonts w:ascii="Times New Roman" w:hAnsi="Times New Roman" w:cs="Times New Roman"/>
          <w:color w:val="000000" w:themeColor="text1"/>
          <w:sz w:val="28"/>
          <w:szCs w:val="28"/>
          <w:lang w:val="uk-UA"/>
        </w:rPr>
        <w:tab/>
        <w:t>– глюкозаміноглікани</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ГС</w:t>
      </w:r>
      <w:r w:rsidRPr="000A32AD">
        <w:rPr>
          <w:rFonts w:ascii="Times New Roman" w:hAnsi="Times New Roman" w:cs="Times New Roman"/>
          <w:color w:val="000000" w:themeColor="text1"/>
          <w:sz w:val="28"/>
          <w:szCs w:val="28"/>
          <w:lang w:val="uk-UA"/>
        </w:rPr>
        <w:tab/>
        <w:t>– гепаран-сульфат</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ГХ</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гіпертонічна хвороба</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ДСТ</w:t>
      </w:r>
      <w:r w:rsidRPr="000A32AD">
        <w:rPr>
          <w:rFonts w:ascii="Times New Roman" w:hAnsi="Times New Roman" w:cs="Times New Roman"/>
          <w:color w:val="000000" w:themeColor="text1"/>
          <w:sz w:val="28"/>
          <w:szCs w:val="28"/>
          <w:lang w:val="uk-UA"/>
        </w:rPr>
        <w:tab/>
        <w:t xml:space="preserve"> дисплазія сполучної тканини</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ЕД</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ендотеліальна дисфункція</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ЕМЦ</w:t>
      </w:r>
      <w:r w:rsidRPr="000A32AD">
        <w:rPr>
          <w:rFonts w:ascii="Times New Roman" w:hAnsi="Times New Roman" w:cs="Times New Roman"/>
          <w:color w:val="000000" w:themeColor="text1"/>
          <w:sz w:val="28"/>
          <w:szCs w:val="28"/>
          <w:lang w:val="uk-UA"/>
        </w:rPr>
        <w:tab/>
        <w:t>– екстрацелюлярний матрикс</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ІМТ</w:t>
      </w:r>
      <w:r w:rsidRPr="000A32AD">
        <w:rPr>
          <w:rFonts w:ascii="Times New Roman" w:hAnsi="Times New Roman" w:cs="Times New Roman"/>
          <w:color w:val="000000" w:themeColor="text1"/>
          <w:sz w:val="28"/>
          <w:szCs w:val="28"/>
          <w:lang w:val="uk-UA"/>
        </w:rPr>
        <w:tab/>
        <w:t>– індекс маси тіла</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ІР</w:t>
      </w:r>
      <w:r w:rsidRPr="000A32AD">
        <w:rPr>
          <w:rFonts w:ascii="Times New Roman" w:hAnsi="Times New Roman" w:cs="Times New Roman"/>
          <w:color w:val="000000" w:themeColor="text1"/>
          <w:sz w:val="28"/>
          <w:szCs w:val="28"/>
          <w:lang w:val="uk-UA"/>
        </w:rPr>
        <w:tab/>
        <w:t>– інсулінорезистентність</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ІХС</w:t>
      </w:r>
      <w:r w:rsidRPr="000A32AD">
        <w:rPr>
          <w:rFonts w:ascii="Times New Roman" w:hAnsi="Times New Roman" w:cs="Times New Roman"/>
          <w:color w:val="000000" w:themeColor="text1"/>
          <w:sz w:val="28"/>
          <w:szCs w:val="28"/>
          <w:lang w:val="uk-UA"/>
        </w:rPr>
        <w:tab/>
        <w:t>– ішемічна хвороба серця</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КДР – кінцевий діастолічний розмір лівого шлуночка</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ММЛШ</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маса міокарда лівого шлуночка</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НДСТ</w:t>
      </w:r>
      <w:r w:rsidR="003859C0"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недиференційована дисплазія сполучної тканини</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РАС – ренін-ангіотензинова система</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СН</w:t>
      </w:r>
      <w:r w:rsidRPr="000A32AD">
        <w:rPr>
          <w:rFonts w:ascii="Times New Roman" w:hAnsi="Times New Roman" w:cs="Times New Roman"/>
          <w:color w:val="000000" w:themeColor="text1"/>
          <w:sz w:val="28"/>
          <w:szCs w:val="28"/>
          <w:lang w:val="uk-UA"/>
        </w:rPr>
        <w:tab/>
        <w:t>– серцева недостатність</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ССЗ</w:t>
      </w:r>
      <w:r w:rsidRPr="000A32AD">
        <w:rPr>
          <w:rFonts w:ascii="Times New Roman" w:hAnsi="Times New Roman" w:cs="Times New Roman"/>
          <w:color w:val="000000" w:themeColor="text1"/>
          <w:sz w:val="28"/>
          <w:szCs w:val="28"/>
          <w:lang w:val="uk-UA"/>
        </w:rPr>
        <w:tab/>
        <w:t>– серцево-судинні захворювання</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ТЗСЛШ</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товщина задньої стінки лівого шлуночка в діастолу</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ТМШП – товщина міжшлуночкової перегородки в діастолу</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ШКФ</w:t>
      </w:r>
      <w:r w:rsidRPr="000A32AD">
        <w:rPr>
          <w:rFonts w:ascii="Times New Roman" w:hAnsi="Times New Roman" w:cs="Times New Roman"/>
          <w:color w:val="000000" w:themeColor="text1"/>
          <w:sz w:val="28"/>
          <w:szCs w:val="28"/>
          <w:lang w:val="uk-UA"/>
        </w:rPr>
        <w:tab/>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швидкість клубочкової фільтрації</w:t>
      </w:r>
    </w:p>
    <w:p w:rsidR="000D5D92" w:rsidRPr="000A32AD" w:rsidRDefault="00074B83" w:rsidP="000D5D92">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ЦД - </w:t>
      </w:r>
      <w:r w:rsidR="000D5D92" w:rsidRPr="000A32AD">
        <w:rPr>
          <w:rFonts w:ascii="Times New Roman" w:hAnsi="Times New Roman" w:cs="Times New Roman"/>
          <w:color w:val="000000" w:themeColor="text1"/>
          <w:sz w:val="28"/>
          <w:szCs w:val="28"/>
          <w:lang w:val="uk-UA"/>
        </w:rPr>
        <w:t xml:space="preserve"> цукровий діабет</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ФВ – фракція викиду</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ХХН</w:t>
      </w:r>
      <w:r w:rsidRPr="000A32AD">
        <w:rPr>
          <w:rFonts w:ascii="Times New Roman" w:hAnsi="Times New Roman" w:cs="Times New Roman"/>
          <w:color w:val="000000" w:themeColor="text1"/>
          <w:sz w:val="28"/>
          <w:szCs w:val="28"/>
          <w:lang w:val="uk-UA"/>
        </w:rPr>
        <w:tab/>
        <w:t>– хронічна хвороба нирок</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lastRenderedPageBreak/>
        <w:t>AGE</w:t>
      </w:r>
      <w:r w:rsidRPr="000A32AD">
        <w:rPr>
          <w:rFonts w:ascii="Times New Roman" w:hAnsi="Times New Roman" w:cs="Times New Roman"/>
          <w:color w:val="000000" w:themeColor="text1"/>
          <w:sz w:val="28"/>
          <w:szCs w:val="28"/>
          <w:lang w:val="uk-UA"/>
        </w:rPr>
        <w:tab/>
        <w:t>–кінцеві продукти глікірування</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2 (</w:t>
      </w:r>
      <w:r w:rsidRPr="000A32AD">
        <w:rPr>
          <w:rFonts w:ascii="Times New Roman" w:hAnsi="Times New Roman" w:cs="Times New Roman"/>
          <w:color w:val="000000" w:themeColor="text1"/>
          <w:sz w:val="28"/>
          <w:szCs w:val="28"/>
          <w:lang w:val="en-US"/>
        </w:rPr>
        <w:t>bFGF</w:t>
      </w:r>
      <w:r w:rsidRPr="000A32AD">
        <w:rPr>
          <w:rFonts w:ascii="Times New Roman" w:hAnsi="Times New Roman" w:cs="Times New Roman"/>
          <w:color w:val="000000" w:themeColor="text1"/>
          <w:sz w:val="28"/>
          <w:szCs w:val="28"/>
          <w:lang w:val="uk-UA"/>
        </w:rPr>
        <w:t>) – основний фактор росту фібробластів</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en-US"/>
        </w:rPr>
        <w:t>TGFβ</w:t>
      </w:r>
      <w:r w:rsidRPr="000A32AD">
        <w:rPr>
          <w:rFonts w:ascii="Times New Roman" w:hAnsi="Times New Roman" w:cs="Times New Roman"/>
          <w:color w:val="000000" w:themeColor="text1"/>
          <w:sz w:val="28"/>
          <w:szCs w:val="28"/>
        </w:rPr>
        <w:t>1 –</w:t>
      </w:r>
      <w:r w:rsidRPr="000A32AD">
        <w:rPr>
          <w:rFonts w:ascii="Times New Roman" w:hAnsi="Times New Roman" w:cs="Times New Roman"/>
          <w:color w:val="000000" w:themeColor="text1"/>
          <w:sz w:val="28"/>
          <w:szCs w:val="28"/>
          <w:lang w:val="uk-UA"/>
        </w:rPr>
        <w:t xml:space="preserve"> трансформуючий фактор росту</w:t>
      </w:r>
    </w:p>
    <w:p w:rsidR="000D5D92" w:rsidRPr="000A32AD" w:rsidRDefault="00247569"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TNF</w:t>
      </w:r>
      <w:r w:rsidR="00074B83">
        <w:rPr>
          <w:rFonts w:ascii="Times New Roman" w:hAnsi="Times New Roman" w:cs="Times New Roman"/>
          <w:color w:val="000000" w:themeColor="text1"/>
          <w:sz w:val="28"/>
          <w:szCs w:val="28"/>
          <w:lang w:val="uk-UA"/>
        </w:rPr>
        <w:t xml:space="preserve">-α </w:t>
      </w:r>
      <w:r w:rsidR="000D5D92" w:rsidRPr="000A32AD">
        <w:rPr>
          <w:rFonts w:ascii="Times New Roman" w:hAnsi="Times New Roman" w:cs="Times New Roman"/>
          <w:color w:val="000000" w:themeColor="text1"/>
          <w:sz w:val="28"/>
          <w:szCs w:val="28"/>
          <w:lang w:val="uk-UA"/>
        </w:rPr>
        <w:t>– тумор-некротизуючий фактор</w:t>
      </w:r>
    </w:p>
    <w:p w:rsidR="000D5D92" w:rsidRPr="000A32AD" w:rsidRDefault="000D5D92" w:rsidP="000D5D92">
      <w:pPr>
        <w:spacing w:line="360"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en-US"/>
        </w:rPr>
        <w:t>VEGF</w:t>
      </w:r>
      <w:r w:rsidR="00074B83">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васкулоендотеліальний фактор росту</w:t>
      </w:r>
    </w:p>
    <w:p w:rsidR="000D5D92" w:rsidRPr="000A32AD" w:rsidRDefault="000D5D92" w:rsidP="000D5D92">
      <w:pPr>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br w:type="page"/>
      </w:r>
    </w:p>
    <w:p w:rsidR="000D5D92" w:rsidRPr="000A32AD" w:rsidRDefault="000D5D92" w:rsidP="000D5D92">
      <w:pPr>
        <w:tabs>
          <w:tab w:val="left" w:pos="1134"/>
        </w:tabs>
        <w:spacing w:line="360" w:lineRule="auto"/>
        <w:contextualSpacing/>
        <w:jc w:val="center"/>
        <w:rPr>
          <w:rFonts w:ascii="Times New Roman" w:hAnsi="Times New Roman" w:cs="Times New Roman"/>
          <w:b/>
          <w:color w:val="000000" w:themeColor="text1"/>
          <w:sz w:val="28"/>
          <w:szCs w:val="28"/>
          <w:lang w:val="uk-UA"/>
        </w:rPr>
      </w:pPr>
      <w:bookmarkStart w:id="3" w:name="Vstup"/>
      <w:r w:rsidRPr="000A32AD">
        <w:rPr>
          <w:rFonts w:ascii="Times New Roman" w:hAnsi="Times New Roman" w:cs="Times New Roman"/>
          <w:b/>
          <w:color w:val="000000" w:themeColor="text1"/>
          <w:sz w:val="28"/>
          <w:szCs w:val="28"/>
          <w:lang w:val="uk-UA"/>
        </w:rPr>
        <w:lastRenderedPageBreak/>
        <w:t>ВСТУП</w:t>
      </w:r>
    </w:p>
    <w:p w:rsidR="007F5FCD" w:rsidRPr="000A32AD" w:rsidRDefault="007F5FCD" w:rsidP="007F5FCD">
      <w:pPr>
        <w:tabs>
          <w:tab w:val="left" w:pos="1134"/>
        </w:tabs>
        <w:spacing w:line="360" w:lineRule="auto"/>
        <w:ind w:firstLine="709"/>
        <w:jc w:val="both"/>
        <w:rPr>
          <w:rFonts w:ascii="Times New Roman" w:hAnsi="Times New Roman" w:cs="Times New Roman"/>
          <w:color w:val="000000" w:themeColor="text1"/>
          <w:sz w:val="28"/>
          <w:szCs w:val="28"/>
          <w:lang w:val="uk-UA"/>
        </w:rPr>
      </w:pPr>
      <w:bookmarkStart w:id="4" w:name="Rozd_1_ogl"/>
      <w:bookmarkEnd w:id="3"/>
      <w:r w:rsidRPr="000A32AD">
        <w:rPr>
          <w:rFonts w:ascii="Times New Roman" w:hAnsi="Times New Roman" w:cs="Times New Roman"/>
          <w:b/>
          <w:bCs/>
          <w:color w:val="000000" w:themeColor="text1"/>
          <w:kern w:val="28"/>
          <w:sz w:val="28"/>
          <w:szCs w:val="28"/>
          <w:lang w:val="uk-UA"/>
        </w:rPr>
        <w:t xml:space="preserve">Актуальність теми. </w:t>
      </w:r>
      <w:r w:rsidRPr="000A32AD">
        <w:rPr>
          <w:rFonts w:ascii="Times New Roman" w:hAnsi="Times New Roman" w:cs="Times New Roman"/>
          <w:color w:val="000000" w:themeColor="text1"/>
          <w:sz w:val="28"/>
          <w:szCs w:val="28"/>
          <w:lang w:val="uk-UA"/>
        </w:rPr>
        <w:t>Останні десятиріччя ознаменувалися бурхливим розвитком новітніх методів лабораторної та інструментальної діагностики, які дозволити виявити механізми розвитку багатьох захворювань, розробити та впровадити нові ефективні методи їх профілактики та лікування. Іншою рисою останніх років є прогресуюче збільшення захворюваності та поширеності багатьох соціально значимих хвороб, що пояснюється збільшенням тривалості життя та зростаючим негативним впливом різноманітних факторів зовнішнього середовища. До цієї патології відносяться цукровий діабет (ЦД) та судинн</w:t>
      </w:r>
      <w:r w:rsidR="001366EC" w:rsidRPr="000A32AD">
        <w:rPr>
          <w:rFonts w:ascii="Times New Roman" w:hAnsi="Times New Roman" w:cs="Times New Roman"/>
          <w:color w:val="000000" w:themeColor="text1"/>
          <w:sz w:val="28"/>
          <w:szCs w:val="28"/>
          <w:lang w:val="uk-UA"/>
        </w:rPr>
        <w:t>і захворю</w:t>
      </w:r>
      <w:r w:rsidR="001366EC" w:rsidRPr="000A32AD">
        <w:rPr>
          <w:rFonts w:ascii="Times New Roman" w:hAnsi="Times New Roman" w:cs="Times New Roman"/>
          <w:color w:val="000000" w:themeColor="text1"/>
          <w:sz w:val="28"/>
          <w:szCs w:val="28"/>
          <w:lang w:val="uk-UA"/>
        </w:rPr>
        <w:softHyphen/>
        <w:t>вання, зокрема, артеріальна гіпертензія (АГ)</w:t>
      </w:r>
      <w:r w:rsidRPr="000A32AD">
        <w:rPr>
          <w:rFonts w:ascii="Times New Roman" w:hAnsi="Times New Roman" w:cs="Times New Roman"/>
          <w:color w:val="000000" w:themeColor="text1"/>
          <w:sz w:val="28"/>
          <w:szCs w:val="28"/>
          <w:lang w:val="uk-UA"/>
        </w:rPr>
        <w:t>, які нерідко виявляються як коморбідна патологія [</w:t>
      </w:r>
      <w:r w:rsidR="0083259B" w:rsidRPr="000A32AD">
        <w:rPr>
          <w:rFonts w:ascii="Times New Roman" w:hAnsi="Times New Roman" w:cs="Times New Roman"/>
          <w:color w:val="000000" w:themeColor="text1"/>
          <w:sz w:val="28"/>
          <w:szCs w:val="28"/>
          <w:lang w:val="uk-UA"/>
        </w:rPr>
        <w:t>36</w:t>
      </w:r>
      <w:r w:rsidRPr="000A32AD">
        <w:rPr>
          <w:rFonts w:ascii="Times New Roman" w:hAnsi="Times New Roman" w:cs="Times New Roman"/>
          <w:color w:val="000000" w:themeColor="text1"/>
          <w:sz w:val="28"/>
          <w:szCs w:val="28"/>
          <w:lang w:val="uk-UA"/>
        </w:rPr>
        <w:t xml:space="preserve">; </w:t>
      </w:r>
      <w:r w:rsidR="0083259B" w:rsidRPr="000A32AD">
        <w:rPr>
          <w:rFonts w:ascii="Times New Roman" w:hAnsi="Times New Roman" w:cs="Times New Roman"/>
          <w:color w:val="000000" w:themeColor="text1"/>
          <w:sz w:val="28"/>
          <w:szCs w:val="28"/>
          <w:lang w:val="uk-UA"/>
        </w:rPr>
        <w:t>99</w:t>
      </w:r>
      <w:r w:rsidRPr="000A32AD">
        <w:rPr>
          <w:rFonts w:ascii="Times New Roman" w:hAnsi="Times New Roman" w:cs="Times New Roman"/>
          <w:color w:val="000000" w:themeColor="text1"/>
          <w:sz w:val="28"/>
          <w:szCs w:val="28"/>
          <w:shd w:val="clear" w:color="auto" w:fill="FFFFFF"/>
          <w:lang w:val="uk-UA"/>
        </w:rPr>
        <w:t xml:space="preserve">; </w:t>
      </w:r>
      <w:r w:rsidR="0083259B" w:rsidRPr="000A32AD">
        <w:rPr>
          <w:rFonts w:ascii="Times New Roman" w:hAnsi="Times New Roman" w:cs="Times New Roman"/>
          <w:color w:val="000000" w:themeColor="text1"/>
          <w:sz w:val="28"/>
          <w:szCs w:val="28"/>
          <w:lang w:val="uk-UA"/>
        </w:rPr>
        <w:t>184</w:t>
      </w:r>
      <w:r w:rsidRPr="000A32AD">
        <w:rPr>
          <w:rFonts w:ascii="Times New Roman" w:hAnsi="Times New Roman" w:cs="Times New Roman"/>
          <w:color w:val="000000" w:themeColor="text1"/>
          <w:sz w:val="28"/>
          <w:szCs w:val="28"/>
          <w:lang w:val="uk-UA"/>
        </w:rPr>
        <w:t xml:space="preserve">; </w:t>
      </w:r>
      <w:r w:rsidR="00365A66" w:rsidRPr="000A32AD">
        <w:rPr>
          <w:rFonts w:ascii="Times New Roman" w:hAnsi="Times New Roman" w:cs="Times New Roman"/>
          <w:color w:val="000000" w:themeColor="text1"/>
          <w:sz w:val="28"/>
          <w:szCs w:val="28"/>
          <w:lang w:val="uk-UA" w:eastAsia="ar-SA"/>
        </w:rPr>
        <w:t>189</w:t>
      </w:r>
      <w:r w:rsidRPr="000A32AD">
        <w:rPr>
          <w:rFonts w:ascii="Times New Roman" w:hAnsi="Times New Roman" w:cs="Times New Roman"/>
          <w:color w:val="000000" w:themeColor="text1"/>
          <w:sz w:val="28"/>
          <w:szCs w:val="28"/>
          <w:lang w:val="uk-UA" w:eastAsia="ar-SA"/>
        </w:rPr>
        <w:t xml:space="preserve">; </w:t>
      </w:r>
      <w:r w:rsidR="00365A66" w:rsidRPr="000A32AD">
        <w:rPr>
          <w:rFonts w:ascii="Times New Roman" w:hAnsi="Times New Roman" w:cs="Times New Roman"/>
          <w:color w:val="000000" w:themeColor="text1"/>
          <w:sz w:val="28"/>
          <w:szCs w:val="28"/>
          <w:shd w:val="clear" w:color="auto" w:fill="FFFFFF"/>
          <w:lang w:val="uk-UA"/>
        </w:rPr>
        <w:t>235</w:t>
      </w:r>
      <w:r w:rsidRPr="000A32AD">
        <w:rPr>
          <w:rFonts w:ascii="Times New Roman" w:hAnsi="Times New Roman" w:cs="Times New Roman"/>
          <w:color w:val="000000" w:themeColor="text1"/>
          <w:sz w:val="28"/>
          <w:szCs w:val="28"/>
          <w:lang w:val="uk-UA"/>
        </w:rPr>
        <w:t>].</w:t>
      </w:r>
    </w:p>
    <w:p w:rsidR="007F5FCD" w:rsidRPr="000A32AD" w:rsidRDefault="007F5FCD" w:rsidP="007F5FCD">
      <w:pPr>
        <w:tabs>
          <w:tab w:val="left" w:pos="1134"/>
        </w:tabs>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На цей час у патогенезі судинних захворюваннях та ускладнен</w:t>
      </w:r>
      <w:r w:rsidR="001366EC" w:rsidRPr="000A32AD">
        <w:rPr>
          <w:rFonts w:ascii="Times New Roman" w:hAnsi="Times New Roman" w:cs="Times New Roman"/>
          <w:color w:val="000000" w:themeColor="text1"/>
          <w:sz w:val="28"/>
          <w:szCs w:val="28"/>
          <w:lang w:val="uk-UA"/>
        </w:rPr>
        <w:t xml:space="preserve">ь </w:t>
      </w:r>
      <w:r w:rsidRPr="000A32AD">
        <w:rPr>
          <w:rFonts w:ascii="Times New Roman" w:hAnsi="Times New Roman" w:cs="Times New Roman"/>
          <w:color w:val="000000" w:themeColor="text1"/>
          <w:sz w:val="28"/>
          <w:szCs w:val="28"/>
          <w:lang w:val="uk-UA"/>
        </w:rPr>
        <w:t>ЦД обох типів виявлено багато спільних механізмів, зокрема, доведено роль ендотеліальної дисфункції та структурних змін судинної стінки та позаклітинного матриксу. Доведено участь у ремоделюванні судин компонентів сполучної тканини, що призводить до збільшення жорсткості артеріальних судин та порушень ангіогенезу [</w:t>
      </w:r>
      <w:r w:rsidR="00365A66" w:rsidRPr="000A32AD">
        <w:rPr>
          <w:rFonts w:ascii="Times New Roman" w:hAnsi="Times New Roman" w:cs="Times New Roman"/>
          <w:color w:val="000000" w:themeColor="text1"/>
          <w:sz w:val="28"/>
          <w:szCs w:val="28"/>
          <w:lang w:val="uk-UA"/>
        </w:rPr>
        <w:t>18</w:t>
      </w:r>
      <w:r w:rsidRPr="000A32AD">
        <w:rPr>
          <w:rFonts w:ascii="Times New Roman" w:hAnsi="Times New Roman" w:cs="Times New Roman"/>
          <w:color w:val="000000" w:themeColor="text1"/>
          <w:sz w:val="28"/>
          <w:szCs w:val="28"/>
          <w:lang w:val="uk-UA"/>
        </w:rPr>
        <w:t xml:space="preserve">; </w:t>
      </w:r>
      <w:r w:rsidR="00365A66" w:rsidRPr="000A32AD">
        <w:rPr>
          <w:rFonts w:ascii="Times New Roman" w:hAnsi="Times New Roman" w:cs="Times New Roman"/>
          <w:color w:val="000000" w:themeColor="text1"/>
          <w:sz w:val="28"/>
          <w:szCs w:val="28"/>
          <w:lang w:val="uk-UA"/>
        </w:rPr>
        <w:t>46</w:t>
      </w:r>
      <w:r w:rsidRPr="000A32AD">
        <w:rPr>
          <w:rFonts w:ascii="Times New Roman" w:hAnsi="Times New Roman" w:cs="Times New Roman"/>
          <w:color w:val="000000" w:themeColor="text1"/>
          <w:sz w:val="28"/>
          <w:szCs w:val="28"/>
          <w:lang w:val="uk-UA"/>
        </w:rPr>
        <w:t xml:space="preserve">; </w:t>
      </w:r>
      <w:r w:rsidR="00365A66" w:rsidRPr="000A32AD">
        <w:rPr>
          <w:rFonts w:ascii="Times New Roman" w:hAnsi="Times New Roman" w:cs="Times New Roman"/>
          <w:color w:val="000000" w:themeColor="text1"/>
          <w:sz w:val="28"/>
          <w:szCs w:val="28"/>
          <w:lang w:val="uk-UA"/>
        </w:rPr>
        <w:t>49</w:t>
      </w:r>
      <w:r w:rsidRPr="000A32AD">
        <w:rPr>
          <w:rFonts w:ascii="Times New Roman" w:hAnsi="Times New Roman" w:cs="Times New Roman"/>
          <w:color w:val="000000" w:themeColor="text1"/>
          <w:sz w:val="28"/>
          <w:szCs w:val="28"/>
          <w:lang w:val="uk-UA"/>
        </w:rPr>
        <w:t xml:space="preserve">; </w:t>
      </w:r>
      <w:r w:rsidR="00365A66" w:rsidRPr="000A32AD">
        <w:rPr>
          <w:rFonts w:ascii="Times New Roman" w:hAnsi="Times New Roman" w:cs="Times New Roman"/>
          <w:bCs/>
          <w:color w:val="000000" w:themeColor="text1"/>
          <w:sz w:val="28"/>
          <w:szCs w:val="28"/>
          <w:lang w:val="uk-UA"/>
        </w:rPr>
        <w:t>139</w:t>
      </w:r>
      <w:r w:rsidRPr="000A32AD">
        <w:rPr>
          <w:rFonts w:ascii="Times New Roman" w:hAnsi="Times New Roman" w:cs="Times New Roman"/>
          <w:color w:val="000000" w:themeColor="text1"/>
          <w:sz w:val="28"/>
          <w:szCs w:val="28"/>
          <w:lang w:val="uk-UA"/>
        </w:rPr>
        <w:t xml:space="preserve">; </w:t>
      </w:r>
      <w:r w:rsidR="00365A66" w:rsidRPr="000A32AD">
        <w:rPr>
          <w:rFonts w:ascii="Times New Roman" w:hAnsi="Times New Roman" w:cs="Times New Roman"/>
          <w:bCs/>
          <w:color w:val="000000" w:themeColor="text1"/>
          <w:sz w:val="28"/>
          <w:szCs w:val="28"/>
          <w:lang w:val="uk-UA"/>
        </w:rPr>
        <w:t>220</w:t>
      </w:r>
      <w:r w:rsidRPr="000A32AD">
        <w:rPr>
          <w:rFonts w:ascii="Times New Roman" w:hAnsi="Times New Roman" w:cs="Times New Roman"/>
          <w:color w:val="000000" w:themeColor="text1"/>
          <w:sz w:val="28"/>
          <w:szCs w:val="28"/>
          <w:lang w:val="uk-UA"/>
        </w:rPr>
        <w:t xml:space="preserve">]. </w:t>
      </w:r>
    </w:p>
    <w:p w:rsidR="007F5FCD" w:rsidRPr="000A32AD" w:rsidRDefault="007F5FCD" w:rsidP="007F5FCD">
      <w:pPr>
        <w:tabs>
          <w:tab w:val="left" w:pos="1134"/>
        </w:tabs>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Крім цього, в останні роки все більшу увагу привертають розлади метаболізму сполучної тканини, які грають роль у патогенезі багатьох захворювань. Особливе значення її розлади мають при наявності дисплазії сполучної тканин (ДСТ). Недиференційовані форми ДСТ (НДСТ) досить широко розповсюджені в загальній популяції та є частою складовою комор</w:t>
      </w:r>
      <w:r w:rsidRPr="000A32AD">
        <w:rPr>
          <w:rFonts w:ascii="Times New Roman" w:hAnsi="Times New Roman" w:cs="Times New Roman"/>
          <w:color w:val="000000" w:themeColor="text1"/>
          <w:sz w:val="28"/>
          <w:szCs w:val="28"/>
          <w:lang w:val="uk-UA"/>
        </w:rPr>
        <w:softHyphen/>
        <w:t>бідної патології [</w:t>
      </w:r>
      <w:r w:rsidR="00365A66" w:rsidRPr="000A32AD">
        <w:rPr>
          <w:rFonts w:ascii="Times New Roman" w:hAnsi="Times New Roman" w:cs="Times New Roman"/>
          <w:bCs/>
          <w:color w:val="000000" w:themeColor="text1"/>
          <w:sz w:val="28"/>
          <w:szCs w:val="28"/>
          <w:lang w:val="uk-UA"/>
        </w:rPr>
        <w:t>2</w:t>
      </w:r>
      <w:r w:rsidRPr="000A32AD">
        <w:rPr>
          <w:rFonts w:ascii="Times New Roman" w:hAnsi="Times New Roman" w:cs="Times New Roman"/>
          <w:bCs/>
          <w:color w:val="000000" w:themeColor="text1"/>
          <w:sz w:val="28"/>
          <w:szCs w:val="28"/>
          <w:lang w:val="uk-UA"/>
        </w:rPr>
        <w:t xml:space="preserve">; </w:t>
      </w:r>
      <w:r w:rsidR="00365A66" w:rsidRPr="000A32AD">
        <w:rPr>
          <w:rFonts w:ascii="Times New Roman" w:hAnsi="Times New Roman" w:cs="Times New Roman"/>
          <w:color w:val="000000" w:themeColor="text1"/>
          <w:sz w:val="28"/>
          <w:szCs w:val="28"/>
          <w:lang w:val="uk-UA"/>
        </w:rPr>
        <w:t>20</w:t>
      </w:r>
      <w:r w:rsidRPr="000A32AD">
        <w:rPr>
          <w:rFonts w:ascii="Times New Roman" w:hAnsi="Times New Roman" w:cs="Times New Roman"/>
          <w:color w:val="000000" w:themeColor="text1"/>
          <w:sz w:val="28"/>
          <w:szCs w:val="28"/>
          <w:lang w:val="uk-UA"/>
        </w:rPr>
        <w:t xml:space="preserve">; </w:t>
      </w:r>
      <w:r w:rsidR="00365A66" w:rsidRPr="000A32AD">
        <w:rPr>
          <w:rFonts w:ascii="Times New Roman" w:hAnsi="Times New Roman" w:cs="Times New Roman"/>
          <w:color w:val="000000" w:themeColor="text1"/>
          <w:sz w:val="28"/>
          <w:szCs w:val="28"/>
          <w:lang w:val="uk-UA"/>
        </w:rPr>
        <w:t>24</w:t>
      </w:r>
      <w:r w:rsidRPr="000A32AD">
        <w:rPr>
          <w:rFonts w:ascii="Times New Roman" w:hAnsi="Times New Roman" w:cs="Times New Roman"/>
          <w:color w:val="000000" w:themeColor="text1"/>
          <w:sz w:val="28"/>
          <w:szCs w:val="28"/>
          <w:lang w:val="uk-UA"/>
        </w:rPr>
        <w:t xml:space="preserve">; </w:t>
      </w:r>
      <w:r w:rsidR="00365A66" w:rsidRPr="000A32AD">
        <w:rPr>
          <w:rFonts w:ascii="Times New Roman" w:hAnsi="Times New Roman" w:cs="Times New Roman"/>
          <w:color w:val="000000" w:themeColor="text1"/>
          <w:sz w:val="28"/>
          <w:szCs w:val="28"/>
          <w:lang w:val="uk-UA"/>
        </w:rPr>
        <w:t>49</w:t>
      </w:r>
      <w:r w:rsidRPr="000A32AD">
        <w:rPr>
          <w:rFonts w:ascii="Times New Roman" w:hAnsi="Times New Roman" w:cs="Times New Roman"/>
          <w:color w:val="000000" w:themeColor="text1"/>
          <w:sz w:val="28"/>
          <w:szCs w:val="28"/>
          <w:lang w:val="uk-UA"/>
        </w:rPr>
        <w:t>]. Особливості метаболізму сполучної тканини та можливі механізми його порушення у хворих на ЦД 2 типу у поєднанні з НДСТ з урахуванням поширеності цих патологічних станів є цікавим як з теоретичної точки зору, так й з точки зору ранньої діагностики судинних ускладнень на підставі визначення інформативних маркерів спільних ушкоджень при НДСТ та ЦД 2 типу.</w:t>
      </w:r>
    </w:p>
    <w:p w:rsidR="007F5FCD" w:rsidRPr="000A32AD" w:rsidRDefault="007F5FCD" w:rsidP="007F5FCD">
      <w:pPr>
        <w:tabs>
          <w:tab w:val="left" w:pos="1134"/>
        </w:tabs>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lastRenderedPageBreak/>
        <w:t>Потенційним маркером судинних уражень при ЦД 2 типу у хворих з ДСТ може бути активність основного фактору росту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2), якій бере участь у процесах проліферації, міграції та диференціювання основних клітин</w:t>
      </w:r>
      <w:r w:rsidRPr="000A32AD">
        <w:rPr>
          <w:rFonts w:ascii="Times New Roman" w:hAnsi="Times New Roman" w:cs="Times New Roman"/>
          <w:color w:val="000000" w:themeColor="text1"/>
          <w:sz w:val="28"/>
          <w:szCs w:val="28"/>
          <w:lang w:val="uk-UA"/>
        </w:rPr>
        <w:softHyphen/>
        <w:t>них елементів сполучної тканини, у формуванні позаклитинного матриксу та у процесах ангіогенезу, які є важливими в патогенезі багатьох, у тому числі, судинних захворювань [</w:t>
      </w:r>
      <w:r w:rsidR="00365A66" w:rsidRPr="000A32AD">
        <w:rPr>
          <w:rFonts w:ascii="Times New Roman" w:hAnsi="Times New Roman" w:cs="Times New Roman"/>
          <w:color w:val="000000" w:themeColor="text1"/>
          <w:sz w:val="28"/>
          <w:szCs w:val="28"/>
          <w:lang w:val="uk-UA"/>
        </w:rPr>
        <w:t>5</w:t>
      </w:r>
      <w:r w:rsidRPr="000A32AD">
        <w:rPr>
          <w:rFonts w:ascii="Times New Roman" w:hAnsi="Times New Roman" w:cs="Times New Roman"/>
          <w:color w:val="000000" w:themeColor="text1"/>
          <w:sz w:val="28"/>
          <w:szCs w:val="28"/>
          <w:lang w:val="uk-UA"/>
        </w:rPr>
        <w:t xml:space="preserve">; </w:t>
      </w:r>
      <w:r w:rsidR="00365A66" w:rsidRPr="000A32AD">
        <w:rPr>
          <w:rFonts w:ascii="Times New Roman" w:hAnsi="Times New Roman" w:cs="Times New Roman"/>
          <w:color w:val="000000" w:themeColor="text1"/>
          <w:sz w:val="28"/>
          <w:szCs w:val="28"/>
          <w:lang w:val="uk-UA"/>
        </w:rPr>
        <w:t>54</w:t>
      </w:r>
      <w:r w:rsidRPr="000A32AD">
        <w:rPr>
          <w:rFonts w:ascii="Times New Roman" w:hAnsi="Times New Roman" w:cs="Times New Roman"/>
          <w:color w:val="000000" w:themeColor="text1"/>
          <w:sz w:val="28"/>
          <w:szCs w:val="28"/>
          <w:lang w:val="uk-UA"/>
        </w:rPr>
        <w:t xml:space="preserve">; </w:t>
      </w:r>
      <w:r w:rsidR="00365A66" w:rsidRPr="000A32AD">
        <w:rPr>
          <w:rFonts w:ascii="Times New Roman" w:hAnsi="Times New Roman" w:cs="Times New Roman"/>
          <w:color w:val="000000" w:themeColor="text1"/>
          <w:sz w:val="28"/>
          <w:szCs w:val="28"/>
          <w:lang w:val="uk-UA"/>
        </w:rPr>
        <w:t>178</w:t>
      </w:r>
      <w:r w:rsidRPr="000A32AD">
        <w:rPr>
          <w:rFonts w:ascii="Times New Roman" w:hAnsi="Times New Roman" w:cs="Times New Roman"/>
          <w:color w:val="000000" w:themeColor="text1"/>
          <w:sz w:val="28"/>
          <w:szCs w:val="28"/>
          <w:lang w:val="uk-UA"/>
        </w:rPr>
        <w:t xml:space="preserve">; </w:t>
      </w:r>
      <w:r w:rsidR="00365A66" w:rsidRPr="000A32AD">
        <w:rPr>
          <w:rFonts w:ascii="Times New Roman" w:eastAsia="Times New Roman" w:hAnsi="Times New Roman" w:cs="Times New Roman"/>
          <w:color w:val="000000" w:themeColor="text1"/>
          <w:sz w:val="28"/>
          <w:szCs w:val="28"/>
          <w:lang w:val="uk-UA"/>
        </w:rPr>
        <w:t>188</w:t>
      </w:r>
      <w:r w:rsidRPr="000A32AD">
        <w:rPr>
          <w:rFonts w:ascii="Times New Roman" w:hAnsi="Times New Roman" w:cs="Times New Roman"/>
          <w:color w:val="000000" w:themeColor="text1"/>
          <w:sz w:val="28"/>
          <w:szCs w:val="28"/>
          <w:lang w:val="uk-UA"/>
        </w:rPr>
        <w:t xml:space="preserve">]. Тому вивчення цього показника метаболізму сполучної тканини </w:t>
      </w:r>
      <w:r w:rsidR="001366EC" w:rsidRPr="000A32AD">
        <w:rPr>
          <w:rFonts w:ascii="Times New Roman" w:hAnsi="Times New Roman" w:cs="Times New Roman"/>
          <w:color w:val="000000" w:themeColor="text1"/>
          <w:sz w:val="28"/>
          <w:szCs w:val="28"/>
          <w:lang w:val="uk-UA"/>
        </w:rPr>
        <w:t xml:space="preserve">та його ролі у розвитку АГ </w:t>
      </w:r>
      <w:r w:rsidRPr="000A32AD">
        <w:rPr>
          <w:rFonts w:ascii="Times New Roman" w:hAnsi="Times New Roman" w:cs="Times New Roman"/>
          <w:color w:val="000000" w:themeColor="text1"/>
          <w:sz w:val="28"/>
          <w:szCs w:val="28"/>
          <w:lang w:val="uk-UA"/>
        </w:rPr>
        <w:t>у хворих на ЦД 2 типу представляється досить актуальним.</w:t>
      </w:r>
    </w:p>
    <w:p w:rsidR="007D6B84" w:rsidRPr="007D6B84" w:rsidRDefault="007F5FCD" w:rsidP="007D6B84">
      <w:pPr>
        <w:pStyle w:val="a9"/>
        <w:spacing w:line="360" w:lineRule="auto"/>
        <w:ind w:right="104" w:firstLine="708"/>
        <w:jc w:val="both"/>
        <w:rPr>
          <w:rFonts w:ascii="Times New Roman" w:hAnsi="Times New Roman" w:cs="Times New Roman"/>
          <w:sz w:val="28"/>
          <w:szCs w:val="28"/>
        </w:rPr>
      </w:pPr>
      <w:r w:rsidRPr="000A32AD">
        <w:rPr>
          <w:rFonts w:ascii="Times New Roman" w:hAnsi="Times New Roman" w:cs="Times New Roman"/>
          <w:b/>
          <w:color w:val="000000" w:themeColor="text1"/>
          <w:sz w:val="28"/>
          <w:szCs w:val="28"/>
        </w:rPr>
        <w:t>Зв’язок роботи з науковими програмами</w:t>
      </w:r>
      <w:r w:rsidRPr="000A32AD">
        <w:rPr>
          <w:rFonts w:ascii="Times New Roman" w:hAnsi="Times New Roman" w:cs="Times New Roman"/>
          <w:color w:val="000000" w:themeColor="text1"/>
          <w:sz w:val="28"/>
          <w:szCs w:val="28"/>
        </w:rPr>
        <w:t xml:space="preserve">, </w:t>
      </w:r>
      <w:r w:rsidRPr="000A32AD">
        <w:rPr>
          <w:rFonts w:ascii="Times New Roman" w:hAnsi="Times New Roman" w:cs="Times New Roman"/>
          <w:b/>
          <w:color w:val="000000" w:themeColor="text1"/>
          <w:sz w:val="28"/>
          <w:szCs w:val="28"/>
        </w:rPr>
        <w:t>планами, темами</w:t>
      </w:r>
      <w:r w:rsidRPr="000A32AD">
        <w:rPr>
          <w:rFonts w:ascii="Times New Roman" w:hAnsi="Times New Roman" w:cs="Times New Roman"/>
          <w:color w:val="000000" w:themeColor="text1"/>
          <w:sz w:val="28"/>
          <w:szCs w:val="28"/>
        </w:rPr>
        <w:t xml:space="preserve">. </w:t>
      </w:r>
      <w:r w:rsidR="007D6B84" w:rsidRPr="00073FFA">
        <w:rPr>
          <w:rFonts w:ascii="Times New Roman" w:hAnsi="Times New Roman" w:cs="Times New Roman"/>
          <w:color w:val="000000" w:themeColor="text1"/>
          <w:sz w:val="28"/>
          <w:szCs w:val="28"/>
        </w:rPr>
        <w:t xml:space="preserve">Дисертація </w:t>
      </w:r>
      <w:r w:rsidR="007D6B84">
        <w:rPr>
          <w:rFonts w:ascii="Times New Roman" w:hAnsi="Times New Roman" w:cs="Times New Roman"/>
          <w:color w:val="000000" w:themeColor="text1"/>
          <w:sz w:val="28"/>
          <w:szCs w:val="28"/>
        </w:rPr>
        <w:t>є фрагментом науково-дослідн</w:t>
      </w:r>
      <w:r w:rsidR="007D6B84" w:rsidRPr="00073FFA">
        <w:rPr>
          <w:rFonts w:ascii="Times New Roman" w:hAnsi="Times New Roman" w:cs="Times New Roman"/>
          <w:color w:val="000000" w:themeColor="text1"/>
          <w:sz w:val="28"/>
          <w:szCs w:val="28"/>
        </w:rPr>
        <w:t>их робіт кафедри загальної практики - сімейної медицини Харківського національного університету ім. В.Н. Каразіна МОН України «Вивчення клініко-патогенетичних механізмів розвитку недиференційованої дисплазії сполучної тканини у ремоделюванні еластично-м’язових ткани</w:t>
      </w:r>
      <w:r w:rsidR="007D6B84">
        <w:rPr>
          <w:rFonts w:ascii="Times New Roman" w:hAnsi="Times New Roman" w:cs="Times New Roman"/>
          <w:color w:val="000000" w:themeColor="text1"/>
          <w:sz w:val="28"/>
          <w:szCs w:val="28"/>
        </w:rPr>
        <w:t>нних структур організму людини» (номер</w:t>
      </w:r>
      <w:r w:rsidR="007D6B84" w:rsidRPr="00073FFA">
        <w:rPr>
          <w:rFonts w:ascii="Times New Roman" w:hAnsi="Times New Roman" w:cs="Times New Roman"/>
          <w:color w:val="000000" w:themeColor="text1"/>
          <w:sz w:val="28"/>
          <w:szCs w:val="28"/>
        </w:rPr>
        <w:t xml:space="preserve"> державної реєстрації</w:t>
      </w:r>
      <w:r w:rsidR="007D6B84" w:rsidRPr="005F0C2B">
        <w:rPr>
          <w:rFonts w:ascii="Times New Roman" w:hAnsi="Times New Roman" w:cs="Times New Roman"/>
          <w:color w:val="000000" w:themeColor="text1"/>
          <w:sz w:val="28"/>
          <w:szCs w:val="28"/>
        </w:rPr>
        <w:t xml:space="preserve"> </w:t>
      </w:r>
      <w:r w:rsidR="007D6B84" w:rsidRPr="00073FFA">
        <w:rPr>
          <w:rFonts w:ascii="Times New Roman" w:hAnsi="Times New Roman" w:cs="Times New Roman"/>
          <w:color w:val="000000" w:themeColor="text1"/>
          <w:sz w:val="28"/>
          <w:szCs w:val="28"/>
        </w:rPr>
        <w:t> 0112U001027), термін викон</w:t>
      </w:r>
      <w:r w:rsidR="007D6B84">
        <w:rPr>
          <w:rFonts w:ascii="Times New Roman" w:hAnsi="Times New Roman" w:cs="Times New Roman"/>
          <w:color w:val="000000" w:themeColor="text1"/>
          <w:sz w:val="28"/>
          <w:szCs w:val="28"/>
        </w:rPr>
        <w:t>ання 2012-2014 рр. та «Ремоделю</w:t>
      </w:r>
      <w:r w:rsidR="007D6B84" w:rsidRPr="00073FFA">
        <w:rPr>
          <w:rFonts w:ascii="Times New Roman" w:hAnsi="Times New Roman" w:cs="Times New Roman"/>
          <w:color w:val="000000" w:themeColor="text1"/>
          <w:sz w:val="28"/>
          <w:szCs w:val="28"/>
        </w:rPr>
        <w:t>вання еластично-тканинних структур при ранній діагностиці уражень серця при недиференційованій дисплазіїї сполучної тканини у молодих осіб з дисметаболічними зрушеннями» (номер державної реєстрації 0116</w:t>
      </w:r>
      <w:r w:rsidR="007D6B84" w:rsidRPr="00073FFA">
        <w:rPr>
          <w:rFonts w:ascii="Times New Roman" w:hAnsi="Times New Roman" w:cs="Times New Roman"/>
          <w:color w:val="000000" w:themeColor="text1"/>
          <w:sz w:val="28"/>
          <w:szCs w:val="28"/>
          <w:lang w:val="en-US"/>
        </w:rPr>
        <w:t>U</w:t>
      </w:r>
      <w:r w:rsidR="007D6B84" w:rsidRPr="00073FFA">
        <w:rPr>
          <w:rFonts w:ascii="Times New Roman" w:hAnsi="Times New Roman" w:cs="Times New Roman"/>
          <w:color w:val="000000" w:themeColor="text1"/>
          <w:sz w:val="28"/>
          <w:szCs w:val="28"/>
        </w:rPr>
        <w:t>002834), термін виконання 2016-2020 рр.</w:t>
      </w:r>
      <w:r w:rsidR="007D6B84" w:rsidRPr="009F1CFC">
        <w:t xml:space="preserve"> </w:t>
      </w:r>
      <w:r w:rsidR="007D6B84" w:rsidRPr="009F1CFC">
        <w:rPr>
          <w:rFonts w:ascii="Times New Roman" w:hAnsi="Times New Roman" w:cs="Times New Roman"/>
          <w:sz w:val="28"/>
          <w:szCs w:val="28"/>
        </w:rPr>
        <w:t xml:space="preserve">Здобувачем проведено аналіз наукової літератури </w:t>
      </w:r>
      <w:r w:rsidR="007D6B84">
        <w:rPr>
          <w:rFonts w:ascii="Times New Roman" w:hAnsi="Times New Roman" w:cs="Times New Roman"/>
          <w:sz w:val="28"/>
          <w:szCs w:val="28"/>
        </w:rPr>
        <w:t>щодо впливу порушень метаболізму сполучної тканини на розвиток коморбідної патології</w:t>
      </w:r>
      <w:r w:rsidR="007D6B84" w:rsidRPr="009F1CFC">
        <w:rPr>
          <w:rFonts w:ascii="Times New Roman" w:hAnsi="Times New Roman" w:cs="Times New Roman"/>
          <w:sz w:val="28"/>
          <w:szCs w:val="28"/>
        </w:rPr>
        <w:t>, виконано патентно-інформаційний пошук</w:t>
      </w:r>
      <w:r w:rsidR="007D6B84">
        <w:rPr>
          <w:rFonts w:ascii="Times New Roman" w:hAnsi="Times New Roman" w:cs="Times New Roman"/>
          <w:sz w:val="28"/>
          <w:szCs w:val="28"/>
        </w:rPr>
        <w:t xml:space="preserve"> за темою</w:t>
      </w:r>
      <w:r w:rsidR="007D6B84" w:rsidRPr="009F1CFC">
        <w:rPr>
          <w:rFonts w:ascii="Times New Roman" w:hAnsi="Times New Roman" w:cs="Times New Roman"/>
          <w:sz w:val="28"/>
          <w:szCs w:val="28"/>
        </w:rPr>
        <w:t xml:space="preserve">. Здобувач брала участь у проведенні відбору тематичних хворих, </w:t>
      </w:r>
      <w:r w:rsidR="007D6B84">
        <w:rPr>
          <w:rFonts w:ascii="Times New Roman" w:hAnsi="Times New Roman" w:cs="Times New Roman"/>
          <w:sz w:val="28"/>
          <w:szCs w:val="28"/>
        </w:rPr>
        <w:t xml:space="preserve">статистичну обробку та аналіз </w:t>
      </w:r>
      <w:r w:rsidR="007D6B84" w:rsidRPr="009F1CFC">
        <w:rPr>
          <w:rFonts w:ascii="Times New Roman" w:hAnsi="Times New Roman" w:cs="Times New Roman"/>
          <w:sz w:val="28"/>
          <w:szCs w:val="28"/>
        </w:rPr>
        <w:t>отриманих результатів</w:t>
      </w:r>
      <w:r w:rsidR="007D6B84">
        <w:rPr>
          <w:rFonts w:ascii="Times New Roman" w:hAnsi="Times New Roman" w:cs="Times New Roman"/>
          <w:sz w:val="28"/>
          <w:szCs w:val="28"/>
        </w:rPr>
        <w:t xml:space="preserve"> дослідження</w:t>
      </w:r>
      <w:r w:rsidR="007D6B84" w:rsidRPr="009F1CFC">
        <w:rPr>
          <w:rFonts w:ascii="Times New Roman" w:hAnsi="Times New Roman" w:cs="Times New Roman"/>
          <w:sz w:val="28"/>
          <w:szCs w:val="28"/>
        </w:rPr>
        <w:t xml:space="preserve">, написанні наукових праць, </w:t>
      </w:r>
      <w:r w:rsidR="007D6B84">
        <w:rPr>
          <w:rFonts w:ascii="Times New Roman" w:hAnsi="Times New Roman" w:cs="Times New Roman"/>
          <w:spacing w:val="-5"/>
          <w:sz w:val="28"/>
          <w:szCs w:val="28"/>
        </w:rPr>
        <w:t>в</w:t>
      </w:r>
      <w:r w:rsidR="007D6B84" w:rsidRPr="009F1CFC">
        <w:rPr>
          <w:rFonts w:ascii="Times New Roman" w:hAnsi="Times New Roman" w:cs="Times New Roman"/>
          <w:spacing w:val="-5"/>
          <w:sz w:val="28"/>
          <w:szCs w:val="28"/>
        </w:rPr>
        <w:t xml:space="preserve">провадженні результатів дослідження </w:t>
      </w:r>
      <w:r w:rsidR="007D6B84" w:rsidRPr="009F1CFC">
        <w:rPr>
          <w:rFonts w:ascii="Times New Roman" w:hAnsi="Times New Roman" w:cs="Times New Roman"/>
          <w:sz w:val="28"/>
          <w:szCs w:val="28"/>
        </w:rPr>
        <w:t xml:space="preserve">в </w:t>
      </w:r>
      <w:r w:rsidR="007D6B84" w:rsidRPr="009F1CFC">
        <w:rPr>
          <w:rFonts w:ascii="Times New Roman" w:hAnsi="Times New Roman" w:cs="Times New Roman"/>
          <w:spacing w:val="-4"/>
          <w:sz w:val="28"/>
          <w:szCs w:val="28"/>
        </w:rPr>
        <w:t xml:space="preserve">заклади </w:t>
      </w:r>
      <w:r w:rsidR="007D6B84" w:rsidRPr="009F1CFC">
        <w:rPr>
          <w:rFonts w:ascii="Times New Roman" w:hAnsi="Times New Roman" w:cs="Times New Roman"/>
          <w:spacing w:val="-5"/>
          <w:sz w:val="28"/>
          <w:szCs w:val="28"/>
        </w:rPr>
        <w:t xml:space="preserve">практичної </w:t>
      </w:r>
      <w:r w:rsidR="007D6B84" w:rsidRPr="009F1CFC">
        <w:rPr>
          <w:rFonts w:ascii="Times New Roman" w:hAnsi="Times New Roman" w:cs="Times New Roman"/>
          <w:spacing w:val="-4"/>
          <w:sz w:val="28"/>
          <w:szCs w:val="28"/>
        </w:rPr>
        <w:t xml:space="preserve">охорони </w:t>
      </w:r>
      <w:r w:rsidR="007D6B84" w:rsidRPr="009F1CFC">
        <w:rPr>
          <w:rFonts w:ascii="Times New Roman" w:hAnsi="Times New Roman" w:cs="Times New Roman"/>
          <w:spacing w:val="-5"/>
          <w:sz w:val="28"/>
          <w:szCs w:val="28"/>
        </w:rPr>
        <w:t>здоров`я.</w:t>
      </w:r>
    </w:p>
    <w:p w:rsidR="007F5FCD" w:rsidRPr="000A32AD" w:rsidRDefault="007F5FCD" w:rsidP="007F5FCD">
      <w:pPr>
        <w:tabs>
          <w:tab w:val="left" w:pos="1134"/>
        </w:tabs>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b/>
          <w:color w:val="000000" w:themeColor="text1"/>
          <w:sz w:val="28"/>
          <w:szCs w:val="28"/>
          <w:lang w:val="uk-UA"/>
        </w:rPr>
        <w:t>Мета дослідження</w:t>
      </w:r>
      <w:r w:rsidRPr="000A32AD">
        <w:rPr>
          <w:rFonts w:ascii="Times New Roman" w:hAnsi="Times New Roman" w:cs="Times New Roman"/>
          <w:color w:val="000000" w:themeColor="text1"/>
          <w:sz w:val="28"/>
          <w:szCs w:val="28"/>
          <w:lang w:val="uk-UA"/>
        </w:rPr>
        <w:t xml:space="preserve">: </w:t>
      </w:r>
      <w:r w:rsidR="001366EC" w:rsidRPr="000A32AD">
        <w:rPr>
          <w:rFonts w:ascii="Times New Roman" w:hAnsi="Times New Roman" w:cs="Times New Roman"/>
          <w:color w:val="000000" w:themeColor="text1"/>
          <w:sz w:val="28"/>
          <w:szCs w:val="28"/>
          <w:lang w:val="uk-UA"/>
        </w:rPr>
        <w:t xml:space="preserve">підвищення ефективності ранньої діагностики та прогнозування артеріальної гіпертензії у хворих на цукровий діабет 2 типу </w:t>
      </w:r>
      <w:r w:rsidR="001366EC" w:rsidRPr="000A32AD">
        <w:rPr>
          <w:rFonts w:ascii="Times New Roman" w:hAnsi="Times New Roman" w:cs="Times New Roman"/>
          <w:color w:val="000000" w:themeColor="text1"/>
          <w:sz w:val="28"/>
          <w:szCs w:val="28"/>
          <w:lang w:val="uk-UA"/>
        </w:rPr>
        <w:lastRenderedPageBreak/>
        <w:t>шляхом визначення ланок патогенезу судинних ускладнень при наявності ознак дисплазії сполучної тканини</w:t>
      </w:r>
      <w:r w:rsidRPr="000A32AD">
        <w:rPr>
          <w:rFonts w:ascii="Times New Roman" w:hAnsi="Times New Roman" w:cs="Times New Roman"/>
          <w:color w:val="000000" w:themeColor="text1"/>
          <w:sz w:val="28"/>
          <w:szCs w:val="28"/>
          <w:lang w:val="uk-UA"/>
        </w:rPr>
        <w:t xml:space="preserve">. </w:t>
      </w:r>
    </w:p>
    <w:p w:rsidR="007F5FCD" w:rsidRPr="000A32AD" w:rsidRDefault="007F5FCD" w:rsidP="007F5FCD">
      <w:pPr>
        <w:keepNext/>
        <w:tabs>
          <w:tab w:val="left" w:pos="1134"/>
        </w:tabs>
        <w:spacing w:line="360" w:lineRule="auto"/>
        <w:ind w:firstLine="709"/>
        <w:jc w:val="both"/>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t>Задачі дослідження:</w:t>
      </w:r>
    </w:p>
    <w:p w:rsidR="007F5FCD" w:rsidRPr="000A32AD" w:rsidRDefault="007F5FCD" w:rsidP="007F5FCD">
      <w:pPr>
        <w:tabs>
          <w:tab w:val="left" w:pos="1134"/>
        </w:tabs>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1. Вивчити </w:t>
      </w:r>
      <w:r w:rsidR="00991641" w:rsidRPr="000A32AD">
        <w:rPr>
          <w:rFonts w:ascii="Times New Roman" w:hAnsi="Times New Roman" w:cs="Times New Roman"/>
          <w:color w:val="000000" w:themeColor="text1"/>
          <w:sz w:val="28"/>
          <w:szCs w:val="28"/>
          <w:lang w:val="uk-UA"/>
        </w:rPr>
        <w:t xml:space="preserve">частоту супутньої патології, ознак </w:t>
      </w:r>
      <w:r w:rsidR="00167C84" w:rsidRPr="000A32AD">
        <w:rPr>
          <w:rFonts w:ascii="Times New Roman" w:hAnsi="Times New Roman" w:cs="Times New Roman"/>
          <w:color w:val="000000" w:themeColor="text1"/>
          <w:sz w:val="28"/>
          <w:szCs w:val="28"/>
          <w:lang w:val="uk-UA"/>
        </w:rPr>
        <w:t>НДСТ</w:t>
      </w:r>
      <w:r w:rsidR="00991641" w:rsidRPr="000A32AD">
        <w:rPr>
          <w:rFonts w:ascii="Times New Roman" w:hAnsi="Times New Roman" w:cs="Times New Roman"/>
          <w:color w:val="000000" w:themeColor="text1"/>
          <w:sz w:val="28"/>
          <w:szCs w:val="28"/>
          <w:lang w:val="uk-UA"/>
        </w:rPr>
        <w:t xml:space="preserve"> та судинних ускладнень </w:t>
      </w:r>
      <w:r w:rsidRPr="000A32AD">
        <w:rPr>
          <w:rFonts w:ascii="Times New Roman" w:hAnsi="Times New Roman" w:cs="Times New Roman"/>
          <w:color w:val="000000" w:themeColor="text1"/>
          <w:sz w:val="28"/>
          <w:szCs w:val="28"/>
          <w:lang w:val="uk-UA"/>
        </w:rPr>
        <w:t xml:space="preserve">у хворих на </w:t>
      </w:r>
      <w:r w:rsidR="00991641" w:rsidRPr="000A32AD">
        <w:rPr>
          <w:rFonts w:ascii="Times New Roman" w:hAnsi="Times New Roman" w:cs="Times New Roman"/>
          <w:color w:val="000000" w:themeColor="text1"/>
          <w:sz w:val="28"/>
          <w:szCs w:val="28"/>
          <w:lang w:val="uk-UA"/>
        </w:rPr>
        <w:t xml:space="preserve">цукровий діабет </w:t>
      </w:r>
      <w:r w:rsidRPr="000A32AD">
        <w:rPr>
          <w:rFonts w:ascii="Times New Roman" w:hAnsi="Times New Roman" w:cs="Times New Roman"/>
          <w:color w:val="000000" w:themeColor="text1"/>
          <w:sz w:val="28"/>
          <w:szCs w:val="28"/>
          <w:lang w:val="uk-UA"/>
        </w:rPr>
        <w:t>2 типу.</w:t>
      </w:r>
    </w:p>
    <w:p w:rsidR="007F5FCD" w:rsidRPr="000A32AD" w:rsidRDefault="007F5FCD" w:rsidP="007F5FCD">
      <w:pPr>
        <w:tabs>
          <w:tab w:val="left" w:pos="1134"/>
        </w:tabs>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2. Дослідити рівень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 xml:space="preserve"> в крові хворих на </w:t>
      </w:r>
      <w:r w:rsidR="00991641" w:rsidRPr="000A32AD">
        <w:rPr>
          <w:rFonts w:ascii="Times New Roman" w:hAnsi="Times New Roman" w:cs="Times New Roman"/>
          <w:color w:val="000000" w:themeColor="text1"/>
          <w:sz w:val="28"/>
          <w:szCs w:val="28"/>
          <w:lang w:val="uk-UA"/>
        </w:rPr>
        <w:t xml:space="preserve">цукровий діабет </w:t>
      </w:r>
      <w:r w:rsidRPr="000A32AD">
        <w:rPr>
          <w:rFonts w:ascii="Times New Roman" w:hAnsi="Times New Roman" w:cs="Times New Roman"/>
          <w:color w:val="000000" w:themeColor="text1"/>
          <w:sz w:val="28"/>
          <w:szCs w:val="28"/>
          <w:lang w:val="uk-UA"/>
        </w:rPr>
        <w:t xml:space="preserve">2 типу </w:t>
      </w:r>
      <w:r w:rsidR="00167C84" w:rsidRPr="000A32AD">
        <w:rPr>
          <w:rFonts w:ascii="Times New Roman" w:hAnsi="Times New Roman" w:cs="Times New Roman"/>
          <w:color w:val="000000" w:themeColor="text1"/>
          <w:sz w:val="28"/>
          <w:szCs w:val="28"/>
          <w:lang w:val="uk-UA"/>
        </w:rPr>
        <w:t>у сполученні з АГ та</w:t>
      </w:r>
      <w:r w:rsidRPr="000A32AD">
        <w:rPr>
          <w:rFonts w:ascii="Times New Roman" w:hAnsi="Times New Roman" w:cs="Times New Roman"/>
          <w:color w:val="000000" w:themeColor="text1"/>
          <w:sz w:val="28"/>
          <w:szCs w:val="28"/>
          <w:lang w:val="uk-UA"/>
        </w:rPr>
        <w:t xml:space="preserve"> НДСТ.</w:t>
      </w:r>
    </w:p>
    <w:p w:rsidR="007F5FCD" w:rsidRPr="000A32AD" w:rsidRDefault="007F5FCD" w:rsidP="007F5FCD">
      <w:pPr>
        <w:tabs>
          <w:tab w:val="left" w:pos="1134"/>
        </w:tabs>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3. Проаналізувати залежність рівня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 xml:space="preserve"> від тривалості </w:t>
      </w:r>
      <w:r w:rsidR="00991641" w:rsidRPr="000A32AD">
        <w:rPr>
          <w:rFonts w:ascii="Times New Roman" w:hAnsi="Times New Roman" w:cs="Times New Roman"/>
          <w:color w:val="000000" w:themeColor="text1"/>
          <w:sz w:val="28"/>
          <w:szCs w:val="28"/>
          <w:lang w:val="uk-UA"/>
        </w:rPr>
        <w:t>цукров</w:t>
      </w:r>
      <w:r w:rsidR="00167C84" w:rsidRPr="000A32AD">
        <w:rPr>
          <w:rFonts w:ascii="Times New Roman" w:hAnsi="Times New Roman" w:cs="Times New Roman"/>
          <w:color w:val="000000" w:themeColor="text1"/>
          <w:sz w:val="28"/>
          <w:szCs w:val="28"/>
          <w:lang w:val="uk-UA"/>
        </w:rPr>
        <w:t>ого</w:t>
      </w:r>
      <w:r w:rsidR="00991641" w:rsidRPr="000A32AD">
        <w:rPr>
          <w:rFonts w:ascii="Times New Roman" w:hAnsi="Times New Roman" w:cs="Times New Roman"/>
          <w:color w:val="000000" w:themeColor="text1"/>
          <w:sz w:val="28"/>
          <w:szCs w:val="28"/>
          <w:lang w:val="uk-UA"/>
        </w:rPr>
        <w:t xml:space="preserve"> діабет</w:t>
      </w:r>
      <w:r w:rsidR="00167C84" w:rsidRPr="000A32AD">
        <w:rPr>
          <w:rFonts w:ascii="Times New Roman" w:hAnsi="Times New Roman" w:cs="Times New Roman"/>
          <w:color w:val="000000" w:themeColor="text1"/>
          <w:sz w:val="28"/>
          <w:szCs w:val="28"/>
          <w:lang w:val="uk-UA"/>
        </w:rPr>
        <w:t>у</w:t>
      </w:r>
      <w:r w:rsidR="00991641"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та наявності АГ.</w:t>
      </w:r>
    </w:p>
    <w:p w:rsidR="007F5FCD" w:rsidRPr="000A32AD" w:rsidRDefault="007F5FCD" w:rsidP="007F5FCD">
      <w:pPr>
        <w:tabs>
          <w:tab w:val="left" w:pos="1134"/>
        </w:tabs>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4. Вивчити патоморфологічні зміни паренхіми нирок та їх судин у хворих на </w:t>
      </w:r>
      <w:r w:rsidR="00991641" w:rsidRPr="000A32AD">
        <w:rPr>
          <w:rFonts w:ascii="Times New Roman" w:hAnsi="Times New Roman" w:cs="Times New Roman"/>
          <w:color w:val="000000" w:themeColor="text1"/>
          <w:sz w:val="28"/>
          <w:szCs w:val="28"/>
          <w:lang w:val="uk-UA"/>
        </w:rPr>
        <w:t xml:space="preserve">цукровий діабет </w:t>
      </w:r>
      <w:r w:rsidRPr="000A32AD">
        <w:rPr>
          <w:rFonts w:ascii="Times New Roman" w:hAnsi="Times New Roman" w:cs="Times New Roman"/>
          <w:color w:val="000000" w:themeColor="text1"/>
          <w:sz w:val="28"/>
          <w:szCs w:val="28"/>
          <w:lang w:val="uk-UA"/>
        </w:rPr>
        <w:t xml:space="preserve">2 типу залежно від наявності НДСТ. </w:t>
      </w:r>
    </w:p>
    <w:p w:rsidR="007F5FCD" w:rsidRPr="000A32AD" w:rsidRDefault="007F5FCD" w:rsidP="007F5FCD">
      <w:pPr>
        <w:tabs>
          <w:tab w:val="left" w:pos="1134"/>
        </w:tabs>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5. З’ясувати патогенетичну роль НДСТ та можливість застосування маркерів НДСТ для прогнозування розвитку АГ у хворих на </w:t>
      </w:r>
      <w:r w:rsidR="00991641" w:rsidRPr="000A32AD">
        <w:rPr>
          <w:rFonts w:ascii="Times New Roman" w:hAnsi="Times New Roman" w:cs="Times New Roman"/>
          <w:color w:val="000000" w:themeColor="text1"/>
          <w:sz w:val="28"/>
          <w:szCs w:val="28"/>
          <w:lang w:val="uk-UA"/>
        </w:rPr>
        <w:t xml:space="preserve">цукровий діабет </w:t>
      </w:r>
      <w:r w:rsidRPr="000A32AD">
        <w:rPr>
          <w:rFonts w:ascii="Times New Roman" w:hAnsi="Times New Roman" w:cs="Times New Roman"/>
          <w:color w:val="000000" w:themeColor="text1"/>
          <w:sz w:val="28"/>
          <w:szCs w:val="28"/>
          <w:lang w:val="uk-UA"/>
        </w:rPr>
        <w:t>2 типу.</w:t>
      </w:r>
    </w:p>
    <w:p w:rsidR="007F5FCD" w:rsidRPr="007D6B84" w:rsidRDefault="007F5FCD" w:rsidP="007D6B84">
      <w:pPr>
        <w:tabs>
          <w:tab w:val="left" w:pos="1134"/>
        </w:tabs>
        <w:spacing w:line="360" w:lineRule="auto"/>
        <w:ind w:firstLine="709"/>
        <w:jc w:val="both"/>
        <w:rPr>
          <w:rFonts w:ascii="Times New Roman" w:hAnsi="Times New Roman" w:cs="Times New Roman"/>
          <w:color w:val="auto"/>
          <w:sz w:val="28"/>
          <w:szCs w:val="28"/>
          <w:lang w:val="uk-UA"/>
        </w:rPr>
      </w:pPr>
      <w:r w:rsidRPr="000A32AD">
        <w:rPr>
          <w:rFonts w:ascii="Times New Roman" w:hAnsi="Times New Roman" w:cs="Times New Roman"/>
          <w:i/>
          <w:color w:val="000000" w:themeColor="text1"/>
          <w:sz w:val="28"/>
          <w:szCs w:val="28"/>
          <w:lang w:val="uk-UA"/>
        </w:rPr>
        <w:t>Об’єкт дослідження</w:t>
      </w:r>
      <w:r w:rsidRPr="000A32AD">
        <w:rPr>
          <w:rFonts w:ascii="Times New Roman" w:hAnsi="Times New Roman" w:cs="Times New Roman"/>
          <w:color w:val="000000" w:themeColor="text1"/>
          <w:sz w:val="28"/>
          <w:szCs w:val="28"/>
          <w:lang w:val="uk-UA"/>
        </w:rPr>
        <w:t>:</w:t>
      </w:r>
      <w:r w:rsidR="007D6B84" w:rsidRPr="007D6B84">
        <w:rPr>
          <w:rFonts w:ascii="Times New Roman" w:hAnsi="Times New Roman" w:cs="Times New Roman"/>
          <w:color w:val="auto"/>
          <w:sz w:val="28"/>
          <w:szCs w:val="28"/>
          <w:lang w:val="uk-UA"/>
        </w:rPr>
        <w:t xml:space="preserve"> </w:t>
      </w:r>
      <w:r w:rsidR="007D6B84">
        <w:rPr>
          <w:rFonts w:ascii="Times New Roman" w:hAnsi="Times New Roman" w:cs="Times New Roman"/>
          <w:color w:val="auto"/>
          <w:sz w:val="28"/>
          <w:szCs w:val="28"/>
          <w:lang w:val="uk-UA"/>
        </w:rPr>
        <w:t>а</w:t>
      </w:r>
      <w:r w:rsidR="007D6B84" w:rsidRPr="009F1CFC">
        <w:rPr>
          <w:rFonts w:ascii="Times New Roman" w:hAnsi="Times New Roman" w:cs="Times New Roman"/>
          <w:color w:val="auto"/>
          <w:sz w:val="28"/>
          <w:szCs w:val="28"/>
          <w:lang w:val="uk-UA"/>
        </w:rPr>
        <w:t>ртеріальна</w:t>
      </w:r>
      <w:r w:rsidR="007D6B84">
        <w:rPr>
          <w:rFonts w:ascii="Times New Roman" w:hAnsi="Times New Roman" w:cs="Times New Roman"/>
          <w:color w:val="auto"/>
          <w:sz w:val="28"/>
          <w:szCs w:val="28"/>
          <w:lang w:val="uk-UA"/>
        </w:rPr>
        <w:t xml:space="preserve"> </w:t>
      </w:r>
      <w:r w:rsidR="007D6B84" w:rsidRPr="009F1CFC">
        <w:rPr>
          <w:rFonts w:ascii="Times New Roman" w:hAnsi="Times New Roman" w:cs="Times New Roman"/>
          <w:color w:val="auto"/>
          <w:sz w:val="28"/>
          <w:szCs w:val="28"/>
          <w:lang w:val="uk-UA"/>
        </w:rPr>
        <w:t>гіпертензія</w:t>
      </w:r>
      <w:r w:rsidR="007D6B84" w:rsidRPr="00073FFA">
        <w:rPr>
          <w:rFonts w:ascii="Times New Roman" w:hAnsi="Times New Roman" w:cs="Times New Roman"/>
          <w:color w:val="000000" w:themeColor="text1"/>
          <w:sz w:val="28"/>
          <w:szCs w:val="28"/>
          <w:lang w:val="uk-UA"/>
        </w:rPr>
        <w:t xml:space="preserve"> </w:t>
      </w:r>
      <w:r w:rsidR="007D6B84">
        <w:rPr>
          <w:rFonts w:ascii="Times New Roman" w:hAnsi="Times New Roman" w:cs="Times New Roman"/>
          <w:color w:val="000000" w:themeColor="text1"/>
          <w:sz w:val="28"/>
          <w:szCs w:val="28"/>
          <w:lang w:val="uk-UA"/>
        </w:rPr>
        <w:t>в поєднанні з цукровим</w:t>
      </w:r>
      <w:r w:rsidR="007D6B84" w:rsidRPr="00073FFA">
        <w:rPr>
          <w:rFonts w:ascii="Times New Roman" w:hAnsi="Times New Roman" w:cs="Times New Roman"/>
          <w:color w:val="000000" w:themeColor="text1"/>
          <w:sz w:val="28"/>
          <w:szCs w:val="28"/>
          <w:lang w:val="uk-UA"/>
        </w:rPr>
        <w:t xml:space="preserve"> діабет</w:t>
      </w:r>
      <w:r w:rsidR="007D6B84">
        <w:rPr>
          <w:rFonts w:ascii="Times New Roman" w:hAnsi="Times New Roman" w:cs="Times New Roman"/>
          <w:color w:val="000000" w:themeColor="text1"/>
          <w:sz w:val="28"/>
          <w:szCs w:val="28"/>
          <w:lang w:val="uk-UA"/>
        </w:rPr>
        <w:t>ом</w:t>
      </w:r>
      <w:r w:rsidR="007D6B84" w:rsidRPr="00073FFA">
        <w:rPr>
          <w:rFonts w:ascii="Times New Roman" w:hAnsi="Times New Roman" w:cs="Times New Roman"/>
          <w:color w:val="000000" w:themeColor="text1"/>
          <w:sz w:val="28"/>
          <w:szCs w:val="28"/>
          <w:lang w:val="uk-UA"/>
        </w:rPr>
        <w:t xml:space="preserve"> 2 типу на тлі</w:t>
      </w:r>
      <w:r w:rsidR="007D6B84" w:rsidRPr="009F1CFC">
        <w:rPr>
          <w:rFonts w:ascii="Times New Roman" w:hAnsi="Times New Roman" w:cs="Times New Roman"/>
          <w:color w:val="auto"/>
          <w:sz w:val="28"/>
          <w:szCs w:val="28"/>
          <w:lang w:val="uk-UA"/>
        </w:rPr>
        <w:t xml:space="preserve"> </w:t>
      </w:r>
      <w:r w:rsidR="007D6B84">
        <w:rPr>
          <w:rFonts w:ascii="Times New Roman" w:hAnsi="Times New Roman" w:cs="Times New Roman"/>
          <w:color w:val="auto"/>
          <w:sz w:val="28"/>
          <w:szCs w:val="28"/>
          <w:lang w:val="uk-UA"/>
        </w:rPr>
        <w:t>недиференційованої дисплазії сполучної тканини.</w:t>
      </w:r>
      <w:r w:rsidR="007D6B84">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 </w:t>
      </w:r>
    </w:p>
    <w:p w:rsidR="007D6B84" w:rsidRPr="00A0066B" w:rsidRDefault="007D6B84" w:rsidP="007D6B84">
      <w:pPr>
        <w:tabs>
          <w:tab w:val="left" w:pos="1134"/>
        </w:tabs>
        <w:spacing w:line="360" w:lineRule="auto"/>
        <w:ind w:firstLine="709"/>
        <w:jc w:val="both"/>
        <w:rPr>
          <w:rFonts w:ascii="Times New Roman" w:hAnsi="Times New Roman" w:cs="Times New Roman"/>
          <w:sz w:val="28"/>
          <w:szCs w:val="28"/>
          <w:lang w:val="uk-UA"/>
        </w:rPr>
      </w:pPr>
      <w:r>
        <w:rPr>
          <w:rFonts w:ascii="Times New Roman" w:hAnsi="Times New Roman" w:cs="Times New Roman"/>
          <w:i/>
          <w:color w:val="000000" w:themeColor="text1"/>
          <w:sz w:val="28"/>
          <w:szCs w:val="28"/>
          <w:lang w:val="uk-UA"/>
        </w:rPr>
        <w:t>Предмет дослідження:</w:t>
      </w:r>
      <w:r>
        <w:rPr>
          <w:rFonts w:ascii="Times New Roman" w:hAnsi="Times New Roman" w:cs="Times New Roman"/>
          <w:i/>
          <w:color w:val="auto"/>
          <w:sz w:val="28"/>
          <w:szCs w:val="28"/>
          <w:lang w:val="uk-UA"/>
        </w:rPr>
        <w:t xml:space="preserve"> </w:t>
      </w:r>
      <w:r>
        <w:rPr>
          <w:rFonts w:ascii="Times New Roman" w:hAnsi="Times New Roman" w:cs="Times New Roman"/>
          <w:color w:val="auto"/>
          <w:sz w:val="28"/>
          <w:szCs w:val="28"/>
          <w:lang w:val="uk-UA"/>
        </w:rPr>
        <w:t>показники ІМТ,</w:t>
      </w:r>
      <w:r w:rsidRPr="008C2299">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вісцеральні та скелетні ознаки </w:t>
      </w:r>
      <w:r w:rsidRPr="00073FFA">
        <w:rPr>
          <w:rFonts w:ascii="Times New Roman" w:hAnsi="Times New Roman" w:cs="Times New Roman"/>
          <w:color w:val="000000" w:themeColor="text1"/>
          <w:sz w:val="28"/>
          <w:szCs w:val="28"/>
          <w:lang w:val="uk-UA"/>
        </w:rPr>
        <w:t>дисплазії сполучної тканини</w:t>
      </w:r>
      <w:r>
        <w:rPr>
          <w:rFonts w:ascii="Times New Roman" w:hAnsi="Times New Roman" w:cs="Times New Roman"/>
          <w:color w:val="000000" w:themeColor="text1"/>
          <w:sz w:val="28"/>
          <w:szCs w:val="28"/>
          <w:lang w:val="uk-UA"/>
        </w:rPr>
        <w:t>,</w:t>
      </w:r>
      <w:r w:rsidRPr="008C2299">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ступінь виразності артеріальної гіпертензії,  </w:t>
      </w:r>
      <w:r>
        <w:rPr>
          <w:rFonts w:ascii="Times New Roman" w:hAnsi="Times New Roman" w:cs="Times New Roman"/>
          <w:color w:val="auto"/>
          <w:sz w:val="28"/>
          <w:szCs w:val="28"/>
          <w:lang w:val="uk-UA"/>
        </w:rPr>
        <w:t>показники</w:t>
      </w:r>
      <w:r w:rsidRPr="005D45B1">
        <w:rPr>
          <w:rFonts w:ascii="Times New Roman" w:hAnsi="Times New Roman" w:cs="Times New Roman"/>
          <w:i/>
          <w:color w:val="auto"/>
          <w:sz w:val="28"/>
          <w:szCs w:val="28"/>
          <w:lang w:val="uk-UA"/>
        </w:rPr>
        <w:t xml:space="preserve"> </w:t>
      </w:r>
      <w:r>
        <w:rPr>
          <w:rFonts w:ascii="Times New Roman" w:hAnsi="Times New Roman" w:cs="Times New Roman"/>
          <w:color w:val="auto"/>
          <w:sz w:val="28"/>
          <w:szCs w:val="28"/>
          <w:lang w:val="uk-UA"/>
        </w:rPr>
        <w:t>основного</w:t>
      </w:r>
      <w:r w:rsidRPr="009F1CFC">
        <w:rPr>
          <w:rFonts w:ascii="Times New Roman" w:hAnsi="Times New Roman" w:cs="Times New Roman"/>
          <w:color w:val="auto"/>
          <w:sz w:val="28"/>
          <w:szCs w:val="28"/>
          <w:lang w:val="uk-UA"/>
        </w:rPr>
        <w:t xml:space="preserve"> фактор</w:t>
      </w:r>
      <w:r>
        <w:rPr>
          <w:rFonts w:ascii="Times New Roman" w:hAnsi="Times New Roman" w:cs="Times New Roman"/>
          <w:color w:val="auto"/>
          <w:sz w:val="28"/>
          <w:szCs w:val="28"/>
          <w:lang w:val="uk-UA"/>
        </w:rPr>
        <w:t xml:space="preserve">у </w:t>
      </w:r>
      <w:r w:rsidRPr="00073FFA">
        <w:rPr>
          <w:rFonts w:ascii="Times New Roman" w:hAnsi="Times New Roman" w:cs="Times New Roman"/>
          <w:color w:val="000000" w:themeColor="text1"/>
          <w:sz w:val="28"/>
          <w:szCs w:val="28"/>
          <w:lang w:val="uk-UA"/>
        </w:rPr>
        <w:t>росту фібробластів</w:t>
      </w:r>
      <w:r w:rsidRPr="008C2299">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в плазмі крові, рівень глікозованого гемоглобіну, показники мікроальбумінурії, </w:t>
      </w:r>
      <w:r>
        <w:rPr>
          <w:rFonts w:ascii="Times New Roman" w:hAnsi="Times New Roman" w:cs="Times New Roman"/>
          <w:sz w:val="28"/>
          <w:szCs w:val="28"/>
          <w:lang w:val="uk-UA"/>
        </w:rPr>
        <w:t>швидкість</w:t>
      </w:r>
      <w:r w:rsidRPr="00073FFA">
        <w:rPr>
          <w:rFonts w:ascii="Times New Roman" w:hAnsi="Times New Roman" w:cs="Times New Roman"/>
          <w:sz w:val="28"/>
          <w:szCs w:val="28"/>
          <w:lang w:val="uk-UA"/>
        </w:rPr>
        <w:t xml:space="preserve"> клубочкової фільтрації</w:t>
      </w:r>
      <w:r>
        <w:rPr>
          <w:rFonts w:ascii="Times New Roman" w:hAnsi="Times New Roman" w:cs="Times New Roman"/>
          <w:color w:val="000000" w:themeColor="text1"/>
          <w:sz w:val="28"/>
          <w:szCs w:val="28"/>
          <w:lang w:val="uk-UA"/>
        </w:rPr>
        <w:t>.</w:t>
      </w:r>
    </w:p>
    <w:p w:rsidR="007F5FCD" w:rsidRPr="007D6B84" w:rsidRDefault="007D6B84" w:rsidP="007D6B84">
      <w:pPr>
        <w:tabs>
          <w:tab w:val="left" w:pos="1134"/>
        </w:tabs>
        <w:spacing w:line="360" w:lineRule="auto"/>
        <w:ind w:firstLine="709"/>
        <w:jc w:val="both"/>
        <w:rPr>
          <w:rFonts w:ascii="Times New Roman" w:hAnsi="Times New Roman" w:cs="Times New Roman"/>
          <w:b/>
          <w:bCs/>
          <w:color w:val="000000" w:themeColor="text1"/>
          <w:sz w:val="28"/>
          <w:szCs w:val="28"/>
          <w:lang w:val="uk-UA"/>
        </w:rPr>
      </w:pPr>
      <w:r w:rsidRPr="00073FFA">
        <w:rPr>
          <w:rFonts w:ascii="Times New Roman" w:hAnsi="Times New Roman" w:cs="Times New Roman"/>
          <w:i/>
          <w:color w:val="000000" w:themeColor="text1"/>
          <w:sz w:val="28"/>
          <w:szCs w:val="28"/>
          <w:lang w:val="uk-UA"/>
        </w:rPr>
        <w:t>Методи дослідження</w:t>
      </w:r>
      <w:r w:rsidRPr="00073FFA">
        <w:rPr>
          <w:rFonts w:ascii="Times New Roman" w:hAnsi="Times New Roman" w:cs="Times New Roman"/>
          <w:color w:val="000000" w:themeColor="text1"/>
          <w:sz w:val="28"/>
          <w:szCs w:val="28"/>
          <w:lang w:val="uk-UA"/>
        </w:rPr>
        <w:t xml:space="preserve">: загальноклінічні, </w:t>
      </w:r>
      <w:r w:rsidRPr="00373306">
        <w:rPr>
          <w:rFonts w:ascii="Times New Roman" w:hAnsi="Times New Roman" w:cs="Times New Roman"/>
          <w:sz w:val="28"/>
          <w:szCs w:val="28"/>
          <w:lang w:val="uk-UA"/>
        </w:rPr>
        <w:t>антропометричні,</w:t>
      </w:r>
      <w:r>
        <w:rPr>
          <w:rFonts w:ascii="Times New Roman" w:hAnsi="Times New Roman" w:cs="Times New Roman"/>
          <w:sz w:val="28"/>
          <w:szCs w:val="28"/>
          <w:lang w:val="uk-UA"/>
        </w:rPr>
        <w:t xml:space="preserve"> </w:t>
      </w:r>
      <w:r w:rsidRPr="00073FFA">
        <w:rPr>
          <w:rFonts w:ascii="Times New Roman" w:hAnsi="Times New Roman" w:cs="Times New Roman"/>
          <w:color w:val="000000" w:themeColor="text1"/>
          <w:sz w:val="28"/>
          <w:szCs w:val="28"/>
          <w:lang w:val="uk-UA"/>
        </w:rPr>
        <w:t xml:space="preserve">лабораторні, біохімічні, інструментальні, </w:t>
      </w:r>
      <w:r w:rsidRPr="00373306">
        <w:rPr>
          <w:rFonts w:ascii="Times New Roman" w:hAnsi="Times New Roman" w:cs="Times New Roman"/>
          <w:color w:val="auto"/>
          <w:sz w:val="28"/>
          <w:szCs w:val="28"/>
          <w:lang w:val="uk-UA"/>
        </w:rPr>
        <w:t>аналітико</w:t>
      </w:r>
      <w:r w:rsidRPr="00373306">
        <w:rPr>
          <w:rFonts w:ascii="Times New Roman" w:hAnsi="Times New Roman" w:cs="Times New Roman"/>
          <w:strike/>
          <w:color w:val="auto"/>
          <w:sz w:val="28"/>
          <w:szCs w:val="28"/>
          <w:lang w:val="uk-UA"/>
        </w:rPr>
        <w:t>-</w:t>
      </w:r>
      <w:r>
        <w:rPr>
          <w:rFonts w:ascii="Times New Roman" w:hAnsi="Times New Roman" w:cs="Times New Roman"/>
          <w:color w:val="000000" w:themeColor="text1"/>
          <w:sz w:val="28"/>
          <w:szCs w:val="28"/>
          <w:lang w:val="uk-UA"/>
        </w:rPr>
        <w:t>статистичні.</w:t>
      </w:r>
      <w:r>
        <w:rPr>
          <w:rFonts w:ascii="Times New Roman" w:hAnsi="Times New Roman" w:cs="Times New Roman"/>
          <w:b/>
          <w:bCs/>
          <w:color w:val="000000" w:themeColor="text1"/>
          <w:sz w:val="28"/>
          <w:szCs w:val="28"/>
          <w:lang w:val="uk-UA"/>
        </w:rPr>
        <w:t xml:space="preserve"> </w:t>
      </w:r>
      <w:r w:rsidR="007F5FCD" w:rsidRPr="000A32AD">
        <w:rPr>
          <w:rFonts w:ascii="Times New Roman" w:hAnsi="Times New Roman" w:cs="Times New Roman"/>
          <w:color w:val="000000" w:themeColor="text1"/>
          <w:sz w:val="28"/>
          <w:szCs w:val="28"/>
          <w:lang w:val="uk-UA"/>
        </w:rPr>
        <w:tab/>
      </w:r>
    </w:p>
    <w:p w:rsidR="007D6B84" w:rsidRPr="00FC2C86" w:rsidRDefault="007F5FCD" w:rsidP="00FC2C86">
      <w:pPr>
        <w:tabs>
          <w:tab w:val="left" w:pos="1134"/>
        </w:tabs>
        <w:spacing w:line="360" w:lineRule="auto"/>
        <w:ind w:firstLine="709"/>
        <w:jc w:val="both"/>
        <w:rPr>
          <w:rFonts w:ascii="Times New Roman" w:hAnsi="Times New Roman" w:cs="Times New Roman"/>
          <w:b/>
          <w:bCs/>
          <w:color w:val="000000" w:themeColor="text1"/>
          <w:sz w:val="28"/>
          <w:szCs w:val="28"/>
          <w:lang w:val="uk-UA"/>
        </w:rPr>
      </w:pPr>
      <w:r w:rsidRPr="000A32AD">
        <w:rPr>
          <w:rFonts w:ascii="Times New Roman" w:hAnsi="Times New Roman" w:cs="Times New Roman"/>
          <w:b/>
          <w:bCs/>
          <w:color w:val="000000" w:themeColor="text1"/>
          <w:sz w:val="28"/>
          <w:szCs w:val="28"/>
          <w:lang w:val="uk-UA"/>
        </w:rPr>
        <w:t xml:space="preserve">Наукова </w:t>
      </w:r>
      <w:r w:rsidR="00FC2C86">
        <w:rPr>
          <w:rFonts w:ascii="Times New Roman" w:hAnsi="Times New Roman" w:cs="Times New Roman"/>
          <w:b/>
          <w:bCs/>
          <w:color w:val="000000" w:themeColor="text1"/>
          <w:sz w:val="28"/>
          <w:szCs w:val="28"/>
          <w:lang w:val="uk-UA"/>
        </w:rPr>
        <w:t xml:space="preserve">новизна одержаних результатів. </w:t>
      </w:r>
      <w:r w:rsidR="00167C84" w:rsidRPr="000A32AD">
        <w:rPr>
          <w:rFonts w:ascii="Times New Roman" w:hAnsi="Times New Roman" w:cs="Times New Roman"/>
          <w:color w:val="000000" w:themeColor="text1"/>
          <w:sz w:val="28"/>
          <w:szCs w:val="28"/>
          <w:lang w:val="uk-UA"/>
        </w:rPr>
        <w:t>З</w:t>
      </w:r>
      <w:r w:rsidRPr="000A32AD">
        <w:rPr>
          <w:rFonts w:ascii="Times New Roman" w:hAnsi="Times New Roman" w:cs="Times New Roman"/>
          <w:color w:val="000000" w:themeColor="text1"/>
          <w:sz w:val="28"/>
          <w:szCs w:val="28"/>
          <w:lang w:val="uk-UA"/>
        </w:rPr>
        <w:t xml:space="preserve">а результатами аналізу загально-клінічних даних, особливостей перебігу ЦД 2 типу </w:t>
      </w:r>
      <w:r w:rsidR="00167C84" w:rsidRPr="000A32AD">
        <w:rPr>
          <w:rFonts w:ascii="Times New Roman" w:hAnsi="Times New Roman" w:cs="Times New Roman"/>
          <w:color w:val="000000" w:themeColor="text1"/>
          <w:sz w:val="28"/>
          <w:szCs w:val="28"/>
          <w:lang w:val="uk-UA"/>
        </w:rPr>
        <w:t>з</w:t>
      </w:r>
      <w:r w:rsidRPr="000A32AD">
        <w:rPr>
          <w:rFonts w:ascii="Times New Roman" w:hAnsi="Times New Roman" w:cs="Times New Roman"/>
          <w:color w:val="000000" w:themeColor="text1"/>
          <w:sz w:val="28"/>
          <w:szCs w:val="28"/>
          <w:lang w:val="uk-UA"/>
        </w:rPr>
        <w:t xml:space="preserve"> супутньо</w:t>
      </w:r>
      <w:r w:rsidR="00167C84" w:rsidRPr="000A32AD">
        <w:rPr>
          <w:rFonts w:ascii="Times New Roman" w:hAnsi="Times New Roman" w:cs="Times New Roman"/>
          <w:color w:val="000000" w:themeColor="text1"/>
          <w:sz w:val="28"/>
          <w:szCs w:val="28"/>
          <w:lang w:val="uk-UA"/>
        </w:rPr>
        <w:t>ю</w:t>
      </w:r>
      <w:r w:rsidRPr="000A32AD">
        <w:rPr>
          <w:rFonts w:ascii="Times New Roman" w:hAnsi="Times New Roman" w:cs="Times New Roman"/>
          <w:color w:val="000000" w:themeColor="text1"/>
          <w:sz w:val="28"/>
          <w:szCs w:val="28"/>
          <w:lang w:val="uk-UA"/>
        </w:rPr>
        <w:t xml:space="preserve"> патологі</w:t>
      </w:r>
      <w:r w:rsidR="00167C84" w:rsidRPr="000A32AD">
        <w:rPr>
          <w:rFonts w:ascii="Times New Roman" w:hAnsi="Times New Roman" w:cs="Times New Roman"/>
          <w:color w:val="000000" w:themeColor="text1"/>
          <w:sz w:val="28"/>
          <w:szCs w:val="28"/>
          <w:lang w:val="uk-UA"/>
        </w:rPr>
        <w:t>єю</w:t>
      </w:r>
      <w:r w:rsidRPr="000A32AD">
        <w:rPr>
          <w:rFonts w:ascii="Times New Roman" w:hAnsi="Times New Roman" w:cs="Times New Roman"/>
          <w:color w:val="000000" w:themeColor="text1"/>
          <w:sz w:val="28"/>
          <w:szCs w:val="28"/>
          <w:lang w:val="uk-UA"/>
        </w:rPr>
        <w:t xml:space="preserve"> встановлено, що </w:t>
      </w:r>
      <w:r w:rsidR="007D6B84">
        <w:rPr>
          <w:rFonts w:ascii="Times New Roman" w:hAnsi="Times New Roman" w:cs="Times New Roman"/>
          <w:bCs/>
          <w:color w:val="000000" w:themeColor="text1"/>
          <w:sz w:val="28"/>
          <w:szCs w:val="28"/>
          <w:lang w:val="uk-UA"/>
        </w:rPr>
        <w:t>у</w:t>
      </w:r>
      <w:r w:rsidR="007D6B84" w:rsidRPr="008857F3">
        <w:rPr>
          <w:rFonts w:ascii="Times New Roman" w:hAnsi="Times New Roman" w:cs="Times New Roman"/>
          <w:color w:val="auto"/>
          <w:sz w:val="28"/>
          <w:szCs w:val="28"/>
          <w:lang w:val="uk-UA"/>
        </w:rPr>
        <w:t xml:space="preserve"> хворих на ЦД 2 типу з вісцеральними та скелетними ознаками НДСТ рідше зустрічається ожиріння, спостерігається тенденція до зниження ІМТ, </w:t>
      </w:r>
      <w:r w:rsidR="007D6B84">
        <w:rPr>
          <w:rFonts w:ascii="Times New Roman" w:hAnsi="Times New Roman" w:cs="Times New Roman"/>
          <w:color w:val="auto"/>
          <w:sz w:val="28"/>
          <w:szCs w:val="28"/>
          <w:lang w:val="uk-UA"/>
        </w:rPr>
        <w:t xml:space="preserve">ніж у </w:t>
      </w:r>
      <w:r w:rsidR="007D6B84" w:rsidRPr="008857F3">
        <w:rPr>
          <w:rFonts w:ascii="Times New Roman" w:hAnsi="Times New Roman" w:cs="Times New Roman"/>
          <w:color w:val="auto"/>
          <w:sz w:val="28"/>
          <w:szCs w:val="28"/>
          <w:lang w:val="uk-UA"/>
        </w:rPr>
        <w:t xml:space="preserve">хворих на ЦД без цих ознак. Встановлено, що </w:t>
      </w:r>
      <w:r w:rsidR="007D6B84" w:rsidRPr="008857F3">
        <w:rPr>
          <w:rFonts w:ascii="Times New Roman" w:hAnsi="Times New Roman" w:cs="Times New Roman"/>
          <w:color w:val="auto"/>
          <w:sz w:val="28"/>
          <w:szCs w:val="28"/>
          <w:lang w:val="uk-UA"/>
        </w:rPr>
        <w:lastRenderedPageBreak/>
        <w:t xml:space="preserve">поєднання ЦД 2 типу і НДСТ сприяє розвитку артеріальної гіпертензії та частоті формуванню  діабетичної нефропатії, ретинопатії, нейропатії.  </w:t>
      </w:r>
    </w:p>
    <w:p w:rsidR="007F5FCD" w:rsidRPr="000A32AD" w:rsidRDefault="007D6B84" w:rsidP="007D6B84">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Доведено</w:t>
      </w:r>
      <w:r w:rsidR="007F5FCD" w:rsidRPr="000A32AD">
        <w:rPr>
          <w:rFonts w:ascii="Times New Roman" w:hAnsi="Times New Roman" w:cs="Times New Roman"/>
          <w:color w:val="000000" w:themeColor="text1"/>
          <w:sz w:val="28"/>
          <w:szCs w:val="28"/>
          <w:lang w:val="uk-UA"/>
        </w:rPr>
        <w:t>, що розвиток АГ у хворих на ЦД 2 типу у сполученні з НДСТ відбувається раніше, та майже не залежить від тривалості діабету, більш виразна АГ спостерігається у хворих за наявності вісцеральних та скелетних ознак НДСТ, що є свідченням ролі НДСТ у патогенезі АГ у хворих на ЦД 2 типу</w:t>
      </w:r>
    </w:p>
    <w:p w:rsidR="007F5FCD" w:rsidRPr="000A32AD" w:rsidRDefault="007F5FCD" w:rsidP="007F5FCD">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shd w:val="clear" w:color="auto" w:fill="FFFFFF"/>
          <w:lang w:val="uk-UA"/>
        </w:rPr>
        <w:t xml:space="preserve">Встановлено, що </w:t>
      </w:r>
      <w:r w:rsidRPr="000A32AD">
        <w:rPr>
          <w:rFonts w:ascii="Times New Roman" w:hAnsi="Times New Roman" w:cs="Times New Roman"/>
          <w:color w:val="000000" w:themeColor="text1"/>
          <w:sz w:val="28"/>
          <w:szCs w:val="28"/>
          <w:lang w:val="uk-UA"/>
        </w:rPr>
        <w:t xml:space="preserve">суттєву роль у виникненні АГ у хворих на ЦД 2 типу відіграє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 xml:space="preserve">, вміст якого збільшується у хворих на ЦД 2 типу, особливо за наявності фенотипічних ознак НДСТ. Доведено значимість збільшення експресії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2 у розвитку діабетичної нефропатії, яка теж відіграє суттєву роль у виникненні АГ у хворих на ЦД 2 типу.</w:t>
      </w:r>
    </w:p>
    <w:p w:rsidR="007F5FCD" w:rsidRPr="000A32AD" w:rsidRDefault="007F5FCD" w:rsidP="007F5FCD">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За результатами патоморфологічного дослідження померлих з наявністю ЦД та НДСТ в анамнезі встановлено, що наявність НДСТ сприяє інтенсифікації процесів гломерулосклерозу зі значним розростанням міжклітинної строми, з потовщенням стінки судин та зменшенням їх просвіту та зі збільшенням експресії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lang w:val="uk-UA"/>
        </w:rPr>
        <w:t xml:space="preserve"> типу в паренхімі нирки та стінках судин.</w:t>
      </w:r>
    </w:p>
    <w:p w:rsidR="007F5FCD" w:rsidRPr="000A32AD" w:rsidRDefault="007F5FCD" w:rsidP="007F5FCD">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Встановлено патогенетичну роль порушень метаболізму сполучної тканини, що є характерним наслідком та ознакою НДСТ, у ремоделюванні судин з розвитком АГ та нефропатії у хворих на ЦД 2 типу.</w:t>
      </w:r>
    </w:p>
    <w:p w:rsidR="00B07A80" w:rsidRPr="00FC2C86" w:rsidRDefault="007F5FCD" w:rsidP="00FC2C86">
      <w:pPr>
        <w:tabs>
          <w:tab w:val="left" w:pos="1134"/>
        </w:tabs>
        <w:spacing w:line="360" w:lineRule="auto"/>
        <w:ind w:firstLine="709"/>
        <w:jc w:val="both"/>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t>Практична з</w:t>
      </w:r>
      <w:r w:rsidR="00FC2C86">
        <w:rPr>
          <w:rFonts w:ascii="Times New Roman" w:hAnsi="Times New Roman" w:cs="Times New Roman"/>
          <w:b/>
          <w:color w:val="000000" w:themeColor="text1"/>
          <w:sz w:val="28"/>
          <w:szCs w:val="28"/>
          <w:lang w:val="uk-UA"/>
        </w:rPr>
        <w:t xml:space="preserve">начимість отриманих результатів. </w:t>
      </w:r>
      <w:r w:rsidR="00B07A80">
        <w:rPr>
          <w:rFonts w:ascii="Times New Roman" w:hAnsi="Times New Roman" w:cs="Times New Roman"/>
          <w:color w:val="auto"/>
          <w:sz w:val="28"/>
          <w:szCs w:val="28"/>
          <w:lang w:val="uk-UA"/>
        </w:rPr>
        <w:t>Запропо</w:t>
      </w:r>
      <w:r w:rsidR="00B07A80" w:rsidRPr="00DB25C5">
        <w:rPr>
          <w:rFonts w:ascii="Times New Roman" w:hAnsi="Times New Roman" w:cs="Times New Roman"/>
          <w:color w:val="auto"/>
          <w:sz w:val="28"/>
          <w:szCs w:val="28"/>
          <w:lang w:val="uk-UA"/>
        </w:rPr>
        <w:t xml:space="preserve">новане </w:t>
      </w:r>
      <w:r w:rsidR="00B07A80">
        <w:rPr>
          <w:rFonts w:ascii="Times New Roman" w:hAnsi="Times New Roman" w:cs="Times New Roman"/>
          <w:color w:val="auto"/>
          <w:sz w:val="28"/>
          <w:szCs w:val="28"/>
          <w:lang w:val="uk-UA"/>
        </w:rPr>
        <w:t xml:space="preserve">комплексне обстеження хворих на ЦД 2 типу </w:t>
      </w:r>
      <w:r w:rsidR="00B07A80">
        <w:rPr>
          <w:rFonts w:ascii="Times New Roman" w:hAnsi="Times New Roman" w:cs="Times New Roman"/>
          <w:color w:val="000000" w:themeColor="text1"/>
          <w:sz w:val="28"/>
          <w:szCs w:val="28"/>
          <w:lang w:val="uk-UA"/>
        </w:rPr>
        <w:t xml:space="preserve">з визначенням вісцеральних та скелетних проявів НДСТ, використовуючи ЕхоКГ, УЗД органів черевної порожнини та органів малого тазу, дозволяє лікарю загальної практики сімейної медицини, терапевту та ендокринологу виявляти категорію хворих, яким </w:t>
      </w:r>
      <w:r w:rsidR="00B07A80" w:rsidRPr="00073FFA">
        <w:rPr>
          <w:rFonts w:ascii="Times New Roman" w:hAnsi="Times New Roman" w:cs="Times New Roman"/>
          <w:color w:val="000000" w:themeColor="text1"/>
          <w:sz w:val="28"/>
          <w:szCs w:val="28"/>
          <w:lang w:val="uk-UA"/>
        </w:rPr>
        <w:t>потрібен ретельний моніторинг артеріального тиску та профілактичні заходи щодо розвитку АГ.</w:t>
      </w:r>
    </w:p>
    <w:p w:rsidR="00B07A80" w:rsidRPr="000B71AD" w:rsidRDefault="00B07A80" w:rsidP="00B07A80">
      <w:pPr>
        <w:spacing w:line="360" w:lineRule="auto"/>
        <w:ind w:firstLine="709"/>
        <w:jc w:val="both"/>
        <w:rPr>
          <w:rFonts w:ascii="Times New Roman" w:hAnsi="Times New Roman" w:cs="Times New Roman"/>
          <w:color w:val="auto"/>
          <w:sz w:val="28"/>
          <w:szCs w:val="28"/>
          <w:lang w:val="uk-UA"/>
        </w:rPr>
      </w:pPr>
      <w:r w:rsidRPr="000B71AD">
        <w:rPr>
          <w:rFonts w:ascii="Times New Roman" w:hAnsi="Times New Roman" w:cs="Times New Roman"/>
          <w:color w:val="auto"/>
          <w:sz w:val="28"/>
          <w:szCs w:val="28"/>
          <w:lang w:val="uk-UA"/>
        </w:rPr>
        <w:lastRenderedPageBreak/>
        <w:t xml:space="preserve">Визначення підвищеної концентрації </w:t>
      </w:r>
      <w:r w:rsidRPr="000B71AD">
        <w:rPr>
          <w:rFonts w:ascii="Times New Roman" w:hAnsi="Times New Roman" w:cs="Times New Roman"/>
          <w:color w:val="auto"/>
          <w:sz w:val="28"/>
          <w:szCs w:val="28"/>
          <w:lang w:val="en-US"/>
        </w:rPr>
        <w:t>FGF</w:t>
      </w:r>
      <w:r w:rsidRPr="000B71AD">
        <w:rPr>
          <w:rFonts w:ascii="Times New Roman" w:hAnsi="Times New Roman" w:cs="Times New Roman"/>
          <w:color w:val="auto"/>
          <w:sz w:val="28"/>
          <w:szCs w:val="28"/>
          <w:lang w:val="uk-UA"/>
        </w:rPr>
        <w:t>2 в крові у хворих на ЦД 2 типу з фенотипічними проявами НДСТ дозволяє лікарю практичної ланки охорони здоров’я</w:t>
      </w:r>
      <w:r>
        <w:rPr>
          <w:rFonts w:ascii="Times New Roman" w:hAnsi="Times New Roman" w:cs="Times New Roman"/>
          <w:color w:val="auto"/>
          <w:sz w:val="28"/>
          <w:szCs w:val="28"/>
          <w:lang w:val="uk-UA"/>
        </w:rPr>
        <w:t xml:space="preserve"> оцінити порушення метаболізму сполучної тканини, як одного з патогенетичних механізмів розвитку серцево-судинних ускладнень та покращити </w:t>
      </w:r>
      <w:r w:rsidRPr="000B71AD">
        <w:rPr>
          <w:rFonts w:ascii="Times New Roman" w:hAnsi="Times New Roman" w:cs="Times New Roman"/>
          <w:color w:val="auto"/>
          <w:sz w:val="28"/>
          <w:szCs w:val="28"/>
          <w:lang w:val="uk-UA"/>
        </w:rPr>
        <w:t>ефективність діагностики розвитку артеріальної гіпертензії</w:t>
      </w:r>
      <w:r>
        <w:rPr>
          <w:rFonts w:ascii="Times New Roman" w:hAnsi="Times New Roman" w:cs="Times New Roman"/>
          <w:color w:val="auto"/>
          <w:sz w:val="28"/>
          <w:szCs w:val="28"/>
          <w:lang w:val="uk-UA"/>
        </w:rPr>
        <w:t xml:space="preserve"> і</w:t>
      </w:r>
      <w:r w:rsidRPr="000B71AD">
        <w:rPr>
          <w:rFonts w:ascii="Times New Roman" w:hAnsi="Times New Roman" w:cs="Times New Roman"/>
          <w:color w:val="auto"/>
          <w:sz w:val="28"/>
          <w:szCs w:val="28"/>
          <w:lang w:val="uk-UA"/>
        </w:rPr>
        <w:t xml:space="preserve"> діабетичної нефропатії.</w:t>
      </w:r>
    </w:p>
    <w:p w:rsidR="00B07A80" w:rsidRPr="00221804" w:rsidRDefault="00B07A80" w:rsidP="00B07A80">
      <w:pPr>
        <w:spacing w:line="360" w:lineRule="auto"/>
        <w:ind w:firstLine="709"/>
        <w:jc w:val="both"/>
        <w:rPr>
          <w:rFonts w:ascii="Times New Roman" w:eastAsia="Times New Roman" w:hAnsi="Times New Roman" w:cs="Times New Roman"/>
          <w:color w:val="auto"/>
          <w:sz w:val="28"/>
          <w:szCs w:val="28"/>
          <w:shd w:val="clear" w:color="auto" w:fill="FFFFFF"/>
          <w:lang w:val="uk-UA"/>
        </w:rPr>
      </w:pPr>
      <w:r>
        <w:rPr>
          <w:rFonts w:ascii="Times New Roman" w:eastAsia="Times New Roman" w:hAnsi="Times New Roman" w:cs="Times New Roman"/>
          <w:color w:val="auto"/>
          <w:sz w:val="28"/>
          <w:szCs w:val="28"/>
          <w:shd w:val="clear" w:color="auto" w:fill="FFFFFF"/>
          <w:lang w:val="uk-UA"/>
        </w:rPr>
        <w:t xml:space="preserve">Розроблена регресійна модель розвитку АГ дозволяє лікарю практичних закладів охорони </w:t>
      </w:r>
      <w:r w:rsidRPr="00221804">
        <w:rPr>
          <w:rFonts w:ascii="Times New Roman" w:hAnsi="Times New Roman" w:cs="Times New Roman"/>
          <w:color w:val="auto"/>
          <w:sz w:val="28"/>
          <w:szCs w:val="28"/>
          <w:lang w:val="uk-UA"/>
        </w:rPr>
        <w:t>здоров’я</w:t>
      </w:r>
      <w:r>
        <w:rPr>
          <w:rFonts w:ascii="Times New Roman" w:hAnsi="Times New Roman" w:cs="Times New Roman"/>
          <w:color w:val="auto"/>
          <w:sz w:val="28"/>
          <w:szCs w:val="28"/>
          <w:lang w:val="uk-UA"/>
        </w:rPr>
        <w:t xml:space="preserve"> підвищити ефективність прогнозування виникнення артеріальної гіпертензії та діабетичних ускладнень у хворих на ЦД 2 типу з ознаками НДСТ.</w:t>
      </w:r>
    </w:p>
    <w:p w:rsidR="00B07A80" w:rsidRPr="00B07A80" w:rsidRDefault="00B07A80" w:rsidP="00FC2C86">
      <w:pPr>
        <w:spacing w:line="360" w:lineRule="auto"/>
        <w:ind w:firstLine="709"/>
        <w:jc w:val="both"/>
        <w:rPr>
          <w:rFonts w:ascii="Times New Roman" w:hAnsi="Times New Roman" w:cs="Times New Roman"/>
          <w:color w:val="000000" w:themeColor="text1"/>
          <w:sz w:val="28"/>
          <w:szCs w:val="28"/>
          <w:lang w:val="uk-UA"/>
        </w:rPr>
      </w:pPr>
      <w:r>
        <w:rPr>
          <w:rFonts w:ascii="Times New Roman" w:eastAsia="Times New Roman" w:hAnsi="Times New Roman" w:cs="Times New Roman"/>
          <w:color w:val="auto"/>
          <w:sz w:val="28"/>
          <w:szCs w:val="28"/>
          <w:shd w:val="clear" w:color="auto" w:fill="FFFFFF"/>
          <w:lang w:val="uk-UA"/>
        </w:rPr>
        <w:t xml:space="preserve">Результати </w:t>
      </w:r>
      <w:r w:rsidRPr="00073FFA">
        <w:rPr>
          <w:rFonts w:ascii="Times New Roman" w:eastAsia="Times New Roman" w:hAnsi="Times New Roman" w:cs="Times New Roman"/>
          <w:color w:val="000000" w:themeColor="text1"/>
          <w:sz w:val="28"/>
          <w:szCs w:val="28"/>
          <w:shd w:val="clear" w:color="auto" w:fill="FFFFFF"/>
          <w:lang w:val="uk-UA"/>
        </w:rPr>
        <w:t>дисертаційної роботи впроваджені в</w:t>
      </w:r>
      <w:r>
        <w:rPr>
          <w:rFonts w:ascii="Times New Roman" w:eastAsia="Times New Roman" w:hAnsi="Times New Roman" w:cs="Times New Roman"/>
          <w:color w:val="000000" w:themeColor="text1"/>
          <w:sz w:val="28"/>
          <w:szCs w:val="28"/>
          <w:shd w:val="clear" w:color="auto" w:fill="FFFFFF"/>
          <w:lang w:val="uk-UA"/>
        </w:rPr>
        <w:t xml:space="preserve"> практику наступних лікувальних  установ:</w:t>
      </w:r>
      <w:r w:rsidRPr="00073FFA">
        <w:rPr>
          <w:rFonts w:ascii="Times New Roman" w:eastAsia="Times New Roman" w:hAnsi="Times New Roman" w:cs="Times New Roman"/>
          <w:color w:val="000000" w:themeColor="text1"/>
          <w:sz w:val="28"/>
          <w:szCs w:val="28"/>
          <w:shd w:val="clear" w:color="auto" w:fill="FFFFFF"/>
          <w:lang w:val="uk-UA"/>
        </w:rPr>
        <w:t xml:space="preserve"> ДУ «Інститут терапії імені Л.Т. Малої НАМН» (відділення гіпертензій та захворювань нирок)</w:t>
      </w:r>
      <w:r w:rsidRPr="00073FFA">
        <w:rPr>
          <w:rFonts w:ascii="Times New Roman" w:eastAsia="Times New Roman" w:hAnsi="Times New Roman" w:cs="Times New Roman"/>
          <w:color w:val="000000" w:themeColor="text1"/>
          <w:sz w:val="28"/>
          <w:szCs w:val="28"/>
          <w:lang w:val="uk-UA"/>
        </w:rPr>
        <w:t>, ДУ «</w:t>
      </w:r>
      <w:r w:rsidRPr="00073FFA">
        <w:rPr>
          <w:rFonts w:ascii="Times New Roman" w:hAnsi="Times New Roman" w:cs="Times New Roman"/>
          <w:color w:val="000000" w:themeColor="text1"/>
          <w:sz w:val="28"/>
          <w:szCs w:val="28"/>
          <w:lang w:val="uk-UA"/>
        </w:rPr>
        <w:t>Інститут проблем ендокринної патології ім. В.Я. Данилевського НАМН України</w:t>
      </w:r>
      <w:r w:rsidRPr="00073FFA">
        <w:rPr>
          <w:rFonts w:ascii="Times New Roman" w:eastAsia="Times New Roman" w:hAnsi="Times New Roman" w:cs="Times New Roman"/>
          <w:color w:val="000000" w:themeColor="text1"/>
          <w:sz w:val="28"/>
          <w:szCs w:val="28"/>
          <w:lang w:val="uk-UA"/>
        </w:rPr>
        <w:t>» (</w:t>
      </w:r>
      <w:r w:rsidRPr="00073FFA">
        <w:rPr>
          <w:rFonts w:ascii="Times New Roman" w:hAnsi="Times New Roman" w:cs="Times New Roman"/>
          <w:color w:val="000000" w:themeColor="text1"/>
          <w:sz w:val="28"/>
          <w:szCs w:val="28"/>
          <w:lang w:val="uk-UA"/>
        </w:rPr>
        <w:t>відділ експериментальної фармакології та токсикології</w:t>
      </w:r>
      <w:r w:rsidRPr="00073FFA">
        <w:rPr>
          <w:rFonts w:ascii="Times New Roman" w:eastAsia="Times New Roman" w:hAnsi="Times New Roman" w:cs="Times New Roman"/>
          <w:color w:val="000000" w:themeColor="text1"/>
          <w:sz w:val="28"/>
          <w:szCs w:val="28"/>
          <w:lang w:val="uk-UA"/>
        </w:rPr>
        <w:t>), КНП «Міська поліклініка №26» Харківської міської ради (відділенні загальної практики сімейної медицини), КНП «Міська поліклініка №10» Харківської міської ради (амбулаторія №1), КНП «Міська поліклініка №8» Харківської міської ради (центр первинної медико-санітарної допомоги), Харківська клінічна лікарня на залізничному транспорті №2 Філії «Центр охорони здоров’я</w:t>
      </w:r>
      <w:r w:rsidRPr="00073FFA">
        <w:rPr>
          <w:rFonts w:ascii="Times New Roman" w:eastAsia="Times New Roman" w:hAnsi="Times New Roman" w:cs="Times New Roman"/>
          <w:color w:val="000000" w:themeColor="text1"/>
          <w:sz w:val="28"/>
          <w:szCs w:val="28"/>
          <w:shd w:val="clear" w:color="auto" w:fill="FFFFFF"/>
          <w:lang w:val="uk-UA"/>
        </w:rPr>
        <w:t xml:space="preserve">» (відділення ендокринного профілю), а також у </w:t>
      </w:r>
      <w:r w:rsidRPr="00BA06AC">
        <w:rPr>
          <w:rFonts w:ascii="Times New Roman" w:eastAsia="Times New Roman" w:hAnsi="Times New Roman" w:cs="Times New Roman"/>
          <w:color w:val="auto"/>
          <w:sz w:val="28"/>
          <w:szCs w:val="28"/>
          <w:shd w:val="clear" w:color="auto" w:fill="FFFFFF"/>
          <w:lang w:val="uk-UA"/>
        </w:rPr>
        <w:t xml:space="preserve">навчальний </w:t>
      </w:r>
      <w:r w:rsidRPr="00073FFA">
        <w:rPr>
          <w:rFonts w:ascii="Times New Roman" w:eastAsia="Times New Roman" w:hAnsi="Times New Roman" w:cs="Times New Roman"/>
          <w:color w:val="000000" w:themeColor="text1"/>
          <w:sz w:val="28"/>
          <w:szCs w:val="28"/>
          <w:shd w:val="clear" w:color="auto" w:fill="FFFFFF"/>
          <w:lang w:val="uk-UA"/>
        </w:rPr>
        <w:t>процес кафедри внутрішньої медицини медичного факультету Харківського національного університету імені В. Н. Каразіна МОН України.</w:t>
      </w:r>
    </w:p>
    <w:p w:rsidR="007F5FCD" w:rsidRPr="00FC2C86" w:rsidRDefault="007F5FCD" w:rsidP="00FC2C86">
      <w:pPr>
        <w:pStyle w:val="a9"/>
        <w:spacing w:before="2" w:line="360" w:lineRule="auto"/>
        <w:ind w:right="105" w:firstLine="708"/>
        <w:jc w:val="both"/>
        <w:rPr>
          <w:rFonts w:ascii="Times New Roman" w:hAnsi="Times New Roman" w:cs="Times New Roman"/>
          <w:b/>
          <w:sz w:val="28"/>
          <w:szCs w:val="28"/>
        </w:rPr>
      </w:pPr>
      <w:r w:rsidRPr="000A32AD">
        <w:rPr>
          <w:rFonts w:ascii="Times New Roman" w:hAnsi="Times New Roman" w:cs="Times New Roman"/>
          <w:b/>
          <w:color w:val="000000" w:themeColor="text1"/>
          <w:sz w:val="28"/>
          <w:szCs w:val="28"/>
        </w:rPr>
        <w:t>Особистий внесок здобувача</w:t>
      </w:r>
      <w:r w:rsidRPr="000A32AD">
        <w:rPr>
          <w:rFonts w:ascii="Times New Roman" w:hAnsi="Times New Roman" w:cs="Times New Roman"/>
          <w:color w:val="000000" w:themeColor="text1"/>
          <w:sz w:val="28"/>
          <w:szCs w:val="28"/>
        </w:rPr>
        <w:t xml:space="preserve">. </w:t>
      </w:r>
      <w:r w:rsidR="00FC2C86" w:rsidRPr="00C6095A">
        <w:rPr>
          <w:rFonts w:ascii="Times New Roman" w:hAnsi="Times New Roman" w:cs="Times New Roman"/>
          <w:sz w:val="28"/>
          <w:szCs w:val="28"/>
        </w:rPr>
        <w:t xml:space="preserve">Здобувачем визначено напрямок та розроблено дизайн дослідження, сформульовано мету та завдання дисертаційної роботи, розроблено план та методологію дослідження. </w:t>
      </w:r>
      <w:r w:rsidR="00FC2C86">
        <w:rPr>
          <w:rFonts w:ascii="Times New Roman" w:hAnsi="Times New Roman" w:cs="Times New Roman"/>
          <w:sz w:val="28"/>
          <w:szCs w:val="28"/>
          <w:lang w:val="ru-RU"/>
        </w:rPr>
        <w:t>Проведено</w:t>
      </w:r>
      <w:r w:rsidR="00FC2C86">
        <w:rPr>
          <w:rFonts w:ascii="Times New Roman" w:hAnsi="Times New Roman" w:cs="Times New Roman"/>
          <w:sz w:val="28"/>
          <w:szCs w:val="28"/>
        </w:rPr>
        <w:t xml:space="preserve"> набір і подальше </w:t>
      </w:r>
      <w:r w:rsidR="00FC2C86" w:rsidRPr="00C6095A">
        <w:rPr>
          <w:rFonts w:ascii="Times New Roman" w:hAnsi="Times New Roman" w:cs="Times New Roman"/>
          <w:sz w:val="28"/>
          <w:szCs w:val="28"/>
        </w:rPr>
        <w:t>комплексне клінічне обстеження</w:t>
      </w:r>
      <w:r w:rsidR="00FC2C86">
        <w:rPr>
          <w:rFonts w:ascii="Times New Roman" w:hAnsi="Times New Roman" w:cs="Times New Roman"/>
          <w:sz w:val="28"/>
          <w:szCs w:val="28"/>
        </w:rPr>
        <w:t xml:space="preserve"> хворих</w:t>
      </w:r>
      <w:r w:rsidR="00FC2C86" w:rsidRPr="00C6095A">
        <w:rPr>
          <w:rFonts w:ascii="Times New Roman" w:hAnsi="Times New Roman" w:cs="Times New Roman"/>
          <w:sz w:val="28"/>
          <w:szCs w:val="28"/>
        </w:rPr>
        <w:t xml:space="preserve">, </w:t>
      </w:r>
      <w:r w:rsidR="00FC2C86">
        <w:rPr>
          <w:rFonts w:ascii="Times New Roman" w:hAnsi="Times New Roman" w:cs="Times New Roman"/>
          <w:sz w:val="28"/>
          <w:szCs w:val="28"/>
        </w:rPr>
        <w:t xml:space="preserve">аналіз лабораторних та інструментальних результатів дослідження, самостійно </w:t>
      </w:r>
      <w:r w:rsidR="00FC2C86" w:rsidRPr="00C6095A">
        <w:rPr>
          <w:rFonts w:ascii="Times New Roman" w:hAnsi="Times New Roman" w:cs="Times New Roman"/>
          <w:sz w:val="28"/>
          <w:szCs w:val="28"/>
        </w:rPr>
        <w:lastRenderedPageBreak/>
        <w:t>оформлено первинну медичну документацію, сформовано електронну базу даних. Здобувач самостійно зробила статистичну обробку та провела науков</w:t>
      </w:r>
      <w:r w:rsidR="00FC2C86">
        <w:rPr>
          <w:rFonts w:ascii="Times New Roman" w:hAnsi="Times New Roman" w:cs="Times New Roman"/>
          <w:sz w:val="28"/>
          <w:szCs w:val="28"/>
        </w:rPr>
        <w:t>ий аналіз отриманих результатів</w:t>
      </w:r>
      <w:r w:rsidR="00FC2C86" w:rsidRPr="00C6095A">
        <w:rPr>
          <w:rFonts w:ascii="Times New Roman" w:hAnsi="Times New Roman" w:cs="Times New Roman"/>
          <w:sz w:val="28"/>
          <w:szCs w:val="28"/>
        </w:rPr>
        <w:t>. На підставі отриманих даних обґрунтовано висновки та розроблено практичні рекомендації, підготовлено та оформлено матеріали до друку. Здобувач забезпечила впровадження результатів роботи в практичну роботу закладів охорони здоров’я і навчальний процес.</w:t>
      </w:r>
    </w:p>
    <w:p w:rsidR="007F5FCD" w:rsidRPr="00FC2C86" w:rsidRDefault="007F5FCD" w:rsidP="00FC2C86">
      <w:pPr>
        <w:tabs>
          <w:tab w:val="left" w:pos="1134"/>
        </w:tabs>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b/>
          <w:color w:val="000000" w:themeColor="text1"/>
          <w:sz w:val="28"/>
          <w:szCs w:val="28"/>
          <w:lang w:val="uk-UA"/>
        </w:rPr>
        <w:t>Апробація результатів дослідження</w:t>
      </w:r>
      <w:r w:rsidRPr="000A32AD">
        <w:rPr>
          <w:rFonts w:ascii="Times New Roman" w:hAnsi="Times New Roman" w:cs="Times New Roman"/>
          <w:color w:val="000000" w:themeColor="text1"/>
          <w:sz w:val="28"/>
          <w:szCs w:val="28"/>
          <w:lang w:val="uk-UA"/>
        </w:rPr>
        <w:t xml:space="preserve">. </w:t>
      </w:r>
      <w:r w:rsidRPr="00FC2C86">
        <w:rPr>
          <w:rFonts w:ascii="Times New Roman" w:hAnsi="Times New Roman" w:cs="Times New Roman"/>
          <w:color w:val="000000" w:themeColor="text1"/>
          <w:sz w:val="28"/>
          <w:szCs w:val="28"/>
        </w:rPr>
        <w:t xml:space="preserve">Основні </w:t>
      </w:r>
      <w:r w:rsidRPr="00FC2C86">
        <w:rPr>
          <w:rFonts w:ascii="Times New Roman" w:eastAsia="Malgun Gothic Semilight" w:hAnsi="Times New Roman" w:cs="Times New Roman"/>
          <w:color w:val="000000" w:themeColor="text1"/>
          <w:sz w:val="28"/>
          <w:szCs w:val="28"/>
        </w:rPr>
        <w:t>результати</w:t>
      </w:r>
      <w:r w:rsidRPr="00FC2C86">
        <w:rPr>
          <w:rFonts w:ascii="Times New Roman" w:hAnsi="Times New Roman" w:cs="Times New Roman"/>
          <w:color w:val="000000" w:themeColor="text1"/>
          <w:sz w:val="28"/>
          <w:szCs w:val="28"/>
        </w:rPr>
        <w:t xml:space="preserve"> </w:t>
      </w:r>
      <w:r w:rsidRPr="00FC2C86">
        <w:rPr>
          <w:rFonts w:ascii="Times New Roman" w:eastAsia="Malgun Gothic Semilight" w:hAnsi="Times New Roman" w:cs="Times New Roman"/>
          <w:color w:val="000000" w:themeColor="text1"/>
          <w:sz w:val="28"/>
          <w:szCs w:val="28"/>
        </w:rPr>
        <w:t>дисертац</w:t>
      </w:r>
      <w:r w:rsidRPr="00FC2C86">
        <w:rPr>
          <w:rFonts w:ascii="Times New Roman" w:hAnsi="Times New Roman" w:cs="Times New Roman"/>
          <w:color w:val="000000" w:themeColor="text1"/>
          <w:sz w:val="28"/>
          <w:szCs w:val="28"/>
        </w:rPr>
        <w:t xml:space="preserve">ії </w:t>
      </w:r>
      <w:r w:rsidRPr="00FC2C86">
        <w:rPr>
          <w:rFonts w:ascii="Times New Roman" w:eastAsia="Malgun Gothic Semilight" w:hAnsi="Times New Roman" w:cs="Times New Roman"/>
          <w:color w:val="000000" w:themeColor="text1"/>
          <w:sz w:val="28"/>
          <w:szCs w:val="28"/>
        </w:rPr>
        <w:t>були</w:t>
      </w:r>
      <w:r w:rsidRPr="00FC2C86">
        <w:rPr>
          <w:rFonts w:ascii="Times New Roman" w:hAnsi="Times New Roman" w:cs="Times New Roman"/>
          <w:color w:val="000000" w:themeColor="text1"/>
          <w:sz w:val="28"/>
          <w:szCs w:val="28"/>
        </w:rPr>
        <w:t xml:space="preserve"> </w:t>
      </w:r>
      <w:r w:rsidRPr="00FC2C86">
        <w:rPr>
          <w:rFonts w:ascii="Times New Roman" w:eastAsia="Malgun Gothic Semilight" w:hAnsi="Times New Roman" w:cs="Times New Roman"/>
          <w:color w:val="000000" w:themeColor="text1"/>
          <w:sz w:val="28"/>
          <w:szCs w:val="28"/>
        </w:rPr>
        <w:t>представлен</w:t>
      </w:r>
      <w:r w:rsidRPr="00FC2C86">
        <w:rPr>
          <w:rFonts w:ascii="Times New Roman" w:hAnsi="Times New Roman" w:cs="Times New Roman"/>
          <w:color w:val="000000" w:themeColor="text1"/>
          <w:sz w:val="28"/>
          <w:szCs w:val="28"/>
        </w:rPr>
        <w:t xml:space="preserve">і </w:t>
      </w:r>
      <w:r w:rsidRPr="00FC2C86">
        <w:rPr>
          <w:rFonts w:ascii="Times New Roman" w:eastAsia="Malgun Gothic Semilight" w:hAnsi="Times New Roman" w:cs="Times New Roman"/>
          <w:color w:val="000000" w:themeColor="text1"/>
          <w:sz w:val="28"/>
          <w:szCs w:val="28"/>
        </w:rPr>
        <w:t>на</w:t>
      </w:r>
      <w:r w:rsidRPr="00FC2C86">
        <w:rPr>
          <w:rFonts w:ascii="Times New Roman" w:hAnsi="Times New Roman" w:cs="Times New Roman"/>
          <w:color w:val="000000" w:themeColor="text1"/>
          <w:sz w:val="28"/>
          <w:szCs w:val="28"/>
        </w:rPr>
        <w:t xml:space="preserve"> </w:t>
      </w:r>
      <w:r w:rsidRPr="00FC2C86">
        <w:rPr>
          <w:rFonts w:ascii="Times New Roman" w:eastAsia="Malgun Gothic Semilight" w:hAnsi="Times New Roman" w:cs="Times New Roman"/>
          <w:color w:val="000000" w:themeColor="text1"/>
          <w:sz w:val="28"/>
          <w:szCs w:val="28"/>
        </w:rPr>
        <w:t>конференц</w:t>
      </w:r>
      <w:r w:rsidRPr="00FC2C86">
        <w:rPr>
          <w:rFonts w:ascii="Times New Roman" w:hAnsi="Times New Roman" w:cs="Times New Roman"/>
          <w:color w:val="000000" w:themeColor="text1"/>
          <w:sz w:val="28"/>
          <w:szCs w:val="28"/>
        </w:rPr>
        <w:t>і</w:t>
      </w:r>
      <w:r w:rsidRPr="00FC2C86">
        <w:rPr>
          <w:rFonts w:ascii="Times New Roman" w:eastAsia="Malgun Gothic Semilight" w:hAnsi="Times New Roman" w:cs="Times New Roman"/>
          <w:color w:val="000000" w:themeColor="text1"/>
          <w:sz w:val="28"/>
          <w:szCs w:val="28"/>
        </w:rPr>
        <w:t>ях</w:t>
      </w:r>
      <w:r w:rsidRPr="00FC2C86">
        <w:rPr>
          <w:rFonts w:ascii="Times New Roman" w:hAnsi="Times New Roman" w:cs="Times New Roman"/>
          <w:color w:val="000000" w:themeColor="text1"/>
          <w:sz w:val="28"/>
          <w:szCs w:val="28"/>
        </w:rPr>
        <w:t xml:space="preserve"> </w:t>
      </w:r>
      <w:r w:rsidRPr="00FC2C86">
        <w:rPr>
          <w:rFonts w:ascii="Times New Roman" w:eastAsia="Malgun Gothic Semilight" w:hAnsi="Times New Roman" w:cs="Times New Roman"/>
          <w:color w:val="000000" w:themeColor="text1"/>
          <w:sz w:val="28"/>
          <w:szCs w:val="28"/>
        </w:rPr>
        <w:t>всеукра</w:t>
      </w:r>
      <w:r w:rsidRPr="00FC2C86">
        <w:rPr>
          <w:rFonts w:ascii="Times New Roman" w:hAnsi="Times New Roman" w:cs="Times New Roman"/>
          <w:color w:val="000000" w:themeColor="text1"/>
          <w:sz w:val="28"/>
          <w:szCs w:val="28"/>
        </w:rPr>
        <w:t>ї</w:t>
      </w:r>
      <w:r w:rsidRPr="00FC2C86">
        <w:rPr>
          <w:rFonts w:ascii="Times New Roman" w:eastAsia="Malgun Gothic Semilight" w:hAnsi="Times New Roman" w:cs="Times New Roman"/>
          <w:color w:val="000000" w:themeColor="text1"/>
          <w:sz w:val="28"/>
          <w:szCs w:val="28"/>
        </w:rPr>
        <w:t>нського</w:t>
      </w:r>
      <w:r w:rsidRPr="00FC2C86">
        <w:rPr>
          <w:rFonts w:ascii="Times New Roman" w:hAnsi="Times New Roman" w:cs="Times New Roman"/>
          <w:color w:val="000000" w:themeColor="text1"/>
          <w:sz w:val="28"/>
          <w:szCs w:val="28"/>
        </w:rPr>
        <w:t xml:space="preserve"> </w:t>
      </w:r>
      <w:r w:rsidRPr="00FC2C86">
        <w:rPr>
          <w:rFonts w:ascii="Times New Roman" w:eastAsia="Malgun Gothic Semilight" w:hAnsi="Times New Roman" w:cs="Times New Roman"/>
          <w:color w:val="000000" w:themeColor="text1"/>
          <w:sz w:val="28"/>
          <w:szCs w:val="28"/>
        </w:rPr>
        <w:t>та</w:t>
      </w:r>
      <w:r w:rsidRPr="00FC2C86">
        <w:rPr>
          <w:rFonts w:ascii="Times New Roman" w:hAnsi="Times New Roman" w:cs="Times New Roman"/>
          <w:color w:val="000000" w:themeColor="text1"/>
          <w:sz w:val="28"/>
          <w:szCs w:val="28"/>
        </w:rPr>
        <w:t xml:space="preserve"> </w:t>
      </w:r>
      <w:r w:rsidRPr="00FC2C86">
        <w:rPr>
          <w:rFonts w:ascii="Times New Roman" w:eastAsia="Malgun Gothic Semilight" w:hAnsi="Times New Roman" w:cs="Times New Roman"/>
          <w:color w:val="000000" w:themeColor="text1"/>
          <w:sz w:val="28"/>
          <w:szCs w:val="28"/>
        </w:rPr>
        <w:t>м</w:t>
      </w:r>
      <w:r w:rsidRPr="00FC2C86">
        <w:rPr>
          <w:rFonts w:ascii="Times New Roman" w:hAnsi="Times New Roman" w:cs="Times New Roman"/>
          <w:color w:val="000000" w:themeColor="text1"/>
          <w:sz w:val="28"/>
          <w:szCs w:val="28"/>
        </w:rPr>
        <w:t>і</w:t>
      </w:r>
      <w:r w:rsidRPr="00FC2C86">
        <w:rPr>
          <w:rFonts w:ascii="Times New Roman" w:eastAsia="Malgun Gothic Semilight" w:hAnsi="Times New Roman" w:cs="Times New Roman"/>
          <w:color w:val="000000" w:themeColor="text1"/>
          <w:sz w:val="28"/>
          <w:szCs w:val="28"/>
        </w:rPr>
        <w:t>жнародного</w:t>
      </w:r>
      <w:r w:rsidRPr="00FC2C86">
        <w:rPr>
          <w:rFonts w:ascii="Times New Roman" w:hAnsi="Times New Roman" w:cs="Times New Roman"/>
          <w:color w:val="000000" w:themeColor="text1"/>
          <w:sz w:val="28"/>
          <w:szCs w:val="28"/>
        </w:rPr>
        <w:t xml:space="preserve"> </w:t>
      </w:r>
      <w:r w:rsidRPr="00FC2C86">
        <w:rPr>
          <w:rFonts w:ascii="Times New Roman" w:eastAsia="Malgun Gothic Semilight" w:hAnsi="Times New Roman" w:cs="Times New Roman"/>
          <w:color w:val="000000" w:themeColor="text1"/>
          <w:sz w:val="28"/>
          <w:szCs w:val="28"/>
        </w:rPr>
        <w:t>р</w:t>
      </w:r>
      <w:r w:rsidRPr="00FC2C86">
        <w:rPr>
          <w:rFonts w:ascii="Times New Roman" w:hAnsi="Times New Roman" w:cs="Times New Roman"/>
          <w:color w:val="000000" w:themeColor="text1"/>
          <w:sz w:val="28"/>
          <w:szCs w:val="28"/>
        </w:rPr>
        <w:t>і</w:t>
      </w:r>
      <w:r w:rsidRPr="00FC2C86">
        <w:rPr>
          <w:rFonts w:ascii="Times New Roman" w:eastAsia="Malgun Gothic Semilight" w:hAnsi="Times New Roman" w:cs="Times New Roman"/>
          <w:color w:val="000000" w:themeColor="text1"/>
          <w:sz w:val="28"/>
          <w:szCs w:val="28"/>
        </w:rPr>
        <w:t>вн</w:t>
      </w:r>
      <w:r w:rsidRPr="00FC2C86">
        <w:rPr>
          <w:rFonts w:ascii="Times New Roman" w:hAnsi="Times New Roman" w:cs="Times New Roman"/>
          <w:color w:val="000000" w:themeColor="text1"/>
          <w:sz w:val="28"/>
          <w:szCs w:val="28"/>
        </w:rPr>
        <w:t>і</w:t>
      </w:r>
      <w:r w:rsidRPr="00FC2C86">
        <w:rPr>
          <w:rFonts w:ascii="Times New Roman" w:eastAsia="Malgun Gothic Semilight" w:hAnsi="Times New Roman" w:cs="Times New Roman"/>
          <w:color w:val="000000" w:themeColor="text1"/>
          <w:sz w:val="28"/>
          <w:szCs w:val="28"/>
        </w:rPr>
        <w:t>в</w:t>
      </w:r>
      <w:r w:rsidRPr="00FC2C86">
        <w:rPr>
          <w:rFonts w:ascii="Times New Roman" w:hAnsi="Times New Roman" w:cs="Times New Roman"/>
          <w:color w:val="000000" w:themeColor="text1"/>
          <w:sz w:val="28"/>
          <w:szCs w:val="28"/>
        </w:rPr>
        <w:t>:</w:t>
      </w:r>
      <w:r w:rsidRPr="00FC2C86">
        <w:rPr>
          <w:rFonts w:ascii="Times New Roman" w:hAnsi="Times New Roman" w:cs="Times New Roman"/>
          <w:color w:val="000000" w:themeColor="text1"/>
          <w:sz w:val="28"/>
          <w:szCs w:val="28"/>
          <w:shd w:val="clear" w:color="auto" w:fill="FFFFFF"/>
        </w:rPr>
        <w:t xml:space="preserve"> Мі</w:t>
      </w:r>
      <w:r w:rsidRPr="00FC2C86">
        <w:rPr>
          <w:rFonts w:ascii="Times New Roman" w:eastAsia="Malgun Gothic Semilight" w:hAnsi="Times New Roman" w:cs="Times New Roman"/>
          <w:color w:val="000000" w:themeColor="text1"/>
          <w:sz w:val="28"/>
          <w:szCs w:val="28"/>
          <w:shd w:val="clear" w:color="auto" w:fill="FFFFFF"/>
        </w:rPr>
        <w:t>жнародна</w:t>
      </w:r>
      <w:r w:rsidRPr="00FC2C86">
        <w:rPr>
          <w:rFonts w:ascii="Times New Roman" w:hAnsi="Times New Roman" w:cs="Times New Roman"/>
          <w:color w:val="000000" w:themeColor="text1"/>
          <w:sz w:val="28"/>
          <w:szCs w:val="28"/>
          <w:shd w:val="clear" w:color="auto" w:fill="FFFFFF"/>
        </w:rPr>
        <w:t xml:space="preserve"> </w:t>
      </w:r>
      <w:r w:rsidRPr="00FC2C86">
        <w:rPr>
          <w:rFonts w:ascii="Times New Roman" w:eastAsia="Malgun Gothic Semilight" w:hAnsi="Times New Roman" w:cs="Times New Roman"/>
          <w:color w:val="000000" w:themeColor="text1"/>
          <w:sz w:val="28"/>
          <w:szCs w:val="28"/>
          <w:shd w:val="clear" w:color="auto" w:fill="FFFFFF"/>
        </w:rPr>
        <w:t>науково</w:t>
      </w:r>
      <w:r w:rsidRPr="00FC2C86">
        <w:rPr>
          <w:rFonts w:ascii="Times New Roman" w:hAnsi="Times New Roman" w:cs="Times New Roman"/>
          <w:color w:val="000000" w:themeColor="text1"/>
          <w:sz w:val="28"/>
          <w:szCs w:val="28"/>
          <w:shd w:val="clear" w:color="auto" w:fill="FFFFFF"/>
        </w:rPr>
        <w:t>-</w:t>
      </w:r>
      <w:r w:rsidRPr="00FC2C86">
        <w:rPr>
          <w:rFonts w:ascii="Times New Roman" w:eastAsia="Malgun Gothic Semilight" w:hAnsi="Times New Roman" w:cs="Times New Roman"/>
          <w:color w:val="000000" w:themeColor="text1"/>
          <w:sz w:val="28"/>
          <w:szCs w:val="28"/>
          <w:shd w:val="clear" w:color="auto" w:fill="FFFFFF"/>
        </w:rPr>
        <w:t>практична</w:t>
      </w:r>
      <w:r w:rsidRPr="00FC2C86">
        <w:rPr>
          <w:rFonts w:ascii="Times New Roman" w:hAnsi="Times New Roman" w:cs="Times New Roman"/>
          <w:color w:val="000000" w:themeColor="text1"/>
          <w:sz w:val="28"/>
          <w:szCs w:val="28"/>
          <w:shd w:val="clear" w:color="auto" w:fill="FFFFFF"/>
        </w:rPr>
        <w:t xml:space="preserve"> </w:t>
      </w:r>
      <w:r w:rsidRPr="00FC2C86">
        <w:rPr>
          <w:rFonts w:ascii="Times New Roman" w:eastAsia="Malgun Gothic Semilight" w:hAnsi="Times New Roman" w:cs="Times New Roman"/>
          <w:color w:val="000000" w:themeColor="text1"/>
          <w:sz w:val="28"/>
          <w:szCs w:val="28"/>
          <w:shd w:val="clear" w:color="auto" w:fill="FFFFFF"/>
        </w:rPr>
        <w:t>конференц</w:t>
      </w:r>
      <w:r w:rsidRPr="00FC2C86">
        <w:rPr>
          <w:rFonts w:ascii="Times New Roman" w:hAnsi="Times New Roman" w:cs="Times New Roman"/>
          <w:color w:val="000000" w:themeColor="text1"/>
          <w:sz w:val="28"/>
          <w:szCs w:val="28"/>
          <w:shd w:val="clear" w:color="auto" w:fill="FFFFFF"/>
        </w:rPr>
        <w:t>і</w:t>
      </w:r>
      <w:r w:rsidRPr="00FC2C86">
        <w:rPr>
          <w:rFonts w:ascii="Times New Roman" w:eastAsia="Malgun Gothic Semilight" w:hAnsi="Times New Roman" w:cs="Times New Roman"/>
          <w:color w:val="000000" w:themeColor="text1"/>
          <w:sz w:val="28"/>
          <w:szCs w:val="28"/>
          <w:shd w:val="clear" w:color="auto" w:fill="FFFFFF"/>
        </w:rPr>
        <w:t>я</w:t>
      </w:r>
      <w:r w:rsidRPr="00FC2C86">
        <w:rPr>
          <w:rFonts w:ascii="Times New Roman" w:hAnsi="Times New Roman" w:cs="Times New Roman"/>
          <w:color w:val="000000" w:themeColor="text1"/>
          <w:sz w:val="28"/>
          <w:szCs w:val="28"/>
          <w:shd w:val="clear" w:color="auto" w:fill="FFFFFF"/>
        </w:rPr>
        <w:t xml:space="preserve"> </w:t>
      </w:r>
      <w:r w:rsidRPr="00FC2C86">
        <w:rPr>
          <w:rFonts w:ascii="Times New Roman" w:eastAsia="Malgun Gothic Semilight" w:hAnsi="Times New Roman" w:cs="Times New Roman"/>
          <w:color w:val="000000" w:themeColor="text1"/>
          <w:sz w:val="28"/>
          <w:szCs w:val="28"/>
          <w:shd w:val="clear" w:color="auto" w:fill="FFFFFF"/>
        </w:rPr>
        <w:t>«Нов</w:t>
      </w:r>
      <w:r w:rsidRPr="00FC2C86">
        <w:rPr>
          <w:rFonts w:ascii="Times New Roman" w:hAnsi="Times New Roman" w:cs="Times New Roman"/>
          <w:color w:val="000000" w:themeColor="text1"/>
          <w:sz w:val="28"/>
          <w:szCs w:val="28"/>
          <w:shd w:val="clear" w:color="auto" w:fill="FFFFFF"/>
        </w:rPr>
        <w:t xml:space="preserve">і </w:t>
      </w:r>
      <w:r w:rsidRPr="00FC2C86">
        <w:rPr>
          <w:rFonts w:ascii="Times New Roman" w:eastAsia="Malgun Gothic Semilight" w:hAnsi="Times New Roman" w:cs="Times New Roman"/>
          <w:color w:val="000000" w:themeColor="text1"/>
          <w:sz w:val="28"/>
          <w:szCs w:val="28"/>
          <w:shd w:val="clear" w:color="auto" w:fill="FFFFFF"/>
        </w:rPr>
        <w:t>досягнення</w:t>
      </w:r>
      <w:r w:rsidRPr="00FC2C86">
        <w:rPr>
          <w:rFonts w:ascii="Times New Roman" w:hAnsi="Times New Roman" w:cs="Times New Roman"/>
          <w:color w:val="000000" w:themeColor="text1"/>
          <w:sz w:val="28"/>
          <w:szCs w:val="28"/>
          <w:shd w:val="clear" w:color="auto" w:fill="FFFFFF"/>
        </w:rPr>
        <w:t xml:space="preserve"> </w:t>
      </w:r>
      <w:r w:rsidRPr="00FC2C86">
        <w:rPr>
          <w:rFonts w:ascii="Times New Roman" w:eastAsia="Malgun Gothic Semilight" w:hAnsi="Times New Roman" w:cs="Times New Roman"/>
          <w:color w:val="000000" w:themeColor="text1"/>
          <w:sz w:val="28"/>
          <w:szCs w:val="28"/>
          <w:shd w:val="clear" w:color="auto" w:fill="FFFFFF"/>
        </w:rPr>
        <w:t>у</w:t>
      </w:r>
      <w:r w:rsidRPr="00FC2C86">
        <w:rPr>
          <w:rFonts w:ascii="Times New Roman" w:hAnsi="Times New Roman" w:cs="Times New Roman"/>
          <w:color w:val="000000" w:themeColor="text1"/>
          <w:sz w:val="28"/>
          <w:szCs w:val="28"/>
          <w:shd w:val="clear" w:color="auto" w:fill="FFFFFF"/>
        </w:rPr>
        <w:t xml:space="preserve"> </w:t>
      </w:r>
      <w:r w:rsidRPr="00FC2C86">
        <w:rPr>
          <w:rFonts w:ascii="Times New Roman" w:eastAsia="Malgun Gothic Semilight" w:hAnsi="Times New Roman" w:cs="Times New Roman"/>
          <w:color w:val="000000" w:themeColor="text1"/>
          <w:sz w:val="28"/>
          <w:szCs w:val="28"/>
          <w:shd w:val="clear" w:color="auto" w:fill="FFFFFF"/>
        </w:rPr>
        <w:t>галуз</w:t>
      </w:r>
      <w:r w:rsidRPr="00FC2C86">
        <w:rPr>
          <w:rFonts w:ascii="Times New Roman" w:hAnsi="Times New Roman" w:cs="Times New Roman"/>
          <w:color w:val="000000" w:themeColor="text1"/>
          <w:sz w:val="28"/>
          <w:szCs w:val="28"/>
          <w:shd w:val="clear" w:color="auto" w:fill="FFFFFF"/>
        </w:rPr>
        <w:t xml:space="preserve">і </w:t>
      </w:r>
      <w:r w:rsidRPr="00FC2C86">
        <w:rPr>
          <w:rFonts w:ascii="Times New Roman" w:eastAsia="Malgun Gothic Semilight" w:hAnsi="Times New Roman" w:cs="Times New Roman"/>
          <w:color w:val="000000" w:themeColor="text1"/>
          <w:sz w:val="28"/>
          <w:szCs w:val="28"/>
          <w:shd w:val="clear" w:color="auto" w:fill="FFFFFF"/>
        </w:rPr>
        <w:t>медичних</w:t>
      </w:r>
      <w:r w:rsidRPr="00FC2C86">
        <w:rPr>
          <w:rFonts w:ascii="Times New Roman" w:hAnsi="Times New Roman" w:cs="Times New Roman"/>
          <w:color w:val="000000" w:themeColor="text1"/>
          <w:sz w:val="28"/>
          <w:szCs w:val="28"/>
          <w:shd w:val="clear" w:color="auto" w:fill="FFFFFF"/>
        </w:rPr>
        <w:t xml:space="preserve"> </w:t>
      </w:r>
      <w:r w:rsidRPr="00FC2C86">
        <w:rPr>
          <w:rFonts w:ascii="Times New Roman" w:eastAsia="Malgun Gothic Semilight" w:hAnsi="Times New Roman" w:cs="Times New Roman"/>
          <w:color w:val="000000" w:themeColor="text1"/>
          <w:sz w:val="28"/>
          <w:szCs w:val="28"/>
          <w:shd w:val="clear" w:color="auto" w:fill="FFFFFF"/>
        </w:rPr>
        <w:t>та</w:t>
      </w:r>
      <w:r w:rsidRPr="00FC2C86">
        <w:rPr>
          <w:rFonts w:ascii="Times New Roman" w:hAnsi="Times New Roman" w:cs="Times New Roman"/>
          <w:color w:val="000000" w:themeColor="text1"/>
          <w:sz w:val="28"/>
          <w:szCs w:val="28"/>
          <w:shd w:val="clear" w:color="auto" w:fill="FFFFFF"/>
        </w:rPr>
        <w:t xml:space="preserve"> </w:t>
      </w:r>
      <w:r w:rsidRPr="00FC2C86">
        <w:rPr>
          <w:rFonts w:ascii="Times New Roman" w:eastAsia="Malgun Gothic Semilight" w:hAnsi="Times New Roman" w:cs="Times New Roman"/>
          <w:color w:val="000000" w:themeColor="text1"/>
          <w:sz w:val="28"/>
          <w:szCs w:val="28"/>
          <w:shd w:val="clear" w:color="auto" w:fill="FFFFFF"/>
        </w:rPr>
        <w:t>фар</w:t>
      </w:r>
      <w:r w:rsidRPr="00FC2C86">
        <w:rPr>
          <w:rFonts w:ascii="Times New Roman" w:hAnsi="Times New Roman" w:cs="Times New Roman"/>
          <w:color w:val="000000" w:themeColor="text1"/>
          <w:sz w:val="28"/>
          <w:szCs w:val="28"/>
          <w:shd w:val="clear" w:color="auto" w:fill="FFFFFF"/>
        </w:rPr>
        <w:t>мацевтичних наук» (Одеса, 16-17 листопада 2018 р.); Науково-практична конференці</w:t>
      </w:r>
      <w:r w:rsidRPr="00FC2C86">
        <w:rPr>
          <w:rFonts w:ascii="Times New Roman" w:eastAsia="Malgun Gothic Semilight" w:hAnsi="Times New Roman" w:cs="Times New Roman"/>
          <w:color w:val="000000" w:themeColor="text1"/>
          <w:sz w:val="28"/>
          <w:szCs w:val="28"/>
          <w:shd w:val="clear" w:color="auto" w:fill="FFFFFF"/>
        </w:rPr>
        <w:t>я</w:t>
      </w:r>
      <w:r w:rsidRPr="00FC2C86">
        <w:rPr>
          <w:rFonts w:ascii="Times New Roman" w:hAnsi="Times New Roman" w:cs="Times New Roman"/>
          <w:color w:val="000000" w:themeColor="text1"/>
          <w:sz w:val="28"/>
          <w:szCs w:val="28"/>
          <w:shd w:val="clear" w:color="auto" w:fill="FFFFFF"/>
        </w:rPr>
        <w:t xml:space="preserve"> </w:t>
      </w:r>
      <w:r w:rsidRPr="00FC2C86">
        <w:rPr>
          <w:rFonts w:ascii="Times New Roman" w:eastAsia="Malgun Gothic Semilight" w:hAnsi="Times New Roman" w:cs="Times New Roman"/>
          <w:color w:val="000000" w:themeColor="text1"/>
          <w:sz w:val="28"/>
          <w:szCs w:val="28"/>
          <w:shd w:val="clear" w:color="auto" w:fill="FFFFFF"/>
        </w:rPr>
        <w:t>з</w:t>
      </w:r>
      <w:r w:rsidRPr="00FC2C86">
        <w:rPr>
          <w:rFonts w:ascii="Times New Roman" w:hAnsi="Times New Roman" w:cs="Times New Roman"/>
          <w:color w:val="000000" w:themeColor="text1"/>
          <w:sz w:val="28"/>
          <w:szCs w:val="28"/>
          <w:shd w:val="clear" w:color="auto" w:fill="FFFFFF"/>
        </w:rPr>
        <w:t xml:space="preserve"> </w:t>
      </w:r>
      <w:r w:rsidRPr="00FC2C86">
        <w:rPr>
          <w:rFonts w:ascii="Times New Roman" w:eastAsia="Malgun Gothic Semilight" w:hAnsi="Times New Roman" w:cs="Times New Roman"/>
          <w:color w:val="000000" w:themeColor="text1"/>
          <w:sz w:val="28"/>
          <w:szCs w:val="28"/>
          <w:shd w:val="clear" w:color="auto" w:fill="FFFFFF"/>
        </w:rPr>
        <w:t>м</w:t>
      </w:r>
      <w:r w:rsidRPr="00FC2C86">
        <w:rPr>
          <w:rFonts w:ascii="Times New Roman" w:hAnsi="Times New Roman" w:cs="Times New Roman"/>
          <w:color w:val="000000" w:themeColor="text1"/>
          <w:sz w:val="28"/>
          <w:szCs w:val="28"/>
          <w:shd w:val="clear" w:color="auto" w:fill="FFFFFF"/>
        </w:rPr>
        <w:t>і</w:t>
      </w:r>
      <w:r w:rsidRPr="00FC2C86">
        <w:rPr>
          <w:rFonts w:ascii="Times New Roman" w:eastAsia="Malgun Gothic Semilight" w:hAnsi="Times New Roman" w:cs="Times New Roman"/>
          <w:color w:val="000000" w:themeColor="text1"/>
          <w:sz w:val="28"/>
          <w:szCs w:val="28"/>
          <w:shd w:val="clear" w:color="auto" w:fill="FFFFFF"/>
        </w:rPr>
        <w:t>жнарод</w:t>
      </w:r>
      <w:r w:rsidR="00E00C4B" w:rsidRPr="00FC2C86">
        <w:rPr>
          <w:rFonts w:ascii="Times New Roman" w:hAnsi="Times New Roman" w:cs="Times New Roman"/>
          <w:color w:val="000000" w:themeColor="text1"/>
          <w:sz w:val="28"/>
          <w:szCs w:val="28"/>
          <w:shd w:val="clear" w:color="auto" w:fill="FFFFFF"/>
        </w:rPr>
        <w:softHyphen/>
      </w:r>
      <w:r w:rsidRPr="00FC2C86">
        <w:rPr>
          <w:rFonts w:ascii="Times New Roman" w:hAnsi="Times New Roman" w:cs="Times New Roman"/>
          <w:color w:val="000000" w:themeColor="text1"/>
          <w:sz w:val="28"/>
          <w:szCs w:val="28"/>
          <w:shd w:val="clear" w:color="auto" w:fill="FFFFFF"/>
        </w:rPr>
        <w:t xml:space="preserve">ною участю </w:t>
      </w:r>
      <w:r w:rsidRPr="00FC2C86">
        <w:rPr>
          <w:rFonts w:ascii="Times New Roman" w:hAnsi="Times New Roman" w:cs="Times New Roman"/>
          <w:color w:val="000000" w:themeColor="text1"/>
          <w:sz w:val="28"/>
          <w:szCs w:val="28"/>
          <w:shd w:val="clear" w:color="auto" w:fill="FFFFFF"/>
          <w:lang w:val="en-US"/>
        </w:rPr>
        <w:t>«</w:t>
      </w:r>
      <w:r w:rsidRPr="00FC2C86">
        <w:rPr>
          <w:rFonts w:ascii="Times New Roman" w:hAnsi="Times New Roman" w:cs="Times New Roman"/>
          <w:color w:val="000000" w:themeColor="text1"/>
          <w:sz w:val="28"/>
          <w:szCs w:val="28"/>
          <w:lang w:val="en-US" w:eastAsia="en-US"/>
        </w:rPr>
        <w:t>The development of nature sciences: problems and solutions», (</w:t>
      </w:r>
      <w:r w:rsidRPr="00FC2C86">
        <w:rPr>
          <w:rFonts w:ascii="Times New Roman" w:hAnsi="Times New Roman" w:cs="Times New Roman"/>
          <w:color w:val="000000" w:themeColor="text1"/>
          <w:sz w:val="28"/>
          <w:szCs w:val="28"/>
          <w:lang w:eastAsia="en-US"/>
        </w:rPr>
        <w:t>Брно</w:t>
      </w:r>
      <w:r w:rsidRPr="00FC2C86">
        <w:rPr>
          <w:rFonts w:ascii="Times New Roman" w:hAnsi="Times New Roman" w:cs="Times New Roman"/>
          <w:color w:val="000000" w:themeColor="text1"/>
          <w:sz w:val="28"/>
          <w:szCs w:val="28"/>
          <w:lang w:val="en-US" w:eastAsia="en-US"/>
        </w:rPr>
        <w:t xml:space="preserve">, </w:t>
      </w:r>
      <w:r w:rsidRPr="00FC2C86">
        <w:rPr>
          <w:rFonts w:ascii="Times New Roman" w:hAnsi="Times New Roman" w:cs="Times New Roman"/>
          <w:color w:val="000000" w:themeColor="text1"/>
          <w:sz w:val="28"/>
          <w:szCs w:val="28"/>
          <w:lang w:eastAsia="en-US"/>
        </w:rPr>
        <w:t>Чехі</w:t>
      </w:r>
      <w:r w:rsidRPr="00FC2C86">
        <w:rPr>
          <w:rFonts w:ascii="Times New Roman" w:eastAsia="Malgun Gothic Semilight" w:hAnsi="Times New Roman" w:cs="Times New Roman"/>
          <w:color w:val="000000" w:themeColor="text1"/>
          <w:sz w:val="28"/>
          <w:szCs w:val="28"/>
          <w:lang w:eastAsia="en-US"/>
        </w:rPr>
        <w:t>я</w:t>
      </w:r>
      <w:r w:rsidRPr="00FC2C86">
        <w:rPr>
          <w:rFonts w:ascii="Times New Roman" w:hAnsi="Times New Roman" w:cs="Times New Roman"/>
          <w:color w:val="000000" w:themeColor="text1"/>
          <w:sz w:val="28"/>
          <w:szCs w:val="28"/>
          <w:lang w:val="en-US" w:eastAsia="en-US"/>
        </w:rPr>
        <w:t>, 27-28</w:t>
      </w:r>
      <w:r w:rsidRPr="00FC2C86">
        <w:rPr>
          <w:rFonts w:ascii="Times New Roman" w:eastAsia="Malgun Gothic Semilight" w:hAnsi="Times New Roman" w:cs="Times New Roman"/>
          <w:color w:val="000000" w:themeColor="text1"/>
          <w:sz w:val="28"/>
          <w:szCs w:val="28"/>
          <w:lang w:val="en-US" w:eastAsia="en-US"/>
        </w:rPr>
        <w:t> </w:t>
      </w:r>
      <w:r w:rsidRPr="00FC2C86">
        <w:rPr>
          <w:rFonts w:ascii="Times New Roman" w:eastAsia="Malgun Gothic Semilight" w:hAnsi="Times New Roman" w:cs="Times New Roman"/>
          <w:color w:val="000000" w:themeColor="text1"/>
          <w:sz w:val="28"/>
          <w:szCs w:val="28"/>
          <w:lang w:eastAsia="en-US"/>
        </w:rPr>
        <w:t>кв</w:t>
      </w:r>
      <w:r w:rsidRPr="00FC2C86">
        <w:rPr>
          <w:rFonts w:ascii="Times New Roman" w:hAnsi="Times New Roman" w:cs="Times New Roman"/>
          <w:color w:val="000000" w:themeColor="text1"/>
          <w:sz w:val="28"/>
          <w:szCs w:val="28"/>
          <w:lang w:eastAsia="en-US"/>
        </w:rPr>
        <w:t>і</w:t>
      </w:r>
      <w:r w:rsidRPr="00FC2C86">
        <w:rPr>
          <w:rFonts w:ascii="Times New Roman" w:eastAsia="Malgun Gothic Semilight" w:hAnsi="Times New Roman" w:cs="Times New Roman"/>
          <w:color w:val="000000" w:themeColor="text1"/>
          <w:sz w:val="28"/>
          <w:szCs w:val="28"/>
          <w:lang w:eastAsia="en-US"/>
        </w:rPr>
        <w:t>тня</w:t>
      </w:r>
      <w:r w:rsidRPr="00FC2C86">
        <w:rPr>
          <w:rFonts w:ascii="Times New Roman" w:hAnsi="Times New Roman" w:cs="Times New Roman"/>
          <w:color w:val="000000" w:themeColor="text1"/>
          <w:sz w:val="28"/>
          <w:szCs w:val="28"/>
          <w:lang w:val="en-US" w:eastAsia="en-US"/>
        </w:rPr>
        <w:t xml:space="preserve"> 2018</w:t>
      </w:r>
      <w:r w:rsidRPr="00FC2C86">
        <w:rPr>
          <w:rFonts w:ascii="Times New Roman" w:eastAsia="Malgun Gothic Semilight" w:hAnsi="Times New Roman" w:cs="Times New Roman"/>
          <w:color w:val="000000" w:themeColor="text1"/>
          <w:sz w:val="28"/>
          <w:szCs w:val="28"/>
          <w:lang w:val="en-US" w:eastAsia="en-US"/>
        </w:rPr>
        <w:t> </w:t>
      </w:r>
      <w:r w:rsidRPr="00FC2C86">
        <w:rPr>
          <w:rFonts w:ascii="Times New Roman" w:eastAsia="Malgun Gothic Semilight" w:hAnsi="Times New Roman" w:cs="Times New Roman"/>
          <w:color w:val="000000" w:themeColor="text1"/>
          <w:sz w:val="28"/>
          <w:szCs w:val="28"/>
          <w:lang w:eastAsia="en-US"/>
        </w:rPr>
        <w:t>р</w:t>
      </w:r>
      <w:r w:rsidRPr="00FC2C86">
        <w:rPr>
          <w:rFonts w:ascii="Times New Roman" w:hAnsi="Times New Roman" w:cs="Times New Roman"/>
          <w:color w:val="000000" w:themeColor="text1"/>
          <w:sz w:val="28"/>
          <w:szCs w:val="28"/>
          <w:lang w:val="en-US" w:eastAsia="en-US"/>
        </w:rPr>
        <w:t xml:space="preserve">.); </w:t>
      </w:r>
      <w:r w:rsidRPr="00FC2C86">
        <w:rPr>
          <w:rFonts w:ascii="Times New Roman" w:hAnsi="Times New Roman" w:cs="Times New Roman"/>
          <w:color w:val="000000" w:themeColor="text1"/>
          <w:sz w:val="28"/>
          <w:szCs w:val="28"/>
          <w:shd w:val="clear" w:color="auto" w:fill="FFFFFF"/>
          <w:lang w:val="en-US"/>
        </w:rPr>
        <w:t>VI </w:t>
      </w:r>
      <w:r w:rsidRPr="00FC2C86">
        <w:rPr>
          <w:rFonts w:ascii="Times New Roman" w:hAnsi="Times New Roman" w:cs="Times New Roman"/>
          <w:color w:val="000000" w:themeColor="text1"/>
          <w:sz w:val="28"/>
          <w:szCs w:val="28"/>
          <w:shd w:val="clear" w:color="auto" w:fill="FFFFFF"/>
        </w:rPr>
        <w:t>мі</w:t>
      </w:r>
      <w:r w:rsidRPr="00FC2C86">
        <w:rPr>
          <w:rFonts w:ascii="Times New Roman" w:eastAsia="Malgun Gothic Semilight" w:hAnsi="Times New Roman" w:cs="Times New Roman"/>
          <w:color w:val="000000" w:themeColor="text1"/>
          <w:sz w:val="28"/>
          <w:szCs w:val="28"/>
          <w:shd w:val="clear" w:color="auto" w:fill="FFFFFF"/>
        </w:rPr>
        <w:t>жнародна</w:t>
      </w:r>
      <w:r w:rsidRPr="00FC2C86">
        <w:rPr>
          <w:rFonts w:ascii="Times New Roman" w:hAnsi="Times New Roman" w:cs="Times New Roman"/>
          <w:color w:val="000000" w:themeColor="text1"/>
          <w:sz w:val="28"/>
          <w:szCs w:val="28"/>
          <w:shd w:val="clear" w:color="auto" w:fill="FFFFFF"/>
          <w:lang w:val="en-US"/>
        </w:rPr>
        <w:t xml:space="preserve"> </w:t>
      </w:r>
      <w:r w:rsidRPr="00FC2C86">
        <w:rPr>
          <w:rFonts w:ascii="Times New Roman" w:eastAsia="Malgun Gothic Semilight" w:hAnsi="Times New Roman" w:cs="Times New Roman"/>
          <w:color w:val="000000" w:themeColor="text1"/>
          <w:sz w:val="28"/>
          <w:szCs w:val="28"/>
          <w:shd w:val="clear" w:color="auto" w:fill="FFFFFF"/>
        </w:rPr>
        <w:t>науково</w:t>
      </w:r>
      <w:r w:rsidRPr="00FC2C86">
        <w:rPr>
          <w:rFonts w:ascii="Times New Roman" w:hAnsi="Times New Roman" w:cs="Times New Roman"/>
          <w:color w:val="000000" w:themeColor="text1"/>
          <w:sz w:val="28"/>
          <w:szCs w:val="28"/>
          <w:shd w:val="clear" w:color="auto" w:fill="FFFFFF"/>
          <w:lang w:val="en-US"/>
        </w:rPr>
        <w:t>-</w:t>
      </w:r>
      <w:r w:rsidRPr="00FC2C86">
        <w:rPr>
          <w:rFonts w:ascii="Times New Roman" w:eastAsia="Malgun Gothic Semilight" w:hAnsi="Times New Roman" w:cs="Times New Roman"/>
          <w:color w:val="000000" w:themeColor="text1"/>
          <w:sz w:val="28"/>
          <w:szCs w:val="28"/>
          <w:shd w:val="clear" w:color="auto" w:fill="FFFFFF"/>
        </w:rPr>
        <w:t>практична</w:t>
      </w:r>
      <w:r w:rsidRPr="00FC2C86">
        <w:rPr>
          <w:rFonts w:ascii="Times New Roman" w:hAnsi="Times New Roman" w:cs="Times New Roman"/>
          <w:color w:val="000000" w:themeColor="text1"/>
          <w:sz w:val="28"/>
          <w:szCs w:val="28"/>
          <w:shd w:val="clear" w:color="auto" w:fill="FFFFFF"/>
          <w:lang w:val="en-US"/>
        </w:rPr>
        <w:t xml:space="preserve"> </w:t>
      </w:r>
      <w:r w:rsidRPr="00FC2C86">
        <w:rPr>
          <w:rFonts w:ascii="Times New Roman" w:eastAsia="Malgun Gothic Semilight" w:hAnsi="Times New Roman" w:cs="Times New Roman"/>
          <w:color w:val="000000" w:themeColor="text1"/>
          <w:sz w:val="28"/>
          <w:szCs w:val="28"/>
          <w:shd w:val="clear" w:color="auto" w:fill="FFFFFF"/>
        </w:rPr>
        <w:t>конференц</w:t>
      </w:r>
      <w:r w:rsidRPr="00FC2C86">
        <w:rPr>
          <w:rFonts w:ascii="Times New Roman" w:hAnsi="Times New Roman" w:cs="Times New Roman"/>
          <w:color w:val="000000" w:themeColor="text1"/>
          <w:sz w:val="28"/>
          <w:szCs w:val="28"/>
          <w:shd w:val="clear" w:color="auto" w:fill="FFFFFF"/>
        </w:rPr>
        <w:t>і</w:t>
      </w:r>
      <w:r w:rsidRPr="00FC2C86">
        <w:rPr>
          <w:rFonts w:ascii="Times New Roman" w:eastAsia="Malgun Gothic Semilight" w:hAnsi="Times New Roman" w:cs="Times New Roman"/>
          <w:color w:val="000000" w:themeColor="text1"/>
          <w:sz w:val="28"/>
          <w:szCs w:val="28"/>
          <w:shd w:val="clear" w:color="auto" w:fill="FFFFFF"/>
        </w:rPr>
        <w:t>я</w:t>
      </w:r>
      <w:r w:rsidRPr="00FC2C86">
        <w:rPr>
          <w:rFonts w:ascii="Times New Roman" w:hAnsi="Times New Roman" w:cs="Times New Roman"/>
          <w:color w:val="000000" w:themeColor="text1"/>
          <w:sz w:val="28"/>
          <w:szCs w:val="28"/>
          <w:shd w:val="clear" w:color="auto" w:fill="FFFFFF"/>
          <w:lang w:val="en-US"/>
        </w:rPr>
        <w:t xml:space="preserve"> </w:t>
      </w:r>
      <w:r w:rsidRPr="00FC2C86">
        <w:rPr>
          <w:rFonts w:ascii="Times New Roman" w:hAnsi="Times New Roman" w:cs="Times New Roman"/>
          <w:color w:val="000000" w:themeColor="text1"/>
          <w:sz w:val="28"/>
          <w:szCs w:val="28"/>
          <w:lang w:val="en-US" w:eastAsia="en-US"/>
        </w:rPr>
        <w:t>«Perspectives of science and education» (</w:t>
      </w:r>
      <w:r w:rsidRPr="00FC2C86">
        <w:rPr>
          <w:rFonts w:ascii="Times New Roman" w:hAnsi="Times New Roman" w:cs="Times New Roman"/>
          <w:color w:val="000000" w:themeColor="text1"/>
          <w:sz w:val="28"/>
          <w:szCs w:val="28"/>
          <w:lang w:eastAsia="en-US"/>
        </w:rPr>
        <w:t>Нью</w:t>
      </w:r>
      <w:r w:rsidRPr="00FC2C86">
        <w:rPr>
          <w:rFonts w:ascii="Times New Roman" w:hAnsi="Times New Roman" w:cs="Times New Roman"/>
          <w:color w:val="000000" w:themeColor="text1"/>
          <w:sz w:val="28"/>
          <w:szCs w:val="28"/>
          <w:lang w:val="en-US" w:eastAsia="en-US"/>
        </w:rPr>
        <w:t>-</w:t>
      </w:r>
      <w:r w:rsidR="000E6B50" w:rsidRPr="00FC2C86">
        <w:rPr>
          <w:rFonts w:ascii="Times New Roman" w:hAnsi="Times New Roman" w:cs="Times New Roman"/>
          <w:color w:val="000000" w:themeColor="text1"/>
          <w:sz w:val="28"/>
          <w:szCs w:val="28"/>
          <w:lang w:eastAsia="en-US"/>
        </w:rPr>
        <w:t>Й</w:t>
      </w:r>
      <w:r w:rsidRPr="00FC2C86">
        <w:rPr>
          <w:rFonts w:ascii="Times New Roman" w:hAnsi="Times New Roman" w:cs="Times New Roman"/>
          <w:color w:val="000000" w:themeColor="text1"/>
          <w:sz w:val="28"/>
          <w:szCs w:val="28"/>
          <w:lang w:eastAsia="en-US"/>
        </w:rPr>
        <w:t>орк</w:t>
      </w:r>
      <w:r w:rsidRPr="00FC2C86">
        <w:rPr>
          <w:rFonts w:ascii="Times New Roman" w:hAnsi="Times New Roman" w:cs="Times New Roman"/>
          <w:color w:val="000000" w:themeColor="text1"/>
          <w:sz w:val="28"/>
          <w:szCs w:val="28"/>
          <w:lang w:val="en-US" w:eastAsia="en-US"/>
        </w:rPr>
        <w:t xml:space="preserve">, </w:t>
      </w:r>
      <w:r w:rsidRPr="00FC2C86">
        <w:rPr>
          <w:rFonts w:ascii="Times New Roman" w:hAnsi="Times New Roman" w:cs="Times New Roman"/>
          <w:color w:val="000000" w:themeColor="text1"/>
          <w:sz w:val="28"/>
          <w:szCs w:val="28"/>
          <w:lang w:eastAsia="en-US"/>
        </w:rPr>
        <w:t>США</w:t>
      </w:r>
      <w:r w:rsidRPr="00FC2C86">
        <w:rPr>
          <w:rFonts w:ascii="Times New Roman" w:hAnsi="Times New Roman" w:cs="Times New Roman"/>
          <w:color w:val="000000" w:themeColor="text1"/>
          <w:sz w:val="28"/>
          <w:szCs w:val="28"/>
          <w:lang w:val="en-US" w:eastAsia="en-US"/>
        </w:rPr>
        <w:t>, 14 </w:t>
      </w:r>
      <w:r w:rsidRPr="00FC2C86">
        <w:rPr>
          <w:rFonts w:ascii="Times New Roman" w:hAnsi="Times New Roman" w:cs="Times New Roman"/>
          <w:color w:val="000000" w:themeColor="text1"/>
          <w:sz w:val="28"/>
          <w:szCs w:val="28"/>
          <w:lang w:eastAsia="en-US"/>
        </w:rPr>
        <w:t>грудня</w:t>
      </w:r>
      <w:r w:rsidRPr="00FC2C86">
        <w:rPr>
          <w:rFonts w:ascii="Times New Roman" w:hAnsi="Times New Roman" w:cs="Times New Roman"/>
          <w:color w:val="000000" w:themeColor="text1"/>
          <w:sz w:val="28"/>
          <w:szCs w:val="28"/>
          <w:lang w:val="en-US" w:eastAsia="en-US"/>
        </w:rPr>
        <w:t xml:space="preserve"> 2018 </w:t>
      </w:r>
      <w:r w:rsidRPr="00FC2C86">
        <w:rPr>
          <w:rFonts w:ascii="Times New Roman" w:hAnsi="Times New Roman" w:cs="Times New Roman"/>
          <w:color w:val="000000" w:themeColor="text1"/>
          <w:sz w:val="28"/>
          <w:szCs w:val="28"/>
          <w:lang w:eastAsia="en-US"/>
        </w:rPr>
        <w:t>р</w:t>
      </w:r>
      <w:r w:rsidRPr="00FC2C86">
        <w:rPr>
          <w:rFonts w:ascii="Times New Roman" w:hAnsi="Times New Roman" w:cs="Times New Roman"/>
          <w:color w:val="000000" w:themeColor="text1"/>
          <w:sz w:val="28"/>
          <w:szCs w:val="28"/>
          <w:lang w:val="en-US" w:eastAsia="en-US"/>
        </w:rPr>
        <w:t>.)</w:t>
      </w:r>
    </w:p>
    <w:p w:rsidR="00FC2C86" w:rsidRDefault="007F5FCD" w:rsidP="002B5B94">
      <w:pPr>
        <w:spacing w:line="360" w:lineRule="auto"/>
        <w:ind w:firstLine="709"/>
        <w:jc w:val="both"/>
        <w:rPr>
          <w:rFonts w:ascii="Times New Roman" w:hAnsi="Times New Roman" w:cs="Times New Roman"/>
          <w:bCs/>
          <w:iCs/>
          <w:color w:val="000000" w:themeColor="text1"/>
          <w:sz w:val="28"/>
          <w:szCs w:val="28"/>
          <w:lang w:val="uk-UA"/>
        </w:rPr>
      </w:pPr>
      <w:r w:rsidRPr="000A32AD">
        <w:rPr>
          <w:rFonts w:ascii="Times New Roman" w:hAnsi="Times New Roman" w:cs="Times New Roman"/>
          <w:b/>
          <w:bCs/>
          <w:color w:val="000000" w:themeColor="text1"/>
          <w:sz w:val="28"/>
          <w:szCs w:val="28"/>
          <w:lang w:val="uk-UA"/>
        </w:rPr>
        <w:t xml:space="preserve">Публікації. </w:t>
      </w:r>
      <w:r w:rsidR="00FC2C86" w:rsidRPr="00677EBD">
        <w:rPr>
          <w:rFonts w:ascii="Times New Roman" w:hAnsi="Times New Roman" w:cs="Times New Roman"/>
          <w:sz w:val="28"/>
          <w:szCs w:val="28"/>
          <w:lang w:val="uk-UA"/>
        </w:rPr>
        <w:t xml:space="preserve">За </w:t>
      </w:r>
      <w:r w:rsidR="00FC2C86" w:rsidRPr="00677EBD">
        <w:rPr>
          <w:rFonts w:ascii="Times New Roman" w:hAnsi="Times New Roman" w:cs="Times New Roman"/>
          <w:spacing w:val="-3"/>
          <w:sz w:val="28"/>
          <w:szCs w:val="28"/>
          <w:lang w:val="uk-UA"/>
        </w:rPr>
        <w:t xml:space="preserve">результатами дисертації опубліковано </w:t>
      </w:r>
      <w:r w:rsidR="00FC2C86">
        <w:rPr>
          <w:rFonts w:ascii="Times New Roman" w:hAnsi="Times New Roman" w:cs="Times New Roman"/>
          <w:sz w:val="28"/>
          <w:szCs w:val="28"/>
          <w:lang w:val="uk-UA"/>
        </w:rPr>
        <w:t>12</w:t>
      </w:r>
      <w:r w:rsidR="00FC2C86" w:rsidRPr="00677EBD">
        <w:rPr>
          <w:rFonts w:ascii="Times New Roman" w:hAnsi="Times New Roman" w:cs="Times New Roman"/>
          <w:sz w:val="28"/>
          <w:szCs w:val="28"/>
          <w:lang w:val="uk-UA"/>
        </w:rPr>
        <w:t xml:space="preserve"> </w:t>
      </w:r>
      <w:r w:rsidR="00FC2C86" w:rsidRPr="00677EBD">
        <w:rPr>
          <w:rFonts w:ascii="Times New Roman" w:hAnsi="Times New Roman" w:cs="Times New Roman"/>
          <w:spacing w:val="-3"/>
          <w:sz w:val="28"/>
          <w:szCs w:val="28"/>
          <w:lang w:val="uk-UA"/>
        </w:rPr>
        <w:t xml:space="preserve">наукових праць, </w:t>
      </w:r>
      <w:r w:rsidR="00FC2C86" w:rsidRPr="00677EBD">
        <w:rPr>
          <w:rFonts w:ascii="Times New Roman" w:hAnsi="Times New Roman" w:cs="Times New Roman"/>
          <w:sz w:val="28"/>
          <w:szCs w:val="28"/>
          <w:lang w:val="uk-UA"/>
        </w:rPr>
        <w:t xml:space="preserve">у тому </w:t>
      </w:r>
      <w:r w:rsidR="00FC2C86" w:rsidRPr="00677EBD">
        <w:rPr>
          <w:rFonts w:ascii="Times New Roman" w:hAnsi="Times New Roman" w:cs="Times New Roman"/>
          <w:spacing w:val="-3"/>
          <w:sz w:val="28"/>
          <w:szCs w:val="28"/>
          <w:lang w:val="uk-UA"/>
        </w:rPr>
        <w:t xml:space="preserve">числі </w:t>
      </w:r>
      <w:r w:rsidR="00FC2C86" w:rsidRPr="00677EBD">
        <w:rPr>
          <w:rFonts w:ascii="Times New Roman" w:hAnsi="Times New Roman" w:cs="Times New Roman"/>
          <w:sz w:val="28"/>
          <w:szCs w:val="28"/>
          <w:lang w:val="uk-UA"/>
        </w:rPr>
        <w:t xml:space="preserve">6 </w:t>
      </w:r>
      <w:r w:rsidR="00FC2C86" w:rsidRPr="00677EBD">
        <w:rPr>
          <w:rFonts w:ascii="Times New Roman" w:hAnsi="Times New Roman" w:cs="Times New Roman"/>
          <w:spacing w:val="-3"/>
          <w:sz w:val="28"/>
          <w:szCs w:val="28"/>
          <w:lang w:val="uk-UA"/>
        </w:rPr>
        <w:t xml:space="preserve">статей </w:t>
      </w:r>
      <w:r w:rsidR="00FC2C86">
        <w:rPr>
          <w:rFonts w:ascii="Times New Roman" w:hAnsi="Times New Roman" w:cs="Times New Roman"/>
          <w:sz w:val="28"/>
          <w:szCs w:val="28"/>
          <w:lang w:val="uk-UA"/>
        </w:rPr>
        <w:t>(2</w:t>
      </w:r>
      <w:r w:rsidR="00FC2C86" w:rsidRPr="00677EBD">
        <w:rPr>
          <w:rFonts w:ascii="Times New Roman" w:hAnsi="Times New Roman" w:cs="Times New Roman"/>
          <w:sz w:val="28"/>
          <w:szCs w:val="28"/>
          <w:lang w:val="uk-UA"/>
        </w:rPr>
        <w:t xml:space="preserve"> </w:t>
      </w:r>
      <w:r w:rsidR="00FC2C86" w:rsidRPr="00677EBD">
        <w:rPr>
          <w:rFonts w:ascii="Times New Roman" w:hAnsi="Times New Roman" w:cs="Times New Roman"/>
          <w:spacing w:val="-3"/>
          <w:sz w:val="28"/>
          <w:szCs w:val="28"/>
          <w:lang w:val="uk-UA"/>
        </w:rPr>
        <w:t xml:space="preserve">одноосібно), </w:t>
      </w:r>
      <w:r w:rsidR="00FC2C86" w:rsidRPr="00677EBD">
        <w:rPr>
          <w:rFonts w:ascii="Times New Roman" w:hAnsi="Times New Roman" w:cs="Times New Roman"/>
          <w:sz w:val="28"/>
          <w:szCs w:val="28"/>
          <w:lang w:val="uk-UA"/>
        </w:rPr>
        <w:t xml:space="preserve">з них 5 – </w:t>
      </w:r>
      <w:r w:rsidR="00FC2C86" w:rsidRPr="00677EBD">
        <w:rPr>
          <w:rFonts w:ascii="Times New Roman" w:hAnsi="Times New Roman" w:cs="Times New Roman"/>
          <w:spacing w:val="-3"/>
          <w:sz w:val="28"/>
          <w:szCs w:val="28"/>
          <w:lang w:val="uk-UA"/>
        </w:rPr>
        <w:t xml:space="preserve">у наукових виданнях, рекомендованих МОН України, </w:t>
      </w:r>
      <w:r w:rsidR="00FC2C86" w:rsidRPr="00677EBD">
        <w:rPr>
          <w:rFonts w:ascii="Times New Roman" w:hAnsi="Times New Roman" w:cs="Times New Roman"/>
          <w:sz w:val="28"/>
          <w:szCs w:val="28"/>
          <w:lang w:val="uk-UA"/>
        </w:rPr>
        <w:t xml:space="preserve">та 1 </w:t>
      </w:r>
      <w:r w:rsidR="00FC2C86" w:rsidRPr="00677EBD">
        <w:rPr>
          <w:rFonts w:ascii="Times New Roman" w:hAnsi="Times New Roman" w:cs="Times New Roman"/>
          <w:spacing w:val="-3"/>
          <w:sz w:val="28"/>
          <w:szCs w:val="28"/>
          <w:lang w:val="uk-UA"/>
        </w:rPr>
        <w:t xml:space="preserve">стаття </w:t>
      </w:r>
      <w:r w:rsidR="00FC2C86" w:rsidRPr="00677EBD">
        <w:rPr>
          <w:rFonts w:ascii="Times New Roman" w:hAnsi="Times New Roman" w:cs="Times New Roman"/>
          <w:sz w:val="28"/>
          <w:szCs w:val="28"/>
          <w:lang w:val="uk-UA"/>
        </w:rPr>
        <w:t xml:space="preserve">в </w:t>
      </w:r>
      <w:r w:rsidR="00FC2C86" w:rsidRPr="00677EBD">
        <w:rPr>
          <w:rFonts w:ascii="Times New Roman" w:hAnsi="Times New Roman" w:cs="Times New Roman"/>
          <w:spacing w:val="-3"/>
          <w:sz w:val="28"/>
          <w:szCs w:val="28"/>
          <w:lang w:val="uk-UA"/>
        </w:rPr>
        <w:t>іноземному журналі,</w:t>
      </w:r>
      <w:r w:rsidR="00FC2C86">
        <w:rPr>
          <w:rFonts w:ascii="Times New Roman" w:hAnsi="Times New Roman" w:cs="Times New Roman"/>
          <w:spacing w:val="-3"/>
          <w:sz w:val="28"/>
          <w:szCs w:val="28"/>
          <w:lang w:val="uk-UA"/>
        </w:rPr>
        <w:t xml:space="preserve"> </w:t>
      </w:r>
      <w:r w:rsidR="00FC2C86">
        <w:rPr>
          <w:rFonts w:ascii="Times New Roman" w:hAnsi="Times New Roman" w:cs="Times New Roman"/>
          <w:sz w:val="28"/>
          <w:szCs w:val="28"/>
          <w:lang w:val="uk-UA"/>
        </w:rPr>
        <w:t>6</w:t>
      </w:r>
      <w:r w:rsidR="00FC2C86" w:rsidRPr="00677EBD">
        <w:rPr>
          <w:rFonts w:ascii="Times New Roman" w:hAnsi="Times New Roman" w:cs="Times New Roman"/>
          <w:sz w:val="28"/>
          <w:szCs w:val="28"/>
          <w:lang w:val="uk-UA"/>
        </w:rPr>
        <w:t xml:space="preserve"> </w:t>
      </w:r>
      <w:r w:rsidR="00FC2C86" w:rsidRPr="00677EBD">
        <w:rPr>
          <w:rFonts w:ascii="Times New Roman" w:hAnsi="Times New Roman" w:cs="Times New Roman"/>
          <w:spacing w:val="-3"/>
          <w:sz w:val="28"/>
          <w:szCs w:val="28"/>
          <w:lang w:val="uk-UA"/>
        </w:rPr>
        <w:t xml:space="preserve">тез на </w:t>
      </w:r>
      <w:r w:rsidR="00FC2C86" w:rsidRPr="00677EBD">
        <w:rPr>
          <w:rFonts w:ascii="Times New Roman" w:hAnsi="Times New Roman" w:cs="Times New Roman"/>
          <w:sz w:val="28"/>
          <w:szCs w:val="28"/>
          <w:lang w:val="uk-UA"/>
        </w:rPr>
        <w:t xml:space="preserve">вітчизняних науково-практичних конференціях, </w:t>
      </w:r>
      <w:r w:rsidR="00FC2C86" w:rsidRPr="00FB58A4">
        <w:rPr>
          <w:rFonts w:ascii="Times New Roman" w:hAnsi="Times New Roman" w:cs="Times New Roman"/>
          <w:color w:val="auto"/>
          <w:sz w:val="28"/>
          <w:szCs w:val="28"/>
          <w:lang w:val="uk-UA"/>
        </w:rPr>
        <w:t xml:space="preserve">в тому числі й </w:t>
      </w:r>
      <w:r w:rsidR="00FC2C86" w:rsidRPr="00677EBD">
        <w:rPr>
          <w:rFonts w:ascii="Times New Roman" w:hAnsi="Times New Roman" w:cs="Times New Roman"/>
          <w:sz w:val="28"/>
          <w:szCs w:val="28"/>
          <w:lang w:val="uk-UA"/>
        </w:rPr>
        <w:t>міжнародни</w:t>
      </w:r>
      <w:r w:rsidR="00FC2C86" w:rsidRPr="00507FB4">
        <w:rPr>
          <w:rFonts w:ascii="Times New Roman" w:hAnsi="Times New Roman" w:cs="Times New Roman"/>
          <w:sz w:val="28"/>
          <w:szCs w:val="28"/>
          <w:lang w:val="uk-UA"/>
        </w:rPr>
        <w:t>х.</w:t>
      </w:r>
    </w:p>
    <w:p w:rsidR="007F5FCD" w:rsidRPr="000A32AD" w:rsidRDefault="007F5FCD" w:rsidP="002B5B94">
      <w:pPr>
        <w:spacing w:line="360" w:lineRule="auto"/>
        <w:ind w:firstLine="709"/>
        <w:jc w:val="both"/>
        <w:rPr>
          <w:bCs/>
          <w:color w:val="000000" w:themeColor="text1"/>
          <w:szCs w:val="28"/>
          <w:lang w:val="uk-UA"/>
        </w:rPr>
      </w:pPr>
      <w:r w:rsidRPr="000A32AD">
        <w:rPr>
          <w:rFonts w:ascii="Times New Roman" w:hAnsi="Times New Roman" w:cs="Times New Roman"/>
          <w:b/>
          <w:color w:val="000000" w:themeColor="text1"/>
          <w:kern w:val="28"/>
          <w:sz w:val="28"/>
          <w:szCs w:val="28"/>
          <w:lang w:val="uk-UA"/>
        </w:rPr>
        <w:t xml:space="preserve">Обсяг і структура дисертації. </w:t>
      </w:r>
      <w:r w:rsidRPr="000A32AD">
        <w:rPr>
          <w:rFonts w:ascii="Times New Roman" w:hAnsi="Times New Roman" w:cs="Times New Roman"/>
          <w:bCs/>
          <w:color w:val="000000" w:themeColor="text1"/>
          <w:sz w:val="28"/>
          <w:szCs w:val="28"/>
          <w:lang w:val="uk-UA"/>
        </w:rPr>
        <w:t xml:space="preserve">Дисертацію викладено на </w:t>
      </w:r>
      <w:r w:rsidR="00E00C4B">
        <w:rPr>
          <w:rFonts w:ascii="Times New Roman" w:hAnsi="Times New Roman" w:cs="Times New Roman"/>
          <w:bCs/>
          <w:color w:val="000000" w:themeColor="text1"/>
          <w:sz w:val="28"/>
          <w:szCs w:val="28"/>
          <w:lang w:val="uk-UA"/>
        </w:rPr>
        <w:t xml:space="preserve">150 </w:t>
      </w:r>
      <w:r w:rsidRPr="000A32AD">
        <w:rPr>
          <w:rFonts w:ascii="Times New Roman" w:hAnsi="Times New Roman" w:cs="Times New Roman"/>
          <w:bCs/>
          <w:color w:val="000000" w:themeColor="text1"/>
          <w:sz w:val="28"/>
          <w:szCs w:val="28"/>
          <w:lang w:val="uk-UA"/>
        </w:rPr>
        <w:t>сторінках друкованого тексту і складається з анотації, вступу, огляду літератури, розділу «Ма</w:t>
      </w:r>
      <w:r w:rsidR="000F0812" w:rsidRPr="000A32AD">
        <w:rPr>
          <w:rFonts w:ascii="Times New Roman" w:hAnsi="Times New Roman" w:cs="Times New Roman"/>
          <w:bCs/>
          <w:color w:val="000000" w:themeColor="text1"/>
          <w:sz w:val="28"/>
          <w:szCs w:val="28"/>
          <w:lang w:val="uk-UA"/>
        </w:rPr>
        <w:t>теріали і методи дослідження», 2</w:t>
      </w:r>
      <w:r w:rsidRPr="000A32AD">
        <w:rPr>
          <w:rFonts w:ascii="Times New Roman" w:hAnsi="Times New Roman" w:cs="Times New Roman"/>
          <w:bCs/>
          <w:color w:val="000000" w:themeColor="text1"/>
          <w:sz w:val="28"/>
          <w:szCs w:val="28"/>
          <w:lang w:val="uk-UA"/>
        </w:rPr>
        <w:t xml:space="preserve"> розділів власних досліджень, аналізу </w:t>
      </w:r>
      <w:r w:rsidR="00E00C4B">
        <w:rPr>
          <w:rFonts w:ascii="Times New Roman" w:hAnsi="Times New Roman" w:cs="Times New Roman"/>
          <w:bCs/>
          <w:color w:val="000000" w:themeColor="text1"/>
          <w:sz w:val="28"/>
          <w:szCs w:val="28"/>
          <w:lang w:val="uk-UA"/>
        </w:rPr>
        <w:t>та</w:t>
      </w:r>
      <w:r w:rsidRPr="000A32AD">
        <w:rPr>
          <w:rFonts w:ascii="Times New Roman" w:hAnsi="Times New Roman" w:cs="Times New Roman"/>
          <w:bCs/>
          <w:color w:val="000000" w:themeColor="text1"/>
          <w:sz w:val="28"/>
          <w:szCs w:val="28"/>
          <w:lang w:val="uk-UA"/>
        </w:rPr>
        <w:t xml:space="preserve"> узагальненню результатів дослідження, висновків, практичних рекомендацій, списку викор</w:t>
      </w:r>
      <w:r w:rsidR="00247569" w:rsidRPr="000A32AD">
        <w:rPr>
          <w:rFonts w:ascii="Times New Roman" w:hAnsi="Times New Roman" w:cs="Times New Roman"/>
          <w:bCs/>
          <w:color w:val="000000" w:themeColor="text1"/>
          <w:sz w:val="28"/>
          <w:szCs w:val="28"/>
          <w:lang w:val="uk-UA"/>
        </w:rPr>
        <w:t>истаних джерел, який налічує 2</w:t>
      </w:r>
      <w:r w:rsidR="00E00C4B">
        <w:rPr>
          <w:rFonts w:ascii="Times New Roman" w:hAnsi="Times New Roman" w:cs="Times New Roman"/>
          <w:bCs/>
          <w:color w:val="000000" w:themeColor="text1"/>
          <w:sz w:val="28"/>
          <w:szCs w:val="28"/>
          <w:lang w:val="uk-UA"/>
        </w:rPr>
        <w:t>52</w:t>
      </w:r>
      <w:r w:rsidRPr="000A32AD">
        <w:rPr>
          <w:rFonts w:ascii="Times New Roman" w:hAnsi="Times New Roman" w:cs="Times New Roman"/>
          <w:bCs/>
          <w:color w:val="000000" w:themeColor="text1"/>
          <w:sz w:val="28"/>
          <w:szCs w:val="28"/>
          <w:lang w:val="uk-UA"/>
        </w:rPr>
        <w:t xml:space="preserve"> посилан</w:t>
      </w:r>
      <w:r w:rsidR="00E00C4B">
        <w:rPr>
          <w:rFonts w:ascii="Times New Roman" w:hAnsi="Times New Roman" w:cs="Times New Roman"/>
          <w:bCs/>
          <w:color w:val="000000" w:themeColor="text1"/>
          <w:sz w:val="28"/>
          <w:szCs w:val="28"/>
          <w:lang w:val="uk-UA"/>
        </w:rPr>
        <w:t>ня</w:t>
      </w:r>
      <w:r w:rsidRPr="000A32AD">
        <w:rPr>
          <w:rFonts w:ascii="Times New Roman" w:hAnsi="Times New Roman" w:cs="Times New Roman"/>
          <w:bCs/>
          <w:color w:val="000000" w:themeColor="text1"/>
          <w:sz w:val="28"/>
          <w:szCs w:val="28"/>
          <w:lang w:val="uk-UA"/>
        </w:rPr>
        <w:t xml:space="preserve"> (</w:t>
      </w:r>
      <w:r w:rsidR="00E00C4B">
        <w:rPr>
          <w:rFonts w:ascii="Times New Roman" w:hAnsi="Times New Roman" w:cs="Times New Roman"/>
          <w:bCs/>
          <w:color w:val="000000" w:themeColor="text1"/>
          <w:sz w:val="28"/>
          <w:szCs w:val="28"/>
          <w:lang w:val="uk-UA"/>
        </w:rPr>
        <w:t>89</w:t>
      </w:r>
      <w:r w:rsidRPr="000A32AD">
        <w:rPr>
          <w:rFonts w:ascii="Times New Roman" w:hAnsi="Times New Roman" w:cs="Times New Roman"/>
          <w:bCs/>
          <w:color w:val="000000" w:themeColor="text1"/>
          <w:sz w:val="28"/>
          <w:szCs w:val="28"/>
          <w:lang w:val="uk-UA"/>
        </w:rPr>
        <w:t xml:space="preserve"> кирилицею, 16</w:t>
      </w:r>
      <w:r w:rsidR="00E00C4B">
        <w:rPr>
          <w:rFonts w:ascii="Times New Roman" w:hAnsi="Times New Roman" w:cs="Times New Roman"/>
          <w:bCs/>
          <w:color w:val="000000" w:themeColor="text1"/>
          <w:sz w:val="28"/>
          <w:szCs w:val="28"/>
          <w:lang w:val="uk-UA"/>
        </w:rPr>
        <w:t>3</w:t>
      </w:r>
      <w:r w:rsidRPr="000A32AD">
        <w:rPr>
          <w:rFonts w:ascii="Times New Roman" w:hAnsi="Times New Roman" w:cs="Times New Roman"/>
          <w:bCs/>
          <w:color w:val="000000" w:themeColor="text1"/>
          <w:sz w:val="28"/>
          <w:szCs w:val="28"/>
          <w:lang w:val="uk-UA"/>
        </w:rPr>
        <w:t xml:space="preserve"> латиницею)</w:t>
      </w:r>
      <w:r w:rsidR="00E00C4B">
        <w:rPr>
          <w:rFonts w:ascii="Times New Roman" w:hAnsi="Times New Roman" w:cs="Times New Roman"/>
          <w:bCs/>
          <w:color w:val="000000" w:themeColor="text1"/>
          <w:sz w:val="28"/>
          <w:szCs w:val="28"/>
          <w:lang w:val="uk-UA"/>
        </w:rPr>
        <w:t xml:space="preserve"> та додатків</w:t>
      </w:r>
      <w:r w:rsidRPr="000A32AD">
        <w:rPr>
          <w:rFonts w:ascii="Times New Roman" w:hAnsi="Times New Roman" w:cs="Times New Roman"/>
          <w:bCs/>
          <w:color w:val="000000" w:themeColor="text1"/>
          <w:sz w:val="28"/>
          <w:szCs w:val="28"/>
          <w:lang w:val="uk-UA"/>
        </w:rPr>
        <w:t>. Роботу проілюстровано</w:t>
      </w:r>
      <w:r w:rsidR="002B5B94">
        <w:rPr>
          <w:rFonts w:ascii="Times New Roman" w:hAnsi="Times New Roman" w:cs="Times New Roman"/>
          <w:bCs/>
          <w:color w:val="000000" w:themeColor="text1"/>
          <w:sz w:val="28"/>
          <w:szCs w:val="28"/>
          <w:lang w:val="uk-UA"/>
        </w:rPr>
        <w:t xml:space="preserve"> 9</w:t>
      </w:r>
      <w:r w:rsidRPr="000A32AD">
        <w:rPr>
          <w:rFonts w:ascii="Times New Roman" w:hAnsi="Times New Roman" w:cs="Times New Roman"/>
          <w:bCs/>
          <w:color w:val="000000" w:themeColor="text1"/>
          <w:sz w:val="28"/>
          <w:szCs w:val="28"/>
          <w:lang w:val="uk-UA"/>
        </w:rPr>
        <w:t xml:space="preserve"> таблицями, </w:t>
      </w:r>
      <w:r w:rsidR="002B5B94">
        <w:rPr>
          <w:rFonts w:ascii="Times New Roman" w:hAnsi="Times New Roman" w:cs="Times New Roman"/>
          <w:bCs/>
          <w:color w:val="000000" w:themeColor="text1"/>
          <w:sz w:val="28"/>
          <w:szCs w:val="28"/>
          <w:lang w:val="uk-UA"/>
        </w:rPr>
        <w:t xml:space="preserve">11 </w:t>
      </w:r>
      <w:r w:rsidRPr="000A32AD">
        <w:rPr>
          <w:rFonts w:ascii="Times New Roman" w:hAnsi="Times New Roman" w:cs="Times New Roman"/>
          <w:bCs/>
          <w:color w:val="000000" w:themeColor="text1"/>
          <w:sz w:val="28"/>
          <w:szCs w:val="28"/>
          <w:lang w:val="uk-UA"/>
        </w:rPr>
        <w:t xml:space="preserve">рисунками </w:t>
      </w:r>
      <w:r w:rsidR="002B5B94">
        <w:rPr>
          <w:rFonts w:ascii="Times New Roman" w:hAnsi="Times New Roman" w:cs="Times New Roman"/>
          <w:bCs/>
          <w:color w:val="000000" w:themeColor="text1"/>
          <w:sz w:val="28"/>
          <w:szCs w:val="28"/>
          <w:lang w:val="uk-UA"/>
        </w:rPr>
        <w:t>в основному тексті та 15 рисунками у додатку</w:t>
      </w:r>
      <w:r w:rsidRPr="000A32AD">
        <w:rPr>
          <w:rFonts w:ascii="Times New Roman" w:hAnsi="Times New Roman" w:cs="Times New Roman"/>
          <w:bCs/>
          <w:color w:val="000000" w:themeColor="text1"/>
          <w:sz w:val="28"/>
          <w:szCs w:val="28"/>
          <w:lang w:val="uk-UA"/>
        </w:rPr>
        <w:t xml:space="preserve">. </w:t>
      </w:r>
    </w:p>
    <w:p w:rsidR="007F5FCD" w:rsidRPr="000A32AD" w:rsidRDefault="007F5FCD">
      <w:pPr>
        <w:spacing w:after="160" w:line="259" w:lineRule="auto"/>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br w:type="page"/>
      </w:r>
    </w:p>
    <w:p w:rsidR="000D5D92" w:rsidRPr="000A32AD" w:rsidRDefault="000D5D92" w:rsidP="000D5D92">
      <w:pPr>
        <w:spacing w:line="360" w:lineRule="auto"/>
        <w:jc w:val="center"/>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lastRenderedPageBreak/>
        <w:t>РОЗДІЛ 1</w:t>
      </w:r>
      <w:bookmarkEnd w:id="4"/>
    </w:p>
    <w:p w:rsidR="000D5D92" w:rsidRPr="000A32AD" w:rsidRDefault="000D5D92" w:rsidP="000D5D92">
      <w:pPr>
        <w:spacing w:line="360" w:lineRule="auto"/>
        <w:jc w:val="center"/>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t>ОГЛЯД ЛІТЕРАТУРИ</w:t>
      </w:r>
    </w:p>
    <w:p w:rsidR="000D5D92" w:rsidRPr="000A32AD" w:rsidRDefault="000D5D92" w:rsidP="000D5D92">
      <w:pPr>
        <w:spacing w:line="360" w:lineRule="auto"/>
        <w:ind w:left="709"/>
        <w:contextualSpacing/>
        <w:jc w:val="both"/>
        <w:rPr>
          <w:rFonts w:ascii="Times New Roman" w:hAnsi="Times New Roman" w:cs="Times New Roman"/>
          <w:b/>
          <w:color w:val="000000" w:themeColor="text1"/>
          <w:sz w:val="28"/>
          <w:szCs w:val="28"/>
          <w:lang w:val="uk-UA"/>
        </w:rPr>
      </w:pPr>
    </w:p>
    <w:p w:rsidR="000D5D92" w:rsidRPr="000A32AD" w:rsidRDefault="000D5D92" w:rsidP="000D5D92">
      <w:pPr>
        <w:spacing w:line="360" w:lineRule="auto"/>
        <w:ind w:firstLine="709"/>
        <w:rPr>
          <w:rFonts w:ascii="Times New Roman" w:hAnsi="Times New Roman" w:cs="Times New Roman"/>
          <w:b/>
          <w:color w:val="000000" w:themeColor="text1"/>
          <w:sz w:val="28"/>
          <w:szCs w:val="28"/>
          <w:lang w:val="uk-UA"/>
        </w:rPr>
      </w:pPr>
      <w:bookmarkStart w:id="5" w:name="Pidrozd_1_1"/>
    </w:p>
    <w:p w:rsidR="000D5D92" w:rsidRPr="000A32AD" w:rsidRDefault="000D5D92" w:rsidP="000D5D92">
      <w:pPr>
        <w:spacing w:line="360" w:lineRule="auto"/>
        <w:ind w:firstLine="709"/>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t>1.1.</w:t>
      </w:r>
      <w:r w:rsidR="00F17BD2" w:rsidRPr="000A32AD">
        <w:rPr>
          <w:rFonts w:ascii="Times New Roman" w:hAnsi="Times New Roman" w:cs="Times New Roman"/>
          <w:b/>
          <w:color w:val="000000" w:themeColor="text1"/>
          <w:sz w:val="28"/>
          <w:szCs w:val="28"/>
          <w:lang w:val="uk-UA"/>
        </w:rPr>
        <w:t xml:space="preserve"> </w:t>
      </w:r>
      <w:bookmarkEnd w:id="5"/>
      <w:r w:rsidR="00504223" w:rsidRPr="000A32AD">
        <w:rPr>
          <w:rFonts w:ascii="Times New Roman" w:hAnsi="Times New Roman" w:cs="Times New Roman"/>
          <w:b/>
          <w:color w:val="000000" w:themeColor="text1"/>
          <w:sz w:val="28"/>
          <w:szCs w:val="28"/>
          <w:lang w:val="uk-UA"/>
        </w:rPr>
        <w:t>Місце та роль артеріальної гіпертензії, цукрового діабету та дисплазії сполучної тканини у коморбідній патологій</w:t>
      </w:r>
    </w:p>
    <w:p w:rsidR="000D5D92" w:rsidRPr="000A32AD" w:rsidRDefault="000D5D92" w:rsidP="000D5D92">
      <w:pPr>
        <w:spacing w:line="360" w:lineRule="auto"/>
        <w:ind w:firstLine="709"/>
        <w:contextualSpacing/>
        <w:jc w:val="both"/>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lang w:val="uk-UA"/>
        </w:rPr>
        <w:t>Збільшення тривалості життя сучасного людства та певні успіхі у лікуванні багатьох захворювань крім безсумнівної користі для суспільства, збільшили актуальність коморбідної патології, для якої характерно наявність у однієї людини двох та більше захворювань з тривалим перебігом. В останні роки серед хворих, що звертаються за первинною медичною допомогою та серед хворих, що госпіталізуються в багатопрофільні лікарні частка таких хворих зростає і на цей час коморбідна патологія є скоріше правилом, ніж виключенням [</w:t>
      </w:r>
      <w:r w:rsidR="0083259B" w:rsidRPr="000A32AD">
        <w:rPr>
          <w:rFonts w:ascii="Times New Roman" w:hAnsi="Times New Roman" w:cs="Times New Roman"/>
          <w:color w:val="000000" w:themeColor="text1"/>
          <w:sz w:val="28"/>
          <w:szCs w:val="28"/>
          <w:lang w:val="uk-UA"/>
        </w:rPr>
        <w:t>99</w:t>
      </w:r>
      <w:r w:rsidR="00365A66" w:rsidRPr="000A32AD">
        <w:rPr>
          <w:rFonts w:ascii="Times New Roman" w:hAnsi="Times New Roman" w:cs="Times New Roman"/>
          <w:color w:val="000000" w:themeColor="text1"/>
          <w:sz w:val="28"/>
          <w:szCs w:val="28"/>
          <w:lang w:val="uk-UA"/>
        </w:rPr>
        <w:t>; 235</w:t>
      </w:r>
      <w:r w:rsidRPr="000A32AD">
        <w:rPr>
          <w:rFonts w:ascii="Times New Roman" w:hAnsi="Times New Roman" w:cs="Times New Roman"/>
          <w:color w:val="000000" w:themeColor="text1"/>
          <w:sz w:val="28"/>
          <w:szCs w:val="28"/>
          <w:shd w:val="clear" w:color="auto" w:fill="FFFFFF"/>
          <w:lang w:val="uk-UA"/>
        </w:rPr>
        <w:t xml:space="preserve">]. </w:t>
      </w:r>
    </w:p>
    <w:p w:rsidR="000D5D92" w:rsidRPr="000A32AD" w:rsidRDefault="000D5D92" w:rsidP="000D5D92">
      <w:pPr>
        <w:spacing w:line="360" w:lineRule="auto"/>
        <w:ind w:firstLine="709"/>
        <w:contextualSpacing/>
        <w:jc w:val="both"/>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Коморбідна патологія суттєво впливає на якість життя хворих, та обумовлює додаткові труднощі під час надання медичної допомоги, як з точки зору діагностики, так й з точки зору ефективності лікування [</w:t>
      </w:r>
      <w:r w:rsidR="000B6EAF" w:rsidRPr="000A32AD">
        <w:rPr>
          <w:rFonts w:ascii="Times New Roman" w:hAnsi="Times New Roman" w:cs="Times New Roman"/>
          <w:color w:val="000000" w:themeColor="text1"/>
          <w:sz w:val="28"/>
          <w:szCs w:val="28"/>
          <w:shd w:val="clear" w:color="auto" w:fill="FFFFFF"/>
          <w:lang w:val="uk-UA"/>
        </w:rPr>
        <w:t>129; 132; 161; 219</w:t>
      </w:r>
      <w:r w:rsidRPr="000A32AD">
        <w:rPr>
          <w:rFonts w:ascii="Times New Roman" w:hAnsi="Times New Roman" w:cs="Times New Roman"/>
          <w:color w:val="000000" w:themeColor="text1"/>
          <w:sz w:val="28"/>
          <w:szCs w:val="28"/>
          <w:lang w:val="uk-UA"/>
        </w:rPr>
        <w:t xml:space="preserve">; </w:t>
      </w:r>
      <w:r w:rsidR="000B6EAF" w:rsidRPr="000A32AD">
        <w:rPr>
          <w:rFonts w:ascii="Times New Roman" w:hAnsi="Times New Roman" w:cs="Times New Roman"/>
          <w:color w:val="000000" w:themeColor="text1"/>
          <w:sz w:val="28"/>
          <w:szCs w:val="28"/>
          <w:lang w:val="uk-UA"/>
        </w:rPr>
        <w:t>240</w:t>
      </w:r>
      <w:r w:rsidRPr="000A32AD">
        <w:rPr>
          <w:rFonts w:ascii="Times New Roman" w:hAnsi="Times New Roman" w:cs="Times New Roman"/>
          <w:color w:val="000000" w:themeColor="text1"/>
          <w:sz w:val="28"/>
          <w:szCs w:val="28"/>
          <w:shd w:val="clear" w:color="auto" w:fill="FFFFFF"/>
          <w:lang w:val="uk-UA"/>
        </w:rPr>
        <w:t xml:space="preserve">]. </w:t>
      </w:r>
    </w:p>
    <w:p w:rsidR="000D5D92" w:rsidRPr="000A32AD" w:rsidRDefault="000D5D92" w:rsidP="000D5D92">
      <w:pPr>
        <w:spacing w:line="360" w:lineRule="auto"/>
        <w:ind w:firstLine="709"/>
        <w:contextualSpacing/>
        <w:jc w:val="both"/>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Особливе значення в структурі патології мають серцево-судинні захворювання (ССЗ), які займають провідне місця як в структурі ізольованої, так й коморбідної патології. За результати великомасштабних популяційних досліджень на підставі аналізу реєстру відвідувань сімейного лікаря встановлено, що кожен четвертий пацієнт мав ССЗ, у 10,5% спостерігалося дві та більше патологій [</w:t>
      </w:r>
      <w:r w:rsidR="000B6EAF" w:rsidRPr="000A32AD">
        <w:rPr>
          <w:rFonts w:ascii="Times New Roman" w:hAnsi="Times New Roman" w:cs="Times New Roman"/>
          <w:color w:val="000000" w:themeColor="text1"/>
          <w:sz w:val="28"/>
          <w:szCs w:val="28"/>
          <w:shd w:val="clear" w:color="auto" w:fill="FFFFFF"/>
          <w:lang w:val="uk-UA"/>
        </w:rPr>
        <w:t>156</w:t>
      </w:r>
      <w:r w:rsidRPr="000A32AD">
        <w:rPr>
          <w:rFonts w:ascii="Times New Roman" w:hAnsi="Times New Roman" w:cs="Times New Roman"/>
          <w:color w:val="000000" w:themeColor="text1"/>
          <w:sz w:val="28"/>
          <w:szCs w:val="28"/>
          <w:shd w:val="clear" w:color="auto" w:fill="FFFFFF"/>
          <w:lang w:val="uk-UA"/>
        </w:rPr>
        <w:t>]. Наявність коморбідної патології у хворих на ССЗ призводить до поліпрагмазії та значно збільшує фармакологічне навантаження на хворого [</w:t>
      </w:r>
      <w:r w:rsidR="000B6EAF" w:rsidRPr="000A32AD">
        <w:rPr>
          <w:rFonts w:ascii="Times New Roman" w:hAnsi="Times New Roman" w:cs="Times New Roman"/>
          <w:color w:val="000000" w:themeColor="text1"/>
          <w:sz w:val="28"/>
          <w:szCs w:val="28"/>
          <w:shd w:val="clear" w:color="auto" w:fill="FFFFFF"/>
          <w:lang w:val="uk-UA"/>
        </w:rPr>
        <w:t>93</w:t>
      </w:r>
      <w:r w:rsidRPr="000A32AD">
        <w:rPr>
          <w:rFonts w:ascii="Times New Roman" w:hAnsi="Times New Roman" w:cs="Times New Roman"/>
          <w:color w:val="000000" w:themeColor="text1"/>
          <w:sz w:val="28"/>
          <w:szCs w:val="28"/>
          <w:shd w:val="clear" w:color="auto" w:fill="FFFFFF"/>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shd w:val="clear" w:color="auto" w:fill="FFFFFF"/>
          <w:lang w:val="uk-UA"/>
        </w:rPr>
        <w:t xml:space="preserve">Однім з найбільш поширених ССЗ є артеріальна гіпертензія, на яку страждають більш 1,5 млрд. людей у світі, причому майже 45% з них не знають </w:t>
      </w:r>
      <w:r w:rsidRPr="000A32AD">
        <w:rPr>
          <w:rFonts w:ascii="Times New Roman" w:hAnsi="Times New Roman" w:cs="Times New Roman"/>
          <w:color w:val="000000" w:themeColor="text1"/>
          <w:sz w:val="28"/>
          <w:szCs w:val="28"/>
          <w:shd w:val="clear" w:color="auto" w:fill="FFFFFF"/>
          <w:lang w:val="uk-UA"/>
        </w:rPr>
        <w:lastRenderedPageBreak/>
        <w:t>про наявність підвищеного артеріального тиску (АТ) [</w:t>
      </w:r>
      <w:r w:rsidR="000B6EAF" w:rsidRPr="000A32AD">
        <w:rPr>
          <w:rFonts w:ascii="Times New Roman" w:hAnsi="Times New Roman" w:cs="Times New Roman"/>
          <w:color w:val="000000" w:themeColor="text1"/>
          <w:sz w:val="28"/>
          <w:szCs w:val="28"/>
          <w:lang w:val="uk-UA"/>
        </w:rPr>
        <w:t>141</w:t>
      </w:r>
      <w:r w:rsidR="00792540" w:rsidRPr="000A32AD">
        <w:rPr>
          <w:rFonts w:ascii="Times New Roman" w:hAnsi="Times New Roman" w:cs="Times New Roman"/>
          <w:color w:val="000000" w:themeColor="text1"/>
          <w:sz w:val="28"/>
          <w:szCs w:val="28"/>
          <w:lang w:val="uk-UA"/>
        </w:rPr>
        <w:t>; 151</w:t>
      </w:r>
      <w:r w:rsidRPr="000A32AD">
        <w:rPr>
          <w:rFonts w:ascii="Times New Roman" w:hAnsi="Times New Roman" w:cs="Times New Roman"/>
          <w:color w:val="000000" w:themeColor="text1"/>
          <w:sz w:val="28"/>
          <w:szCs w:val="28"/>
          <w:lang w:val="uk-UA"/>
        </w:rPr>
        <w:t>]. За поширеністю АГ Україна посідає одне з перших місць в Європі [</w:t>
      </w:r>
      <w:r w:rsidR="0083259B" w:rsidRPr="000A32AD">
        <w:rPr>
          <w:rFonts w:ascii="Times New Roman" w:hAnsi="Times New Roman" w:cs="Times New Roman"/>
          <w:color w:val="000000" w:themeColor="text1"/>
          <w:sz w:val="28"/>
          <w:szCs w:val="28"/>
          <w:lang w:val="uk-UA"/>
        </w:rPr>
        <w:t>38</w:t>
      </w:r>
      <w:r w:rsidRPr="000A32AD">
        <w:rPr>
          <w:rFonts w:ascii="Times New Roman" w:hAnsi="Times New Roman" w:cs="Times New Roman"/>
          <w:color w:val="000000" w:themeColor="text1"/>
          <w:sz w:val="28"/>
          <w:szCs w:val="28"/>
          <w:lang w:val="uk-UA"/>
        </w:rPr>
        <w:t>]. Підвищений АТ</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виявляється майже у 40% дорослого населення України, а майже у третини АТ підвищений постійно</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w:t>
      </w:r>
      <w:r w:rsidR="0083259B" w:rsidRPr="000A32AD">
        <w:rPr>
          <w:rFonts w:ascii="Times New Roman" w:hAnsi="Times New Roman" w:cs="Times New Roman"/>
          <w:color w:val="000000" w:themeColor="text1"/>
          <w:sz w:val="28"/>
          <w:szCs w:val="28"/>
        </w:rPr>
        <w:t>37</w:t>
      </w:r>
      <w:r w:rsidRPr="000A32AD">
        <w:rPr>
          <w:rFonts w:ascii="Times New Roman" w:hAnsi="Times New Roman" w:cs="Times New Roman"/>
          <w:color w:val="000000" w:themeColor="text1"/>
          <w:sz w:val="28"/>
          <w:szCs w:val="28"/>
          <w:lang w:val="uk-UA"/>
        </w:rPr>
        <w:t>]. Поширеність АГ в містах у чоловіків сягає 65,9 %, у жінок – 76,2 %; в сільській місцевості – 80 %</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та 72 % відповідно</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w:t>
      </w:r>
      <w:r w:rsidR="0083259B" w:rsidRPr="000A32AD">
        <w:rPr>
          <w:rFonts w:ascii="Times New Roman" w:hAnsi="Times New Roman" w:cs="Times New Roman"/>
          <w:color w:val="000000" w:themeColor="text1"/>
          <w:sz w:val="28"/>
          <w:szCs w:val="28"/>
          <w:lang w:val="uk-UA"/>
        </w:rPr>
        <w:t>36</w:t>
      </w:r>
      <w:r w:rsidRPr="000A32AD">
        <w:rPr>
          <w:rFonts w:ascii="Times New Roman" w:hAnsi="Times New Roman" w:cs="Times New Roman"/>
          <w:color w:val="000000" w:themeColor="text1"/>
          <w:sz w:val="28"/>
          <w:szCs w:val="28"/>
          <w:lang w:val="uk-UA"/>
        </w:rPr>
        <w:t xml:space="preserve">; </w:t>
      </w:r>
      <w:r w:rsidR="0083259B" w:rsidRPr="000A32AD">
        <w:rPr>
          <w:rFonts w:ascii="Times New Roman" w:hAnsi="Times New Roman" w:cs="Times New Roman"/>
          <w:color w:val="000000" w:themeColor="text1"/>
          <w:sz w:val="28"/>
          <w:szCs w:val="28"/>
          <w:lang w:val="uk-UA"/>
        </w:rPr>
        <w:t>39</w:t>
      </w:r>
      <w:r w:rsidRPr="000A32AD">
        <w:rPr>
          <w:rFonts w:ascii="Times New Roman" w:hAnsi="Times New Roman" w:cs="Times New Roman"/>
          <w:color w:val="000000" w:themeColor="text1"/>
          <w:sz w:val="28"/>
          <w:szCs w:val="28"/>
          <w:lang w:val="uk-UA"/>
        </w:rPr>
        <w:t>].</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При цьому АГ </w:t>
      </w:r>
      <w:r w:rsidR="003859C0" w:rsidRPr="000A32AD">
        <w:rPr>
          <w:rFonts w:ascii="Times New Roman" w:hAnsi="Times New Roman" w:cs="Times New Roman"/>
          <w:color w:val="000000" w:themeColor="text1"/>
          <w:sz w:val="28"/>
          <w:szCs w:val="28"/>
          <w:lang w:val="uk-UA"/>
        </w:rPr>
        <w:t>не часто</w:t>
      </w:r>
      <w:r w:rsidRPr="000A32AD">
        <w:rPr>
          <w:rFonts w:ascii="Times New Roman" w:hAnsi="Times New Roman" w:cs="Times New Roman"/>
          <w:color w:val="000000" w:themeColor="text1"/>
          <w:sz w:val="28"/>
          <w:szCs w:val="28"/>
          <w:lang w:val="uk-UA"/>
        </w:rPr>
        <w:t xml:space="preserve"> буває ізольованою та найчастіше виявляється у сполученні з іншою патологію, зокрема, з ЦД та іншою ендокринною патологією, ожирінням, ішемічною хворобою серця (ІХС), з хронічною хворобою нирок (ХХН), серцевою недостатністю (СН) та ін. [</w:t>
      </w:r>
      <w:r w:rsidR="0083259B" w:rsidRPr="000A32AD">
        <w:rPr>
          <w:rFonts w:ascii="Times New Roman" w:hAnsi="Times New Roman" w:cs="Times New Roman"/>
          <w:color w:val="000000" w:themeColor="text1"/>
          <w:sz w:val="28"/>
          <w:szCs w:val="28"/>
          <w:lang w:val="uk-UA"/>
        </w:rPr>
        <w:t>184</w:t>
      </w:r>
      <w:r w:rsidRPr="000A32AD">
        <w:rPr>
          <w:rFonts w:ascii="Times New Roman" w:hAnsi="Times New Roman" w:cs="Times New Roman"/>
          <w:color w:val="000000" w:themeColor="text1"/>
          <w:sz w:val="28"/>
          <w:szCs w:val="28"/>
          <w:lang w:val="uk-UA"/>
        </w:rPr>
        <w:t xml:space="preserve">; </w:t>
      </w:r>
      <w:r w:rsidR="000B6EAF" w:rsidRPr="000A32AD">
        <w:rPr>
          <w:rFonts w:ascii="Times New Roman" w:hAnsi="Times New Roman" w:cs="Times New Roman"/>
          <w:color w:val="000000" w:themeColor="text1"/>
          <w:sz w:val="28"/>
          <w:szCs w:val="28"/>
          <w:lang w:val="uk-UA"/>
        </w:rPr>
        <w:t>208</w:t>
      </w:r>
      <w:r w:rsidRPr="000A32AD">
        <w:rPr>
          <w:rFonts w:ascii="Times New Roman" w:hAnsi="Times New Roman" w:cs="Times New Roman"/>
          <w:color w:val="000000" w:themeColor="text1"/>
          <w:sz w:val="28"/>
          <w:szCs w:val="28"/>
          <w:lang w:val="uk-UA"/>
        </w:rPr>
        <w:t xml:space="preserve">]. АГ є причиною тяжких серцево-судинних і ниркових ускладнень, смертності та зменшення працездатності хворих, особливо при наявності </w:t>
      </w:r>
      <w:r w:rsidR="003859C0" w:rsidRPr="000A32AD">
        <w:rPr>
          <w:rFonts w:ascii="Times New Roman" w:hAnsi="Times New Roman" w:cs="Times New Roman"/>
          <w:color w:val="000000" w:themeColor="text1"/>
          <w:sz w:val="28"/>
          <w:szCs w:val="28"/>
          <w:lang w:val="uk-UA"/>
        </w:rPr>
        <w:t xml:space="preserve">іншої </w:t>
      </w:r>
      <w:r w:rsidRPr="000A32AD">
        <w:rPr>
          <w:rFonts w:ascii="Times New Roman" w:hAnsi="Times New Roman" w:cs="Times New Roman"/>
          <w:color w:val="000000" w:themeColor="text1"/>
          <w:sz w:val="28"/>
          <w:szCs w:val="28"/>
          <w:lang w:val="uk-UA"/>
        </w:rPr>
        <w:t>коморбідної патології</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w:t>
      </w:r>
      <w:r w:rsidR="000B6EAF" w:rsidRPr="000A32AD">
        <w:rPr>
          <w:rFonts w:ascii="Times New Roman" w:hAnsi="Times New Roman" w:cs="Times New Roman"/>
          <w:color w:val="000000" w:themeColor="text1"/>
          <w:sz w:val="28"/>
          <w:szCs w:val="28"/>
          <w:lang w:val="uk-UA"/>
        </w:rPr>
        <w:t xml:space="preserve">7; </w:t>
      </w:r>
      <w:r w:rsidR="0083259B" w:rsidRPr="000A32AD">
        <w:rPr>
          <w:rFonts w:ascii="Times New Roman" w:hAnsi="Times New Roman" w:cs="Times New Roman"/>
          <w:color w:val="000000" w:themeColor="text1"/>
          <w:sz w:val="28"/>
          <w:szCs w:val="28"/>
          <w:lang w:val="uk-UA"/>
        </w:rPr>
        <w:t>36</w:t>
      </w:r>
      <w:r w:rsidRPr="000A32AD">
        <w:rPr>
          <w:rFonts w:ascii="Times New Roman" w:hAnsi="Times New Roman" w:cs="Times New Roman"/>
          <w:color w:val="000000" w:themeColor="text1"/>
          <w:sz w:val="28"/>
          <w:szCs w:val="28"/>
          <w:lang w:val="uk-UA"/>
        </w:rPr>
        <w:t xml:space="preserve">; </w:t>
      </w:r>
      <w:r w:rsidR="000B6EAF" w:rsidRPr="000A32AD">
        <w:rPr>
          <w:rFonts w:ascii="Times New Roman" w:hAnsi="Times New Roman" w:cs="Times New Roman"/>
          <w:bCs/>
          <w:color w:val="000000" w:themeColor="text1"/>
          <w:sz w:val="28"/>
          <w:szCs w:val="28"/>
          <w:lang w:val="uk-UA"/>
        </w:rPr>
        <w:t xml:space="preserve">111; </w:t>
      </w:r>
      <w:r w:rsidR="0083259B" w:rsidRPr="000A32AD">
        <w:rPr>
          <w:rFonts w:ascii="Times New Roman" w:hAnsi="Times New Roman" w:cs="Times New Roman"/>
          <w:color w:val="000000" w:themeColor="text1"/>
          <w:sz w:val="28"/>
          <w:szCs w:val="28"/>
          <w:lang w:val="uk-UA"/>
        </w:rPr>
        <w:t>184</w:t>
      </w:r>
      <w:r w:rsidRPr="000A32AD">
        <w:rPr>
          <w:rFonts w:ascii="Times New Roman" w:hAnsi="Times New Roman" w:cs="Times New Roman"/>
          <w:bCs/>
          <w:color w:val="000000" w:themeColor="text1"/>
          <w:sz w:val="28"/>
          <w:szCs w:val="28"/>
          <w:lang w:val="uk-UA"/>
        </w:rPr>
        <w:t>]</w:t>
      </w:r>
      <w:r w:rsidRPr="000A32AD">
        <w:rPr>
          <w:rFonts w:ascii="Times New Roman" w:hAnsi="Times New Roman" w:cs="Times New Roman"/>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Найчастіше спостерігається сполучення АГ з ЦД. Така коморбідн</w:t>
      </w:r>
      <w:r w:rsidR="003859C0" w:rsidRPr="000A32AD">
        <w:rPr>
          <w:rFonts w:ascii="Times New Roman" w:hAnsi="Times New Roman" w:cs="Times New Roman"/>
          <w:color w:val="000000" w:themeColor="text1"/>
          <w:sz w:val="28"/>
          <w:szCs w:val="28"/>
          <w:lang w:val="uk-UA"/>
        </w:rPr>
        <w:t xml:space="preserve">ість </w:t>
      </w:r>
      <w:r w:rsidRPr="000A32AD">
        <w:rPr>
          <w:rFonts w:ascii="Times New Roman" w:hAnsi="Times New Roman" w:cs="Times New Roman"/>
          <w:color w:val="000000" w:themeColor="text1"/>
          <w:sz w:val="28"/>
          <w:szCs w:val="28"/>
          <w:lang w:val="uk-UA"/>
        </w:rPr>
        <w:t>значно збільшує ризик важких серцево-судинних ускладнень</w:t>
      </w:r>
      <w:r w:rsidRPr="000A32AD">
        <w:rPr>
          <w:rFonts w:ascii="Times New Roman" w:hAnsi="Times New Roman" w:cs="Times New Roman"/>
          <w:color w:val="000000" w:themeColor="text1"/>
          <w:sz w:val="28"/>
          <w:szCs w:val="28"/>
          <w:lang w:val="uk-UA" w:eastAsia="ar-SA"/>
        </w:rPr>
        <w:t>, при цьому вважається, що поширеність АГ серед хворих на ЦД перевищує 60% [</w:t>
      </w:r>
      <w:r w:rsidR="00635620" w:rsidRPr="000A32AD">
        <w:rPr>
          <w:rFonts w:ascii="Times New Roman" w:hAnsi="Times New Roman" w:cs="Times New Roman"/>
          <w:color w:val="000000" w:themeColor="text1"/>
          <w:sz w:val="28"/>
          <w:szCs w:val="28"/>
          <w:lang w:val="uk-UA" w:eastAsia="ar-SA"/>
        </w:rPr>
        <w:t xml:space="preserve">66; </w:t>
      </w:r>
      <w:r w:rsidR="008C4B91" w:rsidRPr="000A32AD">
        <w:rPr>
          <w:rFonts w:ascii="Times New Roman" w:hAnsi="Times New Roman" w:cs="Times New Roman"/>
          <w:color w:val="000000" w:themeColor="text1"/>
          <w:sz w:val="28"/>
          <w:szCs w:val="28"/>
          <w:lang w:val="uk-UA"/>
        </w:rPr>
        <w:t>144</w:t>
      </w:r>
      <w:r w:rsidRPr="000A32AD">
        <w:rPr>
          <w:rFonts w:ascii="Times New Roman" w:hAnsi="Times New Roman" w:cs="Times New Roman"/>
          <w:color w:val="000000" w:themeColor="text1"/>
          <w:sz w:val="28"/>
          <w:szCs w:val="28"/>
          <w:lang w:val="uk-UA" w:eastAsia="ar-SA"/>
        </w:rPr>
        <w:t>]. За даними W.N. Nibouche та співавт. (2016)</w:t>
      </w:r>
      <w:r w:rsidR="003859C0" w:rsidRPr="000A32AD">
        <w:rPr>
          <w:rFonts w:ascii="Times New Roman" w:hAnsi="Times New Roman" w:cs="Times New Roman"/>
          <w:color w:val="000000" w:themeColor="text1"/>
          <w:sz w:val="28"/>
          <w:szCs w:val="28"/>
          <w:lang w:val="uk-UA" w:eastAsia="ar-SA"/>
        </w:rPr>
        <w:t>,</w:t>
      </w:r>
      <w:r w:rsidRPr="000A32AD">
        <w:rPr>
          <w:rFonts w:ascii="Times New Roman" w:hAnsi="Times New Roman" w:cs="Times New Roman"/>
          <w:color w:val="000000" w:themeColor="text1"/>
          <w:sz w:val="28"/>
          <w:szCs w:val="28"/>
          <w:lang w:val="uk-UA" w:eastAsia="ar-SA"/>
        </w:rPr>
        <w:t xml:space="preserve"> на момент встановлення діагнозу ЦД у 66,7% пацієнтів виявлялась АГ [</w:t>
      </w:r>
      <w:r w:rsidR="00365A66" w:rsidRPr="000A32AD">
        <w:rPr>
          <w:rFonts w:ascii="Times New Roman" w:hAnsi="Times New Roman" w:cs="Times New Roman"/>
          <w:color w:val="000000" w:themeColor="text1"/>
          <w:sz w:val="28"/>
          <w:szCs w:val="28"/>
          <w:lang w:val="uk-UA" w:eastAsia="ar-SA"/>
        </w:rPr>
        <w:t>189</w:t>
      </w:r>
      <w:r w:rsidRPr="000A32AD">
        <w:rPr>
          <w:rFonts w:ascii="Times New Roman" w:hAnsi="Times New Roman" w:cs="Times New Roman"/>
          <w:color w:val="000000" w:themeColor="text1"/>
          <w:sz w:val="28"/>
          <w:szCs w:val="28"/>
          <w:lang w:val="uk-UA" w:eastAsia="ar-SA"/>
        </w:rPr>
        <w:t xml:space="preserve">], а за даними </w:t>
      </w:r>
      <w:r w:rsidRPr="000A32AD">
        <w:rPr>
          <w:rFonts w:ascii="Times New Roman" w:hAnsi="Times New Roman" w:cs="Times New Roman"/>
          <w:color w:val="000000" w:themeColor="text1"/>
          <w:sz w:val="28"/>
          <w:szCs w:val="28"/>
          <w:lang w:val="en-US" w:eastAsia="ar-SA"/>
        </w:rPr>
        <w:t>J</w:t>
      </w:r>
      <w:r w:rsidRPr="000A32AD">
        <w:rPr>
          <w:rFonts w:ascii="Times New Roman" w:hAnsi="Times New Roman" w:cs="Times New Roman"/>
          <w:color w:val="000000" w:themeColor="text1"/>
          <w:sz w:val="28"/>
          <w:szCs w:val="28"/>
          <w:lang w:val="uk-UA" w:eastAsia="ar-SA"/>
        </w:rPr>
        <w:t xml:space="preserve"> .</w:t>
      </w:r>
      <w:r w:rsidRPr="000A32AD">
        <w:rPr>
          <w:rFonts w:ascii="Times New Roman" w:hAnsi="Times New Roman" w:cs="Times New Roman"/>
          <w:color w:val="000000" w:themeColor="text1"/>
          <w:sz w:val="28"/>
          <w:szCs w:val="28"/>
          <w:lang w:val="en-US" w:eastAsia="ar-SA"/>
        </w:rPr>
        <w:t>Charv</w:t>
      </w:r>
      <w:r w:rsidRPr="000A32AD">
        <w:rPr>
          <w:rFonts w:ascii="Times New Roman" w:hAnsi="Times New Roman" w:cs="Times New Roman"/>
          <w:color w:val="000000" w:themeColor="text1"/>
          <w:sz w:val="28"/>
          <w:szCs w:val="28"/>
          <w:lang w:val="uk-UA" w:eastAsia="ar-SA"/>
        </w:rPr>
        <w:t>á</w:t>
      </w:r>
      <w:r w:rsidRPr="000A32AD">
        <w:rPr>
          <w:rFonts w:ascii="Times New Roman" w:hAnsi="Times New Roman" w:cs="Times New Roman"/>
          <w:color w:val="000000" w:themeColor="text1"/>
          <w:sz w:val="28"/>
          <w:szCs w:val="28"/>
          <w:lang w:val="en-US" w:eastAsia="ar-SA"/>
        </w:rPr>
        <w:t>t</w:t>
      </w:r>
      <w:r w:rsidRPr="000A32AD">
        <w:rPr>
          <w:rFonts w:ascii="Times New Roman" w:hAnsi="Times New Roman" w:cs="Times New Roman"/>
          <w:color w:val="000000" w:themeColor="text1"/>
          <w:sz w:val="28"/>
          <w:szCs w:val="28"/>
          <w:lang w:val="uk-UA" w:eastAsia="ar-SA"/>
        </w:rPr>
        <w:t xml:space="preserve"> та співавт. (2016), прихована АГ виявляється у 35–60% хворих на ЦД [</w:t>
      </w:r>
      <w:r w:rsidR="008C4B91" w:rsidRPr="000A32AD">
        <w:rPr>
          <w:rFonts w:ascii="Times New Roman" w:hAnsi="Times New Roman" w:cs="Times New Roman"/>
          <w:color w:val="000000" w:themeColor="text1"/>
          <w:sz w:val="28"/>
          <w:szCs w:val="28"/>
          <w:lang w:val="uk-UA" w:eastAsia="ar-SA"/>
        </w:rPr>
        <w:t>108</w:t>
      </w:r>
      <w:r w:rsidRPr="000A32AD">
        <w:rPr>
          <w:rFonts w:ascii="Times New Roman" w:hAnsi="Times New Roman" w:cs="Times New Roman"/>
          <w:color w:val="000000" w:themeColor="text1"/>
          <w:sz w:val="28"/>
          <w:szCs w:val="28"/>
          <w:lang w:val="uk-UA" w:eastAsia="ar-SA"/>
        </w:rPr>
        <w:t>]. Неконтрольована АГ у хворих на ЦД 2 типу збільшує ризик розвитку двіабетичної нефропатії [</w:t>
      </w:r>
      <w:r w:rsidR="008C4B91" w:rsidRPr="000A32AD">
        <w:rPr>
          <w:rFonts w:ascii="Times New Roman" w:hAnsi="Times New Roman" w:cs="Times New Roman"/>
          <w:color w:val="000000" w:themeColor="text1"/>
          <w:sz w:val="28"/>
          <w:szCs w:val="28"/>
          <w:lang w:val="uk-UA"/>
        </w:rPr>
        <w:t>1</w:t>
      </w:r>
      <w:r w:rsidRPr="000A32AD">
        <w:rPr>
          <w:rFonts w:ascii="Times New Roman" w:hAnsi="Times New Roman" w:cs="Times New Roman"/>
          <w:color w:val="000000" w:themeColor="text1"/>
          <w:sz w:val="28"/>
          <w:szCs w:val="28"/>
          <w:lang w:val="uk-UA" w:eastAsia="ar-SA"/>
        </w:rPr>
        <w:t>16].</w:t>
      </w:r>
    </w:p>
    <w:p w:rsidR="000D5D92" w:rsidRPr="000A32AD" w:rsidRDefault="000D5D92" w:rsidP="000D5D92">
      <w:pPr>
        <w:spacing w:line="360" w:lineRule="auto"/>
        <w:ind w:firstLine="708"/>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Слід відмітити, що ЦД є не менш важливою проблемою сучасної охорони здоров’я. За оцінкою експертів Міжнародної асоціації діабету у 2015 році на ЦД страждали 415 млн. людей, що складає 11% популяції світу, а прогнозуєма поширеність ЦД до 2040 року збільшиться на 55% до 642 млн. хворих [</w:t>
      </w:r>
      <w:r w:rsidR="008C4B91" w:rsidRPr="000A32AD">
        <w:rPr>
          <w:rFonts w:ascii="Times New Roman" w:hAnsi="Times New Roman" w:cs="Times New Roman"/>
          <w:color w:val="000000" w:themeColor="text1"/>
          <w:sz w:val="28"/>
          <w:szCs w:val="28"/>
          <w:lang w:val="uk-UA"/>
        </w:rPr>
        <w:t>149</w:t>
      </w:r>
      <w:r w:rsidRPr="000A32AD">
        <w:rPr>
          <w:rFonts w:ascii="Times New Roman" w:hAnsi="Times New Roman" w:cs="Times New Roman"/>
          <w:color w:val="000000" w:themeColor="text1"/>
          <w:sz w:val="28"/>
          <w:szCs w:val="28"/>
          <w:lang w:val="uk-UA"/>
        </w:rPr>
        <w:t>]. Але актуальність проблеми ЦД для сучасної охорони здоров’я обумовлена не тільки поширеністю цього захворювання, але й закономірним розвитком судинних та ниркових ускладнень на тлі макро- та мікроангіопатій, притаманних для ЦД [</w:t>
      </w:r>
      <w:r w:rsidR="008C4B91" w:rsidRPr="000A32AD">
        <w:rPr>
          <w:rFonts w:ascii="Times New Roman" w:hAnsi="Times New Roman" w:cs="Times New Roman"/>
          <w:color w:val="000000" w:themeColor="text1"/>
          <w:sz w:val="28"/>
          <w:szCs w:val="28"/>
          <w:lang w:val="uk-UA"/>
        </w:rPr>
        <w:t>23; 187</w:t>
      </w:r>
      <w:r w:rsidRPr="000A32AD">
        <w:rPr>
          <w:rFonts w:ascii="Times New Roman" w:hAnsi="Times New Roman" w:cs="Times New Roman"/>
          <w:color w:val="000000" w:themeColor="text1"/>
          <w:sz w:val="28"/>
          <w:szCs w:val="28"/>
          <w:lang w:val="uk-UA"/>
        </w:rPr>
        <w:t xml:space="preserve">]. Головною мішенню судинних уражень при ЦД є </w:t>
      </w:r>
      <w:r w:rsidRPr="000A32AD">
        <w:rPr>
          <w:rFonts w:ascii="Times New Roman" w:hAnsi="Times New Roman" w:cs="Times New Roman"/>
          <w:color w:val="000000" w:themeColor="text1"/>
          <w:sz w:val="28"/>
          <w:szCs w:val="28"/>
          <w:lang w:val="uk-UA"/>
        </w:rPr>
        <w:lastRenderedPageBreak/>
        <w:t>великі і середні артерії м'язового типу, де виявляється ураження всіх шарів судинної стінки – інтими (ендотелій), медії, адвентицію, внутрішньої та зовнішньої еластичних мембран [</w:t>
      </w:r>
      <w:r w:rsidR="00365A66" w:rsidRPr="000A32AD">
        <w:rPr>
          <w:rFonts w:ascii="Times New Roman" w:hAnsi="Times New Roman" w:cs="Times New Roman"/>
          <w:color w:val="000000" w:themeColor="text1"/>
          <w:sz w:val="28"/>
          <w:szCs w:val="28"/>
          <w:lang w:val="uk-UA"/>
        </w:rPr>
        <w:t>18</w:t>
      </w:r>
      <w:r w:rsidRPr="000A32AD">
        <w:rPr>
          <w:rFonts w:ascii="Times New Roman" w:hAnsi="Times New Roman" w:cs="Times New Roman"/>
          <w:color w:val="000000" w:themeColor="text1"/>
          <w:sz w:val="28"/>
          <w:szCs w:val="28"/>
          <w:lang w:val="uk-UA"/>
        </w:rPr>
        <w:t>]. Розвиток мікросудинних ускладнень ЦД залежить від багатьох факторів, зокрема, від типу діабету, його тривалості, рівня гіперглікемії, наявності артеріальної гіпертензії, расової та етнічної приналежності [</w:t>
      </w:r>
      <w:r w:rsidR="008C4B91" w:rsidRPr="000A32AD">
        <w:rPr>
          <w:rFonts w:ascii="Times New Roman" w:hAnsi="Times New Roman" w:cs="Times New Roman"/>
          <w:color w:val="000000" w:themeColor="text1"/>
          <w:sz w:val="28"/>
          <w:szCs w:val="28"/>
          <w:lang w:val="uk-UA"/>
        </w:rPr>
        <w:t>52</w:t>
      </w:r>
      <w:r w:rsidRPr="000A32AD">
        <w:rPr>
          <w:rFonts w:ascii="Times New Roman" w:hAnsi="Times New Roman" w:cs="Times New Roman"/>
          <w:color w:val="000000" w:themeColor="text1"/>
          <w:sz w:val="28"/>
          <w:szCs w:val="28"/>
          <w:lang w:val="uk-UA"/>
        </w:rPr>
        <w:t>]</w:t>
      </w:r>
      <w:r w:rsidR="003859C0" w:rsidRPr="000A32AD">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lang w:val="uk-UA"/>
        </w:rPr>
        <w:t xml:space="preserve"> </w:t>
      </w:r>
      <w:r w:rsidR="003859C0" w:rsidRPr="000A32AD">
        <w:rPr>
          <w:rFonts w:ascii="Times New Roman" w:hAnsi="Times New Roman" w:cs="Times New Roman"/>
          <w:color w:val="000000" w:themeColor="text1"/>
          <w:sz w:val="28"/>
          <w:szCs w:val="28"/>
          <w:lang w:val="uk-UA"/>
        </w:rPr>
        <w:t>П</w:t>
      </w:r>
      <w:r w:rsidRPr="000A32AD">
        <w:rPr>
          <w:rFonts w:ascii="Times New Roman" w:hAnsi="Times New Roman" w:cs="Times New Roman"/>
          <w:color w:val="000000" w:themeColor="text1"/>
          <w:sz w:val="28"/>
          <w:szCs w:val="28"/>
          <w:lang w:val="uk-UA"/>
        </w:rPr>
        <w:t>ри тривалому перебігу захворювання вони спостері</w:t>
      </w:r>
      <w:r w:rsidR="00A131C4" w:rsidRPr="00572254">
        <w:rPr>
          <w:rFonts w:ascii="Times New Roman" w:hAnsi="Times New Roman" w:cs="Times New Roman"/>
          <w:color w:val="000000" w:themeColor="text1"/>
          <w:sz w:val="28"/>
          <w:szCs w:val="28"/>
        </w:rPr>
        <w:softHyphen/>
      </w:r>
      <w:r w:rsidRPr="000A32AD">
        <w:rPr>
          <w:rFonts w:ascii="Times New Roman" w:hAnsi="Times New Roman" w:cs="Times New Roman"/>
          <w:color w:val="000000" w:themeColor="text1"/>
          <w:sz w:val="28"/>
          <w:szCs w:val="28"/>
          <w:lang w:val="uk-UA"/>
        </w:rPr>
        <w:t>гаються майже у всіх хворих. Серед цих ускладнень особливе значення має діабетична нефропатія</w:t>
      </w:r>
      <w:r w:rsidR="003859C0" w:rsidRPr="000A32AD">
        <w:rPr>
          <w:rFonts w:ascii="Times New Roman" w:hAnsi="Times New Roman" w:cs="Times New Roman"/>
          <w:color w:val="000000" w:themeColor="text1"/>
          <w:sz w:val="28"/>
          <w:szCs w:val="28"/>
          <w:lang w:val="uk-UA"/>
        </w:rPr>
        <w:t xml:space="preserve"> (ДН)</w:t>
      </w:r>
      <w:r w:rsidRPr="000A32AD">
        <w:rPr>
          <w:rFonts w:ascii="Times New Roman" w:hAnsi="Times New Roman" w:cs="Times New Roman"/>
          <w:color w:val="000000" w:themeColor="text1"/>
          <w:sz w:val="28"/>
          <w:szCs w:val="28"/>
          <w:lang w:val="uk-UA"/>
        </w:rPr>
        <w:t>, яка</w:t>
      </w:r>
      <w:r w:rsidR="003859C0" w:rsidRPr="000A32AD">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lang w:val="uk-UA"/>
        </w:rPr>
        <w:t xml:space="preserve"> за даними окремих дослідників</w:t>
      </w:r>
      <w:r w:rsidR="003859C0" w:rsidRPr="000A32AD">
        <w:rPr>
          <w:rFonts w:ascii="Times New Roman" w:hAnsi="Times New Roman" w:cs="Times New Roman"/>
          <w:color w:val="000000" w:themeColor="text1"/>
          <w:sz w:val="28"/>
          <w:szCs w:val="28"/>
          <w:lang w:val="uk-UA"/>
        </w:rPr>
        <w:t>,</w:t>
      </w:r>
      <w:r w:rsidR="00F17BD2" w:rsidRPr="000A32AD">
        <w:rPr>
          <w:rFonts w:ascii="Times New Roman" w:hAnsi="Times New Roman" w:cs="Times New Roman"/>
          <w:color w:val="000000" w:themeColor="text1"/>
          <w:sz w:val="28"/>
          <w:szCs w:val="28"/>
          <w:lang w:val="uk-UA"/>
        </w:rPr>
        <w:t xml:space="preserve"> </w:t>
      </w:r>
      <w:r w:rsidR="003859C0" w:rsidRPr="000A32AD">
        <w:rPr>
          <w:rFonts w:ascii="Times New Roman" w:hAnsi="Times New Roman" w:cs="Times New Roman"/>
          <w:color w:val="000000" w:themeColor="text1"/>
          <w:sz w:val="28"/>
          <w:szCs w:val="28"/>
          <w:lang w:val="uk-UA"/>
        </w:rPr>
        <w:t xml:space="preserve">розвивається </w:t>
      </w:r>
      <w:r w:rsidRPr="000A32AD">
        <w:rPr>
          <w:rFonts w:ascii="Times New Roman" w:hAnsi="Times New Roman" w:cs="Times New Roman"/>
          <w:color w:val="000000" w:themeColor="text1"/>
          <w:sz w:val="28"/>
          <w:szCs w:val="28"/>
          <w:lang w:val="uk-UA"/>
        </w:rPr>
        <w:t>майже у третині випадків [</w:t>
      </w:r>
      <w:r w:rsidR="008C4B91" w:rsidRPr="000A32AD">
        <w:rPr>
          <w:rFonts w:ascii="Times New Roman" w:hAnsi="Times New Roman" w:cs="Times New Roman"/>
          <w:color w:val="000000" w:themeColor="text1"/>
          <w:sz w:val="28"/>
          <w:szCs w:val="28"/>
          <w:lang w:val="uk-UA"/>
        </w:rPr>
        <w:t>23</w:t>
      </w:r>
      <w:r w:rsidRPr="000A32AD">
        <w:rPr>
          <w:rFonts w:ascii="Times New Roman" w:hAnsi="Times New Roman" w:cs="Times New Roman"/>
          <w:color w:val="000000" w:themeColor="text1"/>
          <w:sz w:val="28"/>
          <w:szCs w:val="28"/>
          <w:lang w:val="uk-UA"/>
        </w:rPr>
        <w:t xml:space="preserve">; </w:t>
      </w:r>
      <w:r w:rsidR="008C4B91" w:rsidRPr="000A32AD">
        <w:rPr>
          <w:rFonts w:ascii="Times New Roman" w:hAnsi="Times New Roman" w:cs="Times New Roman"/>
          <w:color w:val="000000" w:themeColor="text1"/>
          <w:sz w:val="28"/>
          <w:szCs w:val="28"/>
          <w:lang w:val="uk-UA"/>
        </w:rPr>
        <w:t>51</w:t>
      </w:r>
      <w:r w:rsidRPr="000A32AD">
        <w:rPr>
          <w:rFonts w:ascii="Times New Roman" w:hAnsi="Times New Roman" w:cs="Times New Roman"/>
          <w:color w:val="000000" w:themeColor="text1"/>
          <w:sz w:val="28"/>
          <w:szCs w:val="28"/>
          <w:lang w:val="uk-UA"/>
        </w:rPr>
        <w:t xml:space="preserve">; </w:t>
      </w:r>
      <w:r w:rsidR="008C4B91" w:rsidRPr="000A32AD">
        <w:rPr>
          <w:rFonts w:ascii="Times New Roman" w:hAnsi="Times New Roman" w:cs="Times New Roman"/>
          <w:color w:val="000000" w:themeColor="text1"/>
          <w:sz w:val="28"/>
          <w:szCs w:val="28"/>
          <w:lang w:val="uk-UA"/>
        </w:rPr>
        <w:t>70; 187</w:t>
      </w:r>
      <w:r w:rsidRPr="000A32AD">
        <w:rPr>
          <w:rFonts w:ascii="Times New Roman" w:hAnsi="Times New Roman" w:cs="Times New Roman"/>
          <w:color w:val="000000" w:themeColor="text1"/>
          <w:sz w:val="28"/>
          <w:szCs w:val="28"/>
          <w:lang w:val="uk-UA"/>
        </w:rPr>
        <w:t xml:space="preserve">]. Поширеність ДН варіює в різних регіонах світу, але </w:t>
      </w:r>
      <w:r w:rsidR="003859C0" w:rsidRPr="000A32AD">
        <w:rPr>
          <w:rFonts w:ascii="Times New Roman" w:hAnsi="Times New Roman" w:cs="Times New Roman"/>
          <w:color w:val="000000" w:themeColor="text1"/>
          <w:sz w:val="28"/>
          <w:szCs w:val="28"/>
          <w:lang w:val="uk-UA"/>
        </w:rPr>
        <w:t xml:space="preserve">при тривалості ЦД </w:t>
      </w:r>
      <w:r w:rsidRPr="000A32AD">
        <w:rPr>
          <w:rFonts w:ascii="Times New Roman" w:hAnsi="Times New Roman" w:cs="Times New Roman"/>
          <w:color w:val="000000" w:themeColor="text1"/>
          <w:sz w:val="28"/>
          <w:szCs w:val="28"/>
          <w:lang w:val="uk-UA"/>
        </w:rPr>
        <w:t>25-30 років зустрічається майже у 25–40% хворих. При цьому, від уремії на тлі термінальної ниркової недостатності вмирає кожен третій хворий на ЦД 1 типу та кожен п'ятий хворий на ЦД 2 типу [</w:t>
      </w:r>
      <w:r w:rsidR="00A131C4" w:rsidRPr="00572254">
        <w:rPr>
          <w:rFonts w:ascii="Times New Roman" w:hAnsi="Times New Roman" w:cs="Times New Roman"/>
          <w:color w:val="000000" w:themeColor="text1"/>
          <w:sz w:val="28"/>
          <w:szCs w:val="28"/>
          <w:lang w:val="uk-UA"/>
        </w:rPr>
        <w:t>82</w:t>
      </w:r>
      <w:r w:rsidRPr="000A32AD">
        <w:rPr>
          <w:rFonts w:ascii="Times New Roman" w:hAnsi="Times New Roman" w:cs="Times New Roman"/>
          <w:color w:val="000000" w:themeColor="text1"/>
          <w:sz w:val="28"/>
          <w:szCs w:val="28"/>
          <w:lang w:val="uk-UA"/>
        </w:rPr>
        <w:t>]. ЦД є причиною хронічної хвороби нирок у 40,2% пацієнтів [</w:t>
      </w:r>
      <w:r w:rsidR="008C4B91" w:rsidRPr="000A32AD">
        <w:rPr>
          <w:rFonts w:ascii="Times New Roman" w:hAnsi="Times New Roman" w:cs="Times New Roman"/>
          <w:color w:val="000000" w:themeColor="text1"/>
          <w:sz w:val="28"/>
          <w:szCs w:val="28"/>
          <w:lang w:val="uk-UA"/>
        </w:rPr>
        <w:t>218</w:t>
      </w:r>
      <w:r w:rsidRPr="000A32AD">
        <w:rPr>
          <w:rFonts w:ascii="Times New Roman" w:hAnsi="Times New Roman" w:cs="Times New Roman"/>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eastAsia="ar-SA"/>
        </w:rPr>
      </w:pPr>
      <w:r w:rsidRPr="000A32AD">
        <w:rPr>
          <w:rFonts w:ascii="Times New Roman" w:hAnsi="Times New Roman" w:cs="Times New Roman"/>
          <w:color w:val="000000" w:themeColor="text1"/>
          <w:sz w:val="28"/>
          <w:szCs w:val="28"/>
          <w:lang w:val="uk-UA"/>
        </w:rPr>
        <w:t>Наявність АГ у хворих на ЦД 1 типу асоціюється зі збільшенням частоти важких стадій діабетичної нефропатії та ретинопатії, з іншого боку, ЦД значно збільшує ризик виникнення та розвитку АГ, а АГ пов’язують з високим ризиком розвитку інсулінорезистентності та метаболічних порушень [</w:t>
      </w:r>
      <w:r w:rsidR="00635620" w:rsidRPr="000A32AD">
        <w:rPr>
          <w:rFonts w:ascii="Times New Roman" w:hAnsi="Times New Roman" w:cs="Times New Roman"/>
          <w:color w:val="000000" w:themeColor="text1"/>
          <w:sz w:val="28"/>
          <w:szCs w:val="28"/>
          <w:lang w:val="uk-UA"/>
        </w:rPr>
        <w:t xml:space="preserve">6; </w:t>
      </w:r>
      <w:r w:rsidR="008C4B91" w:rsidRPr="000A32AD">
        <w:rPr>
          <w:rFonts w:ascii="Times New Roman" w:hAnsi="Times New Roman" w:cs="Times New Roman"/>
          <w:color w:val="000000" w:themeColor="text1"/>
          <w:sz w:val="28"/>
          <w:szCs w:val="28"/>
          <w:lang w:val="uk-UA"/>
        </w:rPr>
        <w:t>22; 55</w:t>
      </w:r>
      <w:r w:rsidRPr="000A32AD">
        <w:rPr>
          <w:rFonts w:ascii="Times New Roman" w:hAnsi="Times New Roman" w:cs="Times New Roman"/>
          <w:color w:val="000000" w:themeColor="text1"/>
          <w:sz w:val="28"/>
          <w:szCs w:val="28"/>
          <w:lang w:val="uk-UA"/>
        </w:rPr>
        <w:t>]. АГ у хворих на ЦД зустрічається втричі частіше ніж при його відсутності та є додатковим фактором ризику розвитку атеросклерозу та інших ССЗ [</w:t>
      </w:r>
      <w:r w:rsidR="0083259B" w:rsidRPr="000A32AD">
        <w:rPr>
          <w:rFonts w:ascii="Times New Roman" w:hAnsi="Times New Roman" w:cs="Times New Roman"/>
          <w:color w:val="000000" w:themeColor="text1"/>
          <w:sz w:val="28"/>
          <w:szCs w:val="28"/>
          <w:lang w:val="uk-UA"/>
        </w:rPr>
        <w:t>38</w:t>
      </w:r>
      <w:r w:rsidRPr="000A32AD">
        <w:rPr>
          <w:rFonts w:ascii="Times New Roman" w:hAnsi="Times New Roman" w:cs="Times New Roman"/>
          <w:color w:val="000000" w:themeColor="text1"/>
          <w:sz w:val="28"/>
          <w:szCs w:val="28"/>
          <w:lang w:val="uk-UA"/>
        </w:rPr>
        <w:t xml:space="preserve">]. Підвищення артеріального тиску відіграє важливу роль у розвитку макро- і мікросудинних ускладнень при ЦД. При поєднанні </w:t>
      </w:r>
      <w:r w:rsidR="00A254FF" w:rsidRPr="000A32AD">
        <w:rPr>
          <w:rFonts w:ascii="Times New Roman" w:hAnsi="Times New Roman" w:cs="Times New Roman"/>
          <w:color w:val="000000" w:themeColor="text1"/>
          <w:sz w:val="28"/>
          <w:szCs w:val="28"/>
          <w:lang w:val="uk-UA"/>
        </w:rPr>
        <w:t>АГ</w:t>
      </w:r>
      <w:r w:rsidRPr="000A32AD">
        <w:rPr>
          <w:rFonts w:ascii="Times New Roman" w:hAnsi="Times New Roman" w:cs="Times New Roman"/>
          <w:color w:val="000000" w:themeColor="text1"/>
          <w:sz w:val="28"/>
          <w:szCs w:val="28"/>
          <w:lang w:val="uk-UA"/>
        </w:rPr>
        <w:t xml:space="preserve"> та ЦД ризик розвитку ішемічної хвороби серця зростає в 2-4 рази, інсульту - у 2-3 рази, втрати зору – у 10-25 разів, ниркової недостатності - у 15-20 разів, гангрени нижніх кінцівок - у 20 разів. [</w:t>
      </w:r>
      <w:r w:rsidR="008C4B91" w:rsidRPr="000A32AD">
        <w:rPr>
          <w:rFonts w:ascii="Times New Roman" w:hAnsi="Times New Roman" w:cs="Times New Roman"/>
          <w:color w:val="000000" w:themeColor="text1"/>
          <w:sz w:val="28"/>
          <w:szCs w:val="28"/>
          <w:shd w:val="clear" w:color="auto" w:fill="FFFFFF"/>
          <w:lang w:val="uk-UA"/>
        </w:rPr>
        <w:t>244</w:t>
      </w:r>
      <w:r w:rsidRPr="000A32AD">
        <w:rPr>
          <w:rFonts w:ascii="Times New Roman" w:hAnsi="Times New Roman" w:cs="Times New Roman"/>
          <w:color w:val="000000" w:themeColor="text1"/>
          <w:sz w:val="28"/>
          <w:szCs w:val="28"/>
          <w:lang w:val="uk-UA"/>
        </w:rPr>
        <w:t xml:space="preserve">]. Смертність при поєднанні ЦД та АГ значно вище ніж у пацієнтів з ізольованою АГ </w:t>
      </w:r>
      <w:r w:rsidRPr="000A32AD">
        <w:rPr>
          <w:rFonts w:ascii="Times New Roman" w:hAnsi="Times New Roman" w:cs="Times New Roman"/>
          <w:color w:val="000000" w:themeColor="text1"/>
          <w:sz w:val="28"/>
          <w:szCs w:val="28"/>
          <w:lang w:val="uk-UA" w:eastAsia="ar-SA"/>
        </w:rPr>
        <w:t>[</w:t>
      </w:r>
      <w:r w:rsidR="00D44D65" w:rsidRPr="000A32AD">
        <w:rPr>
          <w:rFonts w:ascii="Times New Roman" w:hAnsi="Times New Roman" w:cs="Times New Roman"/>
          <w:color w:val="000000" w:themeColor="text1"/>
          <w:sz w:val="28"/>
          <w:szCs w:val="28"/>
          <w:lang w:val="uk-UA" w:eastAsia="ar-SA"/>
        </w:rPr>
        <w:t>69</w:t>
      </w:r>
      <w:r w:rsidRPr="000A32AD">
        <w:rPr>
          <w:rFonts w:ascii="Times New Roman" w:hAnsi="Times New Roman" w:cs="Times New Roman"/>
          <w:color w:val="000000" w:themeColor="text1"/>
          <w:sz w:val="28"/>
          <w:szCs w:val="28"/>
          <w:lang w:val="uk-UA" w:eastAsia="ar-SA"/>
        </w:rPr>
        <w:t xml:space="preserve">]. </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eastAsia="ar-SA"/>
        </w:rPr>
        <w:t>Поєднання ЦД та АГ прискорює розвиток гіпертрофії лівого шлуночка серця</w:t>
      </w:r>
      <w:r w:rsidR="00635620" w:rsidRPr="000A32AD">
        <w:rPr>
          <w:rFonts w:ascii="Times New Roman" w:hAnsi="Times New Roman" w:cs="Times New Roman"/>
          <w:color w:val="000000" w:themeColor="text1"/>
          <w:sz w:val="28"/>
          <w:szCs w:val="28"/>
          <w:lang w:val="uk-UA" w:eastAsia="ar-SA"/>
        </w:rPr>
        <w:t>,</w:t>
      </w:r>
      <w:r w:rsidRPr="000A32AD">
        <w:rPr>
          <w:rFonts w:ascii="Times New Roman" w:hAnsi="Times New Roman" w:cs="Times New Roman"/>
          <w:color w:val="000000" w:themeColor="text1"/>
          <w:sz w:val="28"/>
          <w:szCs w:val="28"/>
          <w:lang w:val="uk-UA" w:eastAsia="ar-SA"/>
        </w:rPr>
        <w:t xml:space="preserve"> діастолічної дисфункції </w:t>
      </w:r>
      <w:r w:rsidR="00635620" w:rsidRPr="000A32AD">
        <w:rPr>
          <w:rFonts w:ascii="Times New Roman" w:hAnsi="Times New Roman" w:cs="Times New Roman"/>
          <w:color w:val="000000" w:themeColor="text1"/>
          <w:sz w:val="28"/>
          <w:szCs w:val="28"/>
          <w:lang w:val="uk-UA" w:eastAsia="ar-SA"/>
        </w:rPr>
        <w:t xml:space="preserve">ЛШ та інших структурних та функціональних змін серця та судин </w:t>
      </w:r>
      <w:r w:rsidRPr="000A32AD">
        <w:rPr>
          <w:rFonts w:ascii="Times New Roman" w:hAnsi="Times New Roman" w:cs="Times New Roman"/>
          <w:color w:val="000000" w:themeColor="text1"/>
          <w:sz w:val="28"/>
          <w:szCs w:val="28"/>
          <w:lang w:val="uk-UA" w:eastAsia="ar-SA"/>
        </w:rPr>
        <w:t>[</w:t>
      </w:r>
      <w:r w:rsidR="00D44D65" w:rsidRPr="000A32AD">
        <w:rPr>
          <w:rFonts w:ascii="Times New Roman" w:hAnsi="Times New Roman" w:cs="Times New Roman"/>
          <w:color w:val="000000" w:themeColor="text1"/>
          <w:sz w:val="28"/>
          <w:szCs w:val="28"/>
          <w:lang w:val="uk-UA"/>
        </w:rPr>
        <w:t>21</w:t>
      </w:r>
      <w:r w:rsidRPr="000A32AD">
        <w:rPr>
          <w:rFonts w:ascii="Times New Roman" w:hAnsi="Times New Roman" w:cs="Times New Roman"/>
          <w:color w:val="000000" w:themeColor="text1"/>
          <w:sz w:val="28"/>
          <w:szCs w:val="28"/>
          <w:lang w:val="uk-UA"/>
        </w:rPr>
        <w:t xml:space="preserve">; </w:t>
      </w:r>
      <w:r w:rsidR="00D44D65" w:rsidRPr="000A32AD">
        <w:rPr>
          <w:rFonts w:ascii="Times New Roman" w:hAnsi="Times New Roman" w:cs="Times New Roman"/>
          <w:color w:val="000000" w:themeColor="text1"/>
          <w:sz w:val="28"/>
          <w:szCs w:val="28"/>
          <w:lang w:val="uk-UA"/>
        </w:rPr>
        <w:t>25; 35; 40</w:t>
      </w:r>
      <w:r w:rsidRPr="000A32AD">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pacing w:val="-5"/>
          <w:sz w:val="28"/>
          <w:szCs w:val="28"/>
          <w:lang w:val="uk-UA"/>
        </w:rPr>
        <w:t xml:space="preserve"> </w:t>
      </w:r>
      <w:r w:rsidR="00D44D65" w:rsidRPr="000A32AD">
        <w:rPr>
          <w:rFonts w:ascii="Times New Roman" w:hAnsi="Times New Roman" w:cs="Times New Roman"/>
          <w:color w:val="000000" w:themeColor="text1"/>
          <w:spacing w:val="-5"/>
          <w:sz w:val="28"/>
          <w:szCs w:val="28"/>
          <w:lang w:val="uk-UA"/>
        </w:rPr>
        <w:t xml:space="preserve">43; </w:t>
      </w:r>
      <w:r w:rsidR="00635620" w:rsidRPr="000A32AD">
        <w:rPr>
          <w:rFonts w:ascii="Times New Roman" w:hAnsi="Times New Roman" w:cs="Times New Roman"/>
          <w:color w:val="000000" w:themeColor="text1"/>
          <w:spacing w:val="-5"/>
          <w:sz w:val="28"/>
          <w:szCs w:val="28"/>
          <w:lang w:val="uk-UA"/>
        </w:rPr>
        <w:t xml:space="preserve">96; </w:t>
      </w:r>
      <w:r w:rsidR="00D44D65" w:rsidRPr="000A32AD">
        <w:rPr>
          <w:rFonts w:ascii="Times New Roman" w:hAnsi="Times New Roman" w:cs="Times New Roman"/>
          <w:color w:val="000000" w:themeColor="text1"/>
          <w:sz w:val="28"/>
          <w:szCs w:val="28"/>
          <w:lang w:val="uk-UA"/>
        </w:rPr>
        <w:t>153</w:t>
      </w:r>
      <w:r w:rsidRPr="000A32AD">
        <w:rPr>
          <w:rFonts w:ascii="Times New Roman" w:hAnsi="Times New Roman" w:cs="Times New Roman"/>
          <w:color w:val="000000" w:themeColor="text1"/>
          <w:sz w:val="28"/>
          <w:szCs w:val="28"/>
          <w:lang w:val="uk-UA"/>
        </w:rPr>
        <w:t xml:space="preserve">]. З іншого боку, діабетична </w:t>
      </w:r>
      <w:r w:rsidRPr="000A32AD">
        <w:rPr>
          <w:rFonts w:ascii="Times New Roman" w:hAnsi="Times New Roman" w:cs="Times New Roman"/>
          <w:color w:val="000000" w:themeColor="text1"/>
          <w:sz w:val="28"/>
          <w:szCs w:val="28"/>
          <w:lang w:val="uk-UA"/>
        </w:rPr>
        <w:lastRenderedPageBreak/>
        <w:t>нефропатія нерідко поєднується з серцевої патологією, що навіть призвело к виникнення нового поняття "кардіоренальний синдром" [</w:t>
      </w:r>
      <w:r w:rsidR="00D44D65" w:rsidRPr="000A32AD">
        <w:rPr>
          <w:rFonts w:ascii="Times New Roman" w:hAnsi="Times New Roman" w:cs="Times New Roman"/>
          <w:color w:val="000000" w:themeColor="text1"/>
          <w:sz w:val="28"/>
          <w:szCs w:val="28"/>
          <w:lang w:val="uk-UA"/>
        </w:rPr>
        <w:t>210</w:t>
      </w:r>
      <w:r w:rsidRPr="000A32AD">
        <w:rPr>
          <w:rFonts w:ascii="Times New Roman" w:hAnsi="Times New Roman" w:cs="Times New Roman"/>
          <w:color w:val="000000" w:themeColor="text1"/>
          <w:sz w:val="28"/>
          <w:szCs w:val="28"/>
          <w:lang w:val="uk-UA"/>
        </w:rPr>
        <w:t>]. Так гіпертрофію лівого шлуночка серця виявлено у 36% хворих з хронічною хворобою нирок (ХХН). При цьому, знайдено кореляцію між ступенем гіпертрофії та величиною альбумінурії [</w:t>
      </w:r>
      <w:r w:rsidR="00D44D65" w:rsidRPr="000A32AD">
        <w:rPr>
          <w:rFonts w:ascii="Times New Roman" w:hAnsi="Times New Roman" w:cs="Times New Roman"/>
          <w:color w:val="000000" w:themeColor="text1"/>
          <w:sz w:val="28"/>
          <w:szCs w:val="28"/>
          <w:lang w:val="uk-UA"/>
        </w:rPr>
        <w:t>45</w:t>
      </w:r>
      <w:r w:rsidRPr="000A32AD">
        <w:rPr>
          <w:rFonts w:ascii="Times New Roman" w:hAnsi="Times New Roman" w:cs="Times New Roman"/>
          <w:color w:val="000000" w:themeColor="text1"/>
          <w:sz w:val="28"/>
          <w:szCs w:val="28"/>
          <w:lang w:val="uk-UA"/>
        </w:rPr>
        <w:t xml:space="preserve">]. Аналогічні дані отримані в більш ранніх дослідженнях. Зокрема </w:t>
      </w:r>
      <w:r w:rsidR="00A254FF" w:rsidRPr="000A32AD">
        <w:rPr>
          <w:rFonts w:ascii="Times New Roman" w:hAnsi="Times New Roman" w:cs="Times New Roman"/>
          <w:color w:val="000000" w:themeColor="text1"/>
          <w:sz w:val="28"/>
          <w:szCs w:val="28"/>
          <w:lang w:val="uk-UA"/>
        </w:rPr>
        <w:t>відмічене</w:t>
      </w:r>
      <w:r w:rsidRPr="000A32AD">
        <w:rPr>
          <w:rFonts w:ascii="Times New Roman" w:hAnsi="Times New Roman" w:cs="Times New Roman"/>
          <w:color w:val="000000" w:themeColor="text1"/>
          <w:sz w:val="28"/>
          <w:szCs w:val="28"/>
          <w:lang w:val="uk-UA"/>
        </w:rPr>
        <w:t xml:space="preserve"> </w:t>
      </w:r>
      <w:r w:rsidR="00A254FF" w:rsidRPr="000A32AD">
        <w:rPr>
          <w:rFonts w:ascii="Times New Roman" w:hAnsi="Times New Roman" w:cs="Times New Roman"/>
          <w:color w:val="000000" w:themeColor="text1"/>
          <w:sz w:val="28"/>
          <w:szCs w:val="28"/>
          <w:lang w:val="uk-UA"/>
        </w:rPr>
        <w:t xml:space="preserve">збільшення </w:t>
      </w:r>
      <w:r w:rsidRPr="000A32AD">
        <w:rPr>
          <w:rFonts w:ascii="Times New Roman" w:hAnsi="Times New Roman" w:cs="Times New Roman"/>
          <w:color w:val="000000" w:themeColor="text1"/>
          <w:sz w:val="28"/>
          <w:szCs w:val="28"/>
          <w:lang w:val="uk-UA"/>
        </w:rPr>
        <w:t>індексу маси міокарда з прогресуванням діабетичної нефропатії навіть при відсутності АГ [</w:t>
      </w:r>
      <w:r w:rsidR="00D44D65" w:rsidRPr="000A32AD">
        <w:rPr>
          <w:rFonts w:ascii="Times New Roman" w:hAnsi="Times New Roman" w:cs="Times New Roman"/>
          <w:color w:val="000000" w:themeColor="text1"/>
          <w:sz w:val="28"/>
          <w:szCs w:val="28"/>
          <w:lang w:val="uk-UA"/>
        </w:rPr>
        <w:t>194</w:t>
      </w:r>
      <w:r w:rsidRPr="000A32AD">
        <w:rPr>
          <w:rFonts w:ascii="Times New Roman" w:hAnsi="Times New Roman" w:cs="Times New Roman"/>
          <w:color w:val="000000" w:themeColor="text1"/>
          <w:sz w:val="28"/>
          <w:szCs w:val="28"/>
          <w:lang w:val="uk-UA"/>
        </w:rPr>
        <w:t>], у хворих на ЦД 1 типу з прогресування</w:t>
      </w:r>
      <w:r w:rsidR="00A254FF" w:rsidRPr="000A32AD">
        <w:rPr>
          <w:rFonts w:ascii="Times New Roman" w:hAnsi="Times New Roman" w:cs="Times New Roman"/>
          <w:color w:val="000000" w:themeColor="text1"/>
          <w:sz w:val="28"/>
          <w:szCs w:val="28"/>
          <w:lang w:val="uk-UA"/>
        </w:rPr>
        <w:t>м</w:t>
      </w:r>
      <w:r w:rsidRPr="000A32AD">
        <w:rPr>
          <w:rFonts w:ascii="Times New Roman" w:hAnsi="Times New Roman" w:cs="Times New Roman"/>
          <w:color w:val="000000" w:themeColor="text1"/>
          <w:sz w:val="28"/>
          <w:szCs w:val="28"/>
          <w:lang w:val="uk-UA"/>
        </w:rPr>
        <w:t xml:space="preserve"> нефропатії збільшувалась частота ІХС – від 13% на стадії мікроальбумінурії, до 53% у пацієнтів з термінальною стадію нефропатії [</w:t>
      </w:r>
      <w:r w:rsidR="00D44D65" w:rsidRPr="000A32AD">
        <w:rPr>
          <w:rFonts w:ascii="Times New Roman" w:hAnsi="Times New Roman" w:cs="Times New Roman"/>
          <w:color w:val="000000" w:themeColor="text1"/>
          <w:sz w:val="28"/>
          <w:szCs w:val="28"/>
          <w:lang w:val="uk-UA"/>
        </w:rPr>
        <w:t>83</w:t>
      </w:r>
      <w:r w:rsidRPr="000A32AD">
        <w:rPr>
          <w:rFonts w:ascii="Times New Roman" w:hAnsi="Times New Roman" w:cs="Times New Roman"/>
          <w:color w:val="000000" w:themeColor="text1"/>
          <w:sz w:val="28"/>
          <w:szCs w:val="28"/>
          <w:lang w:val="uk-UA"/>
        </w:rPr>
        <w:t>] За результатами метааналізу 85 клінічних досліджень встановлено, що зі зниженням швидкості клубочкової фільтрації (ШКФ) зростає ризик серцево-судинних ускладнень [</w:t>
      </w:r>
      <w:r w:rsidR="00D44D65" w:rsidRPr="000A32AD">
        <w:rPr>
          <w:rFonts w:ascii="Times New Roman" w:hAnsi="Times New Roman" w:cs="Times New Roman"/>
          <w:color w:val="000000" w:themeColor="text1"/>
          <w:sz w:val="28"/>
          <w:szCs w:val="28"/>
          <w:lang w:val="uk-UA"/>
        </w:rPr>
        <w:t>232</w:t>
      </w:r>
      <w:r w:rsidRPr="000A32AD">
        <w:rPr>
          <w:rFonts w:ascii="Times New Roman" w:hAnsi="Times New Roman" w:cs="Times New Roman"/>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Досить частою патологією, що сполучаються з іншими, особливо серцево-судинними,</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захворюваннями є дисплазія сполучної тканини (ДСТ). ДСТ поєдную генетично обумовлені (уроджені) та набуті протягом життя захворювання при наявності генетичної схильності – диспластичні фенотипи (недиференційована ДСТ). Загальною рисою захворювань, що входять до диспластичних фенотипів ДСТ, є порушення метаболізму сполучної тканини з відповідними змінами її складових [</w:t>
      </w:r>
      <w:r w:rsidR="00D44D65" w:rsidRPr="000A32AD">
        <w:rPr>
          <w:rFonts w:ascii="Times New Roman" w:hAnsi="Times New Roman" w:cs="Times New Roman"/>
          <w:color w:val="000000" w:themeColor="text1"/>
          <w:sz w:val="28"/>
          <w:szCs w:val="28"/>
          <w:lang w:val="uk-UA"/>
        </w:rPr>
        <w:t>33</w:t>
      </w:r>
      <w:r w:rsidRPr="000A32AD">
        <w:rPr>
          <w:rFonts w:ascii="Times New Roman" w:hAnsi="Times New Roman" w:cs="Times New Roman"/>
          <w:color w:val="000000" w:themeColor="text1"/>
          <w:sz w:val="28"/>
          <w:szCs w:val="28"/>
          <w:lang w:val="uk-UA"/>
        </w:rPr>
        <w:t xml:space="preserve">; </w:t>
      </w:r>
      <w:r w:rsidR="00365A66" w:rsidRPr="000A32AD">
        <w:rPr>
          <w:rFonts w:ascii="Times New Roman" w:hAnsi="Times New Roman" w:cs="Times New Roman"/>
          <w:color w:val="000000" w:themeColor="text1"/>
          <w:sz w:val="28"/>
          <w:szCs w:val="28"/>
          <w:lang w:val="uk-UA"/>
        </w:rPr>
        <w:t>49</w:t>
      </w:r>
      <w:r w:rsidRPr="000A32AD">
        <w:rPr>
          <w:rFonts w:ascii="Times New Roman" w:hAnsi="Times New Roman" w:cs="Times New Roman"/>
          <w:color w:val="000000" w:themeColor="text1"/>
          <w:sz w:val="28"/>
          <w:szCs w:val="28"/>
          <w:lang w:val="uk-UA"/>
        </w:rPr>
        <w:t>].</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Значення порушень метаболізму сполучної тканини зрозуміло з урахуванням її важливої функції в організмі. На цей час вважається, що сполучна тканина є єдиною функціонуючою системою, яка здатна до саморегуляції, живлення, очищення та самовідновлення та забезпечує різноманітні функції, спрямовані на забезпечення гомеостазу цілісного організму [</w:t>
      </w:r>
      <w:r w:rsidR="00D44D65" w:rsidRPr="000A32AD">
        <w:rPr>
          <w:rFonts w:ascii="Times New Roman" w:hAnsi="Times New Roman" w:cs="Times New Roman"/>
          <w:color w:val="000000" w:themeColor="text1"/>
          <w:sz w:val="28"/>
          <w:szCs w:val="28"/>
          <w:lang w:val="uk-UA"/>
        </w:rPr>
        <w:t>67</w:t>
      </w:r>
      <w:r w:rsidRPr="000A32AD">
        <w:rPr>
          <w:rFonts w:ascii="Times New Roman" w:hAnsi="Times New Roman" w:cs="Times New Roman"/>
          <w:color w:val="000000" w:themeColor="text1"/>
          <w:sz w:val="28"/>
          <w:szCs w:val="28"/>
          <w:lang w:val="uk-UA"/>
        </w:rPr>
        <w:t>].</w:t>
      </w:r>
    </w:p>
    <w:p w:rsidR="000D5D92" w:rsidRPr="000A32AD" w:rsidRDefault="000D5D92" w:rsidP="000D5D92">
      <w:pPr>
        <w:autoSpaceDE w:val="0"/>
        <w:autoSpaceDN w:val="0"/>
        <w:adjustRightInd w:val="0"/>
        <w:spacing w:line="360" w:lineRule="auto"/>
        <w:ind w:firstLine="709"/>
        <w:jc w:val="both"/>
        <w:rPr>
          <w:rFonts w:ascii="Times New Roman" w:hAnsi="Times New Roman" w:cs="Times New Roman"/>
          <w:bCs/>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До складу сполучної тканини входять клітини (фібробласти, тучні, плазматичні, гладком’язові клітини та клітини крові) та позаклітинний матрикс, представлений колагеновими, еластичними та ретикулярними волокнами, що розташовуються у желеподібному середовищі (основна речовина), яке </w:t>
      </w:r>
      <w:r w:rsidRPr="000A32AD">
        <w:rPr>
          <w:rFonts w:ascii="Times New Roman" w:hAnsi="Times New Roman" w:cs="Times New Roman"/>
          <w:color w:val="000000" w:themeColor="text1"/>
          <w:sz w:val="28"/>
          <w:szCs w:val="28"/>
          <w:lang w:val="uk-UA"/>
        </w:rPr>
        <w:lastRenderedPageBreak/>
        <w:t>формується з протеогліканів та гіалуронану [</w:t>
      </w:r>
      <w:r w:rsidR="00D44D65" w:rsidRPr="000A32AD">
        <w:rPr>
          <w:rFonts w:ascii="Times New Roman" w:hAnsi="Times New Roman" w:cs="Times New Roman"/>
          <w:bCs/>
          <w:iCs/>
          <w:color w:val="000000" w:themeColor="text1"/>
          <w:sz w:val="28"/>
          <w:szCs w:val="28"/>
          <w:lang w:val="uk-UA"/>
        </w:rPr>
        <w:t>59</w:t>
      </w:r>
      <w:r w:rsidRPr="000A32AD">
        <w:rPr>
          <w:rFonts w:ascii="Times New Roman" w:hAnsi="Times New Roman" w:cs="Times New Roman"/>
          <w:bCs/>
          <w:color w:val="000000" w:themeColor="text1"/>
          <w:sz w:val="28"/>
          <w:szCs w:val="28"/>
          <w:lang w:val="uk-UA"/>
        </w:rPr>
        <w:t xml:space="preserve">; </w:t>
      </w:r>
      <w:r w:rsidR="00D44D65" w:rsidRPr="000A32AD">
        <w:rPr>
          <w:rFonts w:ascii="Times New Roman" w:hAnsi="Times New Roman" w:cs="Times New Roman"/>
          <w:color w:val="000000" w:themeColor="text1"/>
          <w:sz w:val="28"/>
          <w:szCs w:val="28"/>
          <w:lang w:val="uk-UA"/>
        </w:rPr>
        <w:t>67</w:t>
      </w:r>
      <w:r w:rsidRPr="000A32AD">
        <w:rPr>
          <w:rFonts w:ascii="Times New Roman" w:hAnsi="Times New Roman" w:cs="Times New Roman"/>
          <w:bCs/>
          <w:color w:val="000000" w:themeColor="text1"/>
          <w:sz w:val="28"/>
          <w:szCs w:val="28"/>
          <w:lang w:val="uk-UA"/>
        </w:rPr>
        <w:t>]. Основною функціональною одиницею сполучної тканини э клітини фібробластичного ряду, до яких відносять прогеніторні клітини, малодиференційовані фібробласти, фібробласти, міофібробласти, фіброцити, та фіброкласти. Вони спроможні синтезувати компоненти позаклітинного матриксу, у тому числі, волокнисті структури, протеоглікани та глікопротеїни. Клітини фібропластичного ряду присутні у всіх тканинах. Крім цього, вони можуть утворюватися з кістково-мозкових прогеніторних клітин, що циркулюють в крові та виходять в тканині при ушкодженнях і забезпечують наступну регенерацію тканин [</w:t>
      </w:r>
      <w:r w:rsidR="00D44D65" w:rsidRPr="000A32AD">
        <w:rPr>
          <w:rFonts w:ascii="Times New Roman" w:hAnsi="Times New Roman" w:cs="Times New Roman"/>
          <w:color w:val="000000" w:themeColor="text1"/>
          <w:sz w:val="28"/>
          <w:szCs w:val="28"/>
          <w:lang w:val="uk-UA"/>
        </w:rPr>
        <w:t>87</w:t>
      </w:r>
      <w:r w:rsidRPr="000A32AD">
        <w:rPr>
          <w:rFonts w:ascii="Times New Roman" w:hAnsi="Times New Roman" w:cs="Times New Roman"/>
          <w:color w:val="000000" w:themeColor="text1"/>
          <w:sz w:val="28"/>
          <w:szCs w:val="28"/>
          <w:lang w:val="uk-UA"/>
        </w:rPr>
        <w:t>]</w:t>
      </w:r>
      <w:r w:rsidRPr="000A32AD">
        <w:rPr>
          <w:rFonts w:ascii="Times New Roman" w:hAnsi="Times New Roman" w:cs="Times New Roman"/>
          <w:bCs/>
          <w:color w:val="000000" w:themeColor="text1"/>
          <w:sz w:val="28"/>
          <w:szCs w:val="28"/>
          <w:lang w:val="uk-UA"/>
        </w:rPr>
        <w:t xml:space="preserve">. </w:t>
      </w:r>
    </w:p>
    <w:p w:rsidR="000D5D92" w:rsidRPr="000A32AD" w:rsidRDefault="000D5D92" w:rsidP="000D5D92">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bCs/>
          <w:color w:val="000000" w:themeColor="text1"/>
          <w:sz w:val="28"/>
          <w:szCs w:val="28"/>
          <w:lang w:val="uk-UA"/>
        </w:rPr>
        <w:t>Координована діяльність фібробластів та інших структурних компонентів сполучної тканини забезпечує її</w:t>
      </w:r>
      <w:r w:rsidR="00F17BD2" w:rsidRPr="000A32AD">
        <w:rPr>
          <w:rFonts w:ascii="Times New Roman" w:hAnsi="Times New Roman" w:cs="Times New Roman"/>
          <w:bCs/>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репаративну, захисну, опорно-каркасну, структурно-утворюючу та метаболічну функції. При відсутності патології ці функції забезпечують на етапі ембріонального розвитку процеси органогенезу, а у постанатальному житті – обмін речовин, оновлення старіючих тканин, процеси ангіогенезу, репарацію ушкоджених тканин та інші процеси у цілісному організмі. Але в умовах патології в результаті патологічної активації або пригніченні активності клітинних елементів сполучної тканини та змінах структури основної речовини порушення метаболізму сполучної тканини може бути основою прогресування патологічного процесу, виникнення його ускладнень та появи коморбідної патології [</w:t>
      </w:r>
      <w:r w:rsidR="00314D2E" w:rsidRPr="000A32AD">
        <w:rPr>
          <w:rFonts w:ascii="Times New Roman" w:hAnsi="Times New Roman" w:cs="Times New Roman"/>
          <w:color w:val="000000" w:themeColor="text1"/>
          <w:sz w:val="28"/>
          <w:szCs w:val="28"/>
          <w:lang w:val="uk-UA"/>
        </w:rPr>
        <w:t>4</w:t>
      </w:r>
      <w:r w:rsidRPr="000A32AD">
        <w:rPr>
          <w:rFonts w:ascii="Times New Roman" w:hAnsi="Times New Roman" w:cs="Times New Roman"/>
          <w:color w:val="000000" w:themeColor="text1"/>
          <w:sz w:val="28"/>
          <w:szCs w:val="28"/>
          <w:lang w:val="uk-UA"/>
        </w:rPr>
        <w:t xml:space="preserve">; </w:t>
      </w:r>
      <w:r w:rsidR="00314D2E" w:rsidRPr="000A32AD">
        <w:rPr>
          <w:rFonts w:ascii="Times New Roman" w:hAnsi="Times New Roman" w:cs="Times New Roman"/>
          <w:color w:val="000000" w:themeColor="text1"/>
          <w:sz w:val="28"/>
          <w:szCs w:val="28"/>
          <w:lang w:val="uk-UA"/>
        </w:rPr>
        <w:t xml:space="preserve">14; </w:t>
      </w:r>
      <w:r w:rsidR="00635620" w:rsidRPr="000A32AD">
        <w:rPr>
          <w:rFonts w:ascii="Times New Roman" w:hAnsi="Times New Roman" w:cs="Times New Roman"/>
          <w:color w:val="000000" w:themeColor="text1"/>
          <w:sz w:val="28"/>
          <w:szCs w:val="28"/>
          <w:lang w:val="uk-UA"/>
        </w:rPr>
        <w:t xml:space="preserve">15; </w:t>
      </w:r>
      <w:r w:rsidR="00365A66" w:rsidRPr="000A32AD">
        <w:rPr>
          <w:rFonts w:ascii="Times New Roman" w:hAnsi="Times New Roman" w:cs="Times New Roman"/>
          <w:color w:val="000000" w:themeColor="text1"/>
          <w:sz w:val="28"/>
          <w:szCs w:val="28"/>
          <w:lang w:val="uk-UA"/>
        </w:rPr>
        <w:t>20</w:t>
      </w:r>
      <w:r w:rsidRPr="000A32AD">
        <w:rPr>
          <w:rFonts w:ascii="Times New Roman" w:hAnsi="Times New Roman" w:cs="Times New Roman"/>
          <w:color w:val="000000" w:themeColor="text1"/>
          <w:sz w:val="28"/>
          <w:szCs w:val="28"/>
          <w:lang w:val="uk-UA"/>
        </w:rPr>
        <w:t xml:space="preserve">; </w:t>
      </w:r>
      <w:r w:rsidR="00D44D65" w:rsidRPr="000A32AD">
        <w:rPr>
          <w:rFonts w:ascii="Times New Roman" w:hAnsi="Times New Roman" w:cs="Times New Roman"/>
          <w:iCs/>
          <w:color w:val="000000" w:themeColor="text1"/>
          <w:sz w:val="28"/>
          <w:szCs w:val="28"/>
          <w:lang w:val="uk-UA"/>
        </w:rPr>
        <w:t>33</w:t>
      </w:r>
      <w:r w:rsidRPr="000A32AD">
        <w:rPr>
          <w:rFonts w:ascii="Times New Roman" w:hAnsi="Times New Roman" w:cs="Times New Roman"/>
          <w:color w:val="000000" w:themeColor="text1"/>
          <w:sz w:val="28"/>
          <w:szCs w:val="28"/>
          <w:lang w:val="uk-UA"/>
        </w:rPr>
        <w:t xml:space="preserve">]. Поширеність ДСТ в популяції досить висока (в межах 2–7%), а </w:t>
      </w:r>
      <w:r w:rsidR="00A254FF" w:rsidRPr="000A32AD">
        <w:rPr>
          <w:rFonts w:ascii="Times New Roman" w:hAnsi="Times New Roman" w:cs="Times New Roman"/>
          <w:color w:val="000000" w:themeColor="text1"/>
          <w:sz w:val="28"/>
          <w:szCs w:val="28"/>
          <w:lang w:val="uk-UA"/>
        </w:rPr>
        <w:t xml:space="preserve">частота </w:t>
      </w:r>
      <w:r w:rsidRPr="000A32AD">
        <w:rPr>
          <w:rFonts w:ascii="Times New Roman" w:hAnsi="Times New Roman" w:cs="Times New Roman"/>
          <w:color w:val="000000" w:themeColor="text1"/>
          <w:sz w:val="28"/>
          <w:szCs w:val="28"/>
          <w:lang w:val="uk-UA"/>
        </w:rPr>
        <w:t>одиничних фенотипових ознак сягає 24,3% [</w:t>
      </w:r>
      <w:r w:rsidR="00314D2E" w:rsidRPr="000A32AD">
        <w:rPr>
          <w:rFonts w:ascii="Times New Roman" w:hAnsi="Times New Roman" w:cs="Times New Roman"/>
          <w:color w:val="000000" w:themeColor="text1"/>
          <w:sz w:val="28"/>
          <w:szCs w:val="28"/>
          <w:lang w:val="uk-UA"/>
        </w:rPr>
        <w:t>28</w:t>
      </w:r>
      <w:r w:rsidRPr="000A32AD">
        <w:rPr>
          <w:rFonts w:ascii="Times New Roman" w:hAnsi="Times New Roman" w:cs="Times New Roman"/>
          <w:color w:val="000000" w:themeColor="text1"/>
          <w:sz w:val="28"/>
          <w:szCs w:val="28"/>
          <w:lang w:val="uk-UA"/>
        </w:rPr>
        <w:t xml:space="preserve">; </w:t>
      </w:r>
      <w:r w:rsidR="00314D2E" w:rsidRPr="000A32AD">
        <w:rPr>
          <w:rStyle w:val="a8"/>
          <w:rFonts w:ascii="Times New Roman" w:hAnsi="Times New Roman" w:cs="Times New Roman"/>
          <w:i w:val="0"/>
          <w:color w:val="000000" w:themeColor="text1"/>
          <w:sz w:val="28"/>
          <w:szCs w:val="28"/>
          <w:lang w:val="uk-UA"/>
        </w:rPr>
        <w:t>33</w:t>
      </w:r>
      <w:r w:rsidRPr="000A32AD">
        <w:rPr>
          <w:rStyle w:val="a8"/>
          <w:rFonts w:ascii="Times New Roman" w:hAnsi="Times New Roman" w:cs="Times New Roman"/>
          <w:i w:val="0"/>
          <w:color w:val="000000" w:themeColor="text1"/>
          <w:sz w:val="28"/>
          <w:szCs w:val="28"/>
          <w:lang w:val="uk-UA"/>
        </w:rPr>
        <w:t>;</w:t>
      </w:r>
      <w:r w:rsidR="00314D2E" w:rsidRPr="000A32AD">
        <w:rPr>
          <w:rStyle w:val="a8"/>
          <w:rFonts w:ascii="Times New Roman" w:hAnsi="Times New Roman" w:cs="Times New Roman"/>
          <w:i w:val="0"/>
          <w:color w:val="000000" w:themeColor="text1"/>
          <w:sz w:val="28"/>
          <w:szCs w:val="28"/>
          <w:lang w:val="uk-UA"/>
        </w:rPr>
        <w:t xml:space="preserve"> 34;</w:t>
      </w:r>
      <w:r w:rsidRPr="000A32AD">
        <w:rPr>
          <w:rStyle w:val="a8"/>
          <w:rFonts w:ascii="Times New Roman" w:hAnsi="Times New Roman" w:cs="Times New Roman"/>
          <w:i w:val="0"/>
          <w:color w:val="000000" w:themeColor="text1"/>
          <w:sz w:val="28"/>
          <w:szCs w:val="28"/>
          <w:lang w:val="uk-UA"/>
        </w:rPr>
        <w:t xml:space="preserve"> </w:t>
      </w:r>
      <w:r w:rsidR="00314D2E" w:rsidRPr="000A32AD">
        <w:rPr>
          <w:rStyle w:val="a8"/>
          <w:rFonts w:ascii="Times New Roman" w:hAnsi="Times New Roman" w:cs="Times New Roman"/>
          <w:i w:val="0"/>
          <w:color w:val="000000" w:themeColor="text1"/>
          <w:sz w:val="28"/>
          <w:szCs w:val="28"/>
          <w:lang w:val="uk-UA"/>
        </w:rPr>
        <w:t>62</w:t>
      </w:r>
      <w:r w:rsidRPr="000A32AD">
        <w:rPr>
          <w:rFonts w:ascii="Times New Roman" w:hAnsi="Times New Roman" w:cs="Times New Roman"/>
          <w:color w:val="000000" w:themeColor="text1"/>
          <w:sz w:val="28"/>
          <w:szCs w:val="28"/>
        </w:rPr>
        <w:t>]</w:t>
      </w:r>
      <w:r w:rsidRPr="000A32AD">
        <w:rPr>
          <w:rFonts w:ascii="Times New Roman" w:hAnsi="Times New Roman" w:cs="Times New Roman"/>
          <w:i/>
          <w:color w:val="000000" w:themeColor="text1"/>
          <w:sz w:val="28"/>
          <w:szCs w:val="28"/>
          <w:lang w:val="uk-UA"/>
        </w:rPr>
        <w:t>.</w:t>
      </w:r>
    </w:p>
    <w:p w:rsidR="000D5D92" w:rsidRPr="000A32AD" w:rsidRDefault="000D5D92" w:rsidP="000D5D92">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Сполучення ДСТ, у тому числі у вигляді її диспластичних фенотипів також впливає на перебіг АГ та ЦД,</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та може причиною прогресування цих захворювань та розвитку ускладнень. Зокрема встановлено, що наявність ДСТ у хворих на ЦД сприяє збільшенню частоти діабетичної стопи</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(40,7% та 5,7% в групі контролю), діабетичної нейропатії (95% та 18,2% в контролі), до розвитку аритмій, психоемоційних порушень,</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ураженню міокарда</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w:t>
      </w:r>
      <w:r w:rsidR="008C4B91" w:rsidRPr="000A32AD">
        <w:rPr>
          <w:rFonts w:ascii="Times New Roman" w:hAnsi="Times New Roman" w:cs="Times New Roman"/>
          <w:color w:val="000000" w:themeColor="text1"/>
          <w:sz w:val="28"/>
          <w:szCs w:val="28"/>
          <w:lang w:val="uk-UA"/>
        </w:rPr>
        <w:t>50</w:t>
      </w:r>
      <w:r w:rsidRPr="000A32AD">
        <w:rPr>
          <w:rFonts w:ascii="Times New Roman" w:hAnsi="Times New Roman" w:cs="Times New Roman"/>
          <w:color w:val="000000" w:themeColor="text1"/>
          <w:sz w:val="28"/>
          <w:szCs w:val="28"/>
          <w:lang w:val="uk-UA"/>
        </w:rPr>
        <w:t xml:space="preserve">], сприяє розвитку </w:t>
      </w:r>
      <w:r w:rsidRPr="000A32AD">
        <w:rPr>
          <w:rFonts w:ascii="Times New Roman" w:hAnsi="Times New Roman" w:cs="Times New Roman"/>
          <w:color w:val="000000" w:themeColor="text1"/>
          <w:sz w:val="28"/>
          <w:szCs w:val="28"/>
          <w:lang w:val="uk-UA"/>
        </w:rPr>
        <w:lastRenderedPageBreak/>
        <w:t>АГ у хворих з нейроциркулторною дистонією [</w:t>
      </w:r>
      <w:r w:rsidR="00365A66" w:rsidRPr="000A32AD">
        <w:rPr>
          <w:rFonts w:ascii="Times New Roman" w:hAnsi="Times New Roman" w:cs="Times New Roman"/>
          <w:color w:val="000000" w:themeColor="text1"/>
          <w:sz w:val="28"/>
          <w:szCs w:val="28"/>
          <w:lang w:val="uk-UA"/>
        </w:rPr>
        <w:t>24</w:t>
      </w:r>
      <w:r w:rsidRPr="000A32AD">
        <w:rPr>
          <w:rFonts w:ascii="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bCs/>
          <w:iCs/>
          <w:color w:val="000000" w:themeColor="text1"/>
          <w:sz w:val="28"/>
          <w:szCs w:val="28"/>
          <w:lang w:val="uk-UA"/>
        </w:rPr>
        <w:t>За даними Н.Н.Гладких та А.В. Ягоди (2009), у хворих на ЦД з ознаками</w:t>
      </w:r>
      <w:r w:rsidR="00F17BD2" w:rsidRPr="000A32AD">
        <w:rPr>
          <w:rFonts w:ascii="Times New Roman" w:eastAsia="Times New Roman" w:hAnsi="Times New Roman" w:cs="Times New Roman"/>
          <w:bCs/>
          <w:iCs/>
          <w:color w:val="000000" w:themeColor="text1"/>
          <w:sz w:val="28"/>
          <w:szCs w:val="28"/>
          <w:lang w:val="uk-UA"/>
        </w:rPr>
        <w:t xml:space="preserve"> </w:t>
      </w:r>
      <w:r w:rsidRPr="000A32AD">
        <w:rPr>
          <w:rFonts w:ascii="Times New Roman" w:eastAsia="Times New Roman" w:hAnsi="Times New Roman" w:cs="Times New Roman"/>
          <w:bCs/>
          <w:iCs/>
          <w:color w:val="000000" w:themeColor="text1"/>
          <w:sz w:val="28"/>
          <w:szCs w:val="28"/>
          <w:lang w:val="uk-UA"/>
        </w:rPr>
        <w:t>ДСТ спостерігається збільшення вазопресорної активності та агрегації тромбоцитів, що автори розцінюють як можливий механізм розвитку діабетичних ангіопатій</w:t>
      </w:r>
      <w:r w:rsidR="00F17BD2" w:rsidRPr="000A32AD">
        <w:rPr>
          <w:rFonts w:ascii="Times New Roman" w:eastAsia="Times New Roman" w:hAnsi="Times New Roman" w:cs="Times New Roman"/>
          <w:bCs/>
          <w:iCs/>
          <w:color w:val="000000" w:themeColor="text1"/>
          <w:sz w:val="28"/>
          <w:szCs w:val="28"/>
          <w:lang w:val="uk-UA"/>
        </w:rPr>
        <w:t xml:space="preserve"> </w:t>
      </w:r>
      <w:r w:rsidRPr="000A32AD">
        <w:rPr>
          <w:rFonts w:ascii="Times New Roman" w:eastAsia="Times New Roman" w:hAnsi="Times New Roman" w:cs="Times New Roman"/>
          <w:bCs/>
          <w:iCs/>
          <w:color w:val="000000" w:themeColor="text1"/>
          <w:sz w:val="28"/>
          <w:szCs w:val="28"/>
          <w:lang w:val="uk-UA"/>
        </w:rPr>
        <w:t>[</w:t>
      </w:r>
      <w:r w:rsidR="00314D2E" w:rsidRPr="000A32AD">
        <w:rPr>
          <w:rFonts w:ascii="Times New Roman" w:eastAsia="Times New Roman" w:hAnsi="Times New Roman" w:cs="Times New Roman"/>
          <w:bCs/>
          <w:iCs/>
          <w:color w:val="000000" w:themeColor="text1"/>
          <w:sz w:val="28"/>
          <w:szCs w:val="28"/>
          <w:lang w:val="uk-UA"/>
        </w:rPr>
        <w:t>16</w:t>
      </w:r>
      <w:r w:rsidRPr="000A32AD">
        <w:rPr>
          <w:rFonts w:ascii="Times New Roman" w:eastAsia="Times New Roman" w:hAnsi="Times New Roman" w:cs="Times New Roman"/>
          <w:bCs/>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Порушення метаболізму ГАГ грає важливу роль в розвитку та прогресуванні діабетичної нефропатії [</w:t>
      </w:r>
      <w:r w:rsidR="00314D2E" w:rsidRPr="000A32AD">
        <w:rPr>
          <w:rFonts w:ascii="Times New Roman" w:hAnsi="Times New Roman" w:cs="Times New Roman"/>
          <w:color w:val="000000" w:themeColor="text1"/>
          <w:sz w:val="28"/>
          <w:szCs w:val="28"/>
          <w:lang w:val="uk-UA"/>
        </w:rPr>
        <w:t>26</w:t>
      </w:r>
      <w:r w:rsidRPr="000A32AD">
        <w:rPr>
          <w:rFonts w:ascii="Times New Roman" w:hAnsi="Times New Roman" w:cs="Times New Roman"/>
          <w:color w:val="000000" w:themeColor="text1"/>
          <w:sz w:val="28"/>
          <w:szCs w:val="28"/>
        </w:rPr>
        <w:t>]</w:t>
      </w:r>
      <w:r w:rsidRPr="000A32AD">
        <w:rPr>
          <w:rFonts w:ascii="Times New Roman" w:hAnsi="Times New Roman" w:cs="Times New Roman"/>
          <w:color w:val="000000" w:themeColor="text1"/>
          <w:sz w:val="28"/>
          <w:szCs w:val="28"/>
          <w:lang w:val="uk-UA"/>
        </w:rPr>
        <w:t>.</w:t>
      </w:r>
    </w:p>
    <w:p w:rsidR="000D5D92" w:rsidRPr="000A32AD" w:rsidRDefault="000D5D92" w:rsidP="000D5D92">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Таким чином, феномен коморбідності на цей час можна вважати характерною особливістю сучасної патології, частота якого зростає з віком пацієнтів. В структурі коморбідної патології найчастіше зустрічаються АГ, ЦД та ДСТ у різних сполученнях. Для цих захворювань характерний розвиток різноманітних серцево-судинних ускладнень, що свідчить про можливу єдність патогенетичних механізмів їх розвитку. Їх вивчення актуально як з точки зору прогнозу перебігу цих захворювань, так й з точки зору визначення можливих спільних мішеней терапевтичного впливу.</w:t>
      </w:r>
    </w:p>
    <w:p w:rsidR="000D5D92" w:rsidRPr="000A32AD" w:rsidRDefault="000D5D92" w:rsidP="000D5D92">
      <w:pPr>
        <w:autoSpaceDE w:val="0"/>
        <w:autoSpaceDN w:val="0"/>
        <w:adjustRightInd w:val="0"/>
        <w:spacing w:line="360" w:lineRule="auto"/>
        <w:ind w:firstLine="709"/>
        <w:jc w:val="both"/>
        <w:rPr>
          <w:rFonts w:ascii="Times New Roman" w:hAnsi="Times New Roman" w:cs="Times New Roman"/>
          <w:b/>
          <w:color w:val="000000" w:themeColor="text1"/>
          <w:sz w:val="28"/>
          <w:szCs w:val="28"/>
          <w:lang w:val="uk-UA"/>
        </w:rPr>
      </w:pPr>
    </w:p>
    <w:p w:rsidR="000D5D92" w:rsidRPr="000A32AD" w:rsidRDefault="000D5D92" w:rsidP="000D5D92">
      <w:pPr>
        <w:autoSpaceDE w:val="0"/>
        <w:autoSpaceDN w:val="0"/>
        <w:adjustRightInd w:val="0"/>
        <w:spacing w:line="360" w:lineRule="auto"/>
        <w:ind w:firstLine="709"/>
        <w:jc w:val="both"/>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t xml:space="preserve">1.2. </w:t>
      </w:r>
      <w:r w:rsidR="00504223" w:rsidRPr="000A32AD">
        <w:rPr>
          <w:rFonts w:ascii="Times New Roman" w:hAnsi="Times New Roman" w:cs="Times New Roman"/>
          <w:b/>
          <w:color w:val="000000" w:themeColor="text1"/>
          <w:sz w:val="28"/>
          <w:szCs w:val="28"/>
          <w:lang w:val="uk-UA"/>
        </w:rPr>
        <w:t>Патогенез судинних уражень у хворих на артеріальну гіпертензію, цукровий діабет та дисплазію сполучної тканини</w:t>
      </w:r>
    </w:p>
    <w:p w:rsidR="000D5D92" w:rsidRPr="000A32AD" w:rsidRDefault="000D5D92" w:rsidP="000D5D92">
      <w:pPr>
        <w:spacing w:line="360" w:lineRule="auto"/>
        <w:ind w:firstLine="709"/>
        <w:jc w:val="both"/>
        <w:rPr>
          <w:rFonts w:ascii="Times New Roman" w:eastAsia="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Тривале збільшення АТ призводить до ремоделювання артеріальних судин з потовщенням їх стінки та зменшенням просвіту [</w:t>
      </w:r>
      <w:r w:rsidR="00314D2E" w:rsidRPr="000A32AD">
        <w:rPr>
          <w:rFonts w:ascii="Times New Roman" w:eastAsia="Times New Roman" w:hAnsi="Times New Roman" w:cs="Times New Roman"/>
          <w:color w:val="000000" w:themeColor="text1"/>
          <w:sz w:val="28"/>
          <w:szCs w:val="28"/>
          <w:lang w:val="uk-UA"/>
        </w:rPr>
        <w:t>100</w:t>
      </w:r>
      <w:r w:rsidRPr="000A32AD">
        <w:rPr>
          <w:rFonts w:ascii="Times New Roman" w:eastAsia="Times New Roman" w:hAnsi="Times New Roman" w:cs="Times New Roman"/>
          <w:color w:val="000000" w:themeColor="text1"/>
          <w:sz w:val="28"/>
          <w:szCs w:val="28"/>
          <w:lang w:val="uk-UA"/>
        </w:rPr>
        <w:t xml:space="preserve">; </w:t>
      </w:r>
      <w:r w:rsidR="00314D2E" w:rsidRPr="000A32AD">
        <w:rPr>
          <w:rFonts w:ascii="Times New Roman" w:eastAsia="Times New Roman" w:hAnsi="Times New Roman" w:cs="Times New Roman"/>
          <w:color w:val="000000" w:themeColor="text1"/>
          <w:sz w:val="28"/>
          <w:szCs w:val="28"/>
          <w:lang w:val="uk-UA"/>
        </w:rPr>
        <w:t>148</w:t>
      </w:r>
      <w:r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Вважається, що потовщення комплексу інтими-медії, яке виявляється під час ультразвукової доплерографії, є найважливішим маркеро</w:t>
      </w:r>
      <w:r w:rsidR="00365A66" w:rsidRPr="000A32AD">
        <w:rPr>
          <w:rFonts w:ascii="Times New Roman" w:hAnsi="Times New Roman" w:cs="Times New Roman"/>
          <w:color w:val="000000" w:themeColor="text1"/>
          <w:sz w:val="28"/>
          <w:szCs w:val="28"/>
          <w:lang w:val="uk-UA"/>
        </w:rPr>
        <w:t>м розвитку судинних ускладнень.</w:t>
      </w:r>
      <w:r w:rsidRPr="000A32AD">
        <w:rPr>
          <w:rFonts w:ascii="Times New Roman" w:hAnsi="Times New Roman" w:cs="Times New Roman"/>
          <w:color w:val="000000" w:themeColor="text1"/>
          <w:sz w:val="28"/>
          <w:szCs w:val="28"/>
          <w:lang w:val="uk-UA"/>
        </w:rPr>
        <w:t xml:space="preserve"> [</w:t>
      </w:r>
      <w:r w:rsidR="00365A66" w:rsidRPr="000A32AD">
        <w:rPr>
          <w:rFonts w:ascii="Times New Roman" w:hAnsi="Times New Roman" w:cs="Times New Roman"/>
          <w:color w:val="000000" w:themeColor="text1"/>
          <w:sz w:val="28"/>
          <w:szCs w:val="28"/>
          <w:lang w:val="uk-UA"/>
        </w:rPr>
        <w:t>218</w:t>
      </w:r>
      <w:r w:rsidRPr="000A32AD">
        <w:rPr>
          <w:rFonts w:ascii="Times New Roman" w:hAnsi="Times New Roman" w:cs="Times New Roman"/>
          <w:color w:val="000000" w:themeColor="text1"/>
          <w:sz w:val="28"/>
          <w:szCs w:val="28"/>
          <w:lang w:val="uk-UA"/>
        </w:rPr>
        <w:t>]. Характерним також є редукція мікроциркулярного русла на тлі порушення ангіогенезу, що підтверджується розвитком АГ в у онкологічних хворих під час лікування із застосуванням антиангіогенних препаратів [</w:t>
      </w:r>
      <w:r w:rsidR="00314D2E" w:rsidRPr="000A32AD">
        <w:rPr>
          <w:rFonts w:ascii="Times New Roman" w:eastAsia="Times New Roman" w:hAnsi="Times New Roman" w:cs="Times New Roman"/>
          <w:color w:val="000000" w:themeColor="text1"/>
          <w:sz w:val="28"/>
          <w:szCs w:val="28"/>
          <w:lang w:val="uk-UA"/>
        </w:rPr>
        <w:t>148</w:t>
      </w:r>
      <w:r w:rsidR="004E3C72" w:rsidRPr="000A32AD">
        <w:rPr>
          <w:rFonts w:ascii="Times New Roman" w:eastAsia="Times New Roman" w:hAnsi="Times New Roman" w:cs="Times New Roman"/>
          <w:color w:val="000000" w:themeColor="text1"/>
          <w:sz w:val="28"/>
          <w:szCs w:val="28"/>
          <w:lang w:val="uk-UA"/>
        </w:rPr>
        <w:t>; 175</w:t>
      </w:r>
      <w:r w:rsidRPr="000A32AD">
        <w:rPr>
          <w:rFonts w:ascii="Times New Roman" w:eastAsia="Times New Roman" w:hAnsi="Times New Roman" w:cs="Times New Roman"/>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b/>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Однією з гіпотез єдності процесів, що відбуваються при </w:t>
      </w:r>
      <w:r w:rsidR="00E62DCE" w:rsidRPr="000A32AD">
        <w:rPr>
          <w:rFonts w:ascii="Times New Roman" w:hAnsi="Times New Roman" w:cs="Times New Roman"/>
          <w:color w:val="000000" w:themeColor="text1"/>
          <w:sz w:val="28"/>
          <w:szCs w:val="28"/>
          <w:lang w:val="uk-UA"/>
        </w:rPr>
        <w:t>АГ та ЦД</w:t>
      </w:r>
      <w:r w:rsidRPr="000A32AD">
        <w:rPr>
          <w:rFonts w:ascii="Times New Roman" w:hAnsi="Times New Roman" w:cs="Times New Roman"/>
          <w:color w:val="000000" w:themeColor="text1"/>
          <w:sz w:val="28"/>
          <w:szCs w:val="28"/>
          <w:lang w:val="uk-UA"/>
        </w:rPr>
        <w:t xml:space="preserve"> є однотипні ураження, що спостерігаються в базальній мембрані клубочків нирок та судинах будь-якої локалізації [</w:t>
      </w:r>
      <w:r w:rsidR="004E3C72" w:rsidRPr="000A32AD">
        <w:rPr>
          <w:rFonts w:ascii="Times New Roman" w:hAnsi="Times New Roman" w:cs="Times New Roman"/>
          <w:color w:val="000000" w:themeColor="text1"/>
          <w:sz w:val="28"/>
          <w:szCs w:val="28"/>
          <w:lang w:val="uk-UA"/>
        </w:rPr>
        <w:t>90</w:t>
      </w:r>
      <w:r w:rsidRPr="000A32AD">
        <w:rPr>
          <w:rFonts w:ascii="Times New Roman" w:hAnsi="Times New Roman" w:cs="Times New Roman"/>
          <w:color w:val="000000" w:themeColor="text1"/>
          <w:sz w:val="28"/>
          <w:szCs w:val="28"/>
          <w:lang w:val="uk-UA"/>
        </w:rPr>
        <w:t xml:space="preserve">]. Згідно цієї гіпотези альбумінурія це не </w:t>
      </w:r>
      <w:r w:rsidRPr="000A32AD">
        <w:rPr>
          <w:rFonts w:ascii="Times New Roman" w:hAnsi="Times New Roman" w:cs="Times New Roman"/>
          <w:color w:val="000000" w:themeColor="text1"/>
          <w:sz w:val="28"/>
          <w:szCs w:val="28"/>
          <w:lang w:val="uk-UA"/>
        </w:rPr>
        <w:lastRenderedPageBreak/>
        <w:t>стільки ознака ниркових уражень, скільки наслідок генералізованого ураження судин. Ендотеліальна дисфункція внаслідок метаболічних розладів при ЦД або внаслідок тривалого підвищення АТ призводять до порушення вазодилятації, потовщенню базальних мембран мікросудин</w:t>
      </w:r>
      <w:r w:rsidR="00DE5689">
        <w:rPr>
          <w:rFonts w:ascii="Times New Roman" w:hAnsi="Times New Roman" w:cs="Times New Roman"/>
          <w:color w:val="000000" w:themeColor="text1"/>
          <w:sz w:val="28"/>
          <w:szCs w:val="28"/>
          <w:lang w:val="uk-UA"/>
        </w:rPr>
        <w:t>, порушень метаболізму у позаклі</w:t>
      </w:r>
      <w:r w:rsidRPr="000A32AD">
        <w:rPr>
          <w:rFonts w:ascii="Times New Roman" w:hAnsi="Times New Roman" w:cs="Times New Roman"/>
          <w:color w:val="000000" w:themeColor="text1"/>
          <w:sz w:val="28"/>
          <w:szCs w:val="28"/>
          <w:lang w:val="uk-UA"/>
        </w:rPr>
        <w:t>тинному матриксі та ініціації атеросклеротичних уражень великих судин [</w:t>
      </w:r>
      <w:r w:rsidR="004E3C72" w:rsidRPr="000A32AD">
        <w:rPr>
          <w:rFonts w:ascii="Times New Roman" w:hAnsi="Times New Roman" w:cs="Times New Roman"/>
          <w:color w:val="000000" w:themeColor="text1"/>
          <w:sz w:val="28"/>
          <w:szCs w:val="28"/>
          <w:lang w:val="uk-UA"/>
        </w:rPr>
        <w:t>90</w:t>
      </w:r>
      <w:r w:rsidRPr="000A32AD">
        <w:rPr>
          <w:rFonts w:ascii="Times New Roman" w:hAnsi="Times New Roman" w:cs="Times New Roman"/>
          <w:color w:val="000000" w:themeColor="text1"/>
          <w:sz w:val="28"/>
          <w:szCs w:val="28"/>
          <w:lang w:val="uk-UA"/>
        </w:rPr>
        <w:t xml:space="preserve">; </w:t>
      </w:r>
      <w:r w:rsidR="004E3C72" w:rsidRPr="000A32AD">
        <w:rPr>
          <w:rFonts w:ascii="Times New Roman" w:hAnsi="Times New Roman" w:cs="Times New Roman"/>
          <w:color w:val="000000" w:themeColor="text1"/>
          <w:sz w:val="28"/>
          <w:szCs w:val="28"/>
          <w:lang w:val="uk-UA"/>
        </w:rPr>
        <w:t>211</w:t>
      </w:r>
      <w:r w:rsidRPr="000A32AD">
        <w:rPr>
          <w:rFonts w:ascii="Times New Roman" w:hAnsi="Times New Roman" w:cs="Times New Roman"/>
          <w:color w:val="000000" w:themeColor="text1"/>
          <w:sz w:val="28"/>
          <w:szCs w:val="28"/>
          <w:lang w:val="uk-UA"/>
        </w:rPr>
        <w:t>]. Ці зміни виникають вже</w:t>
      </w:r>
      <w:r w:rsidR="00072B56">
        <w:rPr>
          <w:rFonts w:ascii="Times New Roman" w:hAnsi="Times New Roman" w:cs="Times New Roman"/>
          <w:color w:val="000000" w:themeColor="text1"/>
          <w:sz w:val="28"/>
          <w:szCs w:val="28"/>
          <w:lang w:val="uk-UA"/>
        </w:rPr>
        <w:t xml:space="preserve"> на</w:t>
      </w:r>
      <w:r w:rsidRPr="000A32AD">
        <w:rPr>
          <w:rFonts w:ascii="Times New Roman" w:hAnsi="Times New Roman" w:cs="Times New Roman"/>
          <w:color w:val="000000" w:themeColor="text1"/>
          <w:sz w:val="28"/>
          <w:szCs w:val="28"/>
          <w:lang w:val="uk-UA"/>
        </w:rPr>
        <w:t xml:space="preserve"> ранніх стадіях ЦД, ще при відсутності порушень клубочкової фільтарції [</w:t>
      </w:r>
      <w:r w:rsidR="004E3C72" w:rsidRPr="000A32AD">
        <w:rPr>
          <w:rFonts w:ascii="Times New Roman" w:hAnsi="Times New Roman" w:cs="Times New Roman"/>
          <w:color w:val="000000" w:themeColor="text1"/>
          <w:sz w:val="28"/>
          <w:szCs w:val="28"/>
          <w:lang w:val="uk-UA"/>
        </w:rPr>
        <w:t>213</w:t>
      </w:r>
      <w:r w:rsidRPr="000A32AD">
        <w:rPr>
          <w:rFonts w:ascii="Times New Roman" w:hAnsi="Times New Roman" w:cs="Times New Roman"/>
          <w:color w:val="000000" w:themeColor="text1"/>
          <w:sz w:val="28"/>
          <w:szCs w:val="28"/>
          <w:lang w:val="uk-UA"/>
        </w:rPr>
        <w:t>].</w:t>
      </w:r>
      <w:r w:rsidRPr="000A32AD">
        <w:rPr>
          <w:rFonts w:ascii="Times New Roman" w:hAnsi="Times New Roman" w:cs="Times New Roman"/>
          <w:b/>
          <w:color w:val="000000" w:themeColor="text1"/>
          <w:sz w:val="28"/>
          <w:szCs w:val="28"/>
          <w:lang w:val="uk-UA"/>
        </w:rPr>
        <w:t xml:space="preserve"> </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На цей час відомо багато різноманітних шляхів, за якими реалізується розвиток серцево-судинної патології при ЦД. В якості пускових факторів крім гіперглікемії суттєве значення мають порушення жирового обміну зі збільшенням вмісту вільних жирних кислот, збільшенням вмісту ліпопротеїнів низької щільності та зменшенням вмісту ліпопротеїнів високої щільності. Безпосередніми ушкоджуючими факторами можуть бути кінцеві продукти гліколізу (</w:t>
      </w:r>
      <w:r w:rsidRPr="000A32AD">
        <w:rPr>
          <w:rFonts w:ascii="Times New Roman" w:hAnsi="Times New Roman" w:cs="Times New Roman"/>
          <w:color w:val="000000" w:themeColor="text1"/>
          <w:sz w:val="28"/>
          <w:szCs w:val="28"/>
        </w:rPr>
        <w:t>AGE</w:t>
      </w:r>
      <w:r w:rsidRPr="000A32AD">
        <w:rPr>
          <w:rFonts w:ascii="Times New Roman" w:hAnsi="Times New Roman" w:cs="Times New Roman"/>
          <w:color w:val="000000" w:themeColor="text1"/>
          <w:sz w:val="28"/>
          <w:szCs w:val="28"/>
          <w:lang w:val="uk-UA"/>
        </w:rPr>
        <w:t>), продукти перекисного окислення ліпідів, збільшення активності ангіотензину ІІ, прозапальні цитокіни, фактори адгезії лейкоцитів, активація протеїнкінази С та ін. В якості протекторних факторів розглядаються протизапальні фактори та антиоксидантні ензими, інсулін, фактори росту, активований протеїн С та ін.. Як протекторні, так й ушкоджуючи фактори постійно присутні в крові та тканинах, тому розвиток патології залежить не стільки від їх наявності, скільки від їх співвідношення та рівноваги [</w:t>
      </w:r>
      <w:r w:rsidR="004E3C72" w:rsidRPr="000A32AD">
        <w:rPr>
          <w:rFonts w:ascii="Times New Roman" w:hAnsi="Times New Roman" w:cs="Times New Roman"/>
          <w:color w:val="000000" w:themeColor="text1"/>
          <w:sz w:val="28"/>
          <w:szCs w:val="28"/>
          <w:lang w:val="uk-UA"/>
        </w:rPr>
        <w:t>207</w:t>
      </w:r>
      <w:r w:rsidRPr="000A32AD">
        <w:rPr>
          <w:rFonts w:ascii="Times New Roman" w:hAnsi="Times New Roman" w:cs="Times New Roman"/>
          <w:color w:val="000000" w:themeColor="text1"/>
          <w:sz w:val="28"/>
          <w:szCs w:val="28"/>
          <w:lang w:val="uk-UA"/>
        </w:rPr>
        <w:t xml:space="preserve">]. Крім збільшення рівня </w:t>
      </w:r>
      <w:r w:rsidRPr="000A32AD">
        <w:rPr>
          <w:rFonts w:ascii="Times New Roman" w:hAnsi="Times New Roman" w:cs="Times New Roman"/>
          <w:color w:val="000000" w:themeColor="text1"/>
          <w:sz w:val="28"/>
          <w:szCs w:val="28"/>
        </w:rPr>
        <w:t>AGE</w:t>
      </w:r>
      <w:r w:rsidRPr="000A32AD">
        <w:rPr>
          <w:rFonts w:ascii="Times New Roman" w:hAnsi="Times New Roman" w:cs="Times New Roman"/>
          <w:color w:val="000000" w:themeColor="text1"/>
          <w:sz w:val="28"/>
          <w:szCs w:val="28"/>
          <w:lang w:val="uk-UA"/>
        </w:rPr>
        <w:t xml:space="preserve"> в патогенезі серцево-судинних ускладнень ЦД важливу роль грає накопичення циркулюючих жирних кислот, зростання процесів окисного стресу, дисфункція ендотелію судин, які викликають прискорення апоптозу клітин, зниженню ангіогенезу та порушенню ремоделювання серця [</w:t>
      </w:r>
      <w:r w:rsidR="004E3C72" w:rsidRPr="000A32AD">
        <w:rPr>
          <w:rFonts w:ascii="Times New Roman" w:hAnsi="Times New Roman" w:cs="Times New Roman"/>
          <w:color w:val="000000" w:themeColor="text1"/>
          <w:sz w:val="28"/>
          <w:szCs w:val="28"/>
          <w:lang w:val="uk-UA"/>
        </w:rPr>
        <w:t>171</w:t>
      </w:r>
      <w:r w:rsidRPr="000A32AD">
        <w:rPr>
          <w:rFonts w:ascii="Times New Roman" w:hAnsi="Times New Roman" w:cs="Times New Roman"/>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Про спільність механізмів патогенезу судинних уражень при </w:t>
      </w:r>
      <w:r w:rsidR="00E62DCE" w:rsidRPr="000A32AD">
        <w:rPr>
          <w:rFonts w:ascii="Times New Roman" w:hAnsi="Times New Roman" w:cs="Times New Roman"/>
          <w:color w:val="000000" w:themeColor="text1"/>
          <w:sz w:val="28"/>
          <w:szCs w:val="28"/>
          <w:lang w:val="uk-UA"/>
        </w:rPr>
        <w:t xml:space="preserve">АГ та ЦД </w:t>
      </w:r>
      <w:r w:rsidRPr="000A32AD">
        <w:rPr>
          <w:rFonts w:ascii="Times New Roman" w:hAnsi="Times New Roman" w:cs="Times New Roman"/>
          <w:color w:val="000000" w:themeColor="text1"/>
          <w:sz w:val="28"/>
          <w:szCs w:val="28"/>
          <w:lang w:val="uk-UA"/>
        </w:rPr>
        <w:t xml:space="preserve">свідчать результати досліджень жорсткості магістральних судин різного типу (еластичних, м’язово-еластичних та м’язових). </w:t>
      </w:r>
      <w:r w:rsidR="00E62DCE" w:rsidRPr="000A32AD">
        <w:rPr>
          <w:rFonts w:ascii="Times New Roman" w:hAnsi="Times New Roman" w:cs="Times New Roman"/>
          <w:color w:val="000000" w:themeColor="text1"/>
          <w:sz w:val="28"/>
          <w:szCs w:val="28"/>
          <w:lang w:val="uk-UA"/>
        </w:rPr>
        <w:t xml:space="preserve">В багатьох дослідженнях </w:t>
      </w:r>
      <w:r w:rsidR="00AC1120">
        <w:rPr>
          <w:rFonts w:ascii="Times New Roman" w:hAnsi="Times New Roman" w:cs="Times New Roman"/>
          <w:color w:val="000000" w:themeColor="text1"/>
          <w:sz w:val="28"/>
          <w:szCs w:val="28"/>
          <w:lang w:val="uk-UA"/>
        </w:rPr>
        <w:lastRenderedPageBreak/>
        <w:t>доведена</w:t>
      </w:r>
      <w:r w:rsidR="00E62DCE" w:rsidRPr="000A32AD">
        <w:rPr>
          <w:rFonts w:ascii="Times New Roman" w:hAnsi="Times New Roman" w:cs="Times New Roman"/>
          <w:color w:val="000000" w:themeColor="text1"/>
          <w:sz w:val="28"/>
          <w:szCs w:val="28"/>
          <w:lang w:val="uk-UA"/>
        </w:rPr>
        <w:t xml:space="preserve"> роль </w:t>
      </w:r>
      <w:r w:rsidRPr="000A32AD">
        <w:rPr>
          <w:rFonts w:ascii="Times New Roman" w:hAnsi="Times New Roman" w:cs="Times New Roman"/>
          <w:color w:val="000000" w:themeColor="text1"/>
          <w:sz w:val="28"/>
          <w:szCs w:val="28"/>
          <w:lang w:val="uk-UA"/>
        </w:rPr>
        <w:t>збільшення жорсткості артерій у виникненні серцево-судинних ускладнень. Цей показник вважається незалежним предиктором серцево-судинних подій у хворих з АГ, з ІХС, з захворюваннями нирок та при ЦД [</w:t>
      </w:r>
      <w:r w:rsidR="004E3C72" w:rsidRPr="000A32AD">
        <w:rPr>
          <w:rFonts w:ascii="Times New Roman" w:hAnsi="Times New Roman" w:cs="Times New Roman"/>
          <w:color w:val="000000" w:themeColor="text1"/>
          <w:sz w:val="28"/>
          <w:szCs w:val="28"/>
          <w:lang w:val="uk-UA"/>
        </w:rPr>
        <w:t>118; 237</w:t>
      </w:r>
      <w:r w:rsidRPr="000A32AD">
        <w:rPr>
          <w:rFonts w:ascii="Times New Roman" w:hAnsi="Times New Roman" w:cs="Times New Roman"/>
          <w:color w:val="000000" w:themeColor="text1"/>
          <w:sz w:val="28"/>
          <w:szCs w:val="28"/>
          <w:lang w:val="uk-UA"/>
        </w:rPr>
        <w:t>].</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Встановлено, що при ЦД збільшується жорсткість артерій, яка взаємопов’язана з величиною пульсового артеріального тиску, величиною альбумінурії та індексу резистентності ниркового кровотоку. Ці зміни були більш виразними у хворих з ЦД 2 типу. Автори вважають, що крім шкідливої дії пульсової хвили в основі цих змін спільні структурні порушення у судинах та клубочках нирок, які відбуваються внаслідок загальних механізмів ушкодження – активація процесів глікірування, окисний стрес та активація прозапальних факторів [</w:t>
      </w:r>
      <w:r w:rsidR="004E3C72" w:rsidRPr="000A32AD">
        <w:rPr>
          <w:rFonts w:ascii="Times New Roman" w:hAnsi="Times New Roman" w:cs="Times New Roman"/>
          <w:color w:val="000000" w:themeColor="text1"/>
          <w:sz w:val="28"/>
          <w:szCs w:val="28"/>
          <w:lang w:val="uk-UA"/>
        </w:rPr>
        <w:t>60</w:t>
      </w:r>
      <w:r w:rsidRPr="000A32AD">
        <w:rPr>
          <w:rFonts w:ascii="Times New Roman" w:hAnsi="Times New Roman" w:cs="Times New Roman"/>
          <w:color w:val="000000" w:themeColor="text1"/>
          <w:sz w:val="28"/>
          <w:szCs w:val="28"/>
          <w:lang w:val="uk-UA"/>
        </w:rPr>
        <w:t>].</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Встановлено, що збільшена жорсткість магістральних артерій, у тому числі, аорти, асоціюється з порушеннями фільтраційної функції нирок (за рівнем кретинину в крові, величиною альбумінурії та ШКФ) та з порушеннями ниркового кровотоку [</w:t>
      </w:r>
      <w:r w:rsidR="004E3C72" w:rsidRPr="000A32AD">
        <w:rPr>
          <w:rFonts w:ascii="Times New Roman" w:hAnsi="Times New Roman" w:cs="Times New Roman"/>
          <w:color w:val="000000" w:themeColor="text1"/>
          <w:sz w:val="28"/>
          <w:szCs w:val="28"/>
          <w:lang w:val="uk-UA"/>
        </w:rPr>
        <w:t>101; 135; 138</w:t>
      </w:r>
      <w:r w:rsidRPr="000A32AD">
        <w:rPr>
          <w:rFonts w:ascii="Times New Roman" w:hAnsi="Times New Roman" w:cs="Times New Roman"/>
          <w:color w:val="000000" w:themeColor="text1"/>
          <w:sz w:val="28"/>
          <w:szCs w:val="28"/>
          <w:lang w:val="uk-UA"/>
        </w:rPr>
        <w:t>].</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За результатами аналізу показників жорсткості стінки аорти у 96 хворих з ЦД 1 типу встановлено, що жорсткість достовірно зростає у пацієнтів з ознаками діабетичної нефропатії порівнянні з контрольною групою. При наявності ЦД без нефропатії достовірних відмінностей з групою контролю не виявлено. При цьому збільшення жорсткості аорти не залежало від наявності АГ. Автори вважають цей показник маркером макросудинних уражень навіть у пацієнтів без АГ [</w:t>
      </w:r>
      <w:r w:rsidR="004E3C72" w:rsidRPr="000A32AD">
        <w:rPr>
          <w:rFonts w:ascii="Times New Roman" w:hAnsi="Times New Roman" w:cs="Times New Roman"/>
          <w:color w:val="000000" w:themeColor="text1"/>
          <w:sz w:val="28"/>
          <w:szCs w:val="28"/>
          <w:lang w:val="uk-UA"/>
        </w:rPr>
        <w:t>44]</w:t>
      </w:r>
      <w:r w:rsidRPr="000A32AD">
        <w:rPr>
          <w:rFonts w:ascii="Times New Roman" w:hAnsi="Times New Roman" w:cs="Times New Roman"/>
          <w:color w:val="000000" w:themeColor="text1"/>
          <w:sz w:val="28"/>
          <w:szCs w:val="28"/>
          <w:lang w:val="uk-UA"/>
        </w:rPr>
        <w:t>. Варто відмітити, що у пацієнтів з серцево-судинною патологією без ЦД збільшення жорсткості артерій м’язового та м’язово-еластичного типів не асоціюється з функціональним станом нирок [</w:t>
      </w:r>
      <w:r w:rsidR="004E3C72" w:rsidRPr="000A32AD">
        <w:rPr>
          <w:rFonts w:ascii="Times New Roman" w:hAnsi="Times New Roman" w:cs="Times New Roman"/>
          <w:color w:val="000000" w:themeColor="text1"/>
          <w:sz w:val="28"/>
          <w:szCs w:val="28"/>
          <w:lang w:val="uk-UA"/>
        </w:rPr>
        <w:t>138</w:t>
      </w:r>
      <w:r w:rsidRPr="000A32AD">
        <w:rPr>
          <w:rFonts w:ascii="Times New Roman" w:hAnsi="Times New Roman" w:cs="Times New Roman"/>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Показники жорсткості, зокрема, швидкість пульсової хвили та індекс аугментації корелюють з товщиною комплексу інтима-медіа сонних артерій [</w:t>
      </w:r>
      <w:r w:rsidR="004E3C72" w:rsidRPr="000A32AD">
        <w:rPr>
          <w:rFonts w:ascii="Times New Roman" w:hAnsi="Times New Roman" w:cs="Times New Roman"/>
          <w:color w:val="000000" w:themeColor="text1"/>
          <w:sz w:val="28"/>
          <w:szCs w:val="28"/>
          <w:lang w:val="uk-UA"/>
        </w:rPr>
        <w:t>115</w:t>
      </w:r>
      <w:r w:rsidRPr="000A32AD">
        <w:rPr>
          <w:rFonts w:ascii="Times New Roman" w:hAnsi="Times New Roman" w:cs="Times New Roman"/>
          <w:color w:val="000000" w:themeColor="text1"/>
          <w:sz w:val="28"/>
          <w:szCs w:val="28"/>
          <w:lang w:val="uk-UA"/>
        </w:rPr>
        <w:t xml:space="preserve">; </w:t>
      </w:r>
      <w:r w:rsidR="004E3C72" w:rsidRPr="000A32AD">
        <w:rPr>
          <w:rFonts w:ascii="Times New Roman" w:hAnsi="Times New Roman" w:cs="Times New Roman"/>
          <w:color w:val="000000" w:themeColor="text1"/>
          <w:sz w:val="28"/>
          <w:szCs w:val="28"/>
          <w:lang w:val="uk-UA"/>
        </w:rPr>
        <w:t>122</w:t>
      </w:r>
      <w:r w:rsidRPr="000A32AD">
        <w:rPr>
          <w:rFonts w:ascii="Times New Roman" w:hAnsi="Times New Roman" w:cs="Times New Roman"/>
          <w:color w:val="000000" w:themeColor="text1"/>
          <w:sz w:val="28"/>
          <w:szCs w:val="28"/>
          <w:lang w:val="uk-UA"/>
        </w:rPr>
        <w:t xml:space="preserve">; </w:t>
      </w:r>
      <w:r w:rsidR="004E3C72" w:rsidRPr="000A32AD">
        <w:rPr>
          <w:rFonts w:ascii="Times New Roman" w:hAnsi="Times New Roman" w:cs="Times New Roman"/>
          <w:color w:val="000000" w:themeColor="text1"/>
          <w:sz w:val="28"/>
          <w:szCs w:val="28"/>
          <w:lang w:val="uk-UA"/>
        </w:rPr>
        <w:t>200</w:t>
      </w:r>
      <w:r w:rsidRPr="000A32AD">
        <w:rPr>
          <w:rFonts w:ascii="Times New Roman" w:hAnsi="Times New Roman" w:cs="Times New Roman"/>
          <w:color w:val="000000" w:themeColor="text1"/>
          <w:sz w:val="28"/>
          <w:szCs w:val="28"/>
          <w:lang w:val="uk-UA"/>
        </w:rPr>
        <w:t xml:space="preserve">]. Такі зміни в стінці артерій пов’язують з ендотеліальною дисфункцію в результаті надмірної кількості кінцевих продуктів глікірування, </w:t>
      </w:r>
      <w:r w:rsidRPr="000A32AD">
        <w:rPr>
          <w:rFonts w:ascii="Times New Roman" w:hAnsi="Times New Roman" w:cs="Times New Roman"/>
          <w:color w:val="000000" w:themeColor="text1"/>
          <w:sz w:val="28"/>
          <w:szCs w:val="28"/>
          <w:lang w:val="uk-UA"/>
        </w:rPr>
        <w:lastRenderedPageBreak/>
        <w:t>що призводить до пригнічення синтезу оксиду азоту, внаслідок чого зменшується еластичність артерій [</w:t>
      </w:r>
      <w:r w:rsidR="004E3C72" w:rsidRPr="000A32AD">
        <w:rPr>
          <w:rFonts w:ascii="Times New Roman" w:hAnsi="Times New Roman" w:cs="Times New Roman"/>
          <w:color w:val="000000" w:themeColor="text1"/>
          <w:sz w:val="28"/>
          <w:szCs w:val="28"/>
          <w:lang w:val="uk-UA"/>
        </w:rPr>
        <w:t>125</w:t>
      </w:r>
      <w:r w:rsidRPr="000A32AD">
        <w:rPr>
          <w:rFonts w:ascii="Times New Roman" w:hAnsi="Times New Roman" w:cs="Times New Roman"/>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 Збільшення ригідності артерій при ЦД 1 типу виявлено навіть у дітей (віком від 7 до 18 років). За думкою автора, це є маркером розвитку серцево-судинної патології та смертності у дорослому віці [</w:t>
      </w:r>
      <w:r w:rsidR="00365A66" w:rsidRPr="000A32AD">
        <w:rPr>
          <w:rFonts w:ascii="Times New Roman" w:hAnsi="Times New Roman" w:cs="Times New Roman"/>
          <w:color w:val="000000" w:themeColor="text1"/>
          <w:sz w:val="28"/>
          <w:szCs w:val="28"/>
          <w:lang w:val="uk-UA"/>
        </w:rPr>
        <w:t>46</w:t>
      </w:r>
      <w:r w:rsidRPr="000A32AD">
        <w:rPr>
          <w:rFonts w:ascii="Times New Roman" w:hAnsi="Times New Roman" w:cs="Times New Roman"/>
          <w:color w:val="000000" w:themeColor="text1"/>
          <w:sz w:val="28"/>
          <w:szCs w:val="28"/>
          <w:lang w:val="uk-UA"/>
        </w:rPr>
        <w:t>]. Структурні зміни артерій, що призводять до збільшення їх ригідності, є також і причинами атеросклеротичних уражень, що при ЦД 1 типу починають розвиватися вже у дитячому та підлітковому віці [</w:t>
      </w:r>
      <w:r w:rsidR="004E3C72" w:rsidRPr="000A32AD">
        <w:rPr>
          <w:rFonts w:ascii="Times New Roman" w:hAnsi="Times New Roman" w:cs="Times New Roman"/>
          <w:color w:val="000000" w:themeColor="text1"/>
          <w:sz w:val="28"/>
          <w:szCs w:val="28"/>
          <w:lang w:val="uk-UA"/>
        </w:rPr>
        <w:t>128</w:t>
      </w:r>
      <w:r w:rsidRPr="000A32AD">
        <w:rPr>
          <w:rFonts w:ascii="Times New Roman" w:hAnsi="Times New Roman" w:cs="Times New Roman"/>
          <w:color w:val="000000" w:themeColor="text1"/>
          <w:sz w:val="28"/>
          <w:szCs w:val="28"/>
          <w:lang w:val="uk-UA"/>
        </w:rPr>
        <w:t>]. За результатами патологоанатомічних досліджень, атеросклеротичні зміни виявляються вже у 3-річному віці, а у віці 8 років з’являються фіброзні бляшки [</w:t>
      </w:r>
      <w:r w:rsidR="004E3C72" w:rsidRPr="000A32AD">
        <w:rPr>
          <w:rFonts w:ascii="Times New Roman" w:hAnsi="Times New Roman" w:cs="Times New Roman"/>
          <w:color w:val="000000" w:themeColor="text1"/>
          <w:sz w:val="28"/>
          <w:szCs w:val="28"/>
          <w:lang w:val="uk-UA"/>
        </w:rPr>
        <w:t>250</w:t>
      </w:r>
      <w:r w:rsidRPr="000A32AD">
        <w:rPr>
          <w:rFonts w:ascii="Times New Roman" w:hAnsi="Times New Roman" w:cs="Times New Roman"/>
          <w:color w:val="000000" w:themeColor="text1"/>
          <w:sz w:val="28"/>
          <w:szCs w:val="28"/>
          <w:lang w:val="uk-UA"/>
        </w:rPr>
        <w:t>]. Вважають, що діагностика нефропатії за рівнем альбумінурії є запізнілою, та пропонують для ранньої діагностики цього ускладнення акцентувати увагу на ознаки ендотеліальної дисфункції (артеріолярний тонус, ендотелій-залежну вазоконстрикцію та дилятацію) [</w:t>
      </w:r>
      <w:r w:rsidR="004E3C72" w:rsidRPr="000A32AD">
        <w:rPr>
          <w:rFonts w:ascii="Times New Roman" w:hAnsi="Times New Roman" w:cs="Times New Roman"/>
          <w:color w:val="000000" w:themeColor="text1"/>
          <w:sz w:val="28"/>
          <w:szCs w:val="28"/>
          <w:lang w:val="uk-UA"/>
        </w:rPr>
        <w:t>3</w:t>
      </w:r>
      <w:r w:rsidRPr="000A32AD">
        <w:rPr>
          <w:rFonts w:ascii="Times New Roman" w:hAnsi="Times New Roman" w:cs="Times New Roman"/>
          <w:color w:val="000000" w:themeColor="text1"/>
          <w:sz w:val="28"/>
          <w:szCs w:val="28"/>
          <w:lang w:val="uk-UA"/>
        </w:rPr>
        <w:t xml:space="preserve">]. </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Провідну роль у розвитку ангіопатій при ЦД відводять гіперглікемії, яка індукує неферментативне глікірування білків, окисний стрес, активацію протеїну С, факторів росту, вазоактивних факторів та цитокінів, що можуть викликати пошкодження клітин нирок з розвитком порушень позаклітинного матриксу, а потім гломерулосклерозу та тубулоінтестинального фіброзу. В формуванні цих процесів також має значення дисліпідемія. При цьому виявлено ідентичність процесів формування гломерулосклерозу та атеросклерозу, що пов’язують зі структурною схожістю гладком’язових клітин артерій та клітин мезангію нирок [</w:t>
      </w:r>
      <w:r w:rsidR="00D44D65" w:rsidRPr="000A32AD">
        <w:rPr>
          <w:rFonts w:ascii="Times New Roman" w:hAnsi="Times New Roman" w:cs="Times New Roman"/>
          <w:color w:val="000000" w:themeColor="text1"/>
          <w:sz w:val="28"/>
          <w:szCs w:val="28"/>
          <w:lang w:val="uk-UA"/>
        </w:rPr>
        <w:t>82</w:t>
      </w:r>
      <w:r w:rsidRPr="000A32AD">
        <w:rPr>
          <w:rFonts w:ascii="Times New Roman" w:hAnsi="Times New Roman" w:cs="Times New Roman"/>
          <w:color w:val="000000" w:themeColor="text1"/>
          <w:sz w:val="28"/>
          <w:szCs w:val="28"/>
          <w:lang w:val="uk-UA"/>
        </w:rPr>
        <w:t>]. На розвиток фібротичних змін в тканинах та судинах впливають ожиріння та інсулінорезистентність, які характерні для ЦД 2 типу [</w:t>
      </w:r>
      <w:r w:rsidR="004E3C72" w:rsidRPr="000A32AD">
        <w:rPr>
          <w:rFonts w:ascii="Times New Roman" w:hAnsi="Times New Roman" w:cs="Times New Roman"/>
          <w:color w:val="000000" w:themeColor="text1"/>
          <w:sz w:val="28"/>
          <w:szCs w:val="28"/>
          <w:lang w:val="uk-UA"/>
        </w:rPr>
        <w:t>107</w:t>
      </w:r>
      <w:r w:rsidRPr="000A32AD">
        <w:rPr>
          <w:rFonts w:ascii="Times New Roman" w:hAnsi="Times New Roman" w:cs="Times New Roman"/>
          <w:color w:val="000000" w:themeColor="text1"/>
          <w:sz w:val="28"/>
          <w:szCs w:val="28"/>
          <w:lang w:val="uk-UA"/>
        </w:rPr>
        <w:t>]. Основною причиною гіперглікемії при ЦД 1 типу є безпосереднє ушкодження β-клітин підшлункової залози, при ЦД 2 типу – інсулінорезистентність периферичних тканих. Але незалежно вид типу ЦД з часом викликає розвиток різноманітних</w:t>
      </w:r>
      <w:r w:rsidR="00FC6B12">
        <w:rPr>
          <w:rFonts w:ascii="Times New Roman" w:hAnsi="Times New Roman" w:cs="Times New Roman"/>
          <w:color w:val="000000" w:themeColor="text1"/>
          <w:sz w:val="28"/>
          <w:szCs w:val="28"/>
          <w:lang w:val="uk-UA"/>
        </w:rPr>
        <w:t xml:space="preserve"> ускладнень, найбільш демонстра</w:t>
      </w:r>
      <w:r w:rsidRPr="000A32AD">
        <w:rPr>
          <w:rFonts w:ascii="Times New Roman" w:hAnsi="Times New Roman" w:cs="Times New Roman"/>
          <w:color w:val="000000" w:themeColor="text1"/>
          <w:sz w:val="28"/>
          <w:szCs w:val="28"/>
          <w:lang w:val="uk-UA"/>
        </w:rPr>
        <w:t xml:space="preserve">тивними та важливими з яких є мікро- та макроангіопатії, які клінічно </w:t>
      </w:r>
      <w:r w:rsidRPr="000A32AD">
        <w:rPr>
          <w:rFonts w:ascii="Times New Roman" w:hAnsi="Times New Roman" w:cs="Times New Roman"/>
          <w:color w:val="000000" w:themeColor="text1"/>
          <w:sz w:val="28"/>
          <w:szCs w:val="28"/>
          <w:lang w:val="uk-UA"/>
        </w:rPr>
        <w:lastRenderedPageBreak/>
        <w:t>проявляються у вигляді ретинопатії, нейропатії, нефропатії та атеросклерозу та лежать в основі розвитку таких небезпечних станів як інфаркт міокарду, інсульт та гангрена кінцівок [</w:t>
      </w:r>
      <w:r w:rsidR="00171E2E" w:rsidRPr="000A32AD">
        <w:rPr>
          <w:rFonts w:ascii="Times New Roman" w:hAnsi="Times New Roman" w:cs="Times New Roman"/>
          <w:color w:val="000000" w:themeColor="text1"/>
          <w:sz w:val="28"/>
          <w:szCs w:val="28"/>
          <w:lang w:val="uk-UA"/>
        </w:rPr>
        <w:t>201</w:t>
      </w:r>
      <w:r w:rsidRPr="000A32AD">
        <w:rPr>
          <w:rFonts w:ascii="Times New Roman" w:hAnsi="Times New Roman" w:cs="Times New Roman"/>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bCs/>
          <w:color w:val="000000" w:themeColor="text1"/>
          <w:sz w:val="28"/>
          <w:szCs w:val="28"/>
          <w:lang w:val="uk-UA"/>
        </w:rPr>
        <w:t xml:space="preserve">В патогенезі судинних ускладнень важливу роль відводять ураженням глікокаліксу. </w:t>
      </w:r>
      <w:r w:rsidRPr="000A32AD">
        <w:rPr>
          <w:rFonts w:ascii="Times New Roman" w:hAnsi="Times New Roman" w:cs="Times New Roman"/>
          <w:color w:val="000000" w:themeColor="text1"/>
          <w:sz w:val="28"/>
          <w:szCs w:val="28"/>
          <w:lang w:val="uk-UA"/>
        </w:rPr>
        <w:t>Глікокалікс, що розташований на просвітній стороні стінок судин, є резервуаром антитромботичних факторів та запобігає прямому контакту циркулюючих тромбоцитів з ендотеліальними клітина. Крім цього, від бере участь у регуляції виробництва оксиду азоту (NO) та NO-опосередкованої сигналізації та моделює проникність судинної стінки для макромолекул [</w:t>
      </w:r>
      <w:r w:rsidR="00171E2E" w:rsidRPr="000A32AD">
        <w:rPr>
          <w:rStyle w:val="31"/>
          <w:color w:val="000000" w:themeColor="text1"/>
          <w:sz w:val="28"/>
          <w:szCs w:val="28"/>
          <w:lang w:val="uk-UA"/>
        </w:rPr>
        <w:t>168</w:t>
      </w:r>
      <w:r w:rsidRPr="000A32AD">
        <w:rPr>
          <w:rFonts w:ascii="Times New Roman" w:hAnsi="Times New Roman" w:cs="Times New Roman"/>
          <w:color w:val="000000" w:themeColor="text1"/>
          <w:sz w:val="28"/>
          <w:szCs w:val="28"/>
          <w:lang w:val="uk-UA"/>
        </w:rPr>
        <w:t xml:space="preserve">]. </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При ЦД 1 типу спостерігається зменшення товщини глікокаліксу на ендотелії судин, що сприяє зменшенню його захисних функцій та до розвитку ускладнень, зокрема, до мікроальбумінурії та атеросклерозу [</w:t>
      </w:r>
      <w:r w:rsidR="00171E2E" w:rsidRPr="000A32AD">
        <w:rPr>
          <w:rStyle w:val="31"/>
          <w:rFonts w:eastAsiaTheme="minorHAnsi"/>
          <w:color w:val="000000" w:themeColor="text1"/>
          <w:sz w:val="28"/>
          <w:szCs w:val="28"/>
          <w:lang w:val="uk-UA"/>
        </w:rPr>
        <w:t>190; 191</w:t>
      </w:r>
      <w:r w:rsidRPr="000A32AD">
        <w:rPr>
          <w:rStyle w:val="31"/>
          <w:rFonts w:eastAsiaTheme="minorHAnsi"/>
          <w:color w:val="000000" w:themeColor="text1"/>
          <w:sz w:val="28"/>
          <w:szCs w:val="28"/>
          <w:lang w:val="uk-UA"/>
        </w:rPr>
        <w:t xml:space="preserve">]. </w:t>
      </w:r>
      <w:r w:rsidRPr="000A32AD">
        <w:rPr>
          <w:rFonts w:ascii="Times New Roman" w:hAnsi="Times New Roman" w:cs="Times New Roman"/>
          <w:bCs/>
          <w:color w:val="000000" w:themeColor="text1"/>
          <w:sz w:val="28"/>
          <w:szCs w:val="28"/>
          <w:lang w:val="en-US"/>
        </w:rPr>
        <w:t>S</w:t>
      </w:r>
      <w:r w:rsidRPr="000A32AD">
        <w:rPr>
          <w:rFonts w:ascii="Times New Roman" w:hAnsi="Times New Roman" w:cs="Times New Roman"/>
          <w:bCs/>
          <w:color w:val="000000" w:themeColor="text1"/>
          <w:sz w:val="28"/>
          <w:szCs w:val="28"/>
          <w:lang w:val="uk-UA"/>
        </w:rPr>
        <w:t xml:space="preserve">. </w:t>
      </w:r>
      <w:r w:rsidRPr="000A32AD">
        <w:rPr>
          <w:rFonts w:ascii="Times New Roman" w:hAnsi="Times New Roman" w:cs="Times New Roman"/>
          <w:bCs/>
          <w:color w:val="000000" w:themeColor="text1"/>
          <w:sz w:val="28"/>
          <w:szCs w:val="28"/>
          <w:lang w:val="en-US"/>
        </w:rPr>
        <w:t>Shakya</w:t>
      </w:r>
      <w:r w:rsidRPr="000A32AD">
        <w:rPr>
          <w:rFonts w:ascii="Times New Roman" w:hAnsi="Times New Roman" w:cs="Times New Roman"/>
          <w:bCs/>
          <w:color w:val="000000" w:themeColor="text1"/>
          <w:sz w:val="28"/>
          <w:szCs w:val="28"/>
          <w:lang w:val="uk-UA"/>
        </w:rPr>
        <w:t xml:space="preserve"> та співавт. (2015) вважають </w:t>
      </w:r>
      <w:r w:rsidRPr="000A32AD">
        <w:rPr>
          <w:rStyle w:val="16"/>
          <w:rFonts w:eastAsia="Calibri"/>
          <w:color w:val="000000" w:themeColor="text1"/>
          <w:sz w:val="28"/>
          <w:szCs w:val="28"/>
          <w:lang w:val="uk-UA"/>
        </w:rPr>
        <w:t xml:space="preserve">гіалурон-вмісний глікокалікс, розташований в ендотелії мікросудин, </w:t>
      </w:r>
      <w:r w:rsidRPr="000A32AD">
        <w:rPr>
          <w:rFonts w:ascii="Times New Roman" w:hAnsi="Times New Roman" w:cs="Times New Roman"/>
          <w:bCs/>
          <w:color w:val="000000" w:themeColor="text1"/>
          <w:sz w:val="28"/>
          <w:szCs w:val="28"/>
          <w:lang w:val="uk-UA"/>
        </w:rPr>
        <w:t>основною мішенню гіперглікемії</w:t>
      </w:r>
      <w:r w:rsidRPr="000A32AD">
        <w:rPr>
          <w:rStyle w:val="16"/>
          <w:rFonts w:eastAsia="Calibri"/>
          <w:color w:val="000000" w:themeColor="text1"/>
          <w:sz w:val="28"/>
          <w:szCs w:val="28"/>
          <w:lang w:val="uk-UA"/>
        </w:rPr>
        <w:t xml:space="preserve">. Його ушкодження призводить до посилення адгезивних властивостей лейкоцитів та спричиняє утворення прозапальних цитокінів. У свою чергу, це призводить до подальшого розвитку окисного стресу та до прогресування ендотеліальних порушень зі збільшенням викиду прозапальних цитокінів. Такий прозапальний стан впливає на функцію функціонально активних клітин (перицитів, гладком’язових клітин, фібробластів), що погіршує репаративні процеси у судинах та тканинах, у тому числі, ангіогенезу. </w:t>
      </w:r>
      <w:r w:rsidRPr="000A32AD">
        <w:rPr>
          <w:rFonts w:ascii="Times New Roman" w:hAnsi="Times New Roman" w:cs="Times New Roman"/>
          <w:bCs/>
          <w:color w:val="000000" w:themeColor="text1"/>
          <w:sz w:val="28"/>
          <w:szCs w:val="28"/>
          <w:lang w:val="uk-UA"/>
        </w:rPr>
        <w:t>[</w:t>
      </w:r>
      <w:r w:rsidR="00365A66" w:rsidRPr="000A32AD">
        <w:rPr>
          <w:rFonts w:ascii="Times New Roman" w:hAnsi="Times New Roman" w:cs="Times New Roman"/>
          <w:bCs/>
          <w:color w:val="000000" w:themeColor="text1"/>
          <w:sz w:val="28"/>
          <w:szCs w:val="28"/>
          <w:lang w:val="uk-UA"/>
        </w:rPr>
        <w:t>220</w:t>
      </w:r>
      <w:r w:rsidRPr="000A32AD">
        <w:rPr>
          <w:rFonts w:ascii="Times New Roman" w:hAnsi="Times New Roman" w:cs="Times New Roman"/>
          <w:color w:val="000000" w:themeColor="text1"/>
          <w:sz w:val="28"/>
          <w:szCs w:val="28"/>
          <w:lang w:val="uk-UA"/>
        </w:rPr>
        <w:t xml:space="preserve">]. </w:t>
      </w:r>
      <w:r w:rsidRPr="000A32AD">
        <w:rPr>
          <w:rStyle w:val="31"/>
          <w:rFonts w:eastAsiaTheme="minorHAnsi"/>
          <w:color w:val="000000" w:themeColor="text1"/>
          <w:sz w:val="28"/>
          <w:szCs w:val="28"/>
          <w:lang w:val="uk-UA"/>
        </w:rPr>
        <w:t xml:space="preserve">Одним з механізмів патологічного впливу гіперглікемії також вважають посилення активності профібротичних факторів, зокрема, </w:t>
      </w:r>
      <w:r w:rsidRPr="000A32AD">
        <w:rPr>
          <w:rFonts w:ascii="Times New Roman" w:eastAsia="Times New Roman" w:hAnsi="Times New Roman" w:cs="Times New Roman"/>
          <w:color w:val="000000" w:themeColor="text1"/>
          <w:sz w:val="28"/>
          <w:szCs w:val="28"/>
          <w:lang w:val="uk-UA"/>
        </w:rPr>
        <w:t>TGF-β, який є модулятором синтезу протеогліканів в позаклитинному матриксі [</w:t>
      </w:r>
      <w:r w:rsidR="00365A66" w:rsidRPr="000A32AD">
        <w:rPr>
          <w:rFonts w:ascii="Times New Roman" w:hAnsi="Times New Roman" w:cs="Times New Roman"/>
          <w:bCs/>
          <w:color w:val="000000" w:themeColor="text1"/>
          <w:sz w:val="28"/>
          <w:szCs w:val="28"/>
          <w:lang w:val="uk-UA"/>
        </w:rPr>
        <w:t>220</w:t>
      </w:r>
      <w:r w:rsidRPr="000A32AD">
        <w:rPr>
          <w:rFonts w:ascii="Times New Roman" w:hAnsi="Times New Roman" w:cs="Times New Roman"/>
          <w:color w:val="000000" w:themeColor="text1"/>
          <w:sz w:val="28"/>
          <w:szCs w:val="28"/>
          <w:lang w:val="uk-UA"/>
        </w:rPr>
        <w:t xml:space="preserve">; </w:t>
      </w:r>
      <w:r w:rsidR="00171E2E" w:rsidRPr="000A32AD">
        <w:rPr>
          <w:rFonts w:ascii="Times New Roman" w:hAnsi="Times New Roman" w:cs="Times New Roman"/>
          <w:color w:val="000000" w:themeColor="text1"/>
          <w:sz w:val="28"/>
          <w:szCs w:val="28"/>
          <w:lang w:val="uk-UA"/>
        </w:rPr>
        <w:t>249</w:t>
      </w:r>
      <w:r w:rsidRPr="000A32AD">
        <w:rPr>
          <w:rFonts w:ascii="Times New Roman" w:hAnsi="Times New Roman" w:cs="Times New Roman"/>
          <w:color w:val="000000" w:themeColor="text1"/>
          <w:sz w:val="28"/>
          <w:szCs w:val="28"/>
          <w:lang w:val="uk-UA"/>
        </w:rPr>
        <w:t>]. Також існую думка, що деградації глікокаліксу при ЦД також сприяє збільшення активності гіалуронідази [</w:t>
      </w:r>
      <w:r w:rsidR="00171E2E" w:rsidRPr="000A32AD">
        <w:rPr>
          <w:rStyle w:val="31"/>
          <w:rFonts w:eastAsiaTheme="minorHAnsi"/>
          <w:color w:val="000000" w:themeColor="text1"/>
          <w:sz w:val="28"/>
          <w:szCs w:val="28"/>
          <w:lang w:val="uk-UA"/>
        </w:rPr>
        <w:t>190</w:t>
      </w:r>
      <w:r w:rsidRPr="000A32AD">
        <w:rPr>
          <w:rFonts w:ascii="Times New Roman" w:hAnsi="Times New Roman" w:cs="Times New Roman"/>
          <w:color w:val="000000" w:themeColor="text1"/>
          <w:sz w:val="28"/>
          <w:szCs w:val="28"/>
          <w:lang w:val="uk-UA"/>
        </w:rPr>
        <w:t xml:space="preserve">]. Крім цього, вважається, що гіперглікемія є причиною хронічного запального стану, що виникає на тлі збільшення продукції прозапальних цитокінів у клітинах судин та в навколосудинній тканині. При цьому з огляду на біохімічні маркери хронічного </w:t>
      </w:r>
      <w:r w:rsidRPr="000A32AD">
        <w:rPr>
          <w:rFonts w:ascii="Times New Roman" w:hAnsi="Times New Roman" w:cs="Times New Roman"/>
          <w:color w:val="000000" w:themeColor="text1"/>
          <w:sz w:val="28"/>
          <w:szCs w:val="28"/>
          <w:lang w:val="uk-UA"/>
        </w:rPr>
        <w:lastRenderedPageBreak/>
        <w:t>запалення запальний стан спостерігається навіть при відсутності явних ускладнень [</w:t>
      </w:r>
      <w:r w:rsidR="00171E2E" w:rsidRPr="000A32AD">
        <w:rPr>
          <w:rStyle w:val="31"/>
          <w:rFonts w:eastAsiaTheme="minorHAnsi"/>
          <w:color w:val="000000" w:themeColor="text1"/>
          <w:sz w:val="28"/>
          <w:szCs w:val="28"/>
          <w:lang w:val="uk-UA"/>
        </w:rPr>
        <w:t>119</w:t>
      </w:r>
      <w:r w:rsidRPr="000A32AD">
        <w:rPr>
          <w:rStyle w:val="31"/>
          <w:rFonts w:eastAsiaTheme="minorHAnsi"/>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Style w:val="31"/>
          <w:rFonts w:eastAsiaTheme="minorHAnsi"/>
          <w:color w:val="000000" w:themeColor="text1"/>
          <w:sz w:val="28"/>
          <w:szCs w:val="28"/>
          <w:lang w:val="uk-UA"/>
        </w:rPr>
        <w:t>Крім цього, показано, що гіперглікемія погіршує функцію гладком’язових клітин у судинах, в яких відбува</w:t>
      </w:r>
      <w:r w:rsidR="00713C36" w:rsidRPr="000A32AD">
        <w:rPr>
          <w:rStyle w:val="31"/>
          <w:rFonts w:eastAsiaTheme="minorHAnsi"/>
          <w:color w:val="000000" w:themeColor="text1"/>
          <w:sz w:val="28"/>
          <w:szCs w:val="28"/>
          <w:lang w:val="uk-UA"/>
        </w:rPr>
        <w:t>ю</w:t>
      </w:r>
      <w:r w:rsidRPr="000A32AD">
        <w:rPr>
          <w:rStyle w:val="31"/>
          <w:rFonts w:eastAsiaTheme="minorHAnsi"/>
          <w:color w:val="000000" w:themeColor="text1"/>
          <w:sz w:val="28"/>
          <w:szCs w:val="28"/>
          <w:lang w:val="uk-UA"/>
        </w:rPr>
        <w:t>ться порушення метаболізму сполучної тканини, що викликає реорганізацію судин та сприяє розвитку атеросклерозу [</w:t>
      </w:r>
      <w:r w:rsidR="00171E2E" w:rsidRPr="000A32AD">
        <w:rPr>
          <w:rStyle w:val="31"/>
          <w:rFonts w:eastAsiaTheme="minorHAnsi"/>
          <w:color w:val="000000" w:themeColor="text1"/>
          <w:sz w:val="28"/>
          <w:szCs w:val="28"/>
          <w:lang w:val="uk-UA"/>
        </w:rPr>
        <w:t>183; 212</w:t>
      </w:r>
      <w:r w:rsidRPr="000A32AD">
        <w:rPr>
          <w:rStyle w:val="31"/>
          <w:rFonts w:eastAsiaTheme="minorHAnsi"/>
          <w:color w:val="000000" w:themeColor="text1"/>
          <w:sz w:val="28"/>
          <w:szCs w:val="28"/>
          <w:lang w:val="uk-UA"/>
        </w:rPr>
        <w:t>]. П</w:t>
      </w:r>
      <w:r w:rsidRPr="000A32AD">
        <w:rPr>
          <w:rFonts w:ascii="Times New Roman" w:hAnsi="Times New Roman" w:cs="Times New Roman"/>
          <w:color w:val="000000" w:themeColor="text1"/>
          <w:sz w:val="28"/>
          <w:szCs w:val="28"/>
          <w:lang w:val="uk-UA"/>
        </w:rPr>
        <w:t>ід впливом гіперглікемії, порушень ліпідного обміну та окисного стресу, які</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притаманні для ЦД, виникає дисбаланс проангіогенних та протиангіогенних факторів, що призводить до порушень ангіогенезу. Активація ангіогенезу характерна для мікроангіопатій, зокрема, діабетичної проліферативної ретинопатії та початкових стадій діабетичної нефропатії. Особливістю розвитку діабетичних макроангіопатій, навпаки, є пригнічення ангіогенезу. Вважають, що напрямок порушень ангіогенезу залежить від особливості стану місцевих регуляторних систем та стану тканин навколосудинного простору [</w:t>
      </w:r>
      <w:r w:rsidR="00171E2E" w:rsidRPr="000A32AD">
        <w:rPr>
          <w:rFonts w:ascii="Times New Roman" w:hAnsi="Times New Roman" w:cs="Times New Roman"/>
          <w:color w:val="000000" w:themeColor="text1"/>
          <w:sz w:val="28"/>
          <w:szCs w:val="28"/>
          <w:lang w:val="uk-UA"/>
        </w:rPr>
        <w:t>42</w:t>
      </w:r>
      <w:r w:rsidRPr="000A32AD">
        <w:rPr>
          <w:rFonts w:ascii="Times New Roman" w:hAnsi="Times New Roman" w:cs="Times New Roman"/>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Style w:val="31"/>
          <w:rFonts w:eastAsiaTheme="minorHAnsi"/>
          <w:color w:val="000000" w:themeColor="text1"/>
          <w:sz w:val="28"/>
          <w:szCs w:val="28"/>
        </w:rPr>
        <w:t>Встановлено, що г</w:t>
      </w:r>
      <w:r w:rsidRPr="000A32AD">
        <w:rPr>
          <w:rFonts w:ascii="Times New Roman" w:hAnsi="Times New Roman" w:cs="Times New Roman"/>
          <w:color w:val="000000" w:themeColor="text1"/>
          <w:sz w:val="28"/>
          <w:szCs w:val="28"/>
          <w:lang w:val="uk-UA"/>
        </w:rPr>
        <w:t>іперглікемія сприяє гіперпродукції колагену та його накопиченню в мезангії, а також порушенню структури та проникності базальної мембрани клубочків нирок. Важливе значення має також активація ренін-ангіотензин-альдостеронової системи (РААС) на локальному рівні. Ключовій фермент цієї системи ангіотензин ІІ володіє вазоконстрикторною дією та сприяє фібротичним процесам, впливаючи на профібротичні цитокіни та фактори росту [</w:t>
      </w:r>
      <w:r w:rsidR="00D44D65" w:rsidRPr="000A32AD">
        <w:rPr>
          <w:rFonts w:ascii="Times New Roman" w:hAnsi="Times New Roman" w:cs="Times New Roman"/>
          <w:color w:val="000000" w:themeColor="text1"/>
          <w:sz w:val="28"/>
          <w:szCs w:val="28"/>
          <w:lang w:val="uk-UA"/>
        </w:rPr>
        <w:t>82</w:t>
      </w:r>
      <w:r w:rsidRPr="000A32AD">
        <w:rPr>
          <w:rFonts w:ascii="Times New Roman" w:hAnsi="Times New Roman" w:cs="Times New Roman"/>
          <w:color w:val="000000" w:themeColor="text1"/>
          <w:sz w:val="28"/>
          <w:szCs w:val="28"/>
          <w:lang w:val="uk-UA"/>
        </w:rPr>
        <w:t>]. Доказом значення ендотеліальних порушень у патогенезі ангіопатій при ЦД 1 типу є збільшення вмісту ендотеліального моноцит</w:t>
      </w:r>
      <w:r w:rsidR="00635620" w:rsidRPr="000A32AD">
        <w:rPr>
          <w:rFonts w:ascii="Times New Roman" w:hAnsi="Times New Roman" w:cs="Times New Roman"/>
          <w:color w:val="000000" w:themeColor="text1"/>
          <w:sz w:val="28"/>
          <w:szCs w:val="28"/>
          <w:lang w:val="uk-UA"/>
        </w:rPr>
        <w:softHyphen/>
      </w:r>
      <w:r w:rsidRPr="000A32AD">
        <w:rPr>
          <w:rFonts w:ascii="Times New Roman" w:hAnsi="Times New Roman" w:cs="Times New Roman"/>
          <w:color w:val="000000" w:themeColor="text1"/>
          <w:sz w:val="28"/>
          <w:szCs w:val="28"/>
          <w:lang w:val="uk-UA"/>
        </w:rPr>
        <w:t>атактивуючого пептиду ІІ, яке, у свою чергу, залежить від гіперглікемії та дисліпідемії [</w:t>
      </w:r>
      <w:r w:rsidR="008C4B91" w:rsidRPr="000A32AD">
        <w:rPr>
          <w:rFonts w:ascii="Times New Roman" w:hAnsi="Times New Roman" w:cs="Times New Roman"/>
          <w:color w:val="000000" w:themeColor="text1"/>
          <w:sz w:val="28"/>
          <w:szCs w:val="28"/>
          <w:lang w:val="uk-UA"/>
        </w:rPr>
        <w:t>55</w:t>
      </w:r>
      <w:r w:rsidRPr="000A32AD">
        <w:rPr>
          <w:rFonts w:ascii="Times New Roman" w:hAnsi="Times New Roman" w:cs="Times New Roman"/>
          <w:color w:val="000000" w:themeColor="text1"/>
          <w:sz w:val="28"/>
          <w:szCs w:val="28"/>
          <w:lang w:val="uk-UA"/>
        </w:rPr>
        <w:t xml:space="preserve">; </w:t>
      </w:r>
      <w:r w:rsidR="00171E2E" w:rsidRPr="000A32AD">
        <w:rPr>
          <w:rFonts w:ascii="Times New Roman" w:hAnsi="Times New Roman" w:cs="Times New Roman"/>
          <w:color w:val="000000" w:themeColor="text1"/>
          <w:sz w:val="28"/>
          <w:szCs w:val="28"/>
          <w:lang w:val="uk-UA"/>
        </w:rPr>
        <w:t>182</w:t>
      </w:r>
      <w:r w:rsidRPr="000A32AD">
        <w:rPr>
          <w:rFonts w:ascii="Times New Roman" w:hAnsi="Times New Roman" w:cs="Times New Roman"/>
          <w:color w:val="000000" w:themeColor="text1"/>
          <w:sz w:val="28"/>
          <w:szCs w:val="28"/>
          <w:lang w:val="uk-UA"/>
        </w:rPr>
        <w:t xml:space="preserve">]. </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Важливу роль в патогенезі нефропатії при ЦД відводять інсулінорезистентності (ІР). ІР є незалежним предиктором ризику розвитку і прогресування ниркових захворювань, включаючи хронічні ниркові захворювання, уролітіаз, кістозну хворобу і злоякісні пухлини нирок [</w:t>
      </w:r>
      <w:r w:rsidR="00171E2E" w:rsidRPr="000A32AD">
        <w:rPr>
          <w:rFonts w:ascii="Times New Roman" w:hAnsi="Times New Roman" w:cs="Times New Roman"/>
          <w:color w:val="000000" w:themeColor="text1"/>
          <w:sz w:val="28"/>
          <w:szCs w:val="28"/>
          <w:lang w:val="uk-UA"/>
        </w:rPr>
        <w:t>68</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lastRenderedPageBreak/>
        <w:t>Опубліковані результати клінічних і експ</w:t>
      </w:r>
      <w:r w:rsidR="00663B0C" w:rsidRPr="000A32AD">
        <w:rPr>
          <w:rFonts w:ascii="Times New Roman" w:hAnsi="Times New Roman" w:cs="Times New Roman"/>
          <w:color w:val="000000" w:themeColor="text1"/>
          <w:sz w:val="28"/>
          <w:szCs w:val="28"/>
          <w:lang w:val="uk-UA"/>
        </w:rPr>
        <w:t>ери</w:t>
      </w:r>
      <w:r w:rsidRPr="000A32AD">
        <w:rPr>
          <w:rFonts w:ascii="Times New Roman" w:hAnsi="Times New Roman" w:cs="Times New Roman"/>
          <w:color w:val="000000" w:themeColor="text1"/>
          <w:sz w:val="28"/>
          <w:szCs w:val="28"/>
          <w:lang w:val="uk-UA"/>
        </w:rPr>
        <w:t>ментальних досліджень свідчать про те, що ІР викликає порушення фізіологічних механізмів вазодилатації. Вплив інсуліну на ендотелій судинної стінки опосередковується його власними рецепторами й реалізується через багатоступеневу систему проведення сигналу, пов'язану з підвищенням синтезу оксиду азоту (NO). У пацієнтів з ГХ і супутнім ЦД 2 типу, в умовах ІР значно знижується індукована NО</w:t>
      </w:r>
      <w:r w:rsidR="00171E2E" w:rsidRPr="000A32AD">
        <w:rPr>
          <w:rFonts w:ascii="Times New Roman" w:hAnsi="Times New Roman" w:cs="Times New Roman"/>
          <w:color w:val="000000" w:themeColor="text1"/>
          <w:sz w:val="28"/>
          <w:szCs w:val="28"/>
          <w:lang w:val="uk-UA"/>
        </w:rPr>
        <w:t xml:space="preserve"> ендотелійзалежна вазодилатація</w:t>
      </w:r>
      <w:r w:rsidRPr="000A32AD">
        <w:rPr>
          <w:rFonts w:ascii="Times New Roman" w:hAnsi="Times New Roman" w:cs="Times New Roman"/>
          <w:color w:val="000000" w:themeColor="text1"/>
          <w:sz w:val="28"/>
          <w:szCs w:val="28"/>
          <w:lang w:val="uk-UA"/>
        </w:rPr>
        <w:t xml:space="preserve"> [</w:t>
      </w:r>
      <w:r w:rsidR="00171E2E" w:rsidRPr="000A32AD">
        <w:rPr>
          <w:rFonts w:ascii="Times New Roman" w:hAnsi="Times New Roman" w:cs="Times New Roman"/>
          <w:color w:val="000000" w:themeColor="text1"/>
          <w:sz w:val="28"/>
          <w:szCs w:val="28"/>
          <w:shd w:val="clear" w:color="auto" w:fill="FFFFFF" w:themeFill="background1"/>
          <w:lang w:val="uk-UA"/>
        </w:rPr>
        <w:t>3</w:t>
      </w:r>
      <w:r w:rsidRPr="000A32AD">
        <w:rPr>
          <w:rFonts w:ascii="Times New Roman" w:hAnsi="Times New Roman" w:cs="Times New Roman"/>
          <w:color w:val="000000" w:themeColor="text1"/>
          <w:sz w:val="28"/>
          <w:szCs w:val="28"/>
          <w:shd w:val="clear" w:color="auto" w:fill="FFFFFF" w:themeFill="background1"/>
          <w:lang w:val="uk-UA"/>
        </w:rPr>
        <w:t>2</w:t>
      </w:r>
      <w:r w:rsidRPr="000A32AD">
        <w:rPr>
          <w:rFonts w:ascii="Times New Roman" w:hAnsi="Times New Roman" w:cs="Times New Roman"/>
          <w:color w:val="000000" w:themeColor="text1"/>
          <w:sz w:val="28"/>
          <w:szCs w:val="28"/>
          <w:lang w:val="uk-UA"/>
        </w:rPr>
        <w:t>]</w:t>
      </w:r>
      <w:r w:rsidR="00171E2E" w:rsidRPr="000A32AD">
        <w:rPr>
          <w:rFonts w:ascii="Times New Roman" w:hAnsi="Times New Roman" w:cs="Times New Roman"/>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Важливе місце в розвитку серцево-судинних захворювань в останні роки відводиться порушенням процесів ангіогенезу і артеріогенезу [</w:t>
      </w:r>
      <w:r w:rsidR="00171E2E" w:rsidRPr="000A32AD">
        <w:rPr>
          <w:rFonts w:ascii="Times New Roman" w:hAnsi="Times New Roman" w:cs="Times New Roman"/>
          <w:color w:val="000000" w:themeColor="text1"/>
          <w:sz w:val="28"/>
          <w:szCs w:val="28"/>
          <w:lang w:val="uk-UA"/>
        </w:rPr>
        <w:t>12</w:t>
      </w:r>
      <w:r w:rsidRPr="000A32AD">
        <w:rPr>
          <w:rFonts w:ascii="Times New Roman" w:hAnsi="Times New Roman" w:cs="Times New Roman"/>
          <w:color w:val="000000" w:themeColor="text1"/>
          <w:sz w:val="28"/>
          <w:szCs w:val="28"/>
          <w:lang w:val="uk-UA"/>
        </w:rPr>
        <w:t xml:space="preserve">; </w:t>
      </w:r>
      <w:r w:rsidR="00171E2E" w:rsidRPr="000A32AD">
        <w:rPr>
          <w:rFonts w:ascii="Times New Roman" w:hAnsi="Times New Roman" w:cs="Times New Roman"/>
          <w:color w:val="000000" w:themeColor="text1"/>
          <w:sz w:val="28"/>
          <w:szCs w:val="28"/>
          <w:lang w:val="uk-UA"/>
        </w:rPr>
        <w:t>12</w:t>
      </w:r>
      <w:r w:rsidRPr="000A32AD">
        <w:rPr>
          <w:rFonts w:ascii="Times New Roman" w:hAnsi="Times New Roman" w:cs="Times New Roman"/>
          <w:color w:val="000000" w:themeColor="text1"/>
          <w:sz w:val="28"/>
          <w:szCs w:val="28"/>
          <w:lang w:val="uk-UA"/>
        </w:rPr>
        <w:t xml:space="preserve">4; </w:t>
      </w:r>
      <w:r w:rsidR="00171E2E" w:rsidRPr="000A32AD">
        <w:rPr>
          <w:rFonts w:ascii="Times New Roman" w:hAnsi="Times New Roman" w:cs="Times New Roman"/>
          <w:color w:val="000000" w:themeColor="text1"/>
          <w:sz w:val="28"/>
          <w:szCs w:val="28"/>
          <w:lang w:val="uk-UA"/>
        </w:rPr>
        <w:t>134</w:t>
      </w:r>
      <w:r w:rsidRPr="000A32AD">
        <w:rPr>
          <w:rFonts w:ascii="Times New Roman" w:hAnsi="Times New Roman" w:cs="Times New Roman"/>
          <w:color w:val="000000" w:themeColor="text1"/>
          <w:sz w:val="28"/>
          <w:szCs w:val="28"/>
          <w:lang w:val="uk-UA"/>
        </w:rPr>
        <w:t>]. Ангіогенез і артеріогенез відносяться до фундаментальних</w:t>
      </w:r>
      <w:r w:rsidRPr="000A32AD">
        <w:rPr>
          <w:rFonts w:ascii="Times New Roman" w:hAnsi="Times New Roman" w:cs="Times New Roman"/>
          <w:b/>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фізіологічних процесів. Раніше вважалось, що ці процеси відбуваються тільки на внутрішньоутробному етапі розвитку людини, але тепер стало зрозумілим, що вони тривають в організмі на протязі всього життя [</w:t>
      </w:r>
      <w:r w:rsidR="00171E2E" w:rsidRPr="000A32AD">
        <w:rPr>
          <w:rStyle w:val="a8"/>
          <w:rFonts w:ascii="Times New Roman" w:hAnsi="Times New Roman" w:cs="Times New Roman"/>
          <w:i w:val="0"/>
          <w:color w:val="000000" w:themeColor="text1"/>
          <w:sz w:val="28"/>
          <w:szCs w:val="28"/>
          <w:lang w:val="uk-UA"/>
        </w:rPr>
        <w:t>42</w:t>
      </w:r>
      <w:r w:rsidRPr="000A32AD">
        <w:rPr>
          <w:rStyle w:val="a8"/>
          <w:rFonts w:ascii="Times New Roman" w:hAnsi="Times New Roman" w:cs="Times New Roman"/>
          <w:i w:val="0"/>
          <w:color w:val="000000" w:themeColor="text1"/>
          <w:sz w:val="28"/>
          <w:szCs w:val="28"/>
          <w:lang w:val="uk-UA"/>
        </w:rPr>
        <w:t>;</w:t>
      </w:r>
      <w:r w:rsidRPr="000A32AD">
        <w:rPr>
          <w:rStyle w:val="a8"/>
          <w:rFonts w:ascii="Times New Roman" w:hAnsi="Times New Roman" w:cs="Times New Roman"/>
          <w:color w:val="000000" w:themeColor="text1"/>
          <w:sz w:val="28"/>
          <w:szCs w:val="28"/>
          <w:lang w:val="uk-UA"/>
        </w:rPr>
        <w:t xml:space="preserve"> </w:t>
      </w:r>
      <w:r w:rsidR="00171E2E" w:rsidRPr="000A32AD">
        <w:rPr>
          <w:rFonts w:ascii="Times New Roman" w:hAnsi="Times New Roman" w:cs="Times New Roman"/>
          <w:color w:val="000000" w:themeColor="text1"/>
          <w:sz w:val="28"/>
          <w:szCs w:val="28"/>
          <w:lang w:val="uk-UA"/>
        </w:rPr>
        <w:t>61</w:t>
      </w:r>
      <w:r w:rsidR="00635620" w:rsidRPr="000A32AD">
        <w:rPr>
          <w:rFonts w:ascii="Times New Roman" w:hAnsi="Times New Roman" w:cs="Times New Roman"/>
          <w:color w:val="000000" w:themeColor="text1"/>
          <w:sz w:val="28"/>
          <w:szCs w:val="28"/>
          <w:lang w:val="uk-UA"/>
        </w:rPr>
        <w:t>; 104</w:t>
      </w:r>
      <w:r w:rsidRPr="000A32AD">
        <w:rPr>
          <w:rFonts w:ascii="Times New Roman" w:hAnsi="Times New Roman" w:cs="Times New Roman"/>
          <w:color w:val="000000" w:themeColor="text1"/>
          <w:sz w:val="28"/>
          <w:szCs w:val="28"/>
          <w:lang w:val="uk-UA"/>
        </w:rPr>
        <w:t>].</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Суть ангіогенезу полягає в проростанні нових капілярів з вже існуючих мікросудин для розширення первинної судинної мережі. Тригером ангіогенезу є гіпоксія тканини і недостатнє постачання нутрієнтів до клітин. Це ініціює несудинні клітини до продукції проангіогенних факторів, до яких, в першу чергу відносяться </w:t>
      </w:r>
      <w:r w:rsidRPr="000A32AD">
        <w:rPr>
          <w:rFonts w:ascii="Times New Roman" w:hAnsi="Times New Roman" w:cs="Times New Roman"/>
          <w:color w:val="000000" w:themeColor="text1"/>
          <w:sz w:val="28"/>
          <w:szCs w:val="28"/>
          <w:lang w:val="en-US"/>
        </w:rPr>
        <w:t>VEGF</w:t>
      </w:r>
      <w:r w:rsidRPr="000A32AD">
        <w:rPr>
          <w:rFonts w:ascii="Times New Roman" w:hAnsi="Times New Roman" w:cs="Times New Roman"/>
          <w:color w:val="000000" w:themeColor="text1"/>
          <w:sz w:val="28"/>
          <w:szCs w:val="28"/>
          <w:lang w:val="uk-UA"/>
        </w:rPr>
        <w:t>, фактор росту фібробластів і інші. Вказані проангіогенні фактори в свою чергу активують ендотеліальні клітини і стимулюють їх до проліферації і міграції. Результатом таких процесів є утворення нових капілярів, збільшення щільності капілярної мережі, що сприяє підвищенню перфузії тканин і відновленню адекватного постачання кисню та нутрієнтів [</w:t>
      </w:r>
      <w:r w:rsidR="00171E2E" w:rsidRPr="000A32AD">
        <w:rPr>
          <w:rFonts w:ascii="Times New Roman" w:hAnsi="Times New Roman" w:cs="Times New Roman"/>
          <w:color w:val="000000" w:themeColor="text1"/>
          <w:sz w:val="28"/>
          <w:szCs w:val="28"/>
          <w:lang w:val="uk-UA"/>
        </w:rPr>
        <w:t>105</w:t>
      </w:r>
      <w:r w:rsidRPr="000A32AD">
        <w:rPr>
          <w:rFonts w:ascii="Times New Roman" w:hAnsi="Times New Roman" w:cs="Times New Roman"/>
          <w:color w:val="000000" w:themeColor="text1"/>
          <w:sz w:val="28"/>
          <w:szCs w:val="28"/>
          <w:lang w:val="uk-UA"/>
        </w:rPr>
        <w:t>].</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У дорослому віці ангіогенез спостерігається, перш за все, при різних патологічних процесах: в період загоєння ран і регенерації пошкоджених тканин, при запаленні, при неоваскуляризації в процесі туморогенезу, при розвитку діабетичної ретінопатії та при циклічних змінах в репродуктивних органах жінок [</w:t>
      </w:r>
      <w:r w:rsidR="00171E2E" w:rsidRPr="000A32AD">
        <w:rPr>
          <w:rStyle w:val="a8"/>
          <w:rFonts w:ascii="Times New Roman" w:hAnsi="Times New Roman" w:cs="Times New Roman"/>
          <w:i w:val="0"/>
          <w:color w:val="000000" w:themeColor="text1"/>
          <w:sz w:val="28"/>
          <w:szCs w:val="28"/>
          <w:lang w:val="uk-UA"/>
        </w:rPr>
        <w:t>42</w:t>
      </w:r>
      <w:r w:rsidRPr="000A32AD">
        <w:rPr>
          <w:rStyle w:val="a8"/>
          <w:rFonts w:ascii="Times New Roman" w:hAnsi="Times New Roman" w:cs="Times New Roman"/>
          <w:i w:val="0"/>
          <w:color w:val="000000" w:themeColor="text1"/>
          <w:sz w:val="28"/>
          <w:szCs w:val="28"/>
          <w:lang w:val="uk-UA"/>
        </w:rPr>
        <w:t>;</w:t>
      </w:r>
      <w:r w:rsidRPr="000A32AD">
        <w:rPr>
          <w:rFonts w:ascii="Times New Roman" w:hAnsi="Times New Roman" w:cs="Times New Roman"/>
          <w:color w:val="000000" w:themeColor="text1"/>
          <w:sz w:val="28"/>
          <w:szCs w:val="28"/>
          <w:lang w:val="uk-UA"/>
        </w:rPr>
        <w:t xml:space="preserve"> </w:t>
      </w:r>
      <w:r w:rsidR="00171E2E" w:rsidRPr="000A32AD">
        <w:rPr>
          <w:rFonts w:ascii="Times New Roman" w:hAnsi="Times New Roman" w:cs="Times New Roman"/>
          <w:color w:val="000000" w:themeColor="text1"/>
          <w:sz w:val="28"/>
          <w:szCs w:val="28"/>
          <w:lang w:val="uk-UA"/>
        </w:rPr>
        <w:t>203</w:t>
      </w:r>
      <w:r w:rsidRPr="000A32AD">
        <w:rPr>
          <w:rFonts w:ascii="Times New Roman" w:hAnsi="Times New Roman" w:cs="Times New Roman"/>
          <w:color w:val="000000" w:themeColor="text1"/>
          <w:sz w:val="28"/>
          <w:szCs w:val="28"/>
          <w:lang w:val="uk-UA"/>
        </w:rPr>
        <w:t xml:space="preserve">; </w:t>
      </w:r>
      <w:r w:rsidR="00171E2E" w:rsidRPr="000A32AD">
        <w:rPr>
          <w:rFonts w:ascii="Times New Roman" w:hAnsi="Times New Roman" w:cs="Times New Roman"/>
          <w:color w:val="000000" w:themeColor="text1"/>
          <w:sz w:val="28"/>
          <w:szCs w:val="28"/>
          <w:lang w:val="uk-UA"/>
        </w:rPr>
        <w:t>214</w:t>
      </w:r>
      <w:r w:rsidRPr="000A32AD">
        <w:rPr>
          <w:rFonts w:ascii="Times New Roman" w:hAnsi="Times New Roman" w:cs="Times New Roman"/>
          <w:color w:val="000000" w:themeColor="text1"/>
          <w:sz w:val="28"/>
          <w:szCs w:val="28"/>
          <w:lang w:val="uk-UA"/>
        </w:rPr>
        <w:t xml:space="preserve">]. Артеріогенез, який до певного часу вважався варіантом ангіогенезу, зараз в більшій мірі розглядається як окремий високоспецифічний </w:t>
      </w:r>
      <w:r w:rsidRPr="000A32AD">
        <w:rPr>
          <w:rFonts w:ascii="Times New Roman" w:hAnsi="Times New Roman" w:cs="Times New Roman"/>
          <w:color w:val="000000" w:themeColor="text1"/>
          <w:sz w:val="28"/>
          <w:szCs w:val="28"/>
          <w:lang w:val="uk-UA"/>
        </w:rPr>
        <w:lastRenderedPageBreak/>
        <w:t>процес [</w:t>
      </w:r>
      <w:r w:rsidR="00171E2E" w:rsidRPr="000A32AD">
        <w:rPr>
          <w:rFonts w:ascii="Times New Roman" w:hAnsi="Times New Roman" w:cs="Times New Roman"/>
          <w:color w:val="000000" w:themeColor="text1"/>
          <w:sz w:val="28"/>
          <w:szCs w:val="28"/>
          <w:lang w:val="uk-UA"/>
        </w:rPr>
        <w:t>105</w:t>
      </w:r>
      <w:r w:rsidRPr="000A32AD">
        <w:rPr>
          <w:rFonts w:ascii="Times New Roman" w:hAnsi="Times New Roman" w:cs="Times New Roman"/>
          <w:color w:val="000000" w:themeColor="text1"/>
          <w:sz w:val="28"/>
          <w:szCs w:val="28"/>
          <w:lang w:val="uk-UA"/>
        </w:rPr>
        <w:t xml:space="preserve">; </w:t>
      </w:r>
      <w:r w:rsidR="00171E2E" w:rsidRPr="000A32AD">
        <w:rPr>
          <w:rFonts w:ascii="Times New Roman" w:hAnsi="Times New Roman" w:cs="Times New Roman"/>
          <w:color w:val="000000" w:themeColor="text1"/>
          <w:sz w:val="28"/>
          <w:szCs w:val="28"/>
          <w:lang w:val="uk-UA"/>
        </w:rPr>
        <w:t>231</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noProof/>
          <w:color w:val="000000" w:themeColor="text1"/>
          <w:sz w:val="28"/>
          <w:szCs w:val="28"/>
          <w:lang w:val="uk-UA"/>
        </w:rPr>
        <w:t>О</w:t>
      </w:r>
      <w:r w:rsidRPr="000A32AD">
        <w:rPr>
          <w:rFonts w:ascii="Times New Roman" w:hAnsi="Times New Roman" w:cs="Times New Roman"/>
          <w:color w:val="000000" w:themeColor="text1"/>
          <w:sz w:val="28"/>
          <w:szCs w:val="28"/>
          <w:lang w:val="uk-UA"/>
        </w:rPr>
        <w:t>писана роль порушень в системі ангіогенезу та артеріогенезу в розвитку ІХС, стенокардії, інфаркту міокарда, мозкового інсульту, ішемії нижніх кінцівок, діабетичній мікроангіопатії [</w:t>
      </w:r>
      <w:r w:rsidR="00171E2E" w:rsidRPr="000A32AD">
        <w:rPr>
          <w:rStyle w:val="a8"/>
          <w:rFonts w:ascii="Times New Roman" w:hAnsi="Times New Roman" w:cs="Times New Roman"/>
          <w:i w:val="0"/>
          <w:color w:val="000000" w:themeColor="text1"/>
          <w:sz w:val="28"/>
          <w:szCs w:val="28"/>
          <w:lang w:val="uk-UA"/>
        </w:rPr>
        <w:t>42</w:t>
      </w:r>
      <w:r w:rsidRPr="000A32AD">
        <w:rPr>
          <w:rStyle w:val="a8"/>
          <w:rFonts w:ascii="Times New Roman" w:hAnsi="Times New Roman" w:cs="Times New Roman"/>
          <w:i w:val="0"/>
          <w:color w:val="000000" w:themeColor="text1"/>
          <w:sz w:val="28"/>
          <w:szCs w:val="28"/>
          <w:lang w:val="uk-UA"/>
        </w:rPr>
        <w:t>;</w:t>
      </w:r>
      <w:r w:rsidRPr="000A32AD">
        <w:rPr>
          <w:rStyle w:val="a8"/>
          <w:rFonts w:ascii="Times New Roman" w:hAnsi="Times New Roman" w:cs="Times New Roman"/>
          <w:color w:val="000000" w:themeColor="text1"/>
          <w:sz w:val="28"/>
          <w:szCs w:val="28"/>
          <w:lang w:val="uk-UA"/>
        </w:rPr>
        <w:t xml:space="preserve"> </w:t>
      </w:r>
      <w:r w:rsidR="00C14963" w:rsidRPr="000A32AD">
        <w:rPr>
          <w:rFonts w:ascii="Times New Roman" w:hAnsi="Times New Roman" w:cs="Times New Roman"/>
          <w:color w:val="000000" w:themeColor="text1"/>
          <w:sz w:val="28"/>
          <w:szCs w:val="28"/>
          <w:lang w:val="uk-UA"/>
        </w:rPr>
        <w:t>159</w:t>
      </w:r>
      <w:r w:rsidRPr="000A32AD">
        <w:rPr>
          <w:rFonts w:ascii="Times New Roman" w:hAnsi="Times New Roman" w:cs="Times New Roman"/>
          <w:color w:val="000000" w:themeColor="text1"/>
          <w:sz w:val="28"/>
          <w:szCs w:val="28"/>
          <w:lang w:val="uk-UA"/>
        </w:rPr>
        <w:t xml:space="preserve">; </w:t>
      </w:r>
      <w:r w:rsidR="00C14963" w:rsidRPr="000A32AD">
        <w:rPr>
          <w:rFonts w:ascii="Times New Roman" w:hAnsi="Times New Roman" w:cs="Times New Roman"/>
          <w:color w:val="000000" w:themeColor="text1"/>
          <w:sz w:val="28"/>
          <w:szCs w:val="28"/>
          <w:lang w:val="uk-UA"/>
        </w:rPr>
        <w:t>165</w:t>
      </w:r>
      <w:r w:rsidRPr="000A32AD">
        <w:rPr>
          <w:rFonts w:ascii="Times New Roman" w:hAnsi="Times New Roman" w:cs="Times New Roman"/>
          <w:color w:val="000000" w:themeColor="text1"/>
          <w:sz w:val="28"/>
          <w:szCs w:val="28"/>
          <w:lang w:val="uk-UA"/>
        </w:rPr>
        <w:t xml:space="preserve">; </w:t>
      </w:r>
      <w:r w:rsidR="00C14963" w:rsidRPr="000A32AD">
        <w:rPr>
          <w:rFonts w:ascii="Times New Roman" w:hAnsi="Times New Roman" w:cs="Times New Roman"/>
          <w:color w:val="000000" w:themeColor="text1"/>
          <w:sz w:val="28"/>
          <w:szCs w:val="28"/>
          <w:lang w:val="uk-UA"/>
        </w:rPr>
        <w:t>222</w:t>
      </w:r>
      <w:r w:rsidRPr="000A32AD">
        <w:rPr>
          <w:rFonts w:ascii="Times New Roman" w:hAnsi="Times New Roman" w:cs="Times New Roman"/>
          <w:color w:val="000000" w:themeColor="text1"/>
          <w:sz w:val="28"/>
          <w:szCs w:val="28"/>
          <w:lang w:val="uk-UA"/>
        </w:rPr>
        <w:t>]. На теперішній час описано цілий ряд проангіогенних і проартеріогенних факторів, серед яких одними з ключових є васкулоендотеліальний фактор росту (</w:t>
      </w:r>
      <w:r w:rsidRPr="000A32AD">
        <w:rPr>
          <w:rFonts w:ascii="Times New Roman" w:hAnsi="Times New Roman" w:cs="Times New Roman"/>
          <w:color w:val="000000" w:themeColor="text1"/>
          <w:sz w:val="28"/>
          <w:szCs w:val="28"/>
          <w:lang w:val="en-US"/>
        </w:rPr>
        <w:t>VEGF</w:t>
      </w:r>
      <w:r w:rsidRPr="000A32AD">
        <w:rPr>
          <w:rFonts w:ascii="Times New Roman" w:hAnsi="Times New Roman" w:cs="Times New Roman"/>
          <w:color w:val="000000" w:themeColor="text1"/>
          <w:sz w:val="28"/>
          <w:szCs w:val="28"/>
          <w:lang w:val="uk-UA"/>
        </w:rPr>
        <w:t>) та ангіопоетин-2 (Анг-2) [</w:t>
      </w:r>
      <w:r w:rsidR="00365A66" w:rsidRPr="000A32AD">
        <w:rPr>
          <w:rFonts w:ascii="Times New Roman" w:hAnsi="Times New Roman" w:cs="Times New Roman"/>
          <w:bCs/>
          <w:color w:val="000000" w:themeColor="text1"/>
          <w:sz w:val="28"/>
          <w:szCs w:val="28"/>
          <w:lang w:val="uk-UA"/>
        </w:rPr>
        <w:t>139</w:t>
      </w:r>
      <w:r w:rsidRPr="000A32AD">
        <w:rPr>
          <w:rFonts w:ascii="Times New Roman" w:hAnsi="Times New Roman" w:cs="Times New Roman"/>
          <w:color w:val="000000" w:themeColor="text1"/>
          <w:sz w:val="28"/>
          <w:szCs w:val="28"/>
          <w:lang w:val="uk-UA"/>
        </w:rPr>
        <w:t xml:space="preserve">; </w:t>
      </w:r>
      <w:r w:rsidR="00C14963" w:rsidRPr="000A32AD">
        <w:rPr>
          <w:rFonts w:ascii="Times New Roman" w:hAnsi="Times New Roman" w:cs="Times New Roman"/>
          <w:color w:val="000000" w:themeColor="text1"/>
          <w:sz w:val="28"/>
          <w:szCs w:val="28"/>
          <w:lang w:val="uk-UA"/>
        </w:rPr>
        <w:t>174</w:t>
      </w:r>
      <w:r w:rsidRPr="000A32AD">
        <w:rPr>
          <w:rFonts w:ascii="Times New Roman" w:hAnsi="Times New Roman" w:cs="Times New Roman"/>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Надлишковий неоангіогенез відбувається на початкових стадіях діабетичної нефропатії та при діабетичній ретинопатії при ЦД обох типів. Патологічну активацію ангіогенезу пов’язують зі збільшенням експресії VEGF подоцитами клубочків нирок. Встановлено, що збільшення рівня VEGF у експериментальних тварин з ЦД 1 типу сприяє розвитку вузлового гломерулосклерозу та масивної протеїнурії. З прогресування нефропатії на стадії гломерулосклерозу проліферативна активність ендотелію зменшується. [</w:t>
      </w:r>
      <w:r w:rsidR="00C14963" w:rsidRPr="000A32AD">
        <w:rPr>
          <w:rFonts w:ascii="Times New Roman" w:hAnsi="Times New Roman" w:cs="Times New Roman"/>
          <w:color w:val="000000" w:themeColor="text1"/>
          <w:sz w:val="28"/>
          <w:szCs w:val="28"/>
          <w:lang w:val="uk-UA"/>
        </w:rPr>
        <w:t>234</w:t>
      </w:r>
      <w:r w:rsidRPr="000A32AD">
        <w:rPr>
          <w:rFonts w:ascii="Times New Roman" w:hAnsi="Times New Roman" w:cs="Times New Roman"/>
          <w:color w:val="000000" w:themeColor="text1"/>
          <w:sz w:val="28"/>
          <w:szCs w:val="28"/>
          <w:lang w:val="uk-UA"/>
        </w:rPr>
        <w:t>]. Це підтверджується результатами клінічних досліджень. Так, за даними И.А.Бондарь та співавт. (2007), у хворих на ЦД 1 типу з альбумінурією сечова екскреція VEGF збільшена і корелює з об'ємом мезангію і товщиною базальної мембрани клубочків [</w:t>
      </w:r>
      <w:r w:rsidR="00C14963" w:rsidRPr="000A32AD">
        <w:rPr>
          <w:rFonts w:ascii="Times New Roman" w:hAnsi="Times New Roman" w:cs="Times New Roman"/>
          <w:color w:val="000000" w:themeColor="text1"/>
          <w:sz w:val="28"/>
          <w:szCs w:val="28"/>
          <w:lang w:val="uk-UA"/>
        </w:rPr>
        <w:t>10</w:t>
      </w:r>
      <w:r w:rsidRPr="000A32AD">
        <w:rPr>
          <w:rFonts w:ascii="Times New Roman" w:hAnsi="Times New Roman" w:cs="Times New Roman"/>
          <w:color w:val="000000" w:themeColor="text1"/>
          <w:sz w:val="28"/>
          <w:szCs w:val="28"/>
          <w:lang w:val="uk-UA"/>
        </w:rPr>
        <w:t>].</w:t>
      </w:r>
    </w:p>
    <w:p w:rsidR="000D5D92" w:rsidRPr="000A32AD" w:rsidRDefault="000D5D92" w:rsidP="000D5D92">
      <w:pPr>
        <w:pStyle w:val="a9"/>
        <w:spacing w:after="0" w:line="360" w:lineRule="auto"/>
        <w:ind w:firstLine="709"/>
        <w:jc w:val="both"/>
        <w:rPr>
          <w:rFonts w:ascii="Times New Roman" w:hAnsi="Times New Roman" w:cs="Times New Roman"/>
          <w:color w:val="000000" w:themeColor="text1"/>
          <w:sz w:val="28"/>
          <w:szCs w:val="28"/>
        </w:rPr>
      </w:pPr>
      <w:r w:rsidRPr="000A32AD">
        <w:rPr>
          <w:rFonts w:ascii="Times New Roman" w:hAnsi="Times New Roman" w:cs="Times New Roman"/>
          <w:color w:val="000000" w:themeColor="text1"/>
          <w:sz w:val="28"/>
          <w:szCs w:val="28"/>
        </w:rPr>
        <w:t>При АГ активація ангіо-і артеріогенезу обумовлена реакцією на підвищення внутрішньосудинного тиску, розвиток гіпоксії тканин, запалення і патологічне ремоделювання судин. Також встановлено, що підвищенню продукції проангіогенних і проартеріогенних факторів сприяє ожиріння, яке є частим ускладненням ЦД 2 типу. Однією з головних причин такої активації є збільшення кількості адипоцитів і в цілому жирової тканини, що приводить до розвитку її гіпоксії [</w:t>
      </w:r>
      <w:r w:rsidR="00C14963" w:rsidRPr="000A32AD">
        <w:rPr>
          <w:rFonts w:ascii="Times New Roman" w:hAnsi="Times New Roman" w:cs="Times New Roman"/>
          <w:color w:val="000000" w:themeColor="text1"/>
          <w:sz w:val="28"/>
          <w:szCs w:val="28"/>
        </w:rPr>
        <w:t>126</w:t>
      </w:r>
      <w:r w:rsidRPr="000A32AD">
        <w:rPr>
          <w:rFonts w:ascii="Times New Roman" w:hAnsi="Times New Roman" w:cs="Times New Roman"/>
          <w:color w:val="000000" w:themeColor="text1"/>
          <w:sz w:val="28"/>
          <w:szCs w:val="28"/>
        </w:rPr>
        <w:t xml:space="preserve">; </w:t>
      </w:r>
      <w:r w:rsidR="00C14963" w:rsidRPr="000A32AD">
        <w:rPr>
          <w:rFonts w:ascii="Times New Roman" w:hAnsi="Times New Roman" w:cs="Times New Roman"/>
          <w:color w:val="000000" w:themeColor="text1"/>
          <w:sz w:val="28"/>
          <w:szCs w:val="28"/>
        </w:rPr>
        <w:t>163</w:t>
      </w:r>
      <w:r w:rsidRPr="000A32AD">
        <w:rPr>
          <w:rFonts w:ascii="Times New Roman" w:hAnsi="Times New Roman" w:cs="Times New Roman"/>
          <w:color w:val="000000" w:themeColor="text1"/>
          <w:sz w:val="28"/>
          <w:szCs w:val="28"/>
        </w:rPr>
        <w:t xml:space="preserve">; </w:t>
      </w:r>
      <w:r w:rsidR="00C14963" w:rsidRPr="000A32AD">
        <w:rPr>
          <w:rFonts w:ascii="Times New Roman" w:hAnsi="Times New Roman" w:cs="Times New Roman"/>
          <w:color w:val="000000" w:themeColor="text1"/>
          <w:sz w:val="28"/>
          <w:szCs w:val="28"/>
        </w:rPr>
        <w:t>216</w:t>
      </w:r>
      <w:r w:rsidRPr="000A32AD">
        <w:rPr>
          <w:rFonts w:ascii="Times New Roman" w:hAnsi="Times New Roman" w:cs="Times New Roman"/>
          <w:color w:val="000000" w:themeColor="text1"/>
          <w:sz w:val="28"/>
          <w:szCs w:val="28"/>
        </w:rPr>
        <w:t>].</w:t>
      </w:r>
    </w:p>
    <w:p w:rsidR="000D5D92" w:rsidRPr="000A32AD" w:rsidRDefault="000D5D92" w:rsidP="000D5D92">
      <w:pPr>
        <w:spacing w:line="360" w:lineRule="auto"/>
        <w:ind w:firstLine="709"/>
        <w:jc w:val="both"/>
        <w:rPr>
          <w:rFonts w:ascii="Times New Roman" w:hAnsi="Times New Roman" w:cs="Times New Roman"/>
          <w:bCs/>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Важливе значення у патогенезі діабетичних ангіопатій та судинних ускладнень АГ мають порушення метаболізму сполучної тканини у позаклитинній матриці. Доказом ролі цих порушень є збільшення екскреції колагену IV типу у хворих на ЦД. Величина екскреції колагену IV типу </w:t>
      </w:r>
      <w:r w:rsidRPr="000A32AD">
        <w:rPr>
          <w:rFonts w:ascii="Times New Roman" w:hAnsi="Times New Roman" w:cs="Times New Roman"/>
          <w:color w:val="000000" w:themeColor="text1"/>
          <w:sz w:val="28"/>
          <w:szCs w:val="28"/>
          <w:lang w:val="uk-UA"/>
        </w:rPr>
        <w:lastRenderedPageBreak/>
        <w:t>корелювала з величиною мікроальбумінурії, зі співвідношенням альбумін / креатинін сечі та рівнем креатиніну та сечовини у крові, а також з показниками добового моніторування АТ - середнім денним та нічним систолічним та діастолічним АТ та, особливо з максимальним діастолічним тиском ніччю. При морфологічному досліджені біоптатів нирок виявлено дифузне розташування колагенових волокон у клубочках, у більшості хворих виявлено збільшення об’єму мезангію, перигломеруляр</w:t>
      </w:r>
      <w:r w:rsidR="00C14963" w:rsidRPr="000A32AD">
        <w:rPr>
          <w:rFonts w:ascii="Times New Roman" w:hAnsi="Times New Roman" w:cs="Times New Roman"/>
          <w:color w:val="000000" w:themeColor="text1"/>
          <w:sz w:val="28"/>
          <w:szCs w:val="28"/>
          <w:lang w:val="uk-UA"/>
        </w:rPr>
        <w:t>ний та інтерстиціальний склероз</w:t>
      </w:r>
      <w:r w:rsidRPr="000A32AD">
        <w:rPr>
          <w:rFonts w:ascii="Times New Roman" w:hAnsi="Times New Roman" w:cs="Times New Roman"/>
          <w:color w:val="000000" w:themeColor="text1"/>
          <w:sz w:val="28"/>
          <w:szCs w:val="28"/>
          <w:lang w:val="uk-UA"/>
        </w:rPr>
        <w:t xml:space="preserve"> [</w:t>
      </w:r>
      <w:r w:rsidR="00C14963" w:rsidRPr="000A32AD">
        <w:rPr>
          <w:rFonts w:ascii="Times New Roman" w:hAnsi="Times New Roman" w:cs="Times New Roman"/>
          <w:color w:val="000000" w:themeColor="text1"/>
          <w:sz w:val="28"/>
          <w:szCs w:val="28"/>
          <w:lang w:val="uk-UA"/>
        </w:rPr>
        <w:t>9</w:t>
      </w:r>
      <w:r w:rsidRPr="000A32AD">
        <w:rPr>
          <w:rFonts w:ascii="Times New Roman" w:hAnsi="Times New Roman" w:cs="Times New Roman"/>
          <w:color w:val="000000" w:themeColor="text1"/>
          <w:sz w:val="28"/>
          <w:szCs w:val="28"/>
          <w:lang w:val="uk-UA"/>
        </w:rPr>
        <w:t>]. Також доведено роль порушень метаболізму колагену зі збільшенням екскреції колагену IV типу у розвитку АГ при діабетичній нефропатії та нефропатії іншого генезу [</w:t>
      </w:r>
      <w:r w:rsidR="00C14963" w:rsidRPr="000A32AD">
        <w:rPr>
          <w:rFonts w:ascii="Times New Roman" w:hAnsi="Times New Roman" w:cs="Times New Roman"/>
          <w:color w:val="000000" w:themeColor="text1"/>
          <w:sz w:val="28"/>
          <w:szCs w:val="28"/>
          <w:lang w:val="uk-UA"/>
        </w:rPr>
        <w:t>127; 164</w:t>
      </w:r>
      <w:r w:rsidRPr="000A32AD">
        <w:rPr>
          <w:rFonts w:ascii="Times New Roman" w:hAnsi="Times New Roman" w:cs="Times New Roman"/>
          <w:color w:val="000000" w:themeColor="text1"/>
          <w:sz w:val="28"/>
          <w:szCs w:val="28"/>
          <w:lang w:val="uk-UA"/>
        </w:rPr>
        <w:t>]. У свою чергу збільшена екскреції колагену IV типу та АГ асоціюється зі зниженням ШКФ у хворих на ЦД 2 типу [</w:t>
      </w:r>
      <w:r w:rsidR="00C14963" w:rsidRPr="000A32AD">
        <w:rPr>
          <w:rFonts w:ascii="Times New Roman" w:hAnsi="Times New Roman" w:cs="Times New Roman"/>
          <w:color w:val="000000" w:themeColor="text1"/>
          <w:sz w:val="28"/>
          <w:szCs w:val="28"/>
          <w:lang w:val="uk-UA"/>
        </w:rPr>
        <w:t>91</w:t>
      </w:r>
      <w:r w:rsidRPr="000A32AD">
        <w:rPr>
          <w:rFonts w:ascii="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Отримано докази надлишкової активності процесів синтезу та розпаду колагену в клубочках та інтерстиції нирок у хворих на ЦД вже на початкових стадіях діабетичної нефропатії [</w:t>
      </w:r>
      <w:r w:rsidR="00C14963" w:rsidRPr="000A32AD">
        <w:rPr>
          <w:rFonts w:ascii="Times New Roman" w:hAnsi="Times New Roman" w:cs="Times New Roman"/>
          <w:color w:val="000000" w:themeColor="text1"/>
          <w:sz w:val="28"/>
          <w:szCs w:val="28"/>
          <w:lang w:val="uk-UA"/>
        </w:rPr>
        <w:t>8</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bCs/>
          <w:color w:val="000000" w:themeColor="text1"/>
          <w:sz w:val="28"/>
          <w:szCs w:val="28"/>
          <w:lang w:val="uk-UA"/>
        </w:rPr>
        <w:t>Встановлено, що діабетична нейропатія та</w:t>
      </w:r>
      <w:r w:rsidR="00FC6B12">
        <w:rPr>
          <w:rFonts w:ascii="Times New Roman" w:hAnsi="Times New Roman" w:cs="Times New Roman"/>
          <w:bCs/>
          <w:color w:val="000000" w:themeColor="text1"/>
          <w:sz w:val="28"/>
          <w:szCs w:val="28"/>
          <w:lang w:val="uk-UA"/>
        </w:rPr>
        <w:t xml:space="preserve"> </w:t>
      </w:r>
      <w:r w:rsidRPr="000A32AD">
        <w:rPr>
          <w:rFonts w:ascii="Times New Roman" w:hAnsi="Times New Roman" w:cs="Times New Roman"/>
          <w:bCs/>
          <w:color w:val="000000" w:themeColor="text1"/>
          <w:sz w:val="28"/>
          <w:szCs w:val="28"/>
          <w:lang w:val="uk-UA"/>
        </w:rPr>
        <w:t>нефропатія у дітей та підлітків з ЦД 1 типу</w:t>
      </w:r>
      <w:r w:rsidRPr="000A32AD">
        <w:rPr>
          <w:rFonts w:ascii="Times New Roman" w:hAnsi="Times New Roman" w:cs="Times New Roman"/>
          <w:b/>
          <w:bCs/>
          <w:color w:val="000000" w:themeColor="text1"/>
          <w:sz w:val="28"/>
          <w:szCs w:val="28"/>
          <w:lang w:val="uk-UA"/>
        </w:rPr>
        <w:t xml:space="preserve"> </w:t>
      </w:r>
      <w:r w:rsidRPr="000A32AD">
        <w:rPr>
          <w:rFonts w:ascii="Times New Roman" w:hAnsi="Times New Roman" w:cs="Times New Roman"/>
          <w:bCs/>
          <w:color w:val="000000" w:themeColor="text1"/>
          <w:sz w:val="28"/>
          <w:szCs w:val="28"/>
          <w:lang w:val="uk-UA"/>
        </w:rPr>
        <w:t>виникають раніше та перебігають більш важко при наявності ознак дисплазії сполучної тканини</w:t>
      </w:r>
      <w:r w:rsidRPr="000A32AD">
        <w:rPr>
          <w:rFonts w:ascii="Times New Roman" w:hAnsi="Times New Roman" w:cs="Times New Roman"/>
          <w:b/>
          <w:bCs/>
          <w:color w:val="000000" w:themeColor="text1"/>
          <w:sz w:val="28"/>
          <w:szCs w:val="28"/>
          <w:lang w:val="uk-UA"/>
        </w:rPr>
        <w:t xml:space="preserve"> </w:t>
      </w:r>
      <w:r w:rsidRPr="000A32AD">
        <w:rPr>
          <w:rFonts w:ascii="Times New Roman" w:hAnsi="Times New Roman" w:cs="Times New Roman"/>
          <w:bCs/>
          <w:color w:val="000000" w:themeColor="text1"/>
          <w:sz w:val="28"/>
          <w:szCs w:val="28"/>
          <w:lang w:val="uk-UA"/>
        </w:rPr>
        <w:t>[</w:t>
      </w:r>
      <w:r w:rsidR="00365A66" w:rsidRPr="000A32AD">
        <w:rPr>
          <w:rFonts w:ascii="Times New Roman" w:hAnsi="Times New Roman" w:cs="Times New Roman"/>
          <w:bCs/>
          <w:color w:val="000000" w:themeColor="text1"/>
          <w:sz w:val="28"/>
          <w:szCs w:val="28"/>
          <w:lang w:val="uk-UA"/>
        </w:rPr>
        <w:t>2</w:t>
      </w:r>
      <w:r w:rsidRPr="000A32AD">
        <w:rPr>
          <w:rFonts w:ascii="Times New Roman" w:hAnsi="Times New Roman" w:cs="Times New Roman"/>
          <w:bCs/>
          <w:color w:val="000000" w:themeColor="text1"/>
          <w:sz w:val="28"/>
          <w:szCs w:val="28"/>
          <w:lang w:val="uk-UA"/>
        </w:rPr>
        <w:t>]</w:t>
      </w:r>
      <w:r w:rsidR="00C14963" w:rsidRPr="000A32AD">
        <w:rPr>
          <w:rFonts w:ascii="Times New Roman" w:hAnsi="Times New Roman" w:cs="Times New Roman"/>
          <w:bCs/>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bCs/>
          <w:color w:val="000000" w:themeColor="text1"/>
          <w:sz w:val="28"/>
          <w:szCs w:val="28"/>
          <w:lang w:val="uk-UA"/>
        </w:rPr>
      </w:pPr>
      <w:r w:rsidRPr="000A32AD">
        <w:rPr>
          <w:rFonts w:ascii="Times New Roman" w:hAnsi="Times New Roman" w:cs="Times New Roman"/>
          <w:color w:val="000000" w:themeColor="text1"/>
          <w:sz w:val="28"/>
          <w:szCs w:val="28"/>
          <w:lang w:val="uk-UA"/>
        </w:rPr>
        <w:t>Ці порушення мають значення й при АГ. Добре відомо, що генетичні і психосоціальні чинники, порушення дієти відіграють важливу роль в етіопатогенезі АГ</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w:t>
      </w:r>
      <w:r w:rsidR="00C14963" w:rsidRPr="000A32AD">
        <w:rPr>
          <w:rFonts w:ascii="Times New Roman" w:hAnsi="Times New Roman" w:cs="Times New Roman"/>
          <w:color w:val="000000" w:themeColor="text1"/>
          <w:sz w:val="28"/>
          <w:szCs w:val="28"/>
          <w:lang w:val="uk-UA"/>
        </w:rPr>
        <w:t xml:space="preserve">98; 131; </w:t>
      </w:r>
      <w:r w:rsidR="00C14963" w:rsidRPr="000A32AD">
        <w:rPr>
          <w:rFonts w:ascii="Times New Roman" w:hAnsi="Times New Roman" w:cs="Times New Roman"/>
          <w:color w:val="000000" w:themeColor="text1"/>
          <w:sz w:val="28"/>
          <w:szCs w:val="28"/>
          <w:lang w:val="uk-UA" w:eastAsia="uk-UA"/>
        </w:rPr>
        <w:t>17</w:t>
      </w:r>
      <w:r w:rsidRPr="000A32AD">
        <w:rPr>
          <w:rFonts w:ascii="Times New Roman" w:hAnsi="Times New Roman" w:cs="Times New Roman"/>
          <w:color w:val="000000" w:themeColor="text1"/>
          <w:sz w:val="28"/>
          <w:szCs w:val="28"/>
          <w:lang w:val="uk-UA" w:eastAsia="uk-UA"/>
        </w:rPr>
        <w:t>7</w:t>
      </w:r>
      <w:r w:rsidRPr="000A32AD">
        <w:rPr>
          <w:rFonts w:ascii="Times New Roman" w:hAnsi="Times New Roman" w:cs="Times New Roman"/>
          <w:color w:val="000000" w:themeColor="text1"/>
          <w:sz w:val="28"/>
          <w:szCs w:val="28"/>
          <w:lang w:val="uk-UA"/>
        </w:rPr>
        <w:t>]. Спадкова схильність включає генетично детерміновані дефекти сполучної тканини, що супроводжуються тенденцією до вегетативного дисбалансу, гіпомагніемії, гіперпродукції протизапальних інтерлейкінів [</w:t>
      </w:r>
      <w:r w:rsidR="00873566" w:rsidRPr="000A32AD">
        <w:rPr>
          <w:rFonts w:ascii="Times New Roman" w:hAnsi="Times New Roman" w:cs="Times New Roman"/>
          <w:color w:val="000000" w:themeColor="text1"/>
          <w:sz w:val="28"/>
          <w:szCs w:val="28"/>
          <w:lang w:val="uk-UA"/>
        </w:rPr>
        <w:t xml:space="preserve">19; </w:t>
      </w:r>
      <w:r w:rsidR="00C14963" w:rsidRPr="000A32AD">
        <w:rPr>
          <w:rFonts w:ascii="Times New Roman" w:hAnsi="Times New Roman" w:cs="Times New Roman"/>
          <w:color w:val="000000" w:themeColor="text1"/>
          <w:sz w:val="28"/>
          <w:szCs w:val="28"/>
          <w:lang w:val="uk-UA"/>
        </w:rPr>
        <w:t>27</w:t>
      </w:r>
      <w:r w:rsidRPr="000A32AD">
        <w:rPr>
          <w:rFonts w:ascii="Times New Roman" w:hAnsi="Times New Roman" w:cs="Times New Roman"/>
          <w:color w:val="000000" w:themeColor="text1"/>
          <w:sz w:val="28"/>
          <w:szCs w:val="28"/>
          <w:lang w:val="uk-UA"/>
        </w:rPr>
        <w:t xml:space="preserve">]. Крім цього, </w:t>
      </w:r>
      <w:r w:rsidRPr="000A32AD">
        <w:rPr>
          <w:rFonts w:ascii="Times New Roman" w:hAnsi="Times New Roman" w:cs="Times New Roman"/>
          <w:bCs/>
          <w:color w:val="000000" w:themeColor="text1"/>
          <w:sz w:val="28"/>
          <w:szCs w:val="28"/>
          <w:lang w:val="uk-UA"/>
        </w:rPr>
        <w:t xml:space="preserve">у хворих з ДСТ виявлено порушення циркадного профілю ЧСС та збільшення вмісту молекули судинної адгезії 1 типу </w:t>
      </w:r>
      <w:r w:rsidRPr="000A32AD">
        <w:rPr>
          <w:rFonts w:ascii="Times New Roman" w:eastAsia="PragmaticaC" w:hAnsi="Times New Roman" w:cs="Times New Roman"/>
          <w:color w:val="000000" w:themeColor="text1"/>
          <w:sz w:val="28"/>
          <w:szCs w:val="28"/>
          <w:lang w:val="uk-UA"/>
        </w:rPr>
        <w:t>(</w:t>
      </w:r>
      <w:r w:rsidRPr="000A32AD">
        <w:rPr>
          <w:rFonts w:ascii="Times New Roman" w:eastAsia="PragmaticaC" w:hAnsi="Times New Roman" w:cs="Times New Roman"/>
          <w:color w:val="000000" w:themeColor="text1"/>
          <w:sz w:val="28"/>
          <w:szCs w:val="28"/>
        </w:rPr>
        <w:t>VCAM</w:t>
      </w:r>
      <w:r w:rsidRPr="000A32AD">
        <w:rPr>
          <w:rFonts w:ascii="Times New Roman" w:eastAsia="PragmaticaC" w:hAnsi="Times New Roman" w:cs="Times New Roman"/>
          <w:color w:val="000000" w:themeColor="text1"/>
          <w:sz w:val="28"/>
          <w:szCs w:val="28"/>
          <w:lang w:val="uk-UA"/>
        </w:rPr>
        <w:t xml:space="preserve">-1) </w:t>
      </w:r>
      <w:r w:rsidRPr="000A32AD">
        <w:rPr>
          <w:rFonts w:ascii="Times New Roman" w:hAnsi="Times New Roman" w:cs="Times New Roman"/>
          <w:bCs/>
          <w:color w:val="000000" w:themeColor="text1"/>
          <w:sz w:val="28"/>
          <w:szCs w:val="28"/>
          <w:lang w:val="uk-UA"/>
        </w:rPr>
        <w:t>[15]</w:t>
      </w:r>
      <w:r w:rsidR="00873566" w:rsidRPr="000A32AD">
        <w:rPr>
          <w:rFonts w:ascii="Times New Roman" w:hAnsi="Times New Roman" w:cs="Times New Roman"/>
          <w:bCs/>
          <w:color w:val="000000" w:themeColor="text1"/>
          <w:sz w:val="28"/>
          <w:szCs w:val="28"/>
          <w:lang w:val="uk-UA"/>
        </w:rPr>
        <w:t>.</w:t>
      </w:r>
    </w:p>
    <w:p w:rsidR="000D5D92" w:rsidRPr="000A32AD" w:rsidRDefault="000D5D92" w:rsidP="000D5D92">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Не менш значимим наслідком порушень метаболізму сполучної тканини в умовах різноманітної патології є фіброз, в результаті якого під час репарації мертвої або пошкодженої тканини формується нефункціональний, механічно аномальний рубець. Вважається, що фіброзна патологія є причиною майже </w:t>
      </w:r>
      <w:r w:rsidRPr="000A32AD">
        <w:rPr>
          <w:rFonts w:ascii="Times New Roman" w:hAnsi="Times New Roman" w:cs="Times New Roman"/>
          <w:color w:val="000000" w:themeColor="text1"/>
          <w:sz w:val="28"/>
          <w:szCs w:val="28"/>
          <w:lang w:val="uk-UA"/>
        </w:rPr>
        <w:lastRenderedPageBreak/>
        <w:t>половини всіх смертей у всьому світі [</w:t>
      </w:r>
      <w:r w:rsidR="00873566" w:rsidRPr="000A32AD">
        <w:rPr>
          <w:rFonts w:ascii="Times New Roman" w:hAnsi="Times New Roman" w:cs="Times New Roman"/>
          <w:color w:val="000000" w:themeColor="text1"/>
          <w:sz w:val="28"/>
          <w:szCs w:val="28"/>
          <w:lang w:val="uk-UA"/>
        </w:rPr>
        <w:t>120</w:t>
      </w:r>
      <w:r w:rsidRPr="000A32AD">
        <w:rPr>
          <w:rFonts w:ascii="Times New Roman" w:hAnsi="Times New Roman" w:cs="Times New Roman"/>
          <w:color w:val="000000" w:themeColor="text1"/>
          <w:sz w:val="28"/>
          <w:szCs w:val="28"/>
          <w:lang w:val="uk-UA"/>
        </w:rPr>
        <w:t>]. Причини фіброзу дещо відрізняються від тканини до тканини та від патології до патології, але деякі клітинні та молекулярні механізми є загальними. Одним з механізмів, що лежать в основі фіброзу, є парадигма «мофібробласту» (активізованого фібробласту). Ці клітини мають ознаки гладко’язових клітин та грають важливу роль у забезпеченні проліферації, диференціюванні, репарації тканини. Вважається, що вони активуються під впливом прозапальних цитокінів різного походження та секретують білки позаклітинного матриксу та фактори росту, а після завершення процесів репарації руйнуються. Але тривала персистенція міофібробластів призводить до розвитку фіброзу [</w:t>
      </w:r>
      <w:r w:rsidR="00314D2E" w:rsidRPr="000A32AD">
        <w:rPr>
          <w:rFonts w:ascii="Times New Roman" w:hAnsi="Times New Roman" w:cs="Times New Roman"/>
          <w:color w:val="000000" w:themeColor="text1"/>
          <w:sz w:val="28"/>
          <w:szCs w:val="28"/>
          <w:lang w:val="uk-UA"/>
        </w:rPr>
        <w:t>87</w:t>
      </w:r>
      <w:r w:rsidRPr="000A32AD">
        <w:rPr>
          <w:rFonts w:ascii="Times New Roman" w:hAnsi="Times New Roman" w:cs="Times New Roman"/>
          <w:color w:val="000000" w:themeColor="text1"/>
          <w:sz w:val="28"/>
          <w:szCs w:val="28"/>
          <w:lang w:val="uk-UA"/>
        </w:rPr>
        <w:t xml:space="preserve">; </w:t>
      </w:r>
      <w:r w:rsidR="00873566" w:rsidRPr="000A32AD">
        <w:rPr>
          <w:rFonts w:ascii="Times New Roman" w:hAnsi="Times New Roman" w:cs="Times New Roman"/>
          <w:color w:val="000000" w:themeColor="text1"/>
          <w:sz w:val="28"/>
          <w:szCs w:val="28"/>
          <w:lang w:val="uk-UA"/>
        </w:rPr>
        <w:t>142</w:t>
      </w:r>
      <w:r w:rsidRPr="000A32AD">
        <w:rPr>
          <w:rFonts w:ascii="Times New Roman" w:hAnsi="Times New Roman" w:cs="Times New Roman"/>
          <w:color w:val="000000" w:themeColor="text1"/>
          <w:sz w:val="28"/>
          <w:szCs w:val="28"/>
          <w:lang w:val="uk-UA"/>
        </w:rPr>
        <w:t xml:space="preserve">; </w:t>
      </w:r>
      <w:r w:rsidR="00873566" w:rsidRPr="000A32AD">
        <w:rPr>
          <w:rFonts w:ascii="Times New Roman" w:hAnsi="Times New Roman" w:cs="Times New Roman"/>
          <w:color w:val="000000" w:themeColor="text1"/>
          <w:sz w:val="28"/>
          <w:szCs w:val="28"/>
          <w:lang w:val="uk-UA"/>
        </w:rPr>
        <w:t>245</w:t>
      </w:r>
      <w:r w:rsidRPr="000A32AD">
        <w:rPr>
          <w:rFonts w:ascii="Times New Roman" w:hAnsi="Times New Roman" w:cs="Times New Roman"/>
          <w:color w:val="000000" w:themeColor="text1"/>
          <w:sz w:val="28"/>
          <w:szCs w:val="28"/>
          <w:lang w:val="uk-UA"/>
        </w:rPr>
        <w:t>].</w:t>
      </w:r>
    </w:p>
    <w:p w:rsidR="000D5D92" w:rsidRPr="000A32AD" w:rsidRDefault="000D5D92" w:rsidP="000D5D92">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Таким чином, розвиток ангіопатій при ЦГ, серцево-судинних ускладнень при АГ та при ДСТ мають спільний механізми патогенезу.</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Встановлено роль в їх розвитку багатьох біологічно активних факторів. Їх подальше вивчення має не тільки теоретичне значення, але й можливості застосування у якості ранніх біомаркерів ускладнень, що буде сприяти підвищенню ефективності діагностики [</w:t>
      </w:r>
      <w:r w:rsidR="00873566" w:rsidRPr="000A32AD">
        <w:rPr>
          <w:rFonts w:ascii="Times New Roman" w:hAnsi="Times New Roman" w:cs="Times New Roman"/>
          <w:color w:val="000000" w:themeColor="text1"/>
          <w:sz w:val="28"/>
          <w:szCs w:val="28"/>
          <w:lang w:val="uk-UA"/>
        </w:rPr>
        <w:t>48</w:t>
      </w:r>
      <w:r w:rsidRPr="000A32AD">
        <w:rPr>
          <w:rFonts w:ascii="Times New Roman" w:hAnsi="Times New Roman" w:cs="Times New Roman"/>
          <w:color w:val="000000" w:themeColor="text1"/>
          <w:sz w:val="28"/>
          <w:szCs w:val="28"/>
          <w:lang w:val="uk-UA"/>
        </w:rPr>
        <w:t>].</w:t>
      </w:r>
      <w:r w:rsidR="00F17BD2" w:rsidRPr="000A32AD">
        <w:rPr>
          <w:rFonts w:ascii="Times New Roman" w:hAnsi="Times New Roman" w:cs="Times New Roman"/>
          <w:color w:val="000000" w:themeColor="text1"/>
          <w:sz w:val="28"/>
          <w:szCs w:val="28"/>
          <w:lang w:val="uk-UA"/>
        </w:rPr>
        <w:t xml:space="preserve"> </w:t>
      </w:r>
      <w:r w:rsidR="004E796F">
        <w:rPr>
          <w:rFonts w:ascii="Times New Roman" w:hAnsi="Times New Roman" w:cs="Times New Roman"/>
          <w:color w:val="000000" w:themeColor="text1"/>
          <w:sz w:val="28"/>
          <w:szCs w:val="28"/>
          <w:lang w:val="uk-UA"/>
        </w:rPr>
        <w:t>Н</w:t>
      </w:r>
      <w:r w:rsidRPr="000A32AD">
        <w:rPr>
          <w:rFonts w:ascii="Times New Roman" w:hAnsi="Times New Roman" w:cs="Times New Roman"/>
          <w:color w:val="000000" w:themeColor="text1"/>
          <w:sz w:val="28"/>
          <w:szCs w:val="28"/>
          <w:lang w:val="uk-UA"/>
        </w:rPr>
        <w:t>а цей час вивчається діагностична роль багатьох місцевих та гуморальних факторів. Наприклад, можливими біомарке</w:t>
      </w:r>
      <w:r w:rsidR="00A254FF" w:rsidRPr="000A32AD">
        <w:rPr>
          <w:rFonts w:ascii="Times New Roman" w:hAnsi="Times New Roman" w:cs="Times New Roman"/>
          <w:color w:val="000000" w:themeColor="text1"/>
          <w:sz w:val="28"/>
          <w:szCs w:val="28"/>
          <w:lang w:val="uk-UA"/>
        </w:rPr>
        <w:softHyphen/>
      </w:r>
      <w:r w:rsidRPr="000A32AD">
        <w:rPr>
          <w:rFonts w:ascii="Times New Roman" w:hAnsi="Times New Roman" w:cs="Times New Roman"/>
          <w:color w:val="000000" w:themeColor="text1"/>
          <w:sz w:val="28"/>
          <w:szCs w:val="28"/>
          <w:lang w:val="uk-UA"/>
        </w:rPr>
        <w:t>рами ураження нирок при ЦД вважають фактори тубулярного походження (N-ацетил-β-D-глюкозаминидаза (NAG, N-acetylbeta-D-glucosaminidase), нейтрофільний желатиназо-ассційований ліпокаїн (NGAL, Neutrophil gelatinase-associated lipocalin), протеїн, що зв’язую жирні кислоти, печінкова форма (</w:t>
      </w:r>
      <w:r w:rsidRPr="000A32AD">
        <w:rPr>
          <w:rFonts w:ascii="Times New Roman" w:hAnsi="Times New Roman" w:cs="Times New Roman"/>
          <w:color w:val="000000" w:themeColor="text1"/>
          <w:sz w:val="28"/>
          <w:szCs w:val="28"/>
          <w:lang w:val="en-US"/>
        </w:rPr>
        <w:t>LFABP</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liver</w:t>
      </w:r>
      <w:r w:rsidRPr="000A32AD">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lang w:val="en-US"/>
        </w:rPr>
        <w:t>type</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fatty</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acid</w:t>
      </w:r>
      <w:r w:rsidRPr="000A32AD">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lang w:val="en-US"/>
        </w:rPr>
        <w:t>binding</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protein</w:t>
      </w:r>
      <w:r w:rsidRPr="000A32AD">
        <w:rPr>
          <w:rFonts w:ascii="Times New Roman" w:hAnsi="Times New Roman" w:cs="Times New Roman"/>
          <w:color w:val="000000" w:themeColor="text1"/>
          <w:sz w:val="28"/>
          <w:szCs w:val="28"/>
          <w:lang w:val="uk-UA"/>
        </w:rPr>
        <w:t>), уромодулін (</w:t>
      </w:r>
      <w:r w:rsidRPr="000A32AD">
        <w:rPr>
          <w:rFonts w:ascii="Times New Roman" w:hAnsi="Times New Roman" w:cs="Times New Roman"/>
          <w:color w:val="000000" w:themeColor="text1"/>
          <w:sz w:val="28"/>
          <w:szCs w:val="28"/>
          <w:lang w:val="en-US"/>
        </w:rPr>
        <w:t>Uromodulin</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The</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Tamm</w:t>
      </w:r>
      <w:r w:rsidRPr="000A32AD">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lang w:val="en-US"/>
        </w:rPr>
        <w:t>Horsfall</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glycoprotein</w:t>
      </w:r>
      <w:r w:rsidRPr="000A32AD">
        <w:rPr>
          <w:rFonts w:ascii="Times New Roman" w:hAnsi="Times New Roman" w:cs="Times New Roman"/>
          <w:color w:val="000000" w:themeColor="text1"/>
          <w:sz w:val="28"/>
          <w:szCs w:val="28"/>
          <w:lang w:val="uk-UA"/>
        </w:rPr>
        <w:t>), ретинол-зв’язуючий протеїн (</w:t>
      </w:r>
      <w:r w:rsidRPr="000A32AD">
        <w:rPr>
          <w:rFonts w:ascii="Times New Roman" w:hAnsi="Times New Roman" w:cs="Times New Roman"/>
          <w:color w:val="000000" w:themeColor="text1"/>
          <w:sz w:val="28"/>
          <w:szCs w:val="28"/>
          <w:lang w:val="en-US"/>
        </w:rPr>
        <w:t>RBP</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retinol</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binding</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protein</w:t>
      </w:r>
      <w:r w:rsidRPr="000A32AD">
        <w:rPr>
          <w:rFonts w:ascii="Times New Roman" w:hAnsi="Times New Roman" w:cs="Times New Roman"/>
          <w:color w:val="000000" w:themeColor="text1"/>
          <w:sz w:val="28"/>
          <w:szCs w:val="28"/>
          <w:lang w:val="uk-UA"/>
        </w:rPr>
        <w:t>) и В2-мікроглобулін (b2-</w:t>
      </w:r>
      <w:r w:rsidRPr="000A32AD">
        <w:rPr>
          <w:rFonts w:ascii="Times New Roman" w:hAnsi="Times New Roman" w:cs="Times New Roman"/>
          <w:color w:val="000000" w:themeColor="text1"/>
          <w:sz w:val="28"/>
          <w:szCs w:val="28"/>
          <w:lang w:val="en-US"/>
        </w:rPr>
        <w:t>microglobulin</w:t>
      </w:r>
      <w:r w:rsidRPr="000A32AD">
        <w:rPr>
          <w:rFonts w:ascii="Times New Roman" w:hAnsi="Times New Roman" w:cs="Times New Roman"/>
          <w:color w:val="000000" w:themeColor="text1"/>
          <w:sz w:val="28"/>
          <w:szCs w:val="28"/>
          <w:lang w:val="uk-UA"/>
        </w:rPr>
        <w:t xml:space="preserve">) та ін.; продукти обміну позаклітинного матриксу (колаген IV типу (Type-IV </w:t>
      </w:r>
      <w:r w:rsidRPr="000A32AD">
        <w:rPr>
          <w:rFonts w:ascii="Times New Roman" w:hAnsi="Times New Roman" w:cs="Times New Roman"/>
          <w:color w:val="000000" w:themeColor="text1"/>
          <w:sz w:val="28"/>
          <w:szCs w:val="28"/>
          <w:lang w:val="en-US"/>
        </w:rPr>
        <w:t>collagen</w:t>
      </w:r>
      <w:r w:rsidRPr="000A32AD">
        <w:rPr>
          <w:rFonts w:ascii="Times New Roman" w:hAnsi="Times New Roman" w:cs="Times New Roman"/>
          <w:color w:val="000000" w:themeColor="text1"/>
          <w:sz w:val="28"/>
          <w:szCs w:val="28"/>
          <w:lang w:val="uk-UA"/>
        </w:rPr>
        <w:t xml:space="preserve">), гепаран-сульфат (Heparan sulfate), SMAD 1 протеїни (SMAD 1, </w:t>
      </w:r>
      <w:r w:rsidRPr="000A32AD">
        <w:rPr>
          <w:rFonts w:ascii="Times New Roman" w:hAnsi="Times New Roman" w:cs="Times New Roman"/>
          <w:color w:val="000000" w:themeColor="text1"/>
          <w:sz w:val="28"/>
          <w:szCs w:val="28"/>
          <w:lang w:val="en-US"/>
        </w:rPr>
        <w:t>small</w:t>
      </w:r>
      <w:r w:rsidRPr="000A32AD">
        <w:rPr>
          <w:rFonts w:ascii="Times New Roman" w:hAnsi="Times New Roman" w:cs="Times New Roman"/>
          <w:color w:val="000000" w:themeColor="text1"/>
          <w:sz w:val="28"/>
          <w:szCs w:val="28"/>
          <w:lang w:val="uk-UA"/>
        </w:rPr>
        <w:t xml:space="preserve"> м</w:t>
      </w:r>
      <w:r w:rsidRPr="000A32AD">
        <w:rPr>
          <w:rFonts w:ascii="Times New Roman" w:hAnsi="Times New Roman" w:cs="Times New Roman"/>
          <w:color w:val="000000" w:themeColor="text1"/>
          <w:sz w:val="28"/>
          <w:szCs w:val="28"/>
          <w:lang w:val="en-US"/>
        </w:rPr>
        <w:t>others</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against</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decapentaplegic</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homolog</w:t>
      </w:r>
      <w:r w:rsidRPr="000A32AD">
        <w:rPr>
          <w:rFonts w:ascii="Times New Roman" w:hAnsi="Times New Roman" w:cs="Times New Roman"/>
          <w:color w:val="000000" w:themeColor="text1"/>
          <w:sz w:val="28"/>
          <w:szCs w:val="28"/>
          <w:lang w:val="uk-UA"/>
        </w:rPr>
        <w:t xml:space="preserve"> 1), пігментний епітеліальний фактор (</w:t>
      </w:r>
      <w:r w:rsidRPr="000A32AD">
        <w:rPr>
          <w:rFonts w:ascii="Times New Roman" w:hAnsi="Times New Roman" w:cs="Times New Roman"/>
          <w:color w:val="000000" w:themeColor="text1"/>
          <w:sz w:val="28"/>
          <w:szCs w:val="28"/>
          <w:lang w:val="en-US"/>
        </w:rPr>
        <w:t>PEDF</w:t>
      </w:r>
      <w:r w:rsidRPr="000A32AD">
        <w:rPr>
          <w:rFonts w:ascii="Times New Roman" w:hAnsi="Times New Roman" w:cs="Times New Roman"/>
          <w:color w:val="000000" w:themeColor="text1"/>
          <w:sz w:val="28"/>
          <w:szCs w:val="28"/>
          <w:lang w:val="uk-UA"/>
        </w:rPr>
        <w:t>, р</w:t>
      </w:r>
      <w:r w:rsidRPr="000A32AD">
        <w:rPr>
          <w:rFonts w:ascii="Times New Roman" w:hAnsi="Times New Roman" w:cs="Times New Roman"/>
          <w:color w:val="000000" w:themeColor="text1"/>
          <w:sz w:val="28"/>
          <w:szCs w:val="28"/>
          <w:lang w:val="en-US"/>
        </w:rPr>
        <w:t>igment</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epithelium</w:t>
      </w:r>
      <w:r w:rsidRPr="000A32AD">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lang w:val="en-US"/>
        </w:rPr>
        <w:t>derived</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factor</w:t>
      </w:r>
      <w:r w:rsidRPr="000A32AD">
        <w:rPr>
          <w:rFonts w:ascii="Times New Roman" w:hAnsi="Times New Roman" w:cs="Times New Roman"/>
          <w:color w:val="000000" w:themeColor="text1"/>
          <w:sz w:val="28"/>
          <w:szCs w:val="28"/>
          <w:lang w:val="uk-UA"/>
        </w:rPr>
        <w:t xml:space="preserve">), продукти обміну колагену та колагенолітичні ферменти (гідроксипролін </w:t>
      </w:r>
      <w:r w:rsidRPr="000A32AD">
        <w:rPr>
          <w:rFonts w:ascii="Times New Roman" w:hAnsi="Times New Roman" w:cs="Times New Roman"/>
          <w:color w:val="000000" w:themeColor="text1"/>
          <w:sz w:val="28"/>
          <w:szCs w:val="28"/>
          <w:lang w:val="uk-UA"/>
        </w:rPr>
        <w:lastRenderedPageBreak/>
        <w:t>(</w:t>
      </w:r>
      <w:r w:rsidRPr="000A32AD">
        <w:rPr>
          <w:rFonts w:ascii="Times New Roman" w:hAnsi="Times New Roman" w:cs="Times New Roman"/>
          <w:color w:val="000000" w:themeColor="text1"/>
          <w:sz w:val="28"/>
          <w:szCs w:val="28"/>
          <w:lang w:val="en-US"/>
        </w:rPr>
        <w:t>hydroxyproline</w:t>
      </w:r>
      <w:r w:rsidRPr="000A32AD">
        <w:rPr>
          <w:rFonts w:ascii="Times New Roman" w:hAnsi="Times New Roman" w:cs="Times New Roman"/>
          <w:color w:val="000000" w:themeColor="text1"/>
          <w:sz w:val="28"/>
          <w:szCs w:val="28"/>
          <w:lang w:val="uk-UA"/>
        </w:rPr>
        <w:t>), матріксні металопротеїнази (</w:t>
      </w:r>
      <w:r w:rsidRPr="000A32AD">
        <w:rPr>
          <w:rFonts w:ascii="Times New Roman" w:hAnsi="Times New Roman" w:cs="Times New Roman"/>
          <w:color w:val="000000" w:themeColor="text1"/>
          <w:sz w:val="28"/>
          <w:szCs w:val="28"/>
          <w:lang w:val="en-US"/>
        </w:rPr>
        <w:t>MMP</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Matrix</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metalloproteinases</w:t>
      </w:r>
      <w:r w:rsidRPr="000A32AD">
        <w:rPr>
          <w:rFonts w:ascii="Times New Roman" w:hAnsi="Times New Roman" w:cs="Times New Roman"/>
          <w:color w:val="000000" w:themeColor="text1"/>
          <w:sz w:val="28"/>
          <w:szCs w:val="28"/>
          <w:lang w:val="uk-UA"/>
        </w:rPr>
        <w:t>) та ін.), подоцити та маркери їх ушкодження (нефрін (</w:t>
      </w:r>
      <w:r w:rsidRPr="000A32AD">
        <w:rPr>
          <w:rFonts w:ascii="Times New Roman" w:hAnsi="Times New Roman" w:cs="Times New Roman"/>
          <w:color w:val="000000" w:themeColor="text1"/>
          <w:sz w:val="28"/>
          <w:szCs w:val="28"/>
          <w:lang w:val="en-US"/>
        </w:rPr>
        <w:t>nephrin</w:t>
      </w:r>
      <w:r w:rsidRPr="000A32AD">
        <w:rPr>
          <w:rFonts w:ascii="Times New Roman" w:hAnsi="Times New Roman" w:cs="Times New Roman"/>
          <w:color w:val="000000" w:themeColor="text1"/>
          <w:sz w:val="28"/>
          <w:szCs w:val="28"/>
          <w:lang w:val="uk-UA"/>
        </w:rPr>
        <w:t>), міндін (</w:t>
      </w:r>
      <w:r w:rsidRPr="000A32AD">
        <w:rPr>
          <w:rFonts w:ascii="Times New Roman" w:hAnsi="Times New Roman" w:cs="Times New Roman"/>
          <w:color w:val="000000" w:themeColor="text1"/>
          <w:sz w:val="28"/>
          <w:szCs w:val="28"/>
          <w:lang w:val="en-US"/>
        </w:rPr>
        <w:t>Mindin</w:t>
      </w:r>
      <w:r w:rsidRPr="000A32AD">
        <w:rPr>
          <w:rFonts w:ascii="Times New Roman" w:hAnsi="Times New Roman" w:cs="Times New Roman"/>
          <w:color w:val="000000" w:themeColor="text1"/>
          <w:sz w:val="28"/>
          <w:szCs w:val="28"/>
          <w:lang w:val="uk-UA"/>
        </w:rPr>
        <w:t xml:space="preserve">); </w:t>
      </w:r>
      <w:r w:rsidR="001B2CE9">
        <w:rPr>
          <w:rFonts w:ascii="Times New Roman" w:hAnsi="Times New Roman" w:cs="Times New Roman"/>
          <w:color w:val="000000" w:themeColor="text1"/>
          <w:sz w:val="28"/>
          <w:szCs w:val="28"/>
          <w:lang w:val="uk-UA"/>
        </w:rPr>
        <w:t xml:space="preserve">трансформуючий </w:t>
      </w:r>
      <w:r w:rsidRPr="000A32AD">
        <w:rPr>
          <w:rFonts w:ascii="Times New Roman" w:hAnsi="Times New Roman" w:cs="Times New Roman"/>
          <w:color w:val="000000" w:themeColor="text1"/>
          <w:sz w:val="28"/>
          <w:szCs w:val="28"/>
          <w:lang w:val="uk-UA"/>
        </w:rPr>
        <w:t>фактори росту (TGF-β</w:t>
      </w:r>
      <w:r w:rsidR="001B2CE9">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lang w:val="uk-UA"/>
        </w:rPr>
        <w:t>, фактор росту сполучної тканини (</w:t>
      </w:r>
      <w:r w:rsidRPr="000A32AD">
        <w:rPr>
          <w:rFonts w:ascii="Times New Roman" w:hAnsi="Times New Roman" w:cs="Times New Roman"/>
          <w:color w:val="000000" w:themeColor="text1"/>
          <w:sz w:val="28"/>
          <w:szCs w:val="28"/>
          <w:lang w:val="en-US"/>
        </w:rPr>
        <w:t>CTGF</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connective</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tissue</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growth</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factor</w:t>
      </w:r>
      <w:r w:rsidRPr="000A32AD">
        <w:rPr>
          <w:rFonts w:ascii="Times New Roman" w:hAnsi="Times New Roman" w:cs="Times New Roman"/>
          <w:color w:val="000000" w:themeColor="text1"/>
          <w:sz w:val="28"/>
          <w:szCs w:val="28"/>
          <w:lang w:val="uk-UA"/>
        </w:rPr>
        <w:t xml:space="preserve">), </w:t>
      </w:r>
      <w:r w:rsidR="00071CE2" w:rsidRPr="000A32AD">
        <w:rPr>
          <w:rFonts w:ascii="Times New Roman" w:hAnsi="Times New Roman" w:cs="Times New Roman"/>
          <w:color w:val="000000" w:themeColor="text1"/>
          <w:sz w:val="28"/>
          <w:szCs w:val="28"/>
          <w:lang w:val="uk-UA"/>
        </w:rPr>
        <w:t xml:space="preserve">вазоендотеліальним фактором росту </w:t>
      </w:r>
      <w:r w:rsidR="00071CE2">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lang w:val="uk-UA"/>
        </w:rPr>
        <w:t>VEGF</w:t>
      </w:r>
      <w:r w:rsidR="00071CE2">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lang w:val="uk-UA"/>
        </w:rPr>
        <w:t>, інсуліноподібний фактор роста-1 (</w:t>
      </w:r>
      <w:r w:rsidRPr="000A32AD">
        <w:rPr>
          <w:rFonts w:ascii="Times New Roman" w:hAnsi="Times New Roman" w:cs="Times New Roman"/>
          <w:color w:val="000000" w:themeColor="text1"/>
          <w:sz w:val="28"/>
          <w:szCs w:val="28"/>
          <w:lang w:val="en-US"/>
        </w:rPr>
        <w:t>IGF</w:t>
      </w:r>
      <w:r w:rsidRPr="000A32AD">
        <w:rPr>
          <w:rFonts w:ascii="Times New Roman" w:hAnsi="Times New Roman" w:cs="Times New Roman"/>
          <w:color w:val="000000" w:themeColor="text1"/>
          <w:sz w:val="28"/>
          <w:szCs w:val="28"/>
          <w:lang w:val="uk-UA"/>
        </w:rPr>
        <w:t xml:space="preserve">-1, </w:t>
      </w:r>
      <w:r w:rsidRPr="000A32AD">
        <w:rPr>
          <w:rFonts w:ascii="Times New Roman" w:hAnsi="Times New Roman" w:cs="Times New Roman"/>
          <w:color w:val="000000" w:themeColor="text1"/>
          <w:sz w:val="28"/>
          <w:szCs w:val="28"/>
          <w:lang w:val="en-US"/>
        </w:rPr>
        <w:t>insulin</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like</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growth</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factor</w:t>
      </w:r>
      <w:r w:rsidRPr="000A32AD">
        <w:rPr>
          <w:rFonts w:ascii="Times New Roman" w:hAnsi="Times New Roman" w:cs="Times New Roman"/>
          <w:color w:val="000000" w:themeColor="text1"/>
          <w:sz w:val="28"/>
          <w:szCs w:val="28"/>
          <w:lang w:val="uk-UA"/>
        </w:rPr>
        <w:t xml:space="preserve">-1), а також імунозапальні фактори (молекули міжклітинної адгезії (ICAM-1, </w:t>
      </w:r>
      <w:r w:rsidRPr="000A32AD">
        <w:rPr>
          <w:rFonts w:ascii="Times New Roman" w:hAnsi="Times New Roman" w:cs="Times New Roman"/>
          <w:color w:val="000000" w:themeColor="text1"/>
          <w:sz w:val="28"/>
          <w:szCs w:val="28"/>
          <w:lang w:val="en-US"/>
        </w:rPr>
        <w:t>Intercellular</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Adhesion</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Molecule</w:t>
      </w:r>
      <w:r w:rsidRPr="000A32AD">
        <w:rPr>
          <w:rFonts w:ascii="Times New Roman" w:hAnsi="Times New Roman" w:cs="Times New Roman"/>
          <w:color w:val="000000" w:themeColor="text1"/>
          <w:sz w:val="28"/>
          <w:szCs w:val="28"/>
          <w:lang w:val="uk-UA"/>
        </w:rPr>
        <w:t xml:space="preserve"> 1), цитокіни та хемокіни) [</w:t>
      </w:r>
      <w:r w:rsidR="00873566" w:rsidRPr="000A32AD">
        <w:rPr>
          <w:rFonts w:ascii="Times New Roman" w:hAnsi="Times New Roman" w:cs="Times New Roman"/>
          <w:color w:val="000000" w:themeColor="text1"/>
          <w:sz w:val="28"/>
          <w:szCs w:val="28"/>
          <w:lang w:val="uk-UA"/>
        </w:rPr>
        <w:t>47</w:t>
      </w:r>
      <w:r w:rsidRPr="000A32AD">
        <w:rPr>
          <w:rFonts w:ascii="Times New Roman" w:hAnsi="Times New Roman" w:cs="Times New Roman"/>
          <w:color w:val="000000" w:themeColor="text1"/>
          <w:sz w:val="28"/>
          <w:szCs w:val="28"/>
          <w:lang w:val="uk-UA"/>
        </w:rPr>
        <w:t>]. Більшість цих факторів є досить специфічними та мають значення для діагностики саме нефропатій.</w:t>
      </w:r>
    </w:p>
    <w:p w:rsidR="000D5D92" w:rsidRPr="000A32AD" w:rsidRDefault="000D5D92" w:rsidP="000D5D92">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Серед них досить цікавими є фактори росту, які беруть участь у метаболізмі сполучної тканини, зокрема, основний фактор росту фібробластів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 xml:space="preserve">2), та глюкозаміноглікани (ГАГ), структурні одиниці позаклитинного матріксу, які також беруть участь в регуляції обміну сполучної тканини. </w:t>
      </w:r>
    </w:p>
    <w:p w:rsidR="000D5D92" w:rsidRPr="000A32AD" w:rsidRDefault="000D5D92" w:rsidP="000D5D92">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p>
    <w:p w:rsidR="000D5D92" w:rsidRPr="000A32AD" w:rsidRDefault="000D5D92" w:rsidP="000D5D92">
      <w:pPr>
        <w:autoSpaceDE w:val="0"/>
        <w:autoSpaceDN w:val="0"/>
        <w:adjustRightInd w:val="0"/>
        <w:spacing w:line="360" w:lineRule="auto"/>
        <w:ind w:firstLine="709"/>
        <w:jc w:val="both"/>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t xml:space="preserve">1.3. </w:t>
      </w:r>
      <w:r w:rsidR="00E62DCE" w:rsidRPr="000A32AD">
        <w:rPr>
          <w:rFonts w:ascii="Times New Roman" w:hAnsi="Times New Roman" w:cs="Times New Roman"/>
          <w:b/>
          <w:color w:val="000000" w:themeColor="text1"/>
          <w:sz w:val="28"/>
          <w:szCs w:val="28"/>
          <w:lang w:val="uk-UA"/>
        </w:rPr>
        <w:t>Основний фактор росту фібробластів та його роль в патогенезі дисплазії сполучної тканини, артеріальної гіпертензії та цукрового діабету</w:t>
      </w:r>
    </w:p>
    <w:p w:rsidR="000D5D92" w:rsidRPr="000A32AD" w:rsidRDefault="000D5D92" w:rsidP="000D5D92">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Діяльність функціонально-активних клітин сполучної тканини регулюється чисельними біологічно-активними сполуками, що утворюються в результаті руйнування тканин, запальних та іммунозалежних процесів, а також факторами росту, зокрема, факторами росту фібробластів (FGF), трансформуючим фактором росту фібробластів (TGF-β), вазоендотеліальним фактором росту (VEGF), тромбоцитарним фактором росту (PDGF), фактором росту гепатоцитів (HFR), які секретуються фібробластичними клітинами сполучної тканини [</w:t>
      </w:r>
      <w:r w:rsidR="00873566" w:rsidRPr="000A32AD">
        <w:rPr>
          <w:rFonts w:ascii="Times New Roman" w:hAnsi="Times New Roman" w:cs="Times New Roman"/>
          <w:color w:val="000000" w:themeColor="text1"/>
          <w:sz w:val="28"/>
          <w:szCs w:val="28"/>
          <w:lang w:val="uk-UA"/>
        </w:rPr>
        <w:t>137; 155</w:t>
      </w:r>
      <w:r w:rsidRPr="000A32AD">
        <w:rPr>
          <w:rFonts w:ascii="Times New Roman" w:hAnsi="Times New Roman" w:cs="Times New Roman"/>
          <w:color w:val="000000" w:themeColor="text1"/>
          <w:sz w:val="28"/>
          <w:szCs w:val="28"/>
          <w:lang w:val="uk-UA"/>
        </w:rPr>
        <w:t>]. Ці фактори є високоспецифічними білками, які забезпечують регуляцію та координацію функціонально активних тканин.</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Сімейство FGF об’єднує досить велику кількість білків, включаючи сигнальні білки, що секретуються та діють через тирозин-кіназні рецептори клітин, та внутрішньоклітинні несигнальні білки, які грають роль ко-факторів </w:t>
      </w:r>
      <w:r w:rsidRPr="000A32AD">
        <w:rPr>
          <w:rFonts w:ascii="Times New Roman" w:hAnsi="Times New Roman" w:cs="Times New Roman"/>
          <w:color w:val="000000" w:themeColor="text1"/>
          <w:sz w:val="28"/>
          <w:szCs w:val="28"/>
          <w:lang w:val="uk-UA"/>
        </w:rPr>
        <w:lastRenderedPageBreak/>
        <w:t>для інших молекул. Вони мають багато функцій в ядрі клітини та можуть впливати на інші функціональні клітинні білки. На цей час ідентифіковано 23</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представника сімейства FGF. FGF, що секретуються </w:t>
      </w:r>
      <w:r w:rsidRPr="000A32AD">
        <w:rPr>
          <w:rFonts w:ascii="Times New Roman" w:eastAsia="Times New Roman" w:hAnsi="Times New Roman" w:cs="Times New Roman"/>
          <w:color w:val="000000" w:themeColor="text1"/>
          <w:sz w:val="28"/>
          <w:szCs w:val="28"/>
          <w:lang w:val="uk-UA"/>
        </w:rPr>
        <w:t>(FGF1-FGF10, FGF16-FGF18, FGF20 і FGF22)</w:t>
      </w:r>
      <w:r w:rsidRPr="000A32AD">
        <w:rPr>
          <w:rFonts w:ascii="Times New Roman" w:hAnsi="Times New Roman" w:cs="Times New Roman"/>
          <w:color w:val="000000" w:themeColor="text1"/>
          <w:sz w:val="28"/>
          <w:szCs w:val="28"/>
          <w:lang w:val="uk-UA"/>
        </w:rPr>
        <w:t>, функціонують як паракринні або аутокринні фактори (канонічні FGF), та контролюють утворення, проліферацію та диференціювання клітин. Вони присутні майже у всіх тканинах та грають роль в ембріональному розвитку людини та у дорослої людини в процесах збереження, регенерації та метаболізму тканин. Інші FGF мають ендокринну функцію та беруть участь у регуляції обміну фосфатів, жовчни</w:t>
      </w:r>
      <w:r w:rsidR="00873566" w:rsidRPr="000A32AD">
        <w:rPr>
          <w:rFonts w:ascii="Times New Roman" w:hAnsi="Times New Roman" w:cs="Times New Roman"/>
          <w:color w:val="000000" w:themeColor="text1"/>
          <w:sz w:val="28"/>
          <w:szCs w:val="28"/>
          <w:lang w:val="uk-UA"/>
        </w:rPr>
        <w:t>х кислот, вуглеводів та ліпідів</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w:t>
      </w:r>
      <w:r w:rsidR="00873566" w:rsidRPr="000A32AD">
        <w:rPr>
          <w:rFonts w:ascii="Times New Roman" w:hAnsi="Times New Roman" w:cs="Times New Roman"/>
          <w:color w:val="000000" w:themeColor="text1"/>
          <w:sz w:val="28"/>
          <w:szCs w:val="28"/>
          <w:lang w:val="uk-UA"/>
        </w:rPr>
        <w:t>198</w:t>
      </w:r>
      <w:r w:rsidRPr="000A32AD">
        <w:rPr>
          <w:rFonts w:ascii="Times New Roman" w:hAnsi="Times New Roman" w:cs="Times New Roman"/>
          <w:color w:val="000000" w:themeColor="text1"/>
          <w:sz w:val="28"/>
          <w:szCs w:val="28"/>
          <w:lang w:val="uk-UA"/>
        </w:rPr>
        <w:t xml:space="preserve">]. </w:t>
      </w:r>
    </w:p>
    <w:p w:rsidR="000D5D92" w:rsidRPr="000A32AD" w:rsidRDefault="000D5D92" w:rsidP="000D5D92">
      <w:pPr>
        <w:spacing w:line="360" w:lineRule="auto"/>
        <w:ind w:firstLine="709"/>
        <w:jc w:val="both"/>
        <w:rPr>
          <w:rFonts w:ascii="Times New Roman" w:eastAsia="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Свій вплив на клітини-мішені </w:t>
      </w:r>
      <w:r w:rsidRPr="000A32AD">
        <w:rPr>
          <w:rFonts w:ascii="Times New Roman" w:eastAsia="Times New Roman" w:hAnsi="Times New Roman" w:cs="Times New Roman"/>
          <w:color w:val="000000" w:themeColor="text1"/>
          <w:sz w:val="28"/>
          <w:szCs w:val="28"/>
          <w:lang w:val="uk-UA"/>
        </w:rPr>
        <w:t>FGF здійснюють шляхом взаємодії з рецепторами – FGFR, які розташовані на поверхні клітин.</w:t>
      </w:r>
      <w:r w:rsidR="00F17BD2"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 xml:space="preserve">Сім основних білків FGFR (FGFRs 1b, 1c, 2b, 2c, 3b, 3c та 4) генеруються з генів FGFR1, FGFR2, FGFR3 та FGFR4 шляхом альтернативного сплайсингу. FGFR мають різні FGF-зв'язуючі особливості. </w:t>
      </w:r>
      <w:r w:rsidRPr="000A32AD">
        <w:rPr>
          <w:rFonts w:ascii="Times New Roman" w:hAnsi="Times New Roman" w:cs="Times New Roman"/>
          <w:color w:val="000000" w:themeColor="text1"/>
          <w:sz w:val="28"/>
          <w:szCs w:val="28"/>
          <w:lang w:val="uk-UA"/>
        </w:rPr>
        <w:t xml:space="preserve">Канонічні FGF </w:t>
      </w:r>
      <w:r w:rsidRPr="000A32AD">
        <w:rPr>
          <w:rFonts w:ascii="Times New Roman" w:eastAsia="Times New Roman" w:hAnsi="Times New Roman" w:cs="Times New Roman"/>
          <w:color w:val="000000" w:themeColor="text1"/>
          <w:sz w:val="28"/>
          <w:szCs w:val="28"/>
          <w:lang w:val="uk-UA"/>
        </w:rPr>
        <w:t xml:space="preserve">(FGF1-FGF10, FGF16-FGF18, FGF20 і FGF22) </w:t>
      </w:r>
      <w:r w:rsidRPr="000A32AD">
        <w:rPr>
          <w:rFonts w:ascii="Times New Roman" w:hAnsi="Times New Roman" w:cs="Times New Roman"/>
          <w:color w:val="000000" w:themeColor="text1"/>
          <w:sz w:val="28"/>
          <w:szCs w:val="28"/>
          <w:lang w:val="uk-UA"/>
        </w:rPr>
        <w:t>пов'язані з протеогліканами гепарин / гепаран сульфат, які присутні в екстрацелю</w:t>
      </w:r>
      <w:r w:rsidRPr="000A32AD">
        <w:rPr>
          <w:rFonts w:ascii="Times New Roman" w:hAnsi="Times New Roman" w:cs="Times New Roman"/>
          <w:color w:val="000000" w:themeColor="text1"/>
          <w:sz w:val="28"/>
          <w:szCs w:val="28"/>
          <w:lang w:val="uk-UA"/>
        </w:rPr>
        <w:softHyphen/>
        <w:t>лярному матриксі та є ко-факторами, що регулюють специфічність і спорідненість FGFR [</w:t>
      </w:r>
      <w:r w:rsidR="00873566" w:rsidRPr="000A32AD">
        <w:rPr>
          <w:rFonts w:ascii="Times New Roman" w:hAnsi="Times New Roman" w:cs="Times New Roman"/>
          <w:color w:val="000000" w:themeColor="text1"/>
          <w:sz w:val="28"/>
          <w:szCs w:val="28"/>
          <w:lang w:val="uk-UA"/>
        </w:rPr>
        <w:t>94</w:t>
      </w:r>
      <w:r w:rsidRPr="000A32AD">
        <w:rPr>
          <w:rFonts w:ascii="Times New Roman" w:hAnsi="Times New Roman" w:cs="Times New Roman"/>
          <w:color w:val="000000" w:themeColor="text1"/>
          <w:sz w:val="28"/>
          <w:szCs w:val="28"/>
          <w:lang w:val="uk-UA"/>
        </w:rPr>
        <w:t xml:space="preserve">; </w:t>
      </w:r>
      <w:r w:rsidR="00873566" w:rsidRPr="000A32AD">
        <w:rPr>
          <w:rFonts w:ascii="Times New Roman" w:hAnsi="Times New Roman" w:cs="Times New Roman"/>
          <w:color w:val="000000" w:themeColor="text1"/>
          <w:sz w:val="28"/>
          <w:szCs w:val="28"/>
          <w:lang w:val="uk-UA"/>
        </w:rPr>
        <w:t>180; 199</w:t>
      </w:r>
      <w:r w:rsidRPr="000A32AD">
        <w:rPr>
          <w:rFonts w:ascii="Times New Roman" w:hAnsi="Times New Roman" w:cs="Times New Roman"/>
          <w:color w:val="000000" w:themeColor="text1"/>
          <w:sz w:val="28"/>
          <w:szCs w:val="28"/>
          <w:lang w:val="uk-UA"/>
        </w:rPr>
        <w:t xml:space="preserve">; </w:t>
      </w:r>
      <w:r w:rsidR="00873566" w:rsidRPr="000A32AD">
        <w:rPr>
          <w:rFonts w:ascii="Times New Roman" w:hAnsi="Times New Roman" w:cs="Times New Roman"/>
          <w:color w:val="000000" w:themeColor="text1"/>
          <w:sz w:val="28"/>
          <w:szCs w:val="28"/>
          <w:lang w:val="uk-UA"/>
        </w:rPr>
        <w:t>217</w:t>
      </w:r>
      <w:r w:rsidRPr="000A32AD">
        <w:rPr>
          <w:rFonts w:ascii="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Гепаран сульфат, який самостійно взаємодіє з FGF і FGFR, необхідний для стабільної взаємодії між FGF і FGFR. Комплекс FGF-FGFR-гепаран сульфат призводить до димери</w:t>
      </w:r>
      <w:r w:rsidRPr="000A32AD">
        <w:rPr>
          <w:rFonts w:ascii="Times New Roman" w:eastAsia="Times New Roman" w:hAnsi="Times New Roman" w:cs="Times New Roman"/>
          <w:color w:val="000000" w:themeColor="text1"/>
          <w:sz w:val="28"/>
          <w:szCs w:val="28"/>
          <w:lang w:val="uk-UA"/>
        </w:rPr>
        <w:softHyphen/>
        <w:t>зації FGFR і спрямовує активацію внутрішньо</w:t>
      </w:r>
      <w:r w:rsidRPr="000A32AD">
        <w:rPr>
          <w:rFonts w:ascii="Times New Roman" w:eastAsia="Times New Roman" w:hAnsi="Times New Roman" w:cs="Times New Roman"/>
          <w:color w:val="000000" w:themeColor="text1"/>
          <w:sz w:val="28"/>
          <w:szCs w:val="28"/>
          <w:lang w:val="uk-UA"/>
        </w:rPr>
        <w:softHyphen/>
        <w:t>клітинних доменів тирозинки</w:t>
      </w:r>
      <w:r w:rsidRPr="000A32AD">
        <w:rPr>
          <w:rFonts w:ascii="Times New Roman" w:eastAsia="Times New Roman" w:hAnsi="Times New Roman" w:cs="Times New Roman"/>
          <w:color w:val="000000" w:themeColor="text1"/>
          <w:sz w:val="28"/>
          <w:szCs w:val="28"/>
          <w:lang w:val="uk-UA"/>
        </w:rPr>
        <w:softHyphen/>
        <w:t>нази FGFR, а потім ключових внутрішньоклітинних сигнальних шляхів. Ендокринні FGF (FGF15/19, 21, 23) специфічно зв'язуються з комплексом FGFR – Klotho та також активують тирозинкіназу, але у далеких к</w:t>
      </w:r>
      <w:r w:rsidR="00873566" w:rsidRPr="000A32AD">
        <w:rPr>
          <w:rFonts w:ascii="Times New Roman" w:eastAsia="Times New Roman" w:hAnsi="Times New Roman" w:cs="Times New Roman"/>
          <w:color w:val="000000" w:themeColor="text1"/>
          <w:sz w:val="28"/>
          <w:szCs w:val="28"/>
          <w:lang w:val="uk-UA"/>
        </w:rPr>
        <w:t>літинах-мішенях через кровообіг</w:t>
      </w:r>
      <w:r w:rsidR="00F17BD2"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w:t>
      </w:r>
      <w:r w:rsidR="00312DBE" w:rsidRPr="000A32AD">
        <w:rPr>
          <w:rFonts w:ascii="Times New Roman" w:eastAsia="Times New Roman" w:hAnsi="Times New Roman" w:cs="Times New Roman"/>
          <w:color w:val="000000" w:themeColor="text1"/>
          <w:sz w:val="28"/>
          <w:szCs w:val="28"/>
          <w:lang w:val="uk-UA"/>
        </w:rPr>
        <w:t xml:space="preserve">102; </w:t>
      </w:r>
      <w:r w:rsidR="00873566" w:rsidRPr="000A32AD">
        <w:rPr>
          <w:rFonts w:ascii="Times New Roman" w:eastAsia="Times New Roman" w:hAnsi="Times New Roman" w:cs="Times New Roman"/>
          <w:color w:val="000000" w:themeColor="text1"/>
          <w:sz w:val="28"/>
          <w:szCs w:val="28"/>
          <w:lang w:val="uk-UA"/>
        </w:rPr>
        <w:t>106</w:t>
      </w:r>
      <w:r w:rsidRPr="000A32AD">
        <w:rPr>
          <w:rFonts w:ascii="Times New Roman" w:eastAsia="Times New Roman" w:hAnsi="Times New Roman" w:cs="Times New Roman"/>
          <w:color w:val="000000" w:themeColor="text1"/>
          <w:sz w:val="28"/>
          <w:szCs w:val="28"/>
          <w:lang w:val="uk-UA"/>
        </w:rPr>
        <w:t xml:space="preserve">; </w:t>
      </w:r>
      <w:r w:rsidR="00873566" w:rsidRPr="000A32AD">
        <w:rPr>
          <w:rFonts w:ascii="Times New Roman" w:eastAsia="Times New Roman" w:hAnsi="Times New Roman" w:cs="Times New Roman"/>
          <w:color w:val="000000" w:themeColor="text1"/>
          <w:sz w:val="28"/>
          <w:szCs w:val="28"/>
          <w:lang w:val="uk-UA"/>
        </w:rPr>
        <w:t>198</w:t>
      </w:r>
      <w:r w:rsidRPr="000A32AD">
        <w:rPr>
          <w:rFonts w:ascii="Times New Roman" w:eastAsia="Times New Roman" w:hAnsi="Times New Roman" w:cs="Times New Roman"/>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eastAsia="Times New Roman" w:hAnsi="Times New Roman" w:cs="Times New Roman"/>
          <w:color w:val="000000" w:themeColor="text1"/>
          <w:sz w:val="28"/>
          <w:szCs w:val="28"/>
          <w:lang w:val="uk-UA"/>
        </w:rPr>
        <w:t>На цей час FGF та FGFR визнані необхідними для нормального ембріонального розвитку та у постнатальному періоді [</w:t>
      </w:r>
      <w:r w:rsidR="00312DBE" w:rsidRPr="000A32AD">
        <w:rPr>
          <w:rFonts w:ascii="Times New Roman" w:eastAsia="Times New Roman" w:hAnsi="Times New Roman" w:cs="Times New Roman"/>
          <w:color w:val="000000" w:themeColor="text1"/>
          <w:sz w:val="28"/>
          <w:szCs w:val="28"/>
          <w:lang w:val="uk-UA"/>
        </w:rPr>
        <w:t>113</w:t>
      </w:r>
      <w:r w:rsidRPr="000A32AD">
        <w:rPr>
          <w:rFonts w:ascii="Times New Roman" w:eastAsia="Times New Roman" w:hAnsi="Times New Roman" w:cs="Times New Roman"/>
          <w:color w:val="000000" w:themeColor="text1"/>
          <w:sz w:val="28"/>
          <w:szCs w:val="28"/>
        </w:rPr>
        <w:t>].</w:t>
      </w:r>
      <w:r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У дорослої людини FGF відіграють важливу роль у відповідь на травмування та репарацію тканин [</w:t>
      </w:r>
      <w:r w:rsidR="00312DBE" w:rsidRPr="000A32AD">
        <w:rPr>
          <w:rFonts w:ascii="Times New Roman" w:hAnsi="Times New Roman" w:cs="Times New Roman"/>
          <w:color w:val="000000" w:themeColor="text1"/>
          <w:sz w:val="28"/>
          <w:szCs w:val="28"/>
          <w:lang w:val="uk-UA"/>
        </w:rPr>
        <w:t>185</w:t>
      </w:r>
      <w:r w:rsidRPr="000A32AD">
        <w:rPr>
          <w:rFonts w:ascii="Times New Roman" w:hAnsi="Times New Roman" w:cs="Times New Roman"/>
          <w:color w:val="000000" w:themeColor="text1"/>
          <w:sz w:val="28"/>
          <w:szCs w:val="28"/>
          <w:lang w:val="uk-UA"/>
        </w:rPr>
        <w:t xml:space="preserve">], вони володіють кардіопротективною дією після ішемічного ураження </w:t>
      </w:r>
      <w:r w:rsidRPr="000A32AD">
        <w:rPr>
          <w:rFonts w:ascii="Times New Roman" w:hAnsi="Times New Roman" w:cs="Times New Roman"/>
          <w:color w:val="000000" w:themeColor="text1"/>
          <w:sz w:val="28"/>
          <w:szCs w:val="28"/>
          <w:lang w:val="uk-UA"/>
        </w:rPr>
        <w:lastRenderedPageBreak/>
        <w:t>серця [</w:t>
      </w:r>
      <w:r w:rsidR="00312DBE" w:rsidRPr="000A32AD">
        <w:rPr>
          <w:rFonts w:ascii="Times New Roman" w:hAnsi="Times New Roman" w:cs="Times New Roman"/>
          <w:color w:val="000000" w:themeColor="text1"/>
          <w:sz w:val="28"/>
          <w:szCs w:val="28"/>
          <w:lang w:val="uk-UA"/>
        </w:rPr>
        <w:t>154</w:t>
      </w:r>
      <w:r w:rsidRPr="000A32AD">
        <w:rPr>
          <w:rFonts w:ascii="Times New Roman" w:hAnsi="Times New Roman" w:cs="Times New Roman"/>
          <w:color w:val="000000" w:themeColor="text1"/>
          <w:sz w:val="28"/>
          <w:szCs w:val="28"/>
          <w:lang w:val="uk-UA"/>
        </w:rPr>
        <w:t xml:space="preserve">; </w:t>
      </w:r>
      <w:r w:rsidR="00312DBE" w:rsidRPr="000A32AD">
        <w:rPr>
          <w:rFonts w:ascii="Times New Roman" w:hAnsi="Times New Roman" w:cs="Times New Roman"/>
          <w:color w:val="000000" w:themeColor="text1"/>
          <w:sz w:val="28"/>
          <w:szCs w:val="28"/>
          <w:lang w:val="uk-UA"/>
        </w:rPr>
        <w:t>169</w:t>
      </w:r>
      <w:r w:rsidRPr="000A32AD">
        <w:rPr>
          <w:rFonts w:ascii="Times New Roman" w:hAnsi="Times New Roman" w:cs="Times New Roman"/>
          <w:color w:val="000000" w:themeColor="text1"/>
          <w:sz w:val="28"/>
          <w:szCs w:val="28"/>
          <w:lang w:val="uk-UA"/>
        </w:rPr>
        <w:t>], при цьому, FGF</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можуть як збільшувати, так й зменшувати розвиток тканинного фіброзу</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w:t>
      </w:r>
      <w:r w:rsidR="00312DBE" w:rsidRPr="000A32AD">
        <w:rPr>
          <w:rFonts w:ascii="Times New Roman" w:hAnsi="Times New Roman" w:cs="Times New Roman"/>
          <w:color w:val="000000" w:themeColor="text1"/>
          <w:sz w:val="28"/>
          <w:szCs w:val="28"/>
          <w:lang w:val="uk-UA"/>
        </w:rPr>
        <w:t>179</w:t>
      </w:r>
      <w:r w:rsidRPr="000A32AD">
        <w:rPr>
          <w:rFonts w:ascii="Times New Roman" w:hAnsi="Times New Roman" w:cs="Times New Roman"/>
          <w:color w:val="000000" w:themeColor="text1"/>
          <w:sz w:val="28"/>
          <w:szCs w:val="28"/>
          <w:lang w:val="uk-UA"/>
        </w:rPr>
        <w:t xml:space="preserve">; </w:t>
      </w:r>
      <w:r w:rsidR="00312DBE" w:rsidRPr="000A32AD">
        <w:rPr>
          <w:rFonts w:ascii="Times New Roman" w:hAnsi="Times New Roman" w:cs="Times New Roman"/>
          <w:color w:val="000000" w:themeColor="text1"/>
          <w:sz w:val="28"/>
          <w:szCs w:val="28"/>
          <w:lang w:val="uk-UA"/>
        </w:rPr>
        <w:t>243; 246</w:t>
      </w:r>
      <w:r w:rsidRPr="000A32AD">
        <w:rPr>
          <w:rFonts w:ascii="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 xml:space="preserve">У той час, надмірна активація </w:t>
      </w:r>
      <w:r w:rsidRPr="000A32AD">
        <w:rPr>
          <w:rFonts w:ascii="Times New Roman" w:hAnsi="Times New Roman" w:cs="Times New Roman"/>
          <w:color w:val="000000" w:themeColor="text1"/>
          <w:sz w:val="28"/>
          <w:szCs w:val="28"/>
          <w:lang w:val="uk-UA"/>
        </w:rPr>
        <w:t xml:space="preserve">FGF або </w:t>
      </w:r>
      <w:r w:rsidRPr="000A32AD">
        <w:rPr>
          <w:rFonts w:ascii="Times New Roman" w:eastAsia="Times New Roman" w:hAnsi="Times New Roman" w:cs="Times New Roman"/>
          <w:color w:val="000000" w:themeColor="text1"/>
          <w:sz w:val="28"/>
          <w:szCs w:val="28"/>
          <w:lang w:val="uk-UA"/>
        </w:rPr>
        <w:t>FGFR</w:t>
      </w:r>
      <w:r w:rsidRPr="000A32AD">
        <w:rPr>
          <w:rFonts w:ascii="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викликає багато вроджених розладів та леж</w:t>
      </w:r>
      <w:r w:rsidR="00312DBE" w:rsidRPr="000A32AD">
        <w:rPr>
          <w:rFonts w:ascii="Times New Roman" w:eastAsia="Times New Roman" w:hAnsi="Times New Roman" w:cs="Times New Roman"/>
          <w:color w:val="000000" w:themeColor="text1"/>
          <w:sz w:val="28"/>
          <w:szCs w:val="28"/>
          <w:lang w:val="uk-UA"/>
        </w:rPr>
        <w:t>ить в основі багатьох форм раку</w:t>
      </w:r>
      <w:r w:rsidRPr="000A32AD">
        <w:rPr>
          <w:rFonts w:ascii="Times New Roman" w:eastAsia="Times New Roman" w:hAnsi="Times New Roman" w:cs="Times New Roman"/>
          <w:color w:val="000000" w:themeColor="text1"/>
          <w:sz w:val="28"/>
          <w:szCs w:val="28"/>
          <w:lang w:val="uk-UA"/>
        </w:rPr>
        <w:t xml:space="preserve"> [</w:t>
      </w:r>
      <w:r w:rsidR="00312DBE" w:rsidRPr="000A32AD">
        <w:rPr>
          <w:rFonts w:ascii="Times New Roman" w:eastAsia="Times New Roman" w:hAnsi="Times New Roman" w:cs="Times New Roman"/>
          <w:color w:val="000000" w:themeColor="text1"/>
          <w:sz w:val="28"/>
          <w:szCs w:val="28"/>
          <w:lang w:val="uk-UA"/>
        </w:rPr>
        <w:t>102</w:t>
      </w:r>
      <w:r w:rsidRPr="000A32AD">
        <w:rPr>
          <w:rFonts w:ascii="Times New Roman" w:eastAsia="Times New Roman" w:hAnsi="Times New Roman" w:cs="Times New Roman"/>
          <w:color w:val="000000" w:themeColor="text1"/>
          <w:sz w:val="28"/>
          <w:szCs w:val="28"/>
          <w:lang w:val="uk-UA"/>
        </w:rPr>
        <w:t>]. Зокрема, встановлено роль FGF2 у розвитку раку молочної залози у хворих на ожиріння. Згідно цієї концепції вісцеральна жирова тканина вивільняє FGF2, якій відіграє трансляційну роль у трансформації клітин молочної залози</w:t>
      </w:r>
      <w:r w:rsidRPr="000A32AD">
        <w:rPr>
          <w:rFonts w:ascii="Times New Roman" w:hAnsi="Times New Roman" w:cs="Times New Roman"/>
          <w:color w:val="000000" w:themeColor="text1"/>
          <w:sz w:val="28"/>
          <w:szCs w:val="28"/>
          <w:lang w:val="uk-UA"/>
        </w:rPr>
        <w:t xml:space="preserve"> [</w:t>
      </w:r>
      <w:r w:rsidR="00312DBE" w:rsidRPr="000A32AD">
        <w:rPr>
          <w:rFonts w:ascii="Times New Roman" w:hAnsi="Times New Roman" w:cs="Times New Roman"/>
          <w:color w:val="000000" w:themeColor="text1"/>
          <w:sz w:val="28"/>
          <w:szCs w:val="28"/>
          <w:lang w:val="uk-UA"/>
        </w:rPr>
        <w:t>97</w:t>
      </w:r>
      <w:r w:rsidRPr="000A32AD">
        <w:rPr>
          <w:rFonts w:ascii="Times New Roman" w:hAnsi="Times New Roman" w:cs="Times New Roman"/>
          <w:color w:val="000000" w:themeColor="text1"/>
          <w:sz w:val="28"/>
          <w:szCs w:val="28"/>
          <w:lang w:val="uk-UA"/>
        </w:rPr>
        <w:t>]</w:t>
      </w:r>
      <w:r w:rsidR="00312DBE" w:rsidRPr="000A32AD">
        <w:rPr>
          <w:rFonts w:ascii="Times New Roman" w:hAnsi="Times New Roman" w:cs="Times New Roman"/>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eastAsia="Times New Roman" w:hAnsi="Times New Roman" w:cs="Times New Roman"/>
          <w:color w:val="000000" w:themeColor="text1"/>
          <w:sz w:val="28"/>
          <w:szCs w:val="28"/>
          <w:lang w:val="uk-UA"/>
        </w:rPr>
        <w:t xml:space="preserve">Особливої уваги заслуговує </w:t>
      </w:r>
      <w:r w:rsidRPr="000A32AD">
        <w:rPr>
          <w:rFonts w:ascii="Times New Roman" w:hAnsi="Times New Roman" w:cs="Times New Roman"/>
          <w:color w:val="000000" w:themeColor="text1"/>
          <w:sz w:val="28"/>
          <w:szCs w:val="28"/>
          <w:lang w:val="uk-UA"/>
        </w:rPr>
        <w:t xml:space="preserve">FGF2, який також визначають як основний фактор росту фібробластів </w:t>
      </w:r>
      <w:r w:rsidRPr="000A32AD">
        <w:rPr>
          <w:rFonts w:ascii="Times New Roman" w:hAnsi="Times New Roman" w:cs="Times New Roman"/>
          <w:color w:val="000000" w:themeColor="text1"/>
          <w:sz w:val="28"/>
          <w:szCs w:val="28"/>
          <w:lang w:val="en-US"/>
        </w:rPr>
        <w:t>b</w:t>
      </w:r>
      <w:r w:rsidRPr="000A32AD">
        <w:rPr>
          <w:rFonts w:ascii="Times New Roman" w:hAnsi="Times New Roman" w:cs="Times New Roman"/>
          <w:color w:val="000000" w:themeColor="text1"/>
          <w:sz w:val="28"/>
          <w:szCs w:val="28"/>
          <w:lang w:val="uk-UA"/>
        </w:rPr>
        <w:t>FGF. FGF2 є гепаринзв'язувальним білком, який асоціюється з позаклітинним матриксом. Він вперше був описаний як мітогенний фактор фібробластів, що бере участь у реконструкції та регенерації тканин [</w:t>
      </w:r>
      <w:r w:rsidR="00312DBE" w:rsidRPr="000A32AD">
        <w:rPr>
          <w:rFonts w:ascii="Times New Roman" w:hAnsi="Times New Roman" w:cs="Times New Roman"/>
          <w:color w:val="000000" w:themeColor="text1"/>
          <w:sz w:val="28"/>
          <w:szCs w:val="28"/>
          <w:lang w:val="uk-UA"/>
        </w:rPr>
        <w:t>196</w:t>
      </w:r>
      <w:r w:rsidRPr="000A32AD">
        <w:rPr>
          <w:rFonts w:ascii="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FGF2 продукується активованим ендотелієм, моноцитами / макрофагами, фібробластами, гладком'язовими клітинами.</w:t>
      </w:r>
      <w:r w:rsidR="00F17BD2"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hAnsi="Times New Roman" w:cs="Times New Roman"/>
          <w:bCs/>
          <w:iCs/>
          <w:color w:val="000000" w:themeColor="text1"/>
          <w:sz w:val="28"/>
          <w:szCs w:val="28"/>
          <w:lang w:val="uk-UA"/>
        </w:rPr>
        <w:t xml:space="preserve">Він є фактором </w:t>
      </w:r>
      <w:r w:rsidRPr="000A32AD">
        <w:rPr>
          <w:rFonts w:ascii="Times New Roman" w:eastAsia="Times New Roman" w:hAnsi="Times New Roman" w:cs="Times New Roman"/>
          <w:color w:val="000000" w:themeColor="text1"/>
          <w:sz w:val="28"/>
          <w:szCs w:val="28"/>
          <w:lang w:val="uk-UA"/>
        </w:rPr>
        <w:t xml:space="preserve">диференціювання і фенотипічної трансформації клітин мезодермального походження, багатьох клітин нейроекто-, екто- і ендодермального походження, впливає на міграцію, диференціацію, хемотаксис, синтез ДНК і інші процеси в клітинах, як протягом ембріонального розвитку, так і в зрілому організмі. </w:t>
      </w:r>
      <w:r w:rsidRPr="000A32AD">
        <w:rPr>
          <w:rFonts w:ascii="Times New Roman" w:hAnsi="Times New Roman" w:cs="Times New Roman"/>
          <w:bCs/>
          <w:iCs/>
          <w:color w:val="000000" w:themeColor="text1"/>
          <w:sz w:val="28"/>
          <w:szCs w:val="28"/>
          <w:lang w:val="uk-UA"/>
        </w:rPr>
        <w:t>[</w:t>
      </w:r>
      <w:r w:rsidR="00312DBE" w:rsidRPr="000A32AD">
        <w:rPr>
          <w:rFonts w:ascii="Times New Roman" w:hAnsi="Times New Roman" w:cs="Times New Roman"/>
          <w:bCs/>
          <w:iCs/>
          <w:color w:val="000000" w:themeColor="text1"/>
          <w:sz w:val="28"/>
          <w:szCs w:val="28"/>
          <w:lang w:val="uk-UA"/>
        </w:rPr>
        <w:t>31</w:t>
      </w:r>
      <w:r w:rsidRPr="000A32AD">
        <w:rPr>
          <w:rFonts w:ascii="Times New Roman" w:hAnsi="Times New Roman" w:cs="Times New Roman"/>
          <w:color w:val="000000" w:themeColor="text1"/>
          <w:sz w:val="28"/>
          <w:szCs w:val="28"/>
          <w:lang w:val="uk-UA"/>
        </w:rPr>
        <w:t xml:space="preserve">; </w:t>
      </w:r>
      <w:r w:rsidR="00312DBE" w:rsidRPr="000A32AD">
        <w:rPr>
          <w:rFonts w:ascii="Times New Roman" w:hAnsi="Times New Roman" w:cs="Times New Roman"/>
          <w:color w:val="000000" w:themeColor="text1"/>
          <w:sz w:val="28"/>
          <w:szCs w:val="28"/>
          <w:lang w:val="uk-UA"/>
        </w:rPr>
        <w:t>110</w:t>
      </w:r>
      <w:r w:rsidRPr="000A32AD">
        <w:rPr>
          <w:rFonts w:ascii="Times New Roman" w:hAnsi="Times New Roman" w:cs="Times New Roman"/>
          <w:color w:val="000000" w:themeColor="text1"/>
          <w:sz w:val="28"/>
          <w:szCs w:val="28"/>
          <w:lang w:val="uk-UA"/>
        </w:rPr>
        <w:t xml:space="preserve">]. Крім цього, </w:t>
      </w:r>
      <w:r w:rsidRPr="000A32AD">
        <w:rPr>
          <w:rFonts w:ascii="Times New Roman" w:hAnsi="Times New Roman" w:cs="Times New Roman"/>
          <w:color w:val="000000" w:themeColor="text1"/>
          <w:sz w:val="28"/>
          <w:szCs w:val="28"/>
        </w:rPr>
        <w:t>FGF</w:t>
      </w:r>
      <w:r w:rsidRPr="000A32AD">
        <w:rPr>
          <w:rFonts w:ascii="Times New Roman" w:hAnsi="Times New Roman" w:cs="Times New Roman"/>
          <w:color w:val="000000" w:themeColor="text1"/>
          <w:sz w:val="28"/>
          <w:szCs w:val="28"/>
          <w:lang w:val="uk-UA"/>
        </w:rPr>
        <w:t xml:space="preserve">2 експресується в мезагіальних, ендотеліальних та епітеліальних клітинах клубочків нирок та регулює проліферацію, міграцію та диференціювання клітин. Завдяки стимуляції проліферації клітин </w:t>
      </w:r>
      <w:r w:rsidRPr="000A32AD">
        <w:rPr>
          <w:rFonts w:ascii="Times New Roman" w:hAnsi="Times New Roman" w:cs="Times New Roman"/>
          <w:color w:val="000000" w:themeColor="text1"/>
          <w:sz w:val="28"/>
          <w:szCs w:val="28"/>
        </w:rPr>
        <w:t>FGF</w:t>
      </w:r>
      <w:r w:rsidRPr="000A32AD">
        <w:rPr>
          <w:rFonts w:ascii="Times New Roman" w:hAnsi="Times New Roman" w:cs="Times New Roman"/>
          <w:color w:val="000000" w:themeColor="text1"/>
          <w:sz w:val="28"/>
          <w:szCs w:val="28"/>
          <w:lang w:val="uk-UA"/>
        </w:rPr>
        <w:t>2 сприяє розвитку тубулоінтес</w:t>
      </w:r>
      <w:r w:rsidR="00A254FF" w:rsidRPr="000A32AD">
        <w:rPr>
          <w:rFonts w:ascii="Times New Roman" w:hAnsi="Times New Roman" w:cs="Times New Roman"/>
          <w:color w:val="000000" w:themeColor="text1"/>
          <w:sz w:val="28"/>
          <w:szCs w:val="28"/>
          <w:lang w:val="uk-UA"/>
        </w:rPr>
        <w:softHyphen/>
      </w:r>
      <w:r w:rsidRPr="000A32AD">
        <w:rPr>
          <w:rFonts w:ascii="Times New Roman" w:hAnsi="Times New Roman" w:cs="Times New Roman"/>
          <w:color w:val="000000" w:themeColor="text1"/>
          <w:sz w:val="28"/>
          <w:szCs w:val="28"/>
          <w:lang w:val="uk-UA"/>
        </w:rPr>
        <w:t>тинально</w:t>
      </w:r>
      <w:r w:rsidR="00E62DCE" w:rsidRPr="000A32AD">
        <w:rPr>
          <w:rFonts w:ascii="Times New Roman" w:hAnsi="Times New Roman" w:cs="Times New Roman"/>
          <w:color w:val="000000" w:themeColor="text1"/>
          <w:sz w:val="28"/>
          <w:szCs w:val="28"/>
          <w:lang w:val="uk-UA"/>
        </w:rPr>
        <w:t>го</w:t>
      </w:r>
      <w:r w:rsidRPr="000A32AD">
        <w:rPr>
          <w:rFonts w:ascii="Times New Roman" w:hAnsi="Times New Roman" w:cs="Times New Roman"/>
          <w:color w:val="000000" w:themeColor="text1"/>
          <w:sz w:val="28"/>
          <w:szCs w:val="28"/>
          <w:lang w:val="uk-UA"/>
        </w:rPr>
        <w:t xml:space="preserve"> фіброзу, що підтверджується взаємозв’язком посиленої експресії </w:t>
      </w:r>
      <w:r w:rsidRPr="000A32AD">
        <w:rPr>
          <w:rFonts w:ascii="Times New Roman" w:hAnsi="Times New Roman" w:cs="Times New Roman"/>
          <w:color w:val="000000" w:themeColor="text1"/>
          <w:sz w:val="28"/>
          <w:szCs w:val="28"/>
        </w:rPr>
        <w:t>FGF</w:t>
      </w:r>
      <w:r w:rsidRPr="000A32AD">
        <w:rPr>
          <w:rFonts w:ascii="Times New Roman" w:hAnsi="Times New Roman" w:cs="Times New Roman"/>
          <w:color w:val="000000" w:themeColor="text1"/>
          <w:sz w:val="28"/>
          <w:szCs w:val="28"/>
          <w:lang w:val="uk-UA"/>
        </w:rPr>
        <w:t>2 з виразністю фіброзу інтерстицію нирок [</w:t>
      </w:r>
      <w:r w:rsidR="00312DBE" w:rsidRPr="000A32AD">
        <w:rPr>
          <w:rFonts w:ascii="Times New Roman" w:hAnsi="Times New Roman" w:cs="Times New Roman"/>
          <w:color w:val="000000" w:themeColor="text1"/>
          <w:sz w:val="28"/>
          <w:szCs w:val="28"/>
          <w:lang w:val="uk-UA"/>
        </w:rPr>
        <w:t>225</w:t>
      </w:r>
      <w:r w:rsidRPr="000A32AD">
        <w:rPr>
          <w:rFonts w:ascii="Times New Roman" w:hAnsi="Times New Roman" w:cs="Times New Roman"/>
          <w:color w:val="000000" w:themeColor="text1"/>
          <w:sz w:val="28"/>
          <w:szCs w:val="28"/>
          <w:lang w:val="uk-UA"/>
        </w:rPr>
        <w:t xml:space="preserve">; </w:t>
      </w:r>
      <w:r w:rsidR="00312DBE" w:rsidRPr="000A32AD">
        <w:rPr>
          <w:rFonts w:ascii="Times New Roman" w:hAnsi="Times New Roman" w:cs="Times New Roman"/>
          <w:color w:val="000000" w:themeColor="text1"/>
          <w:sz w:val="28"/>
          <w:szCs w:val="28"/>
          <w:lang w:val="uk-UA"/>
        </w:rPr>
        <w:t>233</w:t>
      </w:r>
      <w:r w:rsidRPr="000A32AD">
        <w:rPr>
          <w:rFonts w:ascii="Times New Roman" w:hAnsi="Times New Roman" w:cs="Times New Roman"/>
          <w:color w:val="000000" w:themeColor="text1"/>
          <w:sz w:val="28"/>
          <w:szCs w:val="28"/>
          <w:lang w:val="uk-UA"/>
        </w:rPr>
        <w:t>].</w:t>
      </w:r>
    </w:p>
    <w:p w:rsidR="000D5D92" w:rsidRPr="000A32AD" w:rsidRDefault="00DE29E7"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Основний фактор росту фібробластів  </w:t>
      </w:r>
      <w:r w:rsidR="000D5D92" w:rsidRPr="000A32AD">
        <w:rPr>
          <w:rFonts w:ascii="Times New Roman" w:hAnsi="Times New Roman" w:cs="Times New Roman"/>
          <w:color w:val="000000" w:themeColor="text1"/>
          <w:sz w:val="28"/>
          <w:szCs w:val="28"/>
          <w:lang w:val="uk-UA"/>
        </w:rPr>
        <w:t xml:space="preserve">є потужним проангіогенним фактором та діє синергічно з </w:t>
      </w:r>
      <w:r w:rsidR="000D5D92" w:rsidRPr="000A32AD">
        <w:rPr>
          <w:rFonts w:ascii="Times New Roman" w:hAnsi="Times New Roman" w:cs="Times New Roman"/>
          <w:color w:val="000000" w:themeColor="text1"/>
          <w:sz w:val="28"/>
          <w:szCs w:val="28"/>
          <w:lang w:val="en-US"/>
        </w:rPr>
        <w:t>VEGF</w:t>
      </w:r>
      <w:r w:rsidR="000D5D92" w:rsidRPr="000A32AD">
        <w:rPr>
          <w:rFonts w:ascii="Times New Roman" w:hAnsi="Times New Roman" w:cs="Times New Roman"/>
          <w:color w:val="000000" w:themeColor="text1"/>
          <w:sz w:val="28"/>
          <w:szCs w:val="28"/>
          <w:lang w:val="uk-UA"/>
        </w:rPr>
        <w:t xml:space="preserve"> [</w:t>
      </w:r>
      <w:r w:rsidR="00312DBE" w:rsidRPr="000A32AD">
        <w:rPr>
          <w:rFonts w:ascii="Times New Roman" w:hAnsi="Times New Roman" w:cs="Times New Roman"/>
          <w:color w:val="000000" w:themeColor="text1"/>
          <w:sz w:val="28"/>
          <w:szCs w:val="28"/>
          <w:lang w:val="uk-UA"/>
        </w:rPr>
        <w:t>84</w:t>
      </w:r>
      <w:r w:rsidR="000D5D92" w:rsidRPr="000A32AD">
        <w:rPr>
          <w:rFonts w:ascii="Times New Roman" w:hAnsi="Times New Roman" w:cs="Times New Roman"/>
          <w:color w:val="000000" w:themeColor="text1"/>
          <w:sz w:val="28"/>
          <w:szCs w:val="28"/>
          <w:lang w:val="uk-UA"/>
        </w:rPr>
        <w:t>;</w:t>
      </w:r>
      <w:r w:rsidR="00312DBE" w:rsidRPr="000A32AD">
        <w:rPr>
          <w:rFonts w:ascii="Times New Roman" w:hAnsi="Times New Roman" w:cs="Times New Roman"/>
          <w:color w:val="000000" w:themeColor="text1"/>
          <w:sz w:val="28"/>
          <w:szCs w:val="28"/>
          <w:lang w:val="uk-UA"/>
        </w:rPr>
        <w:t xml:space="preserve"> 204</w:t>
      </w:r>
      <w:r w:rsidR="000D5D92" w:rsidRPr="000A32AD">
        <w:rPr>
          <w:rFonts w:ascii="Times New Roman" w:hAnsi="Times New Roman" w:cs="Times New Roman"/>
          <w:color w:val="000000" w:themeColor="text1"/>
          <w:sz w:val="28"/>
          <w:szCs w:val="28"/>
          <w:lang w:val="uk-UA"/>
        </w:rPr>
        <w:t xml:space="preserve">], стимулює ендотеліоцити та ангіогенез </w:t>
      </w:r>
      <w:r w:rsidR="000D5D92" w:rsidRPr="000A32AD">
        <w:rPr>
          <w:rFonts w:ascii="Times New Roman" w:eastAsia="Times New Roman" w:hAnsi="Times New Roman" w:cs="Times New Roman"/>
          <w:color w:val="000000" w:themeColor="text1"/>
          <w:sz w:val="28"/>
          <w:szCs w:val="28"/>
          <w:lang w:val="uk-UA"/>
        </w:rPr>
        <w:t>в умовах ішемічного пошкодження міокарда [</w:t>
      </w:r>
      <w:r w:rsidR="00314D2E" w:rsidRPr="000A32AD">
        <w:rPr>
          <w:rFonts w:ascii="Times New Roman" w:hAnsi="Times New Roman" w:cs="Times New Roman"/>
          <w:color w:val="000000" w:themeColor="text1"/>
          <w:sz w:val="28"/>
          <w:szCs w:val="28"/>
          <w:lang w:val="uk-UA"/>
        </w:rPr>
        <w:t>86</w:t>
      </w:r>
      <w:r w:rsidR="000D5D92" w:rsidRPr="000A32AD">
        <w:rPr>
          <w:rFonts w:ascii="Times New Roman" w:eastAsia="Times New Roman" w:hAnsi="Times New Roman" w:cs="Times New Roman"/>
          <w:color w:val="000000" w:themeColor="text1"/>
          <w:sz w:val="28"/>
          <w:szCs w:val="28"/>
          <w:lang w:val="uk-UA"/>
        </w:rPr>
        <w:t>].</w:t>
      </w:r>
      <w:r w:rsidR="00F17BD2" w:rsidRPr="000A32AD">
        <w:rPr>
          <w:rFonts w:ascii="Times New Roman" w:eastAsia="Times New Roman" w:hAnsi="Times New Roman" w:cs="Times New Roman"/>
          <w:color w:val="000000" w:themeColor="text1"/>
          <w:sz w:val="28"/>
          <w:szCs w:val="28"/>
          <w:lang w:val="uk-UA"/>
        </w:rPr>
        <w:t xml:space="preserve"> </w:t>
      </w:r>
      <w:r w:rsidR="000D5D92" w:rsidRPr="000A32AD">
        <w:rPr>
          <w:rFonts w:ascii="Times New Roman" w:hAnsi="Times New Roman" w:cs="Times New Roman"/>
          <w:color w:val="000000" w:themeColor="text1"/>
          <w:sz w:val="28"/>
          <w:szCs w:val="28"/>
          <w:lang w:val="uk-UA"/>
        </w:rPr>
        <w:t xml:space="preserve">Також відомо, що </w:t>
      </w:r>
      <w:r w:rsidR="000D5D92" w:rsidRPr="000A32AD">
        <w:rPr>
          <w:rFonts w:ascii="Times New Roman" w:hAnsi="Times New Roman" w:cs="Times New Roman"/>
          <w:color w:val="000000" w:themeColor="text1"/>
          <w:sz w:val="28"/>
          <w:szCs w:val="28"/>
          <w:lang w:val="en-US"/>
        </w:rPr>
        <w:t>FGF</w:t>
      </w:r>
      <w:r w:rsidR="000D5D92" w:rsidRPr="000A32AD">
        <w:rPr>
          <w:rFonts w:ascii="Times New Roman" w:hAnsi="Times New Roman" w:cs="Times New Roman"/>
          <w:color w:val="000000" w:themeColor="text1"/>
          <w:sz w:val="28"/>
          <w:szCs w:val="28"/>
          <w:lang w:val="uk-UA"/>
        </w:rPr>
        <w:t xml:space="preserve">2 є антагоністом еластогенезу, зокрема, у судинній стінці, завдяки зменшення транскрипції гену еластину. В експерименті на щурах показано, що направленість та виразність цього ефекту залежить не тільки від вмісту </w:t>
      </w:r>
      <w:r w:rsidR="000D5D92" w:rsidRPr="000A32AD">
        <w:rPr>
          <w:rFonts w:ascii="Times New Roman" w:hAnsi="Times New Roman" w:cs="Times New Roman"/>
          <w:color w:val="000000" w:themeColor="text1"/>
          <w:sz w:val="28"/>
          <w:szCs w:val="28"/>
        </w:rPr>
        <w:t>FGF</w:t>
      </w:r>
      <w:r w:rsidR="000D5D92" w:rsidRPr="000A32AD">
        <w:rPr>
          <w:rFonts w:ascii="Times New Roman" w:hAnsi="Times New Roman" w:cs="Times New Roman"/>
          <w:color w:val="000000" w:themeColor="text1"/>
          <w:sz w:val="28"/>
          <w:szCs w:val="28"/>
          <w:lang w:val="uk-UA"/>
        </w:rPr>
        <w:t xml:space="preserve">2, </w:t>
      </w:r>
      <w:r w:rsidR="000D5D92" w:rsidRPr="000A32AD">
        <w:rPr>
          <w:rFonts w:ascii="Times New Roman" w:hAnsi="Times New Roman" w:cs="Times New Roman"/>
          <w:color w:val="000000" w:themeColor="text1"/>
          <w:sz w:val="28"/>
          <w:szCs w:val="28"/>
          <w:lang w:val="uk-UA"/>
        </w:rPr>
        <w:lastRenderedPageBreak/>
        <w:t>але й від його співвідношення з</w:t>
      </w:r>
      <w:r w:rsidR="00F17BD2" w:rsidRPr="000A32AD">
        <w:rPr>
          <w:rFonts w:ascii="Times New Roman" w:hAnsi="Times New Roman" w:cs="Times New Roman"/>
          <w:color w:val="000000" w:themeColor="text1"/>
          <w:sz w:val="28"/>
          <w:szCs w:val="28"/>
          <w:lang w:val="uk-UA"/>
        </w:rPr>
        <w:t xml:space="preserve"> </w:t>
      </w:r>
      <w:r w:rsidR="000D5D92" w:rsidRPr="000A32AD">
        <w:rPr>
          <w:rFonts w:ascii="Times New Roman" w:hAnsi="Times New Roman" w:cs="Times New Roman"/>
          <w:color w:val="000000" w:themeColor="text1"/>
          <w:sz w:val="28"/>
          <w:szCs w:val="28"/>
        </w:rPr>
        <w:t>TGF</w:t>
      </w:r>
      <w:r w:rsidR="000D5D92" w:rsidRPr="000A32AD">
        <w:rPr>
          <w:rFonts w:ascii="Times New Roman" w:hAnsi="Times New Roman" w:cs="Times New Roman"/>
          <w:color w:val="000000" w:themeColor="text1"/>
          <w:sz w:val="28"/>
          <w:szCs w:val="28"/>
          <w:lang w:val="uk-UA"/>
        </w:rPr>
        <w:t>-</w:t>
      </w:r>
      <w:r w:rsidR="000D5D92" w:rsidRPr="000A32AD">
        <w:rPr>
          <w:rFonts w:ascii="Times New Roman" w:hAnsi="Times New Roman" w:cs="Times New Roman"/>
          <w:color w:val="000000" w:themeColor="text1"/>
          <w:sz w:val="28"/>
          <w:szCs w:val="28"/>
        </w:rPr>
        <w:t>β</w:t>
      </w:r>
      <w:r w:rsidR="000D5D92" w:rsidRPr="000A32AD">
        <w:rPr>
          <w:rFonts w:ascii="Times New Roman" w:hAnsi="Times New Roman" w:cs="Times New Roman"/>
          <w:color w:val="000000" w:themeColor="text1"/>
          <w:sz w:val="28"/>
          <w:szCs w:val="28"/>
          <w:lang w:val="uk-UA"/>
        </w:rPr>
        <w:t xml:space="preserve">1. В умовах адренергічного стресу відношення </w:t>
      </w:r>
      <w:r w:rsidR="000D5D92" w:rsidRPr="000A32AD">
        <w:rPr>
          <w:rFonts w:ascii="Times New Roman" w:hAnsi="Times New Roman" w:cs="Times New Roman"/>
          <w:color w:val="000000" w:themeColor="text1"/>
          <w:sz w:val="28"/>
          <w:szCs w:val="28"/>
        </w:rPr>
        <w:t>FGF</w:t>
      </w:r>
      <w:r w:rsidR="000D5D92" w:rsidRPr="000A32AD">
        <w:rPr>
          <w:rFonts w:ascii="Times New Roman" w:hAnsi="Times New Roman" w:cs="Times New Roman"/>
          <w:color w:val="000000" w:themeColor="text1"/>
          <w:sz w:val="28"/>
          <w:szCs w:val="28"/>
          <w:lang w:val="uk-UA"/>
        </w:rPr>
        <w:t>2/</w:t>
      </w:r>
      <w:r w:rsidR="000D5D92" w:rsidRPr="000A32AD">
        <w:rPr>
          <w:rFonts w:ascii="Times New Roman" w:hAnsi="Times New Roman" w:cs="Times New Roman"/>
          <w:color w:val="000000" w:themeColor="text1"/>
          <w:sz w:val="28"/>
          <w:szCs w:val="28"/>
        </w:rPr>
        <w:t>TGF</w:t>
      </w:r>
      <w:r w:rsidR="000D5D92" w:rsidRPr="000A32AD">
        <w:rPr>
          <w:rFonts w:ascii="Times New Roman" w:hAnsi="Times New Roman" w:cs="Times New Roman"/>
          <w:color w:val="000000" w:themeColor="text1"/>
          <w:sz w:val="28"/>
          <w:szCs w:val="28"/>
          <w:lang w:val="uk-UA"/>
        </w:rPr>
        <w:t>-</w:t>
      </w:r>
      <w:r w:rsidR="000D5D92" w:rsidRPr="000A32AD">
        <w:rPr>
          <w:rFonts w:ascii="Times New Roman" w:hAnsi="Times New Roman" w:cs="Times New Roman"/>
          <w:color w:val="000000" w:themeColor="text1"/>
          <w:sz w:val="28"/>
          <w:szCs w:val="28"/>
        </w:rPr>
        <w:t>β</w:t>
      </w:r>
      <w:r w:rsidR="000D5D92" w:rsidRPr="000A32AD">
        <w:rPr>
          <w:rFonts w:ascii="Times New Roman" w:hAnsi="Times New Roman" w:cs="Times New Roman"/>
          <w:color w:val="000000" w:themeColor="text1"/>
          <w:sz w:val="28"/>
          <w:szCs w:val="28"/>
          <w:lang w:val="uk-UA"/>
        </w:rPr>
        <w:t>1 зменшується, в умовах холінергічного та змішаного стресу – збільшується. Це призводить до</w:t>
      </w:r>
      <w:r w:rsidR="00F17BD2" w:rsidRPr="000A32AD">
        <w:rPr>
          <w:rFonts w:ascii="Times New Roman" w:hAnsi="Times New Roman" w:cs="Times New Roman"/>
          <w:color w:val="000000" w:themeColor="text1"/>
          <w:sz w:val="28"/>
          <w:szCs w:val="28"/>
          <w:lang w:val="uk-UA"/>
        </w:rPr>
        <w:t xml:space="preserve"> </w:t>
      </w:r>
      <w:r w:rsidR="000D5D92" w:rsidRPr="000A32AD">
        <w:rPr>
          <w:rFonts w:ascii="Times New Roman" w:hAnsi="Times New Roman" w:cs="Times New Roman"/>
          <w:color w:val="000000" w:themeColor="text1"/>
          <w:sz w:val="28"/>
          <w:szCs w:val="28"/>
          <w:lang w:val="uk-UA"/>
        </w:rPr>
        <w:t>різного характеру фіброзу в стінках черевної аорти [</w:t>
      </w:r>
      <w:r w:rsidR="00312DBE" w:rsidRPr="000A32AD">
        <w:rPr>
          <w:rFonts w:ascii="Times New Roman" w:hAnsi="Times New Roman" w:cs="Times New Roman"/>
          <w:color w:val="000000" w:themeColor="text1"/>
          <w:sz w:val="28"/>
          <w:szCs w:val="28"/>
          <w:lang w:val="uk-UA"/>
        </w:rPr>
        <w:t>11</w:t>
      </w:r>
      <w:r w:rsidR="000D5D92" w:rsidRPr="000A32AD">
        <w:rPr>
          <w:rFonts w:ascii="Times New Roman" w:hAnsi="Times New Roman" w:cs="Times New Roman"/>
          <w:color w:val="000000" w:themeColor="text1"/>
          <w:sz w:val="28"/>
          <w:szCs w:val="28"/>
          <w:lang w:val="uk-UA"/>
        </w:rPr>
        <w:t>].</w:t>
      </w:r>
    </w:p>
    <w:p w:rsidR="000D5D92" w:rsidRPr="000A32AD" w:rsidRDefault="000D5D92" w:rsidP="000D5D92">
      <w:pPr>
        <w:shd w:val="clear" w:color="auto" w:fill="FFFFFF"/>
        <w:spacing w:line="360" w:lineRule="auto"/>
        <w:ind w:firstLine="709"/>
        <w:jc w:val="both"/>
        <w:textAlignment w:val="top"/>
        <w:rPr>
          <w:rFonts w:ascii="Times New Roman" w:eastAsia="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Вважається, що основним компонентом ангіогенезу є</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комплекс, що складається з </w:t>
      </w:r>
      <w:r w:rsidRPr="000A32AD">
        <w:rPr>
          <w:rFonts w:ascii="Times New Roman" w:hAnsi="Times New Roman" w:cs="Times New Roman"/>
          <w:color w:val="000000" w:themeColor="text1"/>
          <w:sz w:val="28"/>
          <w:szCs w:val="28"/>
        </w:rPr>
        <w:t>FGF</w:t>
      </w:r>
      <w:r w:rsidRPr="000A32AD">
        <w:rPr>
          <w:rFonts w:ascii="Times New Roman" w:hAnsi="Times New Roman" w:cs="Times New Roman"/>
          <w:color w:val="000000" w:themeColor="text1"/>
          <w:sz w:val="28"/>
          <w:szCs w:val="28"/>
          <w:lang w:val="uk-UA"/>
        </w:rPr>
        <w:t xml:space="preserve">2, його рецептору </w:t>
      </w:r>
      <w:r w:rsidRPr="000A32AD">
        <w:rPr>
          <w:rFonts w:ascii="Times New Roman" w:hAnsi="Times New Roman" w:cs="Times New Roman"/>
          <w:color w:val="000000" w:themeColor="text1"/>
          <w:sz w:val="28"/>
          <w:szCs w:val="28"/>
        </w:rPr>
        <w:t>FGF</w:t>
      </w:r>
      <w:r w:rsidRPr="000A32AD">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rPr>
        <w:t>R</w:t>
      </w:r>
      <w:r w:rsidRPr="000A32AD">
        <w:rPr>
          <w:rFonts w:ascii="Times New Roman" w:hAnsi="Times New Roman" w:cs="Times New Roman"/>
          <w:color w:val="000000" w:themeColor="text1"/>
          <w:sz w:val="28"/>
          <w:szCs w:val="28"/>
          <w:lang w:val="uk-UA"/>
        </w:rPr>
        <w:t>1 та ко-рецептору</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протеогликану гепарансульфату. Ангіотензин II індукує експресію FGF2, а також підвищує експресію FGF-R1 і гепаран-сульфату [</w:t>
      </w:r>
      <w:r w:rsidR="00312DBE" w:rsidRPr="000A32AD">
        <w:rPr>
          <w:rFonts w:ascii="Times New Roman" w:hAnsi="Times New Roman" w:cs="Times New Roman"/>
          <w:color w:val="000000" w:themeColor="text1"/>
          <w:sz w:val="28"/>
          <w:szCs w:val="28"/>
          <w:lang w:val="uk-UA"/>
        </w:rPr>
        <w:t>223</w:t>
      </w:r>
      <w:r w:rsidRPr="000A32AD">
        <w:rPr>
          <w:rFonts w:ascii="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FGF2 розглядають як</w:t>
      </w:r>
      <w:r w:rsidR="00F17BD2"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ключовий ангіогенний фактор</w:t>
      </w:r>
      <w:r w:rsidR="00F17BD2"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при ішемічному ураженні мозку [</w:t>
      </w:r>
      <w:r w:rsidR="00312DBE" w:rsidRPr="000A32AD">
        <w:rPr>
          <w:rFonts w:ascii="Times New Roman" w:hAnsi="Times New Roman" w:cs="Times New Roman"/>
          <w:color w:val="000000" w:themeColor="text1"/>
          <w:sz w:val="28"/>
          <w:szCs w:val="28"/>
          <w:lang w:val="uk-UA"/>
        </w:rPr>
        <w:t>88</w:t>
      </w:r>
      <w:r w:rsidRPr="000A32AD">
        <w:rPr>
          <w:rFonts w:ascii="Times New Roman" w:eastAsia="Times New Roman" w:hAnsi="Times New Roman" w:cs="Times New Roman"/>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Генетичні дефекти FGFR2 призводять до розвитку різноманітних аномалій (синдром Аперта, Синдром Краузона, синдром Сате-Чотцена, синдром Пфайффера</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та ін.), для яких, крім аномалій черепа, характерні аномалії інших органів. Надмірна експресія FGF сприяє до розвитку онкопатології, зокрема, раку сечового міхура, передміхурової залози, меланомі та ін. [</w:t>
      </w:r>
      <w:r w:rsidR="00312DBE" w:rsidRPr="000A32AD">
        <w:rPr>
          <w:rFonts w:ascii="Times New Roman" w:hAnsi="Times New Roman" w:cs="Times New Roman"/>
          <w:color w:val="000000" w:themeColor="text1"/>
          <w:sz w:val="28"/>
          <w:szCs w:val="28"/>
          <w:lang w:val="uk-UA"/>
        </w:rPr>
        <w:t xml:space="preserve">181; </w:t>
      </w:r>
      <w:r w:rsidR="00873566" w:rsidRPr="000A32AD">
        <w:rPr>
          <w:rFonts w:ascii="Times New Roman" w:hAnsi="Times New Roman" w:cs="Times New Roman"/>
          <w:color w:val="000000" w:themeColor="text1"/>
          <w:sz w:val="28"/>
          <w:szCs w:val="28"/>
          <w:lang w:val="uk-UA"/>
        </w:rPr>
        <w:t>198</w:t>
      </w:r>
      <w:r w:rsidRPr="000A32AD">
        <w:rPr>
          <w:rFonts w:ascii="Times New Roman" w:hAnsi="Times New Roman" w:cs="Times New Roman"/>
          <w:color w:val="000000" w:themeColor="text1"/>
          <w:sz w:val="28"/>
          <w:szCs w:val="28"/>
          <w:lang w:val="uk-UA"/>
        </w:rPr>
        <w:t xml:space="preserve">]. </w:t>
      </w:r>
    </w:p>
    <w:p w:rsidR="000D5D92" w:rsidRPr="000A32AD" w:rsidRDefault="00DE29E7" w:rsidP="000D5D92">
      <w:pPr>
        <w:spacing w:line="360" w:lineRule="auto"/>
        <w:ind w:firstLine="709"/>
        <w:jc w:val="both"/>
        <w:outlineLvl w:val="0"/>
        <w:rPr>
          <w:rFonts w:ascii="Times New Roman" w:eastAsia="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Основний фактор росту фібробластів </w:t>
      </w:r>
      <w:r w:rsidR="000D5D92" w:rsidRPr="000A32AD">
        <w:rPr>
          <w:rFonts w:ascii="Times New Roman" w:hAnsi="Times New Roman" w:cs="Times New Roman"/>
          <w:color w:val="000000" w:themeColor="text1"/>
          <w:sz w:val="28"/>
          <w:szCs w:val="28"/>
          <w:lang w:val="uk-UA"/>
        </w:rPr>
        <w:t xml:space="preserve"> присутній в мікросередовищі тканин і відіграє важливу роль її регенерації після пошкодження. FGF2 є одним з найбільш вивченим фактором росту [</w:t>
      </w:r>
      <w:r w:rsidR="000A01F1" w:rsidRPr="000A32AD">
        <w:rPr>
          <w:rFonts w:ascii="Times New Roman" w:eastAsia="Times New Roman" w:hAnsi="Times New Roman" w:cs="Times New Roman"/>
          <w:color w:val="000000" w:themeColor="text1"/>
          <w:sz w:val="28"/>
          <w:szCs w:val="28"/>
          <w:lang w:val="uk-UA"/>
        </w:rPr>
        <w:t>158</w:t>
      </w:r>
      <w:r w:rsidR="000D5D92" w:rsidRPr="000A32AD">
        <w:rPr>
          <w:rFonts w:ascii="Times New Roman" w:eastAsia="Times New Roman" w:hAnsi="Times New Roman" w:cs="Times New Roman"/>
          <w:color w:val="000000" w:themeColor="text1"/>
          <w:sz w:val="28"/>
          <w:szCs w:val="28"/>
          <w:lang w:val="uk-UA"/>
        </w:rPr>
        <w:t>;</w:t>
      </w:r>
      <w:r w:rsidR="000D5D92" w:rsidRPr="000A32AD">
        <w:rPr>
          <w:rFonts w:ascii="Times New Roman" w:hAnsi="Times New Roman" w:cs="Times New Roman"/>
          <w:color w:val="000000" w:themeColor="text1"/>
          <w:sz w:val="28"/>
          <w:szCs w:val="28"/>
          <w:lang w:val="uk-UA"/>
        </w:rPr>
        <w:t xml:space="preserve"> </w:t>
      </w:r>
      <w:r w:rsidR="000A01F1" w:rsidRPr="000A32AD">
        <w:rPr>
          <w:rFonts w:ascii="Times New Roman" w:eastAsia="Times New Roman" w:hAnsi="Times New Roman" w:cs="Times New Roman"/>
          <w:color w:val="000000" w:themeColor="text1"/>
          <w:sz w:val="28"/>
          <w:szCs w:val="28"/>
          <w:lang w:val="uk-UA"/>
        </w:rPr>
        <w:t>209</w:t>
      </w:r>
      <w:r w:rsidR="000D5D92" w:rsidRPr="000A32AD">
        <w:rPr>
          <w:rFonts w:ascii="Times New Roman" w:hAnsi="Times New Roman" w:cs="Times New Roman"/>
          <w:color w:val="000000" w:themeColor="text1"/>
          <w:sz w:val="28"/>
          <w:szCs w:val="28"/>
          <w:lang w:val="uk-UA"/>
        </w:rPr>
        <w:t>]. FGF2</w:t>
      </w:r>
      <w:r w:rsidR="000D5D92" w:rsidRPr="000A32AD">
        <w:rPr>
          <w:rFonts w:ascii="Times New Roman" w:eastAsia="Times New Roman" w:hAnsi="Times New Roman" w:cs="Times New Roman"/>
          <w:color w:val="000000" w:themeColor="text1"/>
          <w:sz w:val="28"/>
          <w:szCs w:val="28"/>
          <w:lang w:val="uk-UA"/>
        </w:rPr>
        <w:t xml:space="preserve"> поряд з </w:t>
      </w:r>
      <w:r w:rsidR="000D5D92" w:rsidRPr="000A32AD">
        <w:rPr>
          <w:rFonts w:ascii="Times New Roman" w:hAnsi="Times New Roman" w:cs="Times New Roman"/>
          <w:color w:val="000000" w:themeColor="text1"/>
          <w:sz w:val="28"/>
          <w:szCs w:val="28"/>
          <w:lang w:val="uk-UA"/>
        </w:rPr>
        <w:t>VEGF бере участь</w:t>
      </w:r>
      <w:r w:rsidR="000D5D92" w:rsidRPr="000A32AD">
        <w:rPr>
          <w:rFonts w:ascii="Times New Roman" w:eastAsia="Times New Roman" w:hAnsi="Times New Roman" w:cs="Times New Roman"/>
          <w:color w:val="000000" w:themeColor="text1"/>
          <w:sz w:val="28"/>
          <w:szCs w:val="28"/>
          <w:lang w:val="uk-UA"/>
        </w:rPr>
        <w:t xml:space="preserve"> в індукції проліферації ендотелі</w:t>
      </w:r>
      <w:r w:rsidR="000D5D92" w:rsidRPr="000A32AD">
        <w:rPr>
          <w:rFonts w:ascii="Times New Roman" w:eastAsia="Times New Roman" w:hAnsi="Times New Roman" w:cs="Times New Roman"/>
          <w:color w:val="000000" w:themeColor="text1"/>
          <w:sz w:val="28"/>
          <w:szCs w:val="28"/>
          <w:lang w:val="uk-UA"/>
        </w:rPr>
        <w:softHyphen/>
        <w:t xml:space="preserve">альних клітин та в утворенні трубчастих структур. В експерименті </w:t>
      </w:r>
      <w:r w:rsidR="000D5D92" w:rsidRPr="000A32AD">
        <w:rPr>
          <w:rFonts w:ascii="Times New Roman" w:hAnsi="Times New Roman" w:cs="Times New Roman"/>
          <w:color w:val="000000" w:themeColor="text1"/>
          <w:sz w:val="28"/>
          <w:szCs w:val="28"/>
          <w:lang w:val="uk-UA"/>
        </w:rPr>
        <w:t>in vitro</w:t>
      </w:r>
      <w:r w:rsidR="000D5D92" w:rsidRPr="000A32AD">
        <w:rPr>
          <w:rFonts w:ascii="Times New Roman" w:eastAsia="Times New Roman" w:hAnsi="Times New Roman" w:cs="Times New Roman"/>
          <w:color w:val="000000" w:themeColor="text1"/>
          <w:sz w:val="28"/>
          <w:szCs w:val="28"/>
          <w:lang w:val="uk-UA"/>
        </w:rPr>
        <w:t xml:space="preserve"> встановлено, що </w:t>
      </w:r>
      <w:r w:rsidR="000D5D92" w:rsidRPr="000A32AD">
        <w:rPr>
          <w:rFonts w:ascii="Times New Roman" w:hAnsi="Times New Roman" w:cs="Times New Roman"/>
          <w:color w:val="000000" w:themeColor="text1"/>
          <w:sz w:val="28"/>
          <w:szCs w:val="28"/>
          <w:shd w:val="clear" w:color="auto" w:fill="FFFFFF"/>
        </w:rPr>
        <w:t>IL</w:t>
      </w:r>
      <w:r w:rsidR="000D5D92" w:rsidRPr="000A32AD">
        <w:rPr>
          <w:rFonts w:ascii="Times New Roman" w:hAnsi="Times New Roman" w:cs="Times New Roman"/>
          <w:color w:val="000000" w:themeColor="text1"/>
          <w:sz w:val="28"/>
          <w:szCs w:val="28"/>
          <w:shd w:val="clear" w:color="auto" w:fill="FFFFFF"/>
          <w:lang w:val="uk-UA"/>
        </w:rPr>
        <w:t>-4</w:t>
      </w:r>
      <w:r w:rsidR="000D5D92" w:rsidRPr="000A32AD">
        <w:rPr>
          <w:rFonts w:ascii="Times New Roman" w:eastAsia="Times New Roman" w:hAnsi="Times New Roman" w:cs="Times New Roman"/>
          <w:color w:val="000000" w:themeColor="text1"/>
          <w:sz w:val="28"/>
          <w:szCs w:val="28"/>
          <w:lang w:val="uk-UA"/>
        </w:rPr>
        <w:t xml:space="preserve"> інгібує проангіогенну активність цих факторів росту [</w:t>
      </w:r>
      <w:r w:rsidR="000A01F1" w:rsidRPr="000A32AD">
        <w:rPr>
          <w:rFonts w:ascii="Times New Roman" w:eastAsia="Times New Roman" w:hAnsi="Times New Roman" w:cs="Times New Roman"/>
          <w:color w:val="000000" w:themeColor="text1"/>
          <w:sz w:val="28"/>
          <w:szCs w:val="28"/>
          <w:lang w:val="uk-UA"/>
        </w:rPr>
        <w:t>167</w:t>
      </w:r>
      <w:r w:rsidR="000D5D92" w:rsidRPr="000A32AD">
        <w:rPr>
          <w:rFonts w:ascii="Times New Roman" w:eastAsia="Times New Roman" w:hAnsi="Times New Roman" w:cs="Times New Roman"/>
          <w:color w:val="000000" w:themeColor="text1"/>
          <w:sz w:val="28"/>
          <w:szCs w:val="28"/>
          <w:lang w:val="uk-UA"/>
        </w:rPr>
        <w:t xml:space="preserve">]. Механізми проангіогенної дії </w:t>
      </w:r>
      <w:r w:rsidR="000D5D92" w:rsidRPr="000A32AD">
        <w:rPr>
          <w:rFonts w:ascii="Times New Roman" w:hAnsi="Times New Roman" w:cs="Times New Roman"/>
          <w:color w:val="000000" w:themeColor="text1"/>
          <w:sz w:val="28"/>
          <w:szCs w:val="28"/>
          <w:lang w:val="uk-UA"/>
        </w:rPr>
        <w:t xml:space="preserve">FGF2 не зовсім зрозуміли. </w:t>
      </w:r>
      <w:r w:rsidR="000D5D92" w:rsidRPr="000A32AD">
        <w:rPr>
          <w:rFonts w:ascii="Times New Roman" w:eastAsia="Times New Roman" w:hAnsi="Times New Roman" w:cs="Times New Roman"/>
          <w:color w:val="000000" w:themeColor="text1"/>
          <w:sz w:val="28"/>
          <w:szCs w:val="28"/>
          <w:lang w:val="uk-UA"/>
        </w:rPr>
        <w:t xml:space="preserve">За результатами дослідження </w:t>
      </w:r>
      <w:r w:rsidR="000D5D92" w:rsidRPr="000A32AD">
        <w:rPr>
          <w:rFonts w:ascii="Times New Roman" w:eastAsia="Times New Roman" w:hAnsi="Times New Roman" w:cs="Times New Roman"/>
          <w:color w:val="000000" w:themeColor="text1"/>
          <w:sz w:val="28"/>
          <w:szCs w:val="28"/>
        </w:rPr>
        <w:t>B</w:t>
      </w:r>
      <w:r w:rsidR="000D5D92" w:rsidRPr="000A32AD">
        <w:rPr>
          <w:rFonts w:ascii="Times New Roman" w:eastAsia="Times New Roman" w:hAnsi="Times New Roman" w:cs="Times New Roman"/>
          <w:color w:val="000000" w:themeColor="text1"/>
          <w:sz w:val="28"/>
          <w:szCs w:val="28"/>
          <w:lang w:val="uk-UA"/>
        </w:rPr>
        <w:t>.-</w:t>
      </w:r>
      <w:r w:rsidR="000D5D92" w:rsidRPr="000A32AD">
        <w:rPr>
          <w:rFonts w:ascii="Times New Roman" w:eastAsia="Times New Roman" w:hAnsi="Times New Roman" w:cs="Times New Roman"/>
          <w:color w:val="000000" w:themeColor="text1"/>
          <w:sz w:val="28"/>
          <w:szCs w:val="28"/>
        </w:rPr>
        <w:t>Z</w:t>
      </w:r>
      <w:r w:rsidR="000D5D92" w:rsidRPr="000A32AD">
        <w:rPr>
          <w:rFonts w:ascii="Times New Roman" w:eastAsia="Times New Roman" w:hAnsi="Times New Roman" w:cs="Times New Roman"/>
          <w:color w:val="000000" w:themeColor="text1"/>
          <w:sz w:val="28"/>
          <w:szCs w:val="28"/>
          <w:lang w:val="uk-UA"/>
        </w:rPr>
        <w:t xml:space="preserve">. </w:t>
      </w:r>
      <w:r w:rsidR="000D5D92" w:rsidRPr="000A32AD">
        <w:rPr>
          <w:rFonts w:ascii="Times New Roman" w:eastAsia="Times New Roman" w:hAnsi="Times New Roman" w:cs="Times New Roman"/>
          <w:color w:val="000000" w:themeColor="text1"/>
          <w:sz w:val="28"/>
          <w:szCs w:val="28"/>
        </w:rPr>
        <w:t>Hong</w:t>
      </w:r>
      <w:r w:rsidR="000D5D92" w:rsidRPr="000A32AD">
        <w:rPr>
          <w:rFonts w:ascii="Times New Roman" w:eastAsia="Times New Roman" w:hAnsi="Times New Roman" w:cs="Times New Roman"/>
          <w:color w:val="000000" w:themeColor="text1"/>
          <w:sz w:val="28"/>
          <w:szCs w:val="28"/>
          <w:lang w:val="uk-UA"/>
        </w:rPr>
        <w:t xml:space="preserve"> та співавт. встановили, що </w:t>
      </w:r>
      <w:r w:rsidR="000D5D92" w:rsidRPr="000A32AD">
        <w:rPr>
          <w:rFonts w:ascii="Times New Roman" w:hAnsi="Times New Roman" w:cs="Times New Roman"/>
          <w:color w:val="000000" w:themeColor="text1"/>
          <w:sz w:val="28"/>
          <w:szCs w:val="28"/>
          <w:lang w:val="uk-UA"/>
        </w:rPr>
        <w:t>FGF2 сприяє збільшенню внутрішньоклітинної концентрації іонів</w:t>
      </w:r>
      <w:r w:rsidR="00F17BD2" w:rsidRPr="000A32AD">
        <w:rPr>
          <w:rFonts w:ascii="Times New Roman" w:hAnsi="Times New Roman" w:cs="Times New Roman"/>
          <w:color w:val="000000" w:themeColor="text1"/>
          <w:sz w:val="28"/>
          <w:szCs w:val="28"/>
          <w:lang w:val="uk-UA"/>
        </w:rPr>
        <w:t xml:space="preserve"> </w:t>
      </w:r>
      <w:r w:rsidR="000D5D92" w:rsidRPr="000A32AD">
        <w:rPr>
          <w:rFonts w:ascii="Times New Roman" w:hAnsi="Times New Roman" w:cs="Times New Roman"/>
          <w:color w:val="000000" w:themeColor="text1"/>
          <w:sz w:val="28"/>
          <w:szCs w:val="28"/>
          <w:lang w:val="uk-UA"/>
        </w:rPr>
        <w:t>магнію</w:t>
      </w:r>
      <w:r w:rsidR="00F17BD2" w:rsidRPr="000A32AD">
        <w:rPr>
          <w:rFonts w:ascii="Times New Roman" w:hAnsi="Times New Roman" w:cs="Times New Roman"/>
          <w:color w:val="000000" w:themeColor="text1"/>
          <w:sz w:val="28"/>
          <w:szCs w:val="28"/>
          <w:lang w:val="uk-UA"/>
        </w:rPr>
        <w:t xml:space="preserve"> </w:t>
      </w:r>
      <w:r w:rsidR="000D5D92" w:rsidRPr="000A32AD">
        <w:rPr>
          <w:rFonts w:ascii="Times New Roman" w:hAnsi="Times New Roman" w:cs="Times New Roman"/>
          <w:color w:val="000000" w:themeColor="text1"/>
          <w:sz w:val="28"/>
          <w:szCs w:val="28"/>
          <w:lang w:val="uk-UA"/>
        </w:rPr>
        <w:t xml:space="preserve">через тирозин-кіназа залежний сигнальний шлях </w:t>
      </w:r>
      <w:r w:rsidR="000D5D92" w:rsidRPr="000A32AD">
        <w:rPr>
          <w:rFonts w:ascii="Times New Roman" w:eastAsia="Times New Roman" w:hAnsi="Times New Roman" w:cs="Times New Roman"/>
          <w:color w:val="000000" w:themeColor="text1"/>
          <w:sz w:val="28"/>
          <w:szCs w:val="28"/>
          <w:lang w:val="uk-UA"/>
        </w:rPr>
        <w:t>[</w:t>
      </w:r>
      <w:r w:rsidR="000A01F1" w:rsidRPr="000A32AD">
        <w:rPr>
          <w:rFonts w:ascii="Times New Roman" w:eastAsia="Times New Roman" w:hAnsi="Times New Roman" w:cs="Times New Roman"/>
          <w:color w:val="000000" w:themeColor="text1"/>
          <w:sz w:val="28"/>
          <w:szCs w:val="28"/>
          <w:lang w:val="uk-UA"/>
        </w:rPr>
        <w:t>143</w:t>
      </w:r>
      <w:r w:rsidR="000D5D92" w:rsidRPr="000A32AD">
        <w:rPr>
          <w:rFonts w:ascii="Times New Roman" w:eastAsia="Times New Roman" w:hAnsi="Times New Roman" w:cs="Times New Roman"/>
          <w:color w:val="000000" w:themeColor="text1"/>
          <w:sz w:val="28"/>
          <w:szCs w:val="28"/>
          <w:lang w:val="uk-UA"/>
        </w:rPr>
        <w:t>].</w:t>
      </w:r>
    </w:p>
    <w:p w:rsidR="000D5D92" w:rsidRPr="000A32AD" w:rsidRDefault="00DE29E7" w:rsidP="000D5D92">
      <w:pPr>
        <w:pStyle w:val="1"/>
        <w:shd w:val="clear" w:color="auto" w:fill="FFFFFF"/>
        <w:spacing w:before="0" w:beforeAutospacing="0" w:after="0" w:afterAutospacing="0" w:line="360" w:lineRule="auto"/>
        <w:ind w:firstLine="709"/>
        <w:jc w:val="both"/>
        <w:rPr>
          <w:b w:val="0"/>
          <w:color w:val="000000" w:themeColor="text1"/>
          <w:sz w:val="28"/>
          <w:szCs w:val="28"/>
          <w:lang w:val="uk-UA"/>
        </w:rPr>
      </w:pPr>
      <w:r w:rsidRPr="000A32AD">
        <w:rPr>
          <w:b w:val="0"/>
          <w:color w:val="000000" w:themeColor="text1"/>
          <w:sz w:val="28"/>
          <w:szCs w:val="28"/>
          <w:lang w:val="uk-UA"/>
        </w:rPr>
        <w:t>Основний фактор росту фібробластів</w:t>
      </w:r>
      <w:r w:rsidR="000D5D92" w:rsidRPr="000A32AD">
        <w:rPr>
          <w:b w:val="0"/>
          <w:color w:val="000000" w:themeColor="text1"/>
          <w:sz w:val="28"/>
          <w:szCs w:val="28"/>
          <w:lang w:val="uk-UA"/>
        </w:rPr>
        <w:t>, що продукується ендотеліальними клітинами аорти людини, є критичним цитопротекторним фактором в умовах інтенсивного ламінарного кровотоку, який зменшує інтенсивність окисного струсу на тлі TNF-α індукованої ендотеліальної дисфункції та інгібує білки, пов'язані із запаленням та тромбозом, як in vitro, так і in vivo [</w:t>
      </w:r>
      <w:r w:rsidR="000B6EAF" w:rsidRPr="000A32AD">
        <w:rPr>
          <w:b w:val="0"/>
          <w:color w:val="000000" w:themeColor="text1"/>
          <w:sz w:val="28"/>
          <w:szCs w:val="28"/>
          <w:lang w:val="uk-UA"/>
        </w:rPr>
        <w:t>239</w:t>
      </w:r>
      <w:r w:rsidR="000D5D92" w:rsidRPr="000A32AD">
        <w:rPr>
          <w:b w:val="0"/>
          <w:color w:val="000000" w:themeColor="text1"/>
          <w:sz w:val="28"/>
          <w:szCs w:val="28"/>
          <w:lang w:val="uk-UA"/>
        </w:rPr>
        <w:t xml:space="preserve">]. </w:t>
      </w:r>
    </w:p>
    <w:p w:rsidR="000D5D92" w:rsidRPr="000A32AD" w:rsidRDefault="000D5D92" w:rsidP="000D5D92">
      <w:pPr>
        <w:pStyle w:val="1"/>
        <w:shd w:val="clear" w:color="auto" w:fill="FFFFFF"/>
        <w:spacing w:before="0" w:beforeAutospacing="0" w:after="0" w:afterAutospacing="0" w:line="360" w:lineRule="auto"/>
        <w:ind w:firstLine="709"/>
        <w:jc w:val="both"/>
        <w:rPr>
          <w:b w:val="0"/>
          <w:color w:val="000000" w:themeColor="text1"/>
          <w:sz w:val="28"/>
          <w:szCs w:val="28"/>
          <w:lang w:val="uk-UA"/>
        </w:rPr>
      </w:pPr>
      <w:r w:rsidRPr="000A32AD">
        <w:rPr>
          <w:b w:val="0"/>
          <w:color w:val="000000" w:themeColor="text1"/>
          <w:sz w:val="28"/>
          <w:szCs w:val="28"/>
          <w:lang w:val="uk-UA"/>
        </w:rPr>
        <w:lastRenderedPageBreak/>
        <w:t>Встановлено інгібуючий ефект FGF2 на активацію фібробластів шкіри завдяки зменшенню експресії гладком’язового актину, кальпоніну, трансгеліну, фактору росту сполучної тканини, фібронектину та колагену [</w:t>
      </w:r>
      <w:r w:rsidR="00873566" w:rsidRPr="000A32AD">
        <w:rPr>
          <w:b w:val="0"/>
          <w:color w:val="000000" w:themeColor="text1"/>
          <w:sz w:val="28"/>
          <w:szCs w:val="28"/>
          <w:lang w:val="uk-UA"/>
        </w:rPr>
        <w:t>120</w:t>
      </w:r>
      <w:r w:rsidRPr="000A32AD">
        <w:rPr>
          <w:b w:val="0"/>
          <w:color w:val="000000" w:themeColor="text1"/>
          <w:sz w:val="28"/>
          <w:szCs w:val="28"/>
          <w:lang w:val="uk-UA"/>
        </w:rPr>
        <w:t>]. За іншими даними, FGF2 стимулює проліферацію фібробластів та</w:t>
      </w:r>
      <w:r w:rsidR="00F17BD2" w:rsidRPr="000A32AD">
        <w:rPr>
          <w:b w:val="0"/>
          <w:color w:val="000000" w:themeColor="text1"/>
          <w:sz w:val="28"/>
          <w:szCs w:val="28"/>
          <w:lang w:val="uk-UA"/>
        </w:rPr>
        <w:t xml:space="preserve"> </w:t>
      </w:r>
      <w:r w:rsidRPr="000A32AD">
        <w:rPr>
          <w:b w:val="0"/>
          <w:color w:val="000000" w:themeColor="text1"/>
          <w:sz w:val="28"/>
          <w:szCs w:val="28"/>
          <w:lang w:val="uk-UA"/>
        </w:rPr>
        <w:t>сприяє утворенню колагену [</w:t>
      </w:r>
      <w:r w:rsidR="000B6EAF" w:rsidRPr="000A32AD">
        <w:rPr>
          <w:b w:val="0"/>
          <w:color w:val="000000" w:themeColor="text1"/>
          <w:sz w:val="28"/>
          <w:szCs w:val="28"/>
          <w:lang w:val="uk-UA"/>
        </w:rPr>
        <w:t>241</w:t>
      </w:r>
      <w:r w:rsidRPr="000A32AD">
        <w:rPr>
          <w:b w:val="0"/>
          <w:color w:val="000000" w:themeColor="text1"/>
          <w:sz w:val="28"/>
          <w:szCs w:val="28"/>
          <w:lang w:val="uk-UA"/>
        </w:rPr>
        <w:t>].</w:t>
      </w:r>
    </w:p>
    <w:p w:rsidR="000D5D92" w:rsidRPr="000A32AD" w:rsidRDefault="000D5D92" w:rsidP="000D5D92">
      <w:pPr>
        <w:spacing w:line="360" w:lineRule="auto"/>
        <w:ind w:firstLine="709"/>
        <w:jc w:val="both"/>
        <w:outlineLvl w:val="0"/>
        <w:rPr>
          <w:rFonts w:ascii="Times New Roman" w:eastAsia="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Миші, що не мають FGF2, також розвиваються нормально, але демонструють зниження судинного тонусу, порушену гіпертрофію серця, зменшену щільність кортикального нейрону та дефекти у відповідь на шкірні, легеневі та серцеві пошкодження [</w:t>
      </w:r>
      <w:r w:rsidR="000A01F1" w:rsidRPr="000A32AD">
        <w:rPr>
          <w:rFonts w:ascii="Times New Roman" w:hAnsi="Times New Roman" w:cs="Times New Roman"/>
          <w:color w:val="000000" w:themeColor="text1"/>
          <w:sz w:val="28"/>
          <w:szCs w:val="28"/>
          <w:lang w:val="uk-UA"/>
        </w:rPr>
        <w:t>130; 133</w:t>
      </w:r>
      <w:r w:rsidRPr="000A32AD">
        <w:rPr>
          <w:rFonts w:ascii="Times New Roman" w:hAnsi="Times New Roman" w:cs="Times New Roman"/>
          <w:color w:val="000000" w:themeColor="text1"/>
          <w:sz w:val="28"/>
          <w:szCs w:val="28"/>
          <w:lang w:val="uk-UA"/>
        </w:rPr>
        <w:t xml:space="preserve">; </w:t>
      </w:r>
      <w:r w:rsidR="000A01F1" w:rsidRPr="000A32AD">
        <w:rPr>
          <w:rFonts w:ascii="Times New Roman" w:hAnsi="Times New Roman" w:cs="Times New Roman"/>
          <w:color w:val="000000" w:themeColor="text1"/>
          <w:sz w:val="28"/>
          <w:szCs w:val="28"/>
          <w:lang w:val="uk-UA"/>
        </w:rPr>
        <w:t>236</w:t>
      </w:r>
      <w:r w:rsidRPr="000A32AD">
        <w:rPr>
          <w:rFonts w:ascii="Times New Roman" w:hAnsi="Times New Roman" w:cs="Times New Roman"/>
          <w:color w:val="000000" w:themeColor="text1"/>
          <w:sz w:val="28"/>
          <w:szCs w:val="28"/>
          <w:lang w:val="uk-UA"/>
        </w:rPr>
        <w:t>]. В іншому експерименті</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встановлено, що трансгенні миші с </w:t>
      </w:r>
      <w:r w:rsidRPr="000A32AD">
        <w:rPr>
          <w:rFonts w:ascii="Times New Roman" w:eastAsia="Times New Roman" w:hAnsi="Times New Roman" w:cs="Times New Roman"/>
          <w:color w:val="000000" w:themeColor="text1"/>
          <w:sz w:val="28"/>
          <w:szCs w:val="28"/>
          <w:lang w:val="uk-UA"/>
        </w:rPr>
        <w:t>FGF2-нокаутом, які перенесли серцеву ішемічно-реперфузійну травму, значно збільшили розмір інфаркту міокарда та погіршили серцеву функцію, що, за думкою дослідників, свідчить про кардіопротекторний ефект FGF2 при ішемічно-реперфузійному ураженні серця [</w:t>
      </w:r>
      <w:r w:rsidR="000A01F1" w:rsidRPr="000A32AD">
        <w:rPr>
          <w:rFonts w:ascii="Times New Roman" w:eastAsia="Times New Roman" w:hAnsi="Times New Roman" w:cs="Times New Roman"/>
          <w:color w:val="000000" w:themeColor="text1"/>
          <w:sz w:val="28"/>
          <w:szCs w:val="28"/>
          <w:lang w:val="uk-UA"/>
        </w:rPr>
        <w:t>147</w:t>
      </w:r>
      <w:r w:rsidRPr="000A32AD">
        <w:rPr>
          <w:rFonts w:ascii="Times New Roman" w:eastAsia="Times New Roman" w:hAnsi="Times New Roman" w:cs="Times New Roman"/>
          <w:color w:val="000000" w:themeColor="text1"/>
          <w:sz w:val="28"/>
          <w:szCs w:val="28"/>
          <w:lang w:val="uk-UA"/>
        </w:rPr>
        <w:t>], що підтверджується й іншими дослідниками [</w:t>
      </w:r>
      <w:r w:rsidR="000B6EAF" w:rsidRPr="000A32AD">
        <w:rPr>
          <w:rFonts w:ascii="Times New Roman" w:eastAsia="Times New Roman" w:hAnsi="Times New Roman" w:cs="Times New Roman"/>
          <w:color w:val="000000" w:themeColor="text1"/>
          <w:sz w:val="28"/>
          <w:szCs w:val="28"/>
          <w:lang w:val="uk-UA"/>
        </w:rPr>
        <w:t>242</w:t>
      </w:r>
      <w:r w:rsidRPr="000A32AD">
        <w:rPr>
          <w:rFonts w:ascii="Times New Roman" w:eastAsia="Times New Roman" w:hAnsi="Times New Roman" w:cs="Times New Roman"/>
          <w:color w:val="000000" w:themeColor="text1"/>
          <w:sz w:val="28"/>
          <w:szCs w:val="28"/>
          <w:lang w:val="uk-UA"/>
        </w:rPr>
        <w:t>].</w:t>
      </w:r>
    </w:p>
    <w:p w:rsidR="000D5D92" w:rsidRPr="000A32AD" w:rsidRDefault="000D5D92" w:rsidP="000D5D92">
      <w:pPr>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0A32AD">
        <w:rPr>
          <w:rFonts w:ascii="Times New Roman" w:eastAsia="Times New Roman" w:hAnsi="Times New Roman" w:cs="Times New Roman"/>
          <w:color w:val="000000" w:themeColor="text1"/>
          <w:sz w:val="28"/>
          <w:szCs w:val="28"/>
          <w:lang w:val="uk-UA"/>
        </w:rPr>
        <w:t xml:space="preserve">За даними </w:t>
      </w:r>
      <w:r w:rsidRPr="000A32AD">
        <w:rPr>
          <w:rFonts w:ascii="Times New Roman" w:eastAsia="Times New Roman" w:hAnsi="Times New Roman" w:cs="Times New Roman"/>
          <w:color w:val="000000" w:themeColor="text1"/>
          <w:sz w:val="28"/>
          <w:szCs w:val="28"/>
          <w:lang w:val="en-US"/>
        </w:rPr>
        <w:t>D</w:t>
      </w:r>
      <w:r w:rsidRPr="000A32AD">
        <w:rPr>
          <w:rFonts w:ascii="Times New Roman" w:eastAsia="Times New Roman" w:hAnsi="Times New Roman" w:cs="Times New Roman"/>
          <w:color w:val="000000" w:themeColor="text1"/>
          <w:sz w:val="28"/>
          <w:szCs w:val="28"/>
        </w:rPr>
        <w:t>.</w:t>
      </w:r>
      <w:r w:rsidRPr="000A32AD">
        <w:rPr>
          <w:rFonts w:ascii="Times New Roman" w:eastAsia="Times New Roman" w:hAnsi="Times New Roman" w:cs="Times New Roman"/>
          <w:color w:val="000000" w:themeColor="text1"/>
          <w:sz w:val="28"/>
          <w:szCs w:val="28"/>
          <w:lang w:val="en-US"/>
        </w:rPr>
        <w:t>A</w:t>
      </w:r>
      <w:r w:rsidRPr="000A32AD">
        <w:rPr>
          <w:rFonts w:ascii="Times New Roman" w:eastAsia="Times New Roman" w:hAnsi="Times New Roman" w:cs="Times New Roman"/>
          <w:color w:val="000000" w:themeColor="text1"/>
          <w:sz w:val="28"/>
          <w:szCs w:val="28"/>
        </w:rPr>
        <w:t>.</w:t>
      </w:r>
      <w:r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en-US"/>
        </w:rPr>
        <w:t>Svystonyuk</w:t>
      </w:r>
      <w:r w:rsidRPr="000A32AD">
        <w:rPr>
          <w:rFonts w:ascii="Times New Roman" w:eastAsia="Times New Roman" w:hAnsi="Times New Roman" w:cs="Times New Roman"/>
          <w:color w:val="000000" w:themeColor="text1"/>
          <w:sz w:val="28"/>
          <w:szCs w:val="28"/>
          <w:lang w:val="uk-UA"/>
        </w:rPr>
        <w:t xml:space="preserve"> та співавт. (2015), FGF2 запобігає прогресуванню ремоделювання серця та фіброзу тканин у пацієнтів з різними структурними захворюваннями серця. Вони довели, що тривале підвищення рівня TGFβ1 індукує кардіальний міофібробласт-опосередкований фіброз та прогресуюче ремоделювання сполучної тканини, а FGF2 зменшував виразність реконструкції позаклітинних матриксів, опосередкованих міофібробластом, викликаних TGFβ1 [</w:t>
      </w:r>
      <w:r w:rsidR="000A01F1" w:rsidRPr="000A32AD">
        <w:rPr>
          <w:rFonts w:ascii="Times New Roman" w:eastAsia="Times New Roman" w:hAnsi="Times New Roman" w:cs="Times New Roman"/>
          <w:color w:val="000000" w:themeColor="text1"/>
          <w:sz w:val="28"/>
          <w:szCs w:val="28"/>
          <w:lang w:val="uk-UA"/>
        </w:rPr>
        <w:t>228</w:t>
      </w:r>
      <w:r w:rsidRPr="000A32AD">
        <w:rPr>
          <w:rFonts w:ascii="Times New Roman" w:eastAsia="Times New Roman" w:hAnsi="Times New Roman" w:cs="Times New Roman"/>
          <w:color w:val="000000" w:themeColor="text1"/>
          <w:sz w:val="28"/>
          <w:szCs w:val="28"/>
          <w:lang w:val="uk-UA"/>
        </w:rPr>
        <w:t xml:space="preserve">]. </w:t>
      </w:r>
    </w:p>
    <w:p w:rsidR="000D5D92" w:rsidRPr="000A32AD" w:rsidRDefault="000D5D92" w:rsidP="000D5D92">
      <w:pPr>
        <w:pStyle w:val="1"/>
        <w:shd w:val="clear" w:color="auto" w:fill="FFFFFF"/>
        <w:spacing w:before="0" w:beforeAutospacing="0" w:after="0" w:afterAutospacing="0" w:line="360" w:lineRule="auto"/>
        <w:ind w:firstLine="709"/>
        <w:jc w:val="both"/>
        <w:rPr>
          <w:b w:val="0"/>
          <w:color w:val="000000" w:themeColor="text1"/>
          <w:sz w:val="28"/>
          <w:szCs w:val="28"/>
          <w:lang w:val="uk-UA"/>
        </w:rPr>
      </w:pPr>
      <w:r w:rsidRPr="000A32AD">
        <w:rPr>
          <w:b w:val="0"/>
          <w:color w:val="000000" w:themeColor="text1"/>
          <w:sz w:val="28"/>
          <w:szCs w:val="28"/>
          <w:lang w:val="uk-UA"/>
        </w:rPr>
        <w:t xml:space="preserve">FGF2 може пригнічувати прогресування реконструкції шлуночків шляхом інгібування інтерстиціального фіброзу та сприяння ангіогенезу без зниження артеріального тиску </w:t>
      </w:r>
      <w:r w:rsidR="000A01F1" w:rsidRPr="000A32AD">
        <w:rPr>
          <w:b w:val="0"/>
          <w:color w:val="000000" w:themeColor="text1"/>
          <w:sz w:val="28"/>
          <w:szCs w:val="28"/>
          <w:lang w:val="uk-UA"/>
        </w:rPr>
        <w:t>при гіпертонічній хворобі серця</w:t>
      </w:r>
      <w:r w:rsidRPr="000A32AD">
        <w:rPr>
          <w:b w:val="0"/>
          <w:color w:val="000000" w:themeColor="text1"/>
          <w:sz w:val="28"/>
          <w:szCs w:val="28"/>
          <w:lang w:val="uk-UA"/>
        </w:rPr>
        <w:t xml:space="preserve"> [</w:t>
      </w:r>
      <w:r w:rsidR="000A01F1" w:rsidRPr="000A32AD">
        <w:rPr>
          <w:b w:val="0"/>
          <w:color w:val="000000" w:themeColor="text1"/>
          <w:sz w:val="28"/>
          <w:szCs w:val="28"/>
          <w:lang w:val="uk-UA"/>
        </w:rPr>
        <w:t>227</w:t>
      </w:r>
      <w:r w:rsidRPr="000A32AD">
        <w:rPr>
          <w:b w:val="0"/>
          <w:color w:val="000000" w:themeColor="text1"/>
          <w:sz w:val="28"/>
          <w:szCs w:val="28"/>
          <w:lang w:val="uk-UA"/>
        </w:rPr>
        <w:t xml:space="preserve">]. Показано, що </w:t>
      </w:r>
      <w:r w:rsidRPr="000A32AD">
        <w:rPr>
          <w:b w:val="0"/>
          <w:color w:val="000000" w:themeColor="text1"/>
          <w:sz w:val="28"/>
          <w:szCs w:val="28"/>
        </w:rPr>
        <w:t>FGF2</w:t>
      </w:r>
      <w:r w:rsidRPr="000A32AD">
        <w:rPr>
          <w:b w:val="0"/>
          <w:color w:val="000000" w:themeColor="text1"/>
          <w:sz w:val="28"/>
          <w:szCs w:val="28"/>
          <w:lang w:val="uk-UA"/>
        </w:rPr>
        <w:t xml:space="preserve"> впливає на експресію </w:t>
      </w:r>
      <w:r w:rsidRPr="000A32AD">
        <w:rPr>
          <w:b w:val="0"/>
          <w:color w:val="000000" w:themeColor="text1"/>
          <w:sz w:val="28"/>
          <w:szCs w:val="28"/>
        </w:rPr>
        <w:t>TIMP</w:t>
      </w:r>
      <w:r w:rsidRPr="000A32AD">
        <w:rPr>
          <w:b w:val="0"/>
          <w:color w:val="000000" w:themeColor="text1"/>
          <w:sz w:val="28"/>
          <w:szCs w:val="28"/>
          <w:lang w:val="uk-UA"/>
        </w:rPr>
        <w:t>-1</w:t>
      </w:r>
      <w:r w:rsidR="00F17BD2" w:rsidRPr="000A32AD">
        <w:rPr>
          <w:b w:val="0"/>
          <w:color w:val="000000" w:themeColor="text1"/>
          <w:sz w:val="28"/>
          <w:szCs w:val="28"/>
          <w:lang w:val="uk-UA"/>
        </w:rPr>
        <w:t xml:space="preserve"> </w:t>
      </w:r>
      <w:r w:rsidRPr="000A32AD">
        <w:rPr>
          <w:b w:val="0"/>
          <w:color w:val="000000" w:themeColor="text1"/>
          <w:sz w:val="28"/>
          <w:szCs w:val="28"/>
          <w:lang w:val="uk-UA"/>
        </w:rPr>
        <w:t xml:space="preserve">та активність </w:t>
      </w:r>
      <w:r w:rsidRPr="000A32AD">
        <w:rPr>
          <w:b w:val="0"/>
          <w:color w:val="000000" w:themeColor="text1"/>
          <w:sz w:val="28"/>
          <w:szCs w:val="28"/>
        </w:rPr>
        <w:t>MMP</w:t>
      </w:r>
      <w:r w:rsidRPr="000A32AD">
        <w:rPr>
          <w:b w:val="0"/>
          <w:color w:val="000000" w:themeColor="text1"/>
          <w:sz w:val="28"/>
          <w:szCs w:val="28"/>
          <w:lang w:val="uk-UA"/>
        </w:rPr>
        <w:t>-9 у серцевих фібробластах та може попереджати деградацію ЕЦМ та</w:t>
      </w:r>
      <w:r w:rsidR="00F17BD2" w:rsidRPr="000A32AD">
        <w:rPr>
          <w:b w:val="0"/>
          <w:color w:val="000000" w:themeColor="text1"/>
          <w:sz w:val="28"/>
          <w:szCs w:val="28"/>
          <w:lang w:val="uk-UA"/>
        </w:rPr>
        <w:t xml:space="preserve"> </w:t>
      </w:r>
      <w:r w:rsidRPr="000A32AD">
        <w:rPr>
          <w:b w:val="0"/>
          <w:color w:val="000000" w:themeColor="text1"/>
          <w:sz w:val="28"/>
          <w:szCs w:val="28"/>
          <w:lang w:val="uk-UA"/>
        </w:rPr>
        <w:t>осадженню колагену в периваскулярному просторі, що інгібує розвиток кардіофіброзу у хворих на артеріальну гіпертензію [</w:t>
      </w:r>
      <w:r w:rsidR="000A01F1" w:rsidRPr="000A32AD">
        <w:rPr>
          <w:b w:val="0"/>
          <w:color w:val="000000" w:themeColor="text1"/>
          <w:sz w:val="28"/>
          <w:szCs w:val="28"/>
          <w:lang w:val="uk-UA"/>
        </w:rPr>
        <w:t>160</w:t>
      </w:r>
      <w:r w:rsidRPr="000A32AD">
        <w:rPr>
          <w:b w:val="0"/>
          <w:color w:val="000000" w:themeColor="text1"/>
          <w:sz w:val="28"/>
          <w:szCs w:val="28"/>
          <w:lang w:val="uk-UA"/>
        </w:rPr>
        <w:t>].</w:t>
      </w:r>
    </w:p>
    <w:p w:rsidR="000D5D92" w:rsidRPr="000A32AD" w:rsidRDefault="000D5D92" w:rsidP="000D5D92">
      <w:pPr>
        <w:pStyle w:val="1"/>
        <w:shd w:val="clear" w:color="auto" w:fill="FFFFFF"/>
        <w:spacing w:before="0" w:beforeAutospacing="0" w:after="0" w:afterAutospacing="0" w:line="360" w:lineRule="auto"/>
        <w:ind w:firstLine="709"/>
        <w:jc w:val="both"/>
        <w:rPr>
          <w:b w:val="0"/>
          <w:color w:val="000000" w:themeColor="text1"/>
          <w:sz w:val="28"/>
          <w:szCs w:val="28"/>
          <w:lang w:val="uk-UA"/>
        </w:rPr>
      </w:pPr>
      <w:r w:rsidRPr="000A32AD">
        <w:rPr>
          <w:b w:val="0"/>
          <w:color w:val="000000" w:themeColor="text1"/>
          <w:sz w:val="28"/>
          <w:szCs w:val="28"/>
          <w:lang w:val="uk-UA"/>
        </w:rPr>
        <w:lastRenderedPageBreak/>
        <w:t>В експерименті встановлено, що інфузія FGF2 гіпертензивним тваринам спр</w:t>
      </w:r>
      <w:r w:rsidR="002B02CE">
        <w:rPr>
          <w:b w:val="0"/>
          <w:color w:val="000000" w:themeColor="text1"/>
          <w:sz w:val="28"/>
          <w:szCs w:val="28"/>
          <w:lang w:val="uk-UA"/>
        </w:rPr>
        <w:t>и</w:t>
      </w:r>
      <w:r w:rsidRPr="000A32AD">
        <w:rPr>
          <w:b w:val="0"/>
          <w:color w:val="000000" w:themeColor="text1"/>
          <w:sz w:val="28"/>
          <w:szCs w:val="28"/>
          <w:lang w:val="uk-UA"/>
        </w:rPr>
        <w:t>яла відновленню колатерального кровотоку, що автори пов’язують з активацією артеріогенезу</w:t>
      </w:r>
      <w:r w:rsidR="00F17BD2" w:rsidRPr="000A32AD">
        <w:rPr>
          <w:b w:val="0"/>
          <w:color w:val="000000" w:themeColor="text1"/>
          <w:sz w:val="28"/>
          <w:szCs w:val="28"/>
          <w:lang w:val="uk-UA"/>
        </w:rPr>
        <w:t xml:space="preserve"> </w:t>
      </w:r>
      <w:r w:rsidRPr="000A32AD">
        <w:rPr>
          <w:b w:val="0"/>
          <w:color w:val="000000" w:themeColor="text1"/>
          <w:sz w:val="28"/>
          <w:szCs w:val="28"/>
          <w:lang w:val="uk-UA"/>
        </w:rPr>
        <w:t>[</w:t>
      </w:r>
      <w:r w:rsidR="000A01F1" w:rsidRPr="000A32AD">
        <w:rPr>
          <w:b w:val="0"/>
          <w:color w:val="000000" w:themeColor="text1"/>
          <w:sz w:val="28"/>
          <w:szCs w:val="28"/>
          <w:lang w:val="uk-UA"/>
        </w:rPr>
        <w:t>224</w:t>
      </w:r>
      <w:r w:rsidRPr="000A32AD">
        <w:rPr>
          <w:b w:val="0"/>
          <w:color w:val="000000" w:themeColor="text1"/>
          <w:sz w:val="28"/>
          <w:szCs w:val="28"/>
          <w:lang w:val="uk-UA"/>
        </w:rPr>
        <w:t>]. Внутрішньом’язове введення FGF2 кроликам з ішемією кінцівок та субендокардіальне введення FGF2</w:t>
      </w:r>
      <w:r w:rsidR="00F17BD2" w:rsidRPr="000A32AD">
        <w:rPr>
          <w:b w:val="0"/>
          <w:color w:val="000000" w:themeColor="text1"/>
          <w:sz w:val="28"/>
          <w:szCs w:val="28"/>
          <w:lang w:val="uk-UA"/>
        </w:rPr>
        <w:t xml:space="preserve"> </w:t>
      </w:r>
      <w:r w:rsidRPr="000A32AD">
        <w:rPr>
          <w:b w:val="0"/>
          <w:color w:val="000000" w:themeColor="text1"/>
          <w:sz w:val="28"/>
          <w:szCs w:val="28"/>
          <w:lang w:val="uk-UA"/>
        </w:rPr>
        <w:t>щурам з інфарктом міокарда сприяло більш швидкому відновленню</w:t>
      </w:r>
      <w:r w:rsidR="00F17BD2" w:rsidRPr="000A32AD">
        <w:rPr>
          <w:b w:val="0"/>
          <w:color w:val="000000" w:themeColor="text1"/>
          <w:sz w:val="28"/>
          <w:szCs w:val="28"/>
          <w:lang w:val="uk-UA"/>
        </w:rPr>
        <w:t xml:space="preserve"> </w:t>
      </w:r>
      <w:r w:rsidRPr="000A32AD">
        <w:rPr>
          <w:b w:val="0"/>
          <w:color w:val="000000" w:themeColor="text1"/>
          <w:sz w:val="28"/>
          <w:szCs w:val="28"/>
          <w:lang w:val="uk-UA"/>
        </w:rPr>
        <w:t>кровотоку, що було підтверджено даними УЗД та гістологічно [</w:t>
      </w:r>
      <w:r w:rsidR="000A01F1" w:rsidRPr="000A32AD">
        <w:rPr>
          <w:b w:val="0"/>
          <w:color w:val="000000" w:themeColor="text1"/>
          <w:sz w:val="28"/>
          <w:szCs w:val="28"/>
          <w:lang w:val="uk-UA"/>
        </w:rPr>
        <w:t>186</w:t>
      </w:r>
      <w:r w:rsidRPr="000A32AD">
        <w:rPr>
          <w:b w:val="0"/>
          <w:color w:val="000000" w:themeColor="text1"/>
          <w:sz w:val="28"/>
          <w:szCs w:val="28"/>
          <w:lang w:val="uk-UA"/>
        </w:rPr>
        <w:t>]</w:t>
      </w:r>
      <w:r w:rsidR="000A01F1" w:rsidRPr="000A32AD">
        <w:rPr>
          <w:b w:val="0"/>
          <w:color w:val="000000" w:themeColor="text1"/>
          <w:sz w:val="28"/>
          <w:szCs w:val="28"/>
          <w:lang w:val="uk-UA"/>
        </w:rPr>
        <w:t>.</w:t>
      </w:r>
    </w:p>
    <w:p w:rsidR="000D5D92" w:rsidRPr="000A32AD" w:rsidRDefault="000D5D92" w:rsidP="000D5D92">
      <w:pPr>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0A32AD">
        <w:rPr>
          <w:rFonts w:ascii="Times New Roman" w:eastAsia="Times New Roman" w:hAnsi="Times New Roman" w:cs="Times New Roman"/>
          <w:color w:val="000000" w:themeColor="text1"/>
          <w:sz w:val="28"/>
          <w:szCs w:val="28"/>
          <w:lang w:val="uk-UA"/>
        </w:rPr>
        <w:t xml:space="preserve">З іншого боку, </w:t>
      </w:r>
      <w:r w:rsidRPr="000A32AD">
        <w:rPr>
          <w:rFonts w:ascii="Times New Roman" w:eastAsia="Times New Roman" w:hAnsi="Times New Roman" w:cs="Times New Roman"/>
          <w:color w:val="000000" w:themeColor="text1"/>
          <w:sz w:val="28"/>
          <w:szCs w:val="28"/>
          <w:lang w:val="en-US"/>
        </w:rPr>
        <w:t>S</w:t>
      </w:r>
      <w:r w:rsidRPr="000A32AD">
        <w:rPr>
          <w:rFonts w:ascii="Times New Roman" w:eastAsia="Times New Roman" w:hAnsi="Times New Roman" w:cs="Times New Roman"/>
          <w:color w:val="000000" w:themeColor="text1"/>
          <w:sz w:val="28"/>
          <w:szCs w:val="28"/>
          <w:lang w:val="uk-UA"/>
        </w:rPr>
        <w:t>.</w:t>
      </w:r>
      <w:r w:rsidRPr="000A32AD">
        <w:rPr>
          <w:rFonts w:ascii="Times New Roman" w:eastAsia="Times New Roman" w:hAnsi="Times New Roman" w:cs="Times New Roman"/>
          <w:color w:val="000000" w:themeColor="text1"/>
          <w:sz w:val="28"/>
          <w:szCs w:val="28"/>
          <w:lang w:val="en-US"/>
        </w:rPr>
        <w:t>L</w:t>
      </w:r>
      <w:r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en-US"/>
        </w:rPr>
        <w:t>House</w:t>
      </w:r>
      <w:r w:rsidRPr="000A32AD">
        <w:rPr>
          <w:rFonts w:ascii="Times New Roman" w:eastAsia="Times New Roman" w:hAnsi="Times New Roman" w:cs="Times New Roman"/>
          <w:color w:val="000000" w:themeColor="text1"/>
          <w:sz w:val="28"/>
          <w:szCs w:val="28"/>
          <w:lang w:val="uk-UA"/>
        </w:rPr>
        <w:t xml:space="preserve"> та співавт. (2010) в експерименті з ізопротеренол-індукованою гіпертрофією серця виявили, що FGF2 сприяє розвитку гіпертрофії, а його інгібування</w:t>
      </w:r>
      <w:r w:rsidR="00F17BD2"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зменшує її [</w:t>
      </w:r>
      <w:r w:rsidR="000A01F1" w:rsidRPr="000A32AD">
        <w:rPr>
          <w:rFonts w:ascii="Times New Roman" w:eastAsia="Times New Roman" w:hAnsi="Times New Roman" w:cs="Times New Roman"/>
          <w:color w:val="000000" w:themeColor="text1"/>
          <w:sz w:val="28"/>
          <w:szCs w:val="28"/>
          <w:lang w:val="uk-UA"/>
        </w:rPr>
        <w:t>146</w:t>
      </w:r>
      <w:r w:rsidRPr="000A32AD">
        <w:rPr>
          <w:rFonts w:ascii="Times New Roman" w:eastAsia="Times New Roman" w:hAnsi="Times New Roman" w:cs="Times New Roman"/>
          <w:color w:val="000000" w:themeColor="text1"/>
          <w:sz w:val="28"/>
          <w:szCs w:val="28"/>
          <w:lang w:val="uk-UA"/>
        </w:rPr>
        <w:t>]. Також встановлено, що ураження серця при</w:t>
      </w:r>
      <w:r w:rsidR="00F17BD2"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хронічному захворюванні нирок (кардіоренальний синдром 4 типу) виникає внаслідок оксидазо-залежного окислювального стресу та подальшого підвищення експресії FGF2. Інгібування</w:t>
      </w:r>
      <w:r w:rsidR="00F17BD2"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FGF2</w:t>
      </w:r>
      <w:r w:rsidR="00F17BD2"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з допомогою апоцинину, якій також зменшує виразність окисного</w:t>
      </w:r>
      <w:r w:rsidR="00F17BD2"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стресу, сприяє зменшенню ураження серця</w:t>
      </w:r>
      <w:r w:rsidR="00F17BD2"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w:t>
      </w:r>
      <w:r w:rsidR="004E3C72" w:rsidRPr="000A32AD">
        <w:rPr>
          <w:rFonts w:ascii="Times New Roman" w:eastAsia="Times New Roman" w:hAnsi="Times New Roman" w:cs="Times New Roman"/>
          <w:color w:val="000000" w:themeColor="text1"/>
          <w:sz w:val="28"/>
          <w:szCs w:val="28"/>
          <w:lang w:val="uk-UA"/>
        </w:rPr>
        <w:t>172</w:t>
      </w:r>
      <w:r w:rsidRPr="000A32AD">
        <w:rPr>
          <w:rFonts w:ascii="Times New Roman" w:eastAsia="Times New Roman" w:hAnsi="Times New Roman" w:cs="Times New Roman"/>
          <w:color w:val="000000" w:themeColor="text1"/>
          <w:sz w:val="28"/>
          <w:szCs w:val="28"/>
          <w:lang w:val="uk-UA"/>
        </w:rPr>
        <w:t>].</w:t>
      </w:r>
    </w:p>
    <w:p w:rsidR="000D5D92" w:rsidRPr="000A32AD" w:rsidRDefault="000D5D92" w:rsidP="000D5D92">
      <w:pPr>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FGF2 демонструє антифібротичну активність у тварин, людини та моделях in vitro. FGF2 дуже плейотропний, і його рецептори присутні на багатьох різних типах клітин. Антифіброт</w:t>
      </w:r>
      <w:r w:rsidR="00D52C71">
        <w:rPr>
          <w:rFonts w:ascii="Times New Roman" w:hAnsi="Times New Roman" w:cs="Times New Roman"/>
          <w:color w:val="000000" w:themeColor="text1"/>
          <w:sz w:val="28"/>
          <w:szCs w:val="28"/>
          <w:lang w:val="uk-UA"/>
        </w:rPr>
        <w:t>ич</w:t>
      </w:r>
      <w:r w:rsidRPr="000A32AD">
        <w:rPr>
          <w:rFonts w:ascii="Times New Roman" w:hAnsi="Times New Roman" w:cs="Times New Roman"/>
          <w:color w:val="000000" w:themeColor="text1"/>
          <w:sz w:val="28"/>
          <w:szCs w:val="28"/>
          <w:lang w:val="uk-UA"/>
        </w:rPr>
        <w:t>ний ефект FGF2 пов’язують з гальмуванням фібробластів, міофібробласти та прогеніторних клітин. FGF2 демонструє ефекти, антагоністичні щодо активації фібробластів, а також володіє супресивною дією на ек</w:t>
      </w:r>
      <w:r w:rsidR="000A01F1" w:rsidRPr="000A32AD">
        <w:rPr>
          <w:rFonts w:ascii="Times New Roman" w:hAnsi="Times New Roman" w:cs="Times New Roman"/>
          <w:color w:val="000000" w:themeColor="text1"/>
          <w:sz w:val="28"/>
          <w:szCs w:val="28"/>
          <w:lang w:val="uk-UA"/>
        </w:rPr>
        <w:t>спресію профібротичних факторів</w:t>
      </w:r>
      <w:r w:rsidRPr="000A32AD">
        <w:rPr>
          <w:rFonts w:ascii="Times New Roman" w:hAnsi="Times New Roman" w:cs="Times New Roman"/>
          <w:b/>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w:t>
      </w:r>
      <w:r w:rsidR="00873566" w:rsidRPr="000A32AD">
        <w:rPr>
          <w:rFonts w:ascii="Times New Roman" w:hAnsi="Times New Roman" w:cs="Times New Roman"/>
          <w:color w:val="000000" w:themeColor="text1"/>
          <w:sz w:val="28"/>
          <w:szCs w:val="28"/>
          <w:lang w:val="uk-UA"/>
        </w:rPr>
        <w:t>121</w:t>
      </w:r>
      <w:r w:rsidRPr="000A32AD">
        <w:rPr>
          <w:rFonts w:ascii="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В експериментальних дослідження на мишах з індукованим блеоміцином фіброзом легенів</w:t>
      </w:r>
      <w:r w:rsidR="00F17BD2"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en-US"/>
        </w:rPr>
        <w:t>in</w:t>
      </w:r>
      <w:r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en-US"/>
        </w:rPr>
        <w:t>vivo</w:t>
      </w:r>
      <w:r w:rsidRPr="000A32AD">
        <w:rPr>
          <w:rFonts w:ascii="Times New Roman" w:eastAsia="Times New Roman" w:hAnsi="Times New Roman" w:cs="Times New Roman"/>
          <w:color w:val="000000" w:themeColor="text1"/>
          <w:sz w:val="28"/>
          <w:szCs w:val="28"/>
          <w:lang w:val="uk-UA"/>
        </w:rPr>
        <w:t xml:space="preserve"> та</w:t>
      </w:r>
      <w:r w:rsidR="00F17BD2"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 xml:space="preserve">на фібробластах людини </w:t>
      </w:r>
      <w:r w:rsidRPr="000A32AD">
        <w:rPr>
          <w:rFonts w:ascii="Times New Roman" w:eastAsia="Times New Roman" w:hAnsi="Times New Roman" w:cs="Times New Roman"/>
          <w:color w:val="000000" w:themeColor="text1"/>
          <w:sz w:val="28"/>
          <w:szCs w:val="28"/>
          <w:lang w:val="en-US"/>
        </w:rPr>
        <w:t>in</w:t>
      </w:r>
      <w:r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en-US"/>
        </w:rPr>
        <w:t>vitro</w:t>
      </w:r>
      <w:r w:rsidRPr="000A32AD">
        <w:rPr>
          <w:rFonts w:ascii="Times New Roman" w:eastAsia="Times New Roman" w:hAnsi="Times New Roman" w:cs="Times New Roman"/>
          <w:color w:val="000000" w:themeColor="text1"/>
          <w:sz w:val="28"/>
          <w:szCs w:val="28"/>
          <w:lang w:val="uk-UA"/>
        </w:rPr>
        <w:t xml:space="preserve"> встановлено, що </w:t>
      </w:r>
      <w:r w:rsidRPr="000A32AD">
        <w:rPr>
          <w:rFonts w:ascii="Times New Roman" w:hAnsi="Times New Roman" w:cs="Times New Roman"/>
          <w:color w:val="000000" w:themeColor="text1"/>
          <w:sz w:val="28"/>
          <w:szCs w:val="28"/>
          <w:lang w:val="uk-UA"/>
        </w:rPr>
        <w:t>FGF2</w:t>
      </w:r>
      <w:r w:rsidRPr="000A32AD">
        <w:rPr>
          <w:rFonts w:ascii="Times New Roman" w:eastAsia="Times New Roman" w:hAnsi="Times New Roman" w:cs="Times New Roman"/>
          <w:color w:val="000000" w:themeColor="text1"/>
          <w:sz w:val="28"/>
          <w:szCs w:val="28"/>
          <w:lang w:val="uk-UA"/>
        </w:rPr>
        <w:t xml:space="preserve"> інгібує експресію гладком’язового актину, колагену та фактору росту сполучної тканини, що свідчить про антифібротичний ефект цього цитокіну [</w:t>
      </w:r>
      <w:r w:rsidR="000A01F1" w:rsidRPr="000A32AD">
        <w:rPr>
          <w:rFonts w:ascii="Times New Roman" w:eastAsia="Times New Roman" w:hAnsi="Times New Roman" w:cs="Times New Roman"/>
          <w:color w:val="000000" w:themeColor="text1"/>
          <w:sz w:val="28"/>
          <w:szCs w:val="28"/>
          <w:lang w:val="uk-UA"/>
        </w:rPr>
        <w:t>162</w:t>
      </w:r>
      <w:r w:rsidRPr="000A32AD">
        <w:rPr>
          <w:rFonts w:ascii="Times New Roman" w:eastAsia="Times New Roman" w:hAnsi="Times New Roman" w:cs="Times New Roman"/>
          <w:color w:val="000000" w:themeColor="text1"/>
          <w:sz w:val="28"/>
          <w:szCs w:val="28"/>
          <w:lang w:val="uk-UA"/>
        </w:rPr>
        <w:t>]</w:t>
      </w:r>
      <w:r w:rsidR="00500434" w:rsidRPr="000A32AD">
        <w:rPr>
          <w:rFonts w:ascii="Times New Roman" w:eastAsia="Times New Roman" w:hAnsi="Times New Roman" w:cs="Times New Roman"/>
          <w:color w:val="000000" w:themeColor="text1"/>
          <w:sz w:val="28"/>
          <w:szCs w:val="28"/>
          <w:lang w:val="uk-UA"/>
        </w:rPr>
        <w:t>, від спрямованості цих реакцій зележить відновлення легеневої тканини або розвиток фіброзу [243]</w:t>
      </w:r>
      <w:r w:rsidRPr="000A32AD">
        <w:rPr>
          <w:rFonts w:ascii="Times New Roman" w:eastAsia="Times New Roman" w:hAnsi="Times New Roman" w:cs="Times New Roman"/>
          <w:color w:val="000000" w:themeColor="text1"/>
          <w:sz w:val="28"/>
          <w:szCs w:val="28"/>
          <w:lang w:val="uk-UA"/>
        </w:rPr>
        <w:t xml:space="preserve">. </w:t>
      </w:r>
    </w:p>
    <w:p w:rsidR="000D5D92" w:rsidRPr="000A32AD" w:rsidRDefault="000D5D92" w:rsidP="000D5D92">
      <w:pPr>
        <w:spacing w:line="360" w:lineRule="auto"/>
        <w:ind w:firstLine="709"/>
        <w:jc w:val="both"/>
        <w:rPr>
          <w:rFonts w:ascii="Times New Roman" w:hAnsi="Times New Roman" w:cs="Times New Roman"/>
          <w:bCs/>
          <w:color w:val="000000" w:themeColor="text1"/>
          <w:sz w:val="28"/>
          <w:szCs w:val="28"/>
          <w:lang w:val="uk-UA"/>
        </w:rPr>
      </w:pPr>
      <w:r w:rsidRPr="000A32AD">
        <w:rPr>
          <w:rFonts w:ascii="Times New Roman" w:eastAsia="Times New Roman" w:hAnsi="Times New Roman" w:cs="Times New Roman"/>
          <w:color w:val="000000" w:themeColor="text1"/>
          <w:sz w:val="28"/>
          <w:szCs w:val="28"/>
          <w:lang w:val="uk-UA"/>
        </w:rPr>
        <w:t xml:space="preserve">З іншого боку, </w:t>
      </w:r>
      <w:r w:rsidRPr="000A32AD">
        <w:rPr>
          <w:rFonts w:ascii="Times New Roman" w:hAnsi="Times New Roman" w:cs="Times New Roman"/>
          <w:bCs/>
          <w:iCs/>
          <w:color w:val="000000" w:themeColor="text1"/>
          <w:sz w:val="28"/>
          <w:szCs w:val="28"/>
          <w:lang w:val="uk-UA"/>
        </w:rPr>
        <w:t xml:space="preserve">в експерименті на мишах з моделлю атеросклерозу на тлі дефіциту аполіпопротеїну Е встановлено, що інгібування експресії FGFR за </w:t>
      </w:r>
      <w:r w:rsidRPr="000A32AD">
        <w:rPr>
          <w:rFonts w:ascii="Times New Roman" w:hAnsi="Times New Roman" w:cs="Times New Roman"/>
          <w:bCs/>
          <w:iCs/>
          <w:color w:val="000000" w:themeColor="text1"/>
          <w:sz w:val="28"/>
          <w:szCs w:val="28"/>
          <w:lang w:val="uk-UA"/>
        </w:rPr>
        <w:lastRenderedPageBreak/>
        <w:t>допомогою інгібітору тирозинкінази призводило до зменшення проявів атеросклерозу. На підставі цього, автори зробили висновок, що в результаті атеросклеротичного ураження збільшується експресія FGFR</w:t>
      </w:r>
      <w:r w:rsidR="00F17BD2" w:rsidRPr="000A32AD">
        <w:rPr>
          <w:rFonts w:ascii="Times New Roman" w:hAnsi="Times New Roman" w:cs="Times New Roman"/>
          <w:bCs/>
          <w:iCs/>
          <w:color w:val="000000" w:themeColor="text1"/>
          <w:sz w:val="28"/>
          <w:szCs w:val="28"/>
          <w:lang w:val="uk-UA"/>
        </w:rPr>
        <w:t xml:space="preserve"> </w:t>
      </w:r>
      <w:r w:rsidRPr="000A32AD">
        <w:rPr>
          <w:rFonts w:ascii="Times New Roman" w:hAnsi="Times New Roman" w:cs="Times New Roman"/>
          <w:bCs/>
          <w:iCs/>
          <w:color w:val="000000" w:themeColor="text1"/>
          <w:sz w:val="28"/>
          <w:szCs w:val="28"/>
          <w:lang w:val="uk-UA"/>
        </w:rPr>
        <w:t xml:space="preserve">та активується сигнальна система FGF: FGFR-1, що призводить до збільшення проліферації гладком’язових клітин та накопиченню макрофагів зі збільшенням експресії факторів, що утримують їх в зоні </w:t>
      </w:r>
      <w:r w:rsidR="000A01F1" w:rsidRPr="000A32AD">
        <w:rPr>
          <w:rFonts w:ascii="Times New Roman" w:hAnsi="Times New Roman" w:cs="Times New Roman"/>
          <w:bCs/>
          <w:iCs/>
          <w:color w:val="000000" w:themeColor="text1"/>
          <w:sz w:val="28"/>
          <w:szCs w:val="28"/>
          <w:lang w:val="uk-UA"/>
        </w:rPr>
        <w:t>ураження</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w:t>
      </w:r>
      <w:r w:rsidR="000A01F1" w:rsidRPr="000A32AD">
        <w:rPr>
          <w:rFonts w:ascii="Times New Roman" w:hAnsi="Times New Roman" w:cs="Times New Roman"/>
          <w:color w:val="000000" w:themeColor="text1"/>
          <w:sz w:val="28"/>
          <w:szCs w:val="28"/>
          <w:lang w:val="uk-UA"/>
        </w:rPr>
        <w:t>205</w:t>
      </w:r>
      <w:r w:rsidRPr="000A32AD">
        <w:rPr>
          <w:rFonts w:ascii="Times New Roman" w:hAnsi="Times New Roman" w:cs="Times New Roman"/>
          <w:bCs/>
          <w:iCs/>
          <w:color w:val="000000" w:themeColor="text1"/>
          <w:sz w:val="28"/>
          <w:szCs w:val="28"/>
          <w:lang w:val="uk-UA"/>
        </w:rPr>
        <w:t>]</w:t>
      </w:r>
      <w:r w:rsidR="000A01F1" w:rsidRPr="000A32AD">
        <w:rPr>
          <w:rFonts w:ascii="Times New Roman" w:hAnsi="Times New Roman" w:cs="Times New Roman"/>
          <w:bCs/>
          <w:iCs/>
          <w:color w:val="000000" w:themeColor="text1"/>
          <w:sz w:val="28"/>
          <w:szCs w:val="28"/>
          <w:lang w:val="uk-UA"/>
        </w:rPr>
        <w:t>.</w:t>
      </w:r>
    </w:p>
    <w:p w:rsidR="000D5D92" w:rsidRPr="000A32AD" w:rsidRDefault="000D5D92" w:rsidP="000D5D92">
      <w:pPr>
        <w:spacing w:line="360" w:lineRule="auto"/>
        <w:ind w:firstLine="709"/>
        <w:jc w:val="both"/>
        <w:rPr>
          <w:rFonts w:ascii="Times New Roman" w:eastAsia="Times New Roman" w:hAnsi="Times New Roman" w:cs="Times New Roman"/>
          <w:color w:val="000000" w:themeColor="text1"/>
          <w:sz w:val="28"/>
          <w:szCs w:val="28"/>
          <w:lang w:val="uk-UA"/>
        </w:rPr>
      </w:pPr>
      <w:r w:rsidRPr="000A32AD">
        <w:rPr>
          <w:rFonts w:ascii="Times New Roman" w:eastAsia="Times New Roman" w:hAnsi="Times New Roman" w:cs="Times New Roman"/>
          <w:color w:val="000000" w:themeColor="text1"/>
          <w:sz w:val="28"/>
          <w:szCs w:val="28"/>
          <w:lang w:val="uk-UA"/>
        </w:rPr>
        <w:t>Крім цього, показано, що FGF2 сприяє самооновленню стовбурових клітин та попереджає їх старіння in vitro [</w:t>
      </w:r>
      <w:r w:rsidR="000A01F1" w:rsidRPr="000A32AD">
        <w:rPr>
          <w:rFonts w:ascii="Times New Roman" w:eastAsia="Times New Roman" w:hAnsi="Times New Roman" w:cs="Times New Roman"/>
          <w:color w:val="000000" w:themeColor="text1"/>
          <w:sz w:val="28"/>
          <w:szCs w:val="28"/>
          <w:lang w:val="uk-UA"/>
        </w:rPr>
        <w:t xml:space="preserve">103; </w:t>
      </w:r>
      <w:r w:rsidR="00312DBE" w:rsidRPr="000A32AD">
        <w:rPr>
          <w:rFonts w:ascii="Times New Roman" w:eastAsia="Times New Roman" w:hAnsi="Times New Roman" w:cs="Times New Roman"/>
          <w:color w:val="000000" w:themeColor="text1"/>
          <w:sz w:val="28"/>
          <w:szCs w:val="28"/>
          <w:lang w:val="uk-UA"/>
        </w:rPr>
        <w:t>113</w:t>
      </w:r>
      <w:r w:rsidRPr="000A32AD">
        <w:rPr>
          <w:rFonts w:ascii="Times New Roman" w:eastAsia="Times New Roman" w:hAnsi="Times New Roman" w:cs="Times New Roman"/>
          <w:color w:val="000000" w:themeColor="text1"/>
          <w:sz w:val="28"/>
          <w:szCs w:val="28"/>
          <w:lang w:val="uk-UA"/>
        </w:rPr>
        <w:t xml:space="preserve">]. У нещодавньому дослідженні </w:t>
      </w:r>
      <w:r w:rsidRPr="000A32AD">
        <w:rPr>
          <w:rFonts w:ascii="Times New Roman" w:eastAsia="Times New Roman" w:hAnsi="Times New Roman" w:cs="Times New Roman"/>
          <w:color w:val="000000" w:themeColor="text1"/>
          <w:sz w:val="28"/>
          <w:szCs w:val="28"/>
          <w:lang w:val="en-US"/>
        </w:rPr>
        <w:t>D</w:t>
      </w:r>
      <w:r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en-US"/>
        </w:rPr>
        <w:t>Nawrocka</w:t>
      </w:r>
      <w:r w:rsidRPr="000A32AD">
        <w:rPr>
          <w:rFonts w:ascii="Times New Roman" w:eastAsia="Times New Roman" w:hAnsi="Times New Roman" w:cs="Times New Roman"/>
          <w:color w:val="000000" w:themeColor="text1"/>
          <w:sz w:val="28"/>
          <w:szCs w:val="28"/>
          <w:lang w:val="uk-UA"/>
        </w:rPr>
        <w:t xml:space="preserve"> та співавт. (2017) було вивчено вплив FGF2 на культуру стовбурових клітин, отриманих з жирової тканини хворих на ЦД 2 типу. Авторами було встановлено, що мезенхімальні клітини, отримані від цих хворих, характеризуються зменшеним проліферативним потенціалом, збільшеною експресією факторів</w:t>
      </w:r>
      <w:r w:rsidR="00F17BD2"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апоптозу та старіння (</w:t>
      </w:r>
      <w:r w:rsidRPr="000A32AD">
        <w:rPr>
          <w:rFonts w:ascii="Times New Roman" w:eastAsia="Times New Roman" w:hAnsi="Times New Roman" w:cs="Times New Roman"/>
          <w:color w:val="000000" w:themeColor="text1"/>
          <w:sz w:val="28"/>
          <w:szCs w:val="28"/>
          <w:lang w:val="en-US"/>
        </w:rPr>
        <w:t>p</w:t>
      </w:r>
      <w:r w:rsidRPr="000A32AD">
        <w:rPr>
          <w:rFonts w:ascii="Times New Roman" w:eastAsia="Times New Roman" w:hAnsi="Times New Roman" w:cs="Times New Roman"/>
          <w:color w:val="000000" w:themeColor="text1"/>
          <w:sz w:val="28"/>
          <w:szCs w:val="28"/>
          <w:lang w:val="uk-UA"/>
        </w:rPr>
        <w:t xml:space="preserve">21, </w:t>
      </w:r>
      <w:r w:rsidRPr="000A32AD">
        <w:rPr>
          <w:rFonts w:ascii="Times New Roman" w:eastAsia="Times New Roman" w:hAnsi="Times New Roman" w:cs="Times New Roman"/>
          <w:color w:val="000000" w:themeColor="text1"/>
          <w:sz w:val="28"/>
          <w:szCs w:val="28"/>
          <w:lang w:val="en-US"/>
        </w:rPr>
        <w:t>p</w:t>
      </w:r>
      <w:r w:rsidRPr="000A32AD">
        <w:rPr>
          <w:rFonts w:ascii="Times New Roman" w:eastAsia="Times New Roman" w:hAnsi="Times New Roman" w:cs="Times New Roman"/>
          <w:color w:val="000000" w:themeColor="text1"/>
          <w:sz w:val="28"/>
          <w:szCs w:val="28"/>
          <w:lang w:val="uk-UA"/>
        </w:rPr>
        <w:t xml:space="preserve">53, </w:t>
      </w:r>
      <w:r w:rsidRPr="000A32AD">
        <w:rPr>
          <w:rFonts w:ascii="Times New Roman" w:eastAsia="Times New Roman" w:hAnsi="Times New Roman" w:cs="Times New Roman"/>
          <w:color w:val="000000" w:themeColor="text1"/>
          <w:sz w:val="28"/>
          <w:szCs w:val="28"/>
          <w:lang w:val="en-US"/>
        </w:rPr>
        <w:t>Bcl</w:t>
      </w:r>
      <w:r w:rsidRPr="000A32AD">
        <w:rPr>
          <w:rFonts w:ascii="Times New Roman" w:eastAsia="Times New Roman" w:hAnsi="Times New Roman" w:cs="Times New Roman"/>
          <w:color w:val="000000" w:themeColor="text1"/>
          <w:sz w:val="28"/>
          <w:szCs w:val="28"/>
          <w:lang w:val="uk-UA"/>
        </w:rPr>
        <w:t xml:space="preserve">-2, </w:t>
      </w:r>
      <w:r w:rsidRPr="000A32AD">
        <w:rPr>
          <w:rFonts w:ascii="Times New Roman" w:eastAsia="Times New Roman" w:hAnsi="Times New Roman" w:cs="Times New Roman"/>
          <w:color w:val="000000" w:themeColor="text1"/>
          <w:sz w:val="28"/>
          <w:szCs w:val="28"/>
          <w:lang w:val="en-US"/>
        </w:rPr>
        <w:t>Bax</w:t>
      </w:r>
      <w:r w:rsidRPr="000A32AD">
        <w:rPr>
          <w:rFonts w:ascii="Times New Roman" w:eastAsia="Times New Roman" w:hAnsi="Times New Roman" w:cs="Times New Roman"/>
          <w:color w:val="000000" w:themeColor="text1"/>
          <w:sz w:val="28"/>
          <w:szCs w:val="28"/>
          <w:lang w:val="uk-UA"/>
        </w:rPr>
        <w:t xml:space="preserve"> та </w:t>
      </w:r>
      <w:r w:rsidRPr="000A32AD">
        <w:rPr>
          <w:rFonts w:ascii="Times New Roman" w:eastAsia="Times New Roman" w:hAnsi="Times New Roman" w:cs="Times New Roman"/>
          <w:color w:val="000000" w:themeColor="text1"/>
          <w:sz w:val="28"/>
          <w:szCs w:val="28"/>
          <w:lang w:val="en-US"/>
        </w:rPr>
        <w:t>SIRT</w:t>
      </w:r>
      <w:r w:rsidRPr="000A32AD">
        <w:rPr>
          <w:rFonts w:ascii="Times New Roman" w:eastAsia="Times New Roman" w:hAnsi="Times New Roman" w:cs="Times New Roman"/>
          <w:color w:val="000000" w:themeColor="text1"/>
          <w:sz w:val="28"/>
          <w:szCs w:val="28"/>
          <w:lang w:val="uk-UA"/>
        </w:rPr>
        <w:t>1), що пов’язано з негативним впливом окисного стресу, характерного для ЦД. Додавання FGF2 до культури мезенхімальних тканини сприяло збільшенню швидкості проліферації клітин, їх клоногенного потенціалу, покращенню морфології клонованих фібробластів, зменшенню в клітинах факторів апоптозу та посиленню їх чутливості до інсуліну</w:t>
      </w:r>
      <w:r w:rsidR="00F17BD2"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uk-UA"/>
        </w:rPr>
        <w:t>[</w:t>
      </w:r>
      <w:r w:rsidR="00365A66" w:rsidRPr="000A32AD">
        <w:rPr>
          <w:rFonts w:ascii="Times New Roman" w:eastAsia="Times New Roman" w:hAnsi="Times New Roman" w:cs="Times New Roman"/>
          <w:color w:val="000000" w:themeColor="text1"/>
          <w:sz w:val="28"/>
          <w:szCs w:val="28"/>
          <w:lang w:val="uk-UA"/>
        </w:rPr>
        <w:t>188</w:t>
      </w:r>
      <w:r w:rsidRPr="000A32AD">
        <w:rPr>
          <w:rFonts w:ascii="Times New Roman" w:eastAsia="Times New Roman" w:hAnsi="Times New Roman" w:cs="Times New Roman"/>
          <w:color w:val="000000" w:themeColor="text1"/>
          <w:sz w:val="28"/>
          <w:szCs w:val="28"/>
          <w:lang w:val="uk-UA"/>
        </w:rPr>
        <w:t xml:space="preserve">]. </w:t>
      </w:r>
    </w:p>
    <w:p w:rsidR="000D5D92" w:rsidRPr="000A32AD" w:rsidRDefault="000D5D92" w:rsidP="000D5D92">
      <w:pPr>
        <w:spacing w:line="360" w:lineRule="auto"/>
        <w:ind w:firstLine="709"/>
        <w:jc w:val="both"/>
        <w:rPr>
          <w:rFonts w:ascii="Times New Roman" w:eastAsia="Times New Roman" w:hAnsi="Times New Roman" w:cs="Times New Roman"/>
          <w:color w:val="000000" w:themeColor="text1"/>
          <w:sz w:val="28"/>
          <w:szCs w:val="28"/>
          <w:lang w:val="uk-UA"/>
        </w:rPr>
      </w:pPr>
      <w:r w:rsidRPr="000A32AD">
        <w:rPr>
          <w:rFonts w:ascii="Times New Roman" w:eastAsia="Times New Roman" w:hAnsi="Times New Roman" w:cs="Times New Roman"/>
          <w:color w:val="000000" w:themeColor="text1"/>
          <w:sz w:val="28"/>
          <w:szCs w:val="28"/>
          <w:lang w:val="uk-UA"/>
        </w:rPr>
        <w:t xml:space="preserve">Слід зазначити, що більшість </w:t>
      </w:r>
      <w:r w:rsidR="00A254FF" w:rsidRPr="000A32AD">
        <w:rPr>
          <w:rFonts w:ascii="Times New Roman" w:eastAsia="Times New Roman" w:hAnsi="Times New Roman" w:cs="Times New Roman"/>
          <w:color w:val="000000" w:themeColor="text1"/>
          <w:sz w:val="28"/>
          <w:szCs w:val="28"/>
          <w:lang w:val="uk-UA"/>
        </w:rPr>
        <w:t xml:space="preserve">наукових даних про </w:t>
      </w:r>
      <w:r w:rsidRPr="000A32AD">
        <w:rPr>
          <w:rFonts w:ascii="Times New Roman" w:eastAsia="Times New Roman" w:hAnsi="Times New Roman" w:cs="Times New Roman"/>
          <w:color w:val="000000" w:themeColor="text1"/>
          <w:sz w:val="28"/>
          <w:szCs w:val="28"/>
          <w:lang w:val="uk-UA"/>
        </w:rPr>
        <w:t>ефект</w:t>
      </w:r>
      <w:r w:rsidR="00A254FF" w:rsidRPr="000A32AD">
        <w:rPr>
          <w:rFonts w:ascii="Times New Roman" w:eastAsia="Times New Roman" w:hAnsi="Times New Roman" w:cs="Times New Roman"/>
          <w:color w:val="000000" w:themeColor="text1"/>
          <w:sz w:val="28"/>
          <w:szCs w:val="28"/>
          <w:lang w:val="uk-UA"/>
        </w:rPr>
        <w:t>и</w:t>
      </w:r>
      <w:r w:rsidRPr="000A32AD">
        <w:rPr>
          <w:rFonts w:ascii="Times New Roman" w:eastAsia="Times New Roman" w:hAnsi="Times New Roman" w:cs="Times New Roman"/>
          <w:color w:val="000000" w:themeColor="text1"/>
          <w:sz w:val="28"/>
          <w:szCs w:val="28"/>
          <w:lang w:val="uk-UA"/>
        </w:rPr>
        <w:t xml:space="preserve"> факторів росту та механізмів їх впливу на різноманітні клітинні та позаклітинні процеси отримано в результаті експериментальних досліджень на трансгенних мишах або </w:t>
      </w:r>
      <w:r w:rsidRPr="000A32AD">
        <w:rPr>
          <w:rFonts w:ascii="Times New Roman" w:eastAsia="Times New Roman" w:hAnsi="Times New Roman" w:cs="Times New Roman"/>
          <w:color w:val="000000" w:themeColor="text1"/>
          <w:sz w:val="28"/>
          <w:szCs w:val="28"/>
          <w:lang w:val="en-US"/>
        </w:rPr>
        <w:t>in</w:t>
      </w:r>
      <w:r w:rsidRPr="000A32AD">
        <w:rPr>
          <w:rFonts w:ascii="Times New Roman" w:eastAsia="Times New Roman" w:hAnsi="Times New Roman" w:cs="Times New Roman"/>
          <w:color w:val="000000" w:themeColor="text1"/>
          <w:sz w:val="28"/>
          <w:szCs w:val="28"/>
          <w:lang w:val="uk-UA"/>
        </w:rPr>
        <w:t xml:space="preserve"> </w:t>
      </w:r>
      <w:r w:rsidRPr="000A32AD">
        <w:rPr>
          <w:rFonts w:ascii="Times New Roman" w:eastAsia="Times New Roman" w:hAnsi="Times New Roman" w:cs="Times New Roman"/>
          <w:color w:val="000000" w:themeColor="text1"/>
          <w:sz w:val="28"/>
          <w:szCs w:val="28"/>
          <w:lang w:val="en-US"/>
        </w:rPr>
        <w:t>vitro</w:t>
      </w:r>
      <w:r w:rsidRPr="000A32AD">
        <w:rPr>
          <w:rFonts w:ascii="Times New Roman" w:eastAsia="Times New Roman" w:hAnsi="Times New Roman" w:cs="Times New Roman"/>
          <w:color w:val="000000" w:themeColor="text1"/>
          <w:sz w:val="28"/>
          <w:szCs w:val="28"/>
          <w:lang w:val="uk-UA"/>
        </w:rPr>
        <w:t xml:space="preserve">. В меншому ступеню ця проблема вирішується у клінічних дослідженнях. </w:t>
      </w:r>
    </w:p>
    <w:p w:rsidR="000D5D92" w:rsidRPr="000A32AD" w:rsidRDefault="000D5D92" w:rsidP="000D5D92">
      <w:pPr>
        <w:pStyle w:val="1"/>
        <w:shd w:val="clear" w:color="auto" w:fill="FFFFFF"/>
        <w:spacing w:before="0" w:beforeAutospacing="0" w:after="0" w:afterAutospacing="0" w:line="360" w:lineRule="auto"/>
        <w:ind w:firstLine="709"/>
        <w:jc w:val="both"/>
        <w:rPr>
          <w:b w:val="0"/>
          <w:color w:val="000000" w:themeColor="text1"/>
          <w:sz w:val="28"/>
          <w:szCs w:val="28"/>
          <w:lang w:val="uk-UA"/>
        </w:rPr>
      </w:pPr>
      <w:r w:rsidRPr="000A32AD">
        <w:rPr>
          <w:b w:val="0"/>
          <w:color w:val="000000" w:themeColor="text1"/>
          <w:sz w:val="28"/>
          <w:szCs w:val="28"/>
          <w:lang w:val="uk-UA"/>
        </w:rPr>
        <w:t>Встановлено, що концентрації маркерів ендотеліальної дисфункції та FGF2 в плазмі крові були збільшені у хворих з ХПН та тлі АГ у порівнянні зі здоровими та з хворими на АГ, рівень NO в плазмі мав зворотну концентрацію з FGF2</w:t>
      </w:r>
      <w:r w:rsidR="00F17BD2" w:rsidRPr="000A32AD">
        <w:rPr>
          <w:b w:val="0"/>
          <w:color w:val="000000" w:themeColor="text1"/>
          <w:sz w:val="28"/>
          <w:szCs w:val="28"/>
          <w:lang w:val="uk-UA"/>
        </w:rPr>
        <w:t xml:space="preserve"> </w:t>
      </w:r>
      <w:r w:rsidRPr="000A32AD">
        <w:rPr>
          <w:b w:val="0"/>
          <w:color w:val="000000" w:themeColor="text1"/>
          <w:sz w:val="28"/>
          <w:szCs w:val="28"/>
          <w:lang w:val="uk-UA"/>
        </w:rPr>
        <w:t>[</w:t>
      </w:r>
      <w:r w:rsidR="000A01F1" w:rsidRPr="000A32AD">
        <w:rPr>
          <w:b w:val="0"/>
          <w:color w:val="000000" w:themeColor="text1"/>
          <w:sz w:val="28"/>
          <w:szCs w:val="28"/>
          <w:lang w:val="uk-UA"/>
        </w:rPr>
        <w:t>11</w:t>
      </w:r>
      <w:r w:rsidRPr="000A32AD">
        <w:rPr>
          <w:b w:val="0"/>
          <w:color w:val="000000" w:themeColor="text1"/>
          <w:sz w:val="28"/>
          <w:szCs w:val="28"/>
          <w:lang w:val="uk-UA"/>
        </w:rPr>
        <w:t>2]. Встановлено, що для артеріальної гіпертензії</w:t>
      </w:r>
      <w:r w:rsidR="00F17BD2" w:rsidRPr="000A32AD">
        <w:rPr>
          <w:b w:val="0"/>
          <w:color w:val="000000" w:themeColor="text1"/>
          <w:sz w:val="28"/>
          <w:szCs w:val="28"/>
          <w:lang w:val="uk-UA"/>
        </w:rPr>
        <w:t xml:space="preserve"> </w:t>
      </w:r>
      <w:r w:rsidRPr="000A32AD">
        <w:rPr>
          <w:b w:val="0"/>
          <w:color w:val="000000" w:themeColor="text1"/>
          <w:sz w:val="28"/>
          <w:szCs w:val="28"/>
          <w:lang w:val="uk-UA"/>
        </w:rPr>
        <w:t xml:space="preserve">характерний дисбаланс між проангіогенними та антиангіогенними факторами. Зокрема, була </w:t>
      </w:r>
      <w:r w:rsidRPr="000A32AD">
        <w:rPr>
          <w:b w:val="0"/>
          <w:color w:val="000000" w:themeColor="text1"/>
          <w:sz w:val="28"/>
          <w:szCs w:val="28"/>
          <w:lang w:val="uk-UA"/>
        </w:rPr>
        <w:lastRenderedPageBreak/>
        <w:t xml:space="preserve">виявлено підвищена концентрація антиангіогенного фактора ендостатину, та, навпаки, зменшена концентрація </w:t>
      </w:r>
      <w:r w:rsidRPr="000A32AD">
        <w:rPr>
          <w:b w:val="0"/>
          <w:bCs w:val="0"/>
          <w:color w:val="000000" w:themeColor="text1"/>
          <w:sz w:val="28"/>
          <w:szCs w:val="28"/>
          <w:lang w:val="uk-UA"/>
        </w:rPr>
        <w:t>ангіогеніну і FGF2. Ці зміни відбувалися на тлі збільшення активності прозапальних факторів – CRP, VEGF та IL-8. Автори не знайшли залежності рівня всіх цих цитокінів від ІМТ, віку, показників ліпідного обміну, що дало змогу автором зробити висновок про залежність цих змін тільки від наявності артеріальної гіпертензії</w:t>
      </w:r>
      <w:r w:rsidR="00F17BD2" w:rsidRPr="000A32AD">
        <w:rPr>
          <w:b w:val="0"/>
          <w:bCs w:val="0"/>
          <w:color w:val="000000" w:themeColor="text1"/>
          <w:sz w:val="28"/>
          <w:szCs w:val="28"/>
          <w:lang w:val="uk-UA"/>
        </w:rPr>
        <w:t xml:space="preserve"> </w:t>
      </w:r>
      <w:r w:rsidRPr="000A32AD">
        <w:rPr>
          <w:b w:val="0"/>
          <w:color w:val="000000" w:themeColor="text1"/>
          <w:sz w:val="28"/>
          <w:szCs w:val="28"/>
          <w:lang w:val="uk-UA"/>
        </w:rPr>
        <w:t>[</w:t>
      </w:r>
      <w:r w:rsidR="00365A66" w:rsidRPr="000A32AD">
        <w:rPr>
          <w:b w:val="0"/>
          <w:color w:val="000000" w:themeColor="text1"/>
          <w:sz w:val="28"/>
          <w:szCs w:val="28"/>
          <w:lang w:val="uk-UA"/>
        </w:rPr>
        <w:t>178</w:t>
      </w:r>
      <w:r w:rsidRPr="000A32AD">
        <w:rPr>
          <w:b w:val="0"/>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У дослідженні пацієнтів з ІХС встановлено, що при наявності ЦД 2 типу рівень </w:t>
      </w:r>
      <w:r w:rsidRPr="000A32AD">
        <w:rPr>
          <w:rFonts w:ascii="Times New Roman" w:hAnsi="Times New Roman" w:cs="Times New Roman"/>
          <w:color w:val="000000" w:themeColor="text1"/>
          <w:sz w:val="28"/>
          <w:szCs w:val="28"/>
        </w:rPr>
        <w:t>FGF</w:t>
      </w:r>
      <w:r w:rsidRPr="000A32AD">
        <w:rPr>
          <w:rFonts w:ascii="Times New Roman" w:hAnsi="Times New Roman" w:cs="Times New Roman"/>
          <w:color w:val="000000" w:themeColor="text1"/>
          <w:sz w:val="28"/>
          <w:szCs w:val="28"/>
          <w:lang w:val="uk-UA"/>
        </w:rPr>
        <w:t>2</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в артеріальній та венозній крові був вищим ніж при його відсутності. При цьому його концентрація достовірно корелювала з тривалістю ЦД </w:t>
      </w:r>
      <w:r w:rsidRPr="000A32AD">
        <w:rPr>
          <w:rFonts w:ascii="Times New Roman" w:hAnsi="Times New Roman" w:cs="Times New Roman"/>
          <w:color w:val="000000" w:themeColor="text1"/>
          <w:sz w:val="28"/>
          <w:szCs w:val="28"/>
        </w:rPr>
        <w:t>(r=0,522</w:t>
      </w:r>
      <w:r w:rsidRPr="000A32AD">
        <w:rPr>
          <w:rFonts w:ascii="Times New Roman" w:hAnsi="Times New Roman" w:cs="Times New Roman"/>
          <w:color w:val="000000" w:themeColor="text1"/>
          <w:sz w:val="28"/>
          <w:szCs w:val="28"/>
          <w:lang w:val="uk-UA"/>
        </w:rPr>
        <w:t>) та виразністю уражень коронарних та сонних артерій (</w:t>
      </w:r>
      <w:r w:rsidRPr="000A32AD">
        <w:rPr>
          <w:rFonts w:ascii="Times New Roman" w:hAnsi="Times New Roman" w:cs="Times New Roman"/>
          <w:color w:val="000000" w:themeColor="text1"/>
          <w:sz w:val="28"/>
          <w:szCs w:val="28"/>
          <w:lang w:val="en-US"/>
        </w:rPr>
        <w:t>r</w:t>
      </w:r>
      <w:r w:rsidRPr="000A32AD">
        <w:rPr>
          <w:rFonts w:ascii="Times New Roman" w:hAnsi="Times New Roman" w:cs="Times New Roman"/>
          <w:color w:val="000000" w:themeColor="text1"/>
          <w:sz w:val="28"/>
          <w:szCs w:val="28"/>
        </w:rPr>
        <w:t>&gt;</w:t>
      </w:r>
      <w:r w:rsidRPr="000A32AD">
        <w:rPr>
          <w:rFonts w:ascii="Times New Roman" w:hAnsi="Times New Roman" w:cs="Times New Roman"/>
          <w:color w:val="000000" w:themeColor="text1"/>
          <w:sz w:val="28"/>
          <w:szCs w:val="28"/>
          <w:lang w:val="uk-UA"/>
        </w:rPr>
        <w:t>0,440). Автори пов’язують ці закономірності з впливом кінцевих продуктів глікірування (</w:t>
      </w:r>
      <w:r w:rsidRPr="000A32AD">
        <w:rPr>
          <w:rFonts w:ascii="Times New Roman" w:hAnsi="Times New Roman" w:cs="Times New Roman"/>
          <w:color w:val="000000" w:themeColor="text1"/>
          <w:sz w:val="28"/>
          <w:szCs w:val="28"/>
        </w:rPr>
        <w:t>Advanced</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rPr>
        <w:t>Glycation</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rPr>
        <w:t>End</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rPr>
        <w:t>Products</w:t>
      </w:r>
      <w:r w:rsidRPr="000A32AD">
        <w:rPr>
          <w:rFonts w:ascii="Times New Roman" w:hAnsi="Times New Roman" w:cs="Times New Roman"/>
          <w:color w:val="000000" w:themeColor="text1"/>
          <w:sz w:val="28"/>
          <w:szCs w:val="28"/>
          <w:lang w:val="uk-UA"/>
        </w:rPr>
        <w:t xml:space="preserve"> – </w:t>
      </w:r>
      <w:r w:rsidRPr="000A32AD">
        <w:rPr>
          <w:rFonts w:ascii="Times New Roman" w:hAnsi="Times New Roman" w:cs="Times New Roman"/>
          <w:color w:val="000000" w:themeColor="text1"/>
          <w:sz w:val="28"/>
          <w:szCs w:val="28"/>
        </w:rPr>
        <w:t>AGE</w:t>
      </w:r>
      <w:r w:rsidRPr="000A32AD">
        <w:rPr>
          <w:rFonts w:ascii="Times New Roman" w:hAnsi="Times New Roman" w:cs="Times New Roman"/>
          <w:color w:val="000000" w:themeColor="text1"/>
          <w:sz w:val="28"/>
          <w:szCs w:val="28"/>
          <w:lang w:val="uk-UA"/>
        </w:rPr>
        <w:t>), які порушують функцію внутрішньоклітинних білків</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w:t>
      </w:r>
      <w:r w:rsidR="000A01F1" w:rsidRPr="000A32AD">
        <w:rPr>
          <w:rFonts w:ascii="Times New Roman" w:hAnsi="Times New Roman" w:cs="Times New Roman"/>
          <w:color w:val="000000" w:themeColor="text1"/>
          <w:sz w:val="28"/>
          <w:szCs w:val="28"/>
          <w:lang w:val="uk-UA"/>
        </w:rPr>
        <w:t>29; 30</w:t>
      </w:r>
      <w:r w:rsidRPr="000A32AD">
        <w:rPr>
          <w:rFonts w:ascii="Times New Roman" w:hAnsi="Times New Roman" w:cs="Times New Roman"/>
          <w:color w:val="000000" w:themeColor="text1"/>
          <w:sz w:val="28"/>
          <w:szCs w:val="28"/>
          <w:lang w:val="uk-UA"/>
        </w:rPr>
        <w:t>].</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Вважають, що </w:t>
      </w:r>
      <w:r w:rsidRPr="000A32AD">
        <w:rPr>
          <w:rFonts w:ascii="Times New Roman" w:hAnsi="Times New Roman" w:cs="Times New Roman"/>
          <w:color w:val="000000" w:themeColor="text1"/>
          <w:sz w:val="28"/>
          <w:szCs w:val="28"/>
          <w:lang w:val="en"/>
        </w:rPr>
        <w:t>AGE</w:t>
      </w:r>
      <w:r w:rsidRPr="000A32AD">
        <w:rPr>
          <w:rFonts w:ascii="Times New Roman" w:hAnsi="Times New Roman" w:cs="Times New Roman"/>
          <w:color w:val="000000" w:themeColor="text1"/>
          <w:sz w:val="28"/>
          <w:szCs w:val="28"/>
          <w:lang w:val="uk-UA"/>
        </w:rPr>
        <w:t xml:space="preserve"> індукують розвиток окисного стресу, в результаті якого утворюються активні радикали, що володіють прямою ушкоджуючою дією [</w:t>
      </w:r>
      <w:r w:rsidR="000A01F1" w:rsidRPr="000A32AD">
        <w:rPr>
          <w:rFonts w:ascii="Times New Roman" w:hAnsi="Times New Roman" w:cs="Times New Roman"/>
          <w:color w:val="000000" w:themeColor="text1"/>
          <w:sz w:val="28"/>
          <w:szCs w:val="28"/>
          <w:lang w:val="uk-UA"/>
        </w:rPr>
        <w:t>92</w:t>
      </w:r>
      <w:r w:rsidRPr="000A32AD">
        <w:rPr>
          <w:rFonts w:ascii="Times New Roman" w:hAnsi="Times New Roman" w:cs="Times New Roman"/>
          <w:color w:val="000000" w:themeColor="text1"/>
          <w:sz w:val="28"/>
          <w:szCs w:val="28"/>
          <w:lang w:val="uk-UA"/>
        </w:rPr>
        <w:t>]. Виявлено залежність вмісту маркерів окисного стресу</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та розвиток судинних ускладнень не тільки від рівня </w:t>
      </w:r>
      <w:r w:rsidRPr="000A32AD">
        <w:rPr>
          <w:rFonts w:ascii="Times New Roman" w:hAnsi="Times New Roman" w:cs="Times New Roman"/>
          <w:color w:val="000000" w:themeColor="text1"/>
          <w:sz w:val="28"/>
          <w:szCs w:val="28"/>
          <w:lang w:val="en"/>
        </w:rPr>
        <w:t>AGE</w:t>
      </w:r>
      <w:r w:rsidRPr="000A32AD">
        <w:rPr>
          <w:rFonts w:ascii="Times New Roman" w:hAnsi="Times New Roman" w:cs="Times New Roman"/>
          <w:color w:val="000000" w:themeColor="text1"/>
          <w:sz w:val="28"/>
          <w:szCs w:val="28"/>
          <w:lang w:val="uk-UA"/>
        </w:rPr>
        <w:t>, але й від експресії їх рецепторів – RAGE [</w:t>
      </w:r>
      <w:r w:rsidR="000A01F1" w:rsidRPr="000A32AD">
        <w:rPr>
          <w:rFonts w:ascii="Times New Roman" w:hAnsi="Times New Roman" w:cs="Times New Roman"/>
          <w:color w:val="000000" w:themeColor="text1"/>
          <w:sz w:val="28"/>
          <w:szCs w:val="28"/>
          <w:lang w:val="uk-UA"/>
        </w:rPr>
        <w:t>109</w:t>
      </w:r>
      <w:r w:rsidRPr="000A32AD">
        <w:rPr>
          <w:rFonts w:ascii="Times New Roman" w:hAnsi="Times New Roman" w:cs="Times New Roman"/>
          <w:color w:val="000000" w:themeColor="text1"/>
          <w:sz w:val="28"/>
          <w:szCs w:val="28"/>
          <w:lang w:val="uk-UA"/>
        </w:rPr>
        <w:t xml:space="preserve">]. Встановлено, що </w:t>
      </w:r>
      <w:r w:rsidRPr="000A32AD">
        <w:rPr>
          <w:rFonts w:ascii="Times New Roman" w:hAnsi="Times New Roman" w:cs="Times New Roman"/>
          <w:color w:val="000000" w:themeColor="text1"/>
          <w:sz w:val="28"/>
          <w:szCs w:val="28"/>
        </w:rPr>
        <w:t>AGE</w:t>
      </w:r>
      <w:r w:rsidRPr="000A32AD">
        <w:rPr>
          <w:rFonts w:ascii="Times New Roman" w:hAnsi="Times New Roman" w:cs="Times New Roman"/>
          <w:color w:val="000000" w:themeColor="text1"/>
          <w:sz w:val="28"/>
          <w:szCs w:val="28"/>
          <w:lang w:val="uk-UA"/>
        </w:rPr>
        <w:t xml:space="preserve"> здатні стимулювати </w:t>
      </w:r>
      <w:r w:rsidRPr="000A32AD">
        <w:rPr>
          <w:rFonts w:ascii="Times New Roman" w:hAnsi="Times New Roman" w:cs="Times New Roman"/>
          <w:color w:val="000000" w:themeColor="text1"/>
          <w:sz w:val="28"/>
          <w:szCs w:val="28"/>
        </w:rPr>
        <w:t>FGF</w:t>
      </w:r>
      <w:r w:rsidRPr="000A32AD">
        <w:rPr>
          <w:rFonts w:ascii="Times New Roman" w:hAnsi="Times New Roman" w:cs="Times New Roman"/>
          <w:color w:val="000000" w:themeColor="text1"/>
          <w:sz w:val="28"/>
          <w:szCs w:val="28"/>
          <w:lang w:val="uk-UA"/>
        </w:rPr>
        <w:t>, а це призводить до збільшення продукції колагену, потовщенню базальної мембрани та хронічному запаленню. Вважається, що саме ці процеси грають роль у розвитку судинних, у тому числі, атеросклеротичних ускладнень ЦД [</w:t>
      </w:r>
      <w:r w:rsidR="002D1353" w:rsidRPr="000A32AD">
        <w:rPr>
          <w:rFonts w:ascii="Times New Roman" w:hAnsi="Times New Roman" w:cs="Times New Roman"/>
          <w:color w:val="000000" w:themeColor="text1"/>
          <w:sz w:val="28"/>
          <w:szCs w:val="28"/>
          <w:lang w:val="uk-UA"/>
        </w:rPr>
        <w:t xml:space="preserve">173; </w:t>
      </w:r>
      <w:r w:rsidR="000A01F1" w:rsidRPr="000A32AD">
        <w:rPr>
          <w:rFonts w:ascii="Times New Roman" w:hAnsi="Times New Roman" w:cs="Times New Roman"/>
          <w:color w:val="000000" w:themeColor="text1"/>
          <w:sz w:val="28"/>
          <w:szCs w:val="28"/>
          <w:lang w:val="uk-UA"/>
        </w:rPr>
        <w:t>192</w:t>
      </w:r>
      <w:r w:rsidRPr="000A32AD">
        <w:rPr>
          <w:rFonts w:ascii="Times New Roman" w:hAnsi="Times New Roman" w:cs="Times New Roman"/>
          <w:color w:val="000000" w:themeColor="text1"/>
          <w:sz w:val="28"/>
          <w:szCs w:val="28"/>
          <w:lang w:val="uk-UA"/>
        </w:rPr>
        <w:t xml:space="preserve">; </w:t>
      </w:r>
      <w:r w:rsidR="002D1353" w:rsidRPr="000A32AD">
        <w:rPr>
          <w:rFonts w:ascii="Times New Roman" w:hAnsi="Times New Roman" w:cs="Times New Roman"/>
          <w:color w:val="000000" w:themeColor="text1"/>
          <w:sz w:val="28"/>
          <w:szCs w:val="28"/>
          <w:lang w:val="uk-UA"/>
        </w:rPr>
        <w:t>248</w:t>
      </w:r>
      <w:r w:rsidRPr="000A32AD">
        <w:rPr>
          <w:rFonts w:ascii="Times New Roman" w:hAnsi="Times New Roman" w:cs="Times New Roman"/>
          <w:color w:val="000000" w:themeColor="text1"/>
          <w:sz w:val="28"/>
          <w:szCs w:val="28"/>
          <w:lang w:val="uk-UA"/>
        </w:rPr>
        <w:t xml:space="preserve">]. Патологічні зміни відбуваються не тільки в стінки судин, виявлено також негативний вплив </w:t>
      </w:r>
      <w:r w:rsidRPr="000A32AD">
        <w:rPr>
          <w:rFonts w:ascii="Times New Roman" w:hAnsi="Times New Roman" w:cs="Times New Roman"/>
          <w:color w:val="000000" w:themeColor="text1"/>
          <w:sz w:val="28"/>
          <w:szCs w:val="28"/>
          <w:lang w:val="en-US"/>
        </w:rPr>
        <w:t>AGE</w:t>
      </w:r>
      <w:r w:rsidRPr="000A32AD">
        <w:rPr>
          <w:rFonts w:ascii="Times New Roman" w:hAnsi="Times New Roman" w:cs="Times New Roman"/>
          <w:color w:val="000000" w:themeColor="text1"/>
          <w:sz w:val="28"/>
          <w:szCs w:val="28"/>
          <w:lang w:val="uk-UA"/>
        </w:rPr>
        <w:t xml:space="preserve"> безпосередньо на кардіоміоцити. Ураження коронарних судин та кардіоміопатію такого генезу пов’язують з розвитком серцевої недостатності у хворих на ЦД [</w:t>
      </w:r>
      <w:r w:rsidR="002D1353" w:rsidRPr="000A32AD">
        <w:rPr>
          <w:rFonts w:ascii="Times New Roman" w:hAnsi="Times New Roman" w:cs="Times New Roman"/>
          <w:color w:val="000000" w:themeColor="text1"/>
          <w:sz w:val="28"/>
          <w:szCs w:val="28"/>
          <w:lang w:val="uk-UA"/>
        </w:rPr>
        <w:t>145; 170</w:t>
      </w:r>
      <w:r w:rsidRPr="000A32AD">
        <w:rPr>
          <w:rFonts w:ascii="Times New Roman" w:hAnsi="Times New Roman" w:cs="Times New Roman"/>
          <w:color w:val="000000" w:themeColor="text1"/>
          <w:sz w:val="28"/>
          <w:szCs w:val="28"/>
          <w:lang w:val="uk-UA"/>
        </w:rPr>
        <w:t xml:space="preserve">; </w:t>
      </w:r>
      <w:r w:rsidR="002D1353" w:rsidRPr="000A32AD">
        <w:rPr>
          <w:rFonts w:ascii="Times New Roman" w:hAnsi="Times New Roman" w:cs="Times New Roman"/>
          <w:color w:val="000000" w:themeColor="text1"/>
          <w:sz w:val="28"/>
          <w:szCs w:val="28"/>
          <w:lang w:val="uk-UA"/>
        </w:rPr>
        <w:t>229</w:t>
      </w:r>
      <w:r w:rsidRPr="000A32AD">
        <w:rPr>
          <w:rFonts w:ascii="Times New Roman" w:hAnsi="Times New Roman" w:cs="Times New Roman"/>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rPr>
        <w:t>FGF</w:t>
      </w:r>
      <w:r w:rsidRPr="000A32AD">
        <w:rPr>
          <w:rFonts w:ascii="Times New Roman" w:hAnsi="Times New Roman" w:cs="Times New Roman"/>
          <w:color w:val="000000" w:themeColor="text1"/>
          <w:sz w:val="28"/>
          <w:szCs w:val="28"/>
          <w:lang w:val="uk-UA"/>
        </w:rPr>
        <w:t>2 сприяє ангіогенезу, індукції диферен</w:t>
      </w:r>
      <w:r w:rsidR="00BC6BC0" w:rsidRPr="000A32AD">
        <w:rPr>
          <w:rFonts w:ascii="Times New Roman" w:hAnsi="Times New Roman" w:cs="Times New Roman"/>
          <w:color w:val="000000" w:themeColor="text1"/>
          <w:sz w:val="28"/>
          <w:szCs w:val="28"/>
          <w:lang w:val="uk-UA"/>
        </w:rPr>
        <w:softHyphen/>
      </w:r>
      <w:r w:rsidRPr="000A32AD">
        <w:rPr>
          <w:rFonts w:ascii="Times New Roman" w:hAnsi="Times New Roman" w:cs="Times New Roman"/>
          <w:color w:val="000000" w:themeColor="text1"/>
          <w:sz w:val="28"/>
          <w:szCs w:val="28"/>
          <w:lang w:val="uk-UA"/>
        </w:rPr>
        <w:t xml:space="preserve">ціювання фібробластів та синтезу колагену. Інгібування </w:t>
      </w:r>
      <w:r w:rsidRPr="000A32AD">
        <w:rPr>
          <w:rFonts w:ascii="Times New Roman" w:hAnsi="Times New Roman" w:cs="Times New Roman"/>
          <w:color w:val="000000" w:themeColor="text1"/>
          <w:sz w:val="28"/>
          <w:szCs w:val="28"/>
        </w:rPr>
        <w:t>FGF</w:t>
      </w:r>
      <w:r w:rsidRPr="000A32AD">
        <w:rPr>
          <w:rFonts w:ascii="Times New Roman" w:hAnsi="Times New Roman" w:cs="Times New Roman"/>
          <w:color w:val="000000" w:themeColor="text1"/>
          <w:sz w:val="28"/>
          <w:szCs w:val="28"/>
          <w:lang w:val="uk-UA"/>
        </w:rPr>
        <w:t xml:space="preserve">2 за допомогою моноклональних антитіл </w:t>
      </w:r>
      <w:r w:rsidRPr="000A32AD">
        <w:rPr>
          <w:rFonts w:ascii="Times New Roman" w:hAnsi="Times New Roman" w:cs="Times New Roman"/>
          <w:color w:val="000000" w:themeColor="text1"/>
          <w:sz w:val="28"/>
          <w:szCs w:val="28"/>
          <w:lang w:val="uk-UA"/>
        </w:rPr>
        <w:lastRenderedPageBreak/>
        <w:t>призводило до зменшенню кількості колагену в області постінфарктного рубця міокарда та до значного зменшення жорсткості міокарда [</w:t>
      </w:r>
      <w:r w:rsidR="00312DBE" w:rsidRPr="000A32AD">
        <w:rPr>
          <w:rFonts w:ascii="Times New Roman" w:hAnsi="Times New Roman" w:cs="Times New Roman"/>
          <w:color w:val="000000" w:themeColor="text1"/>
          <w:sz w:val="28"/>
          <w:szCs w:val="28"/>
          <w:lang w:val="uk-UA"/>
        </w:rPr>
        <w:t>85</w:t>
      </w:r>
      <w:r w:rsidRPr="000A32AD">
        <w:rPr>
          <w:rFonts w:ascii="Times New Roman" w:hAnsi="Times New Roman" w:cs="Times New Roman"/>
          <w:color w:val="000000" w:themeColor="text1"/>
          <w:sz w:val="28"/>
          <w:szCs w:val="28"/>
          <w:lang w:val="uk-UA"/>
        </w:rPr>
        <w:t>].</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 У більш ранньому дослідженні</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виявлено, що рівень </w:t>
      </w:r>
      <w:r w:rsidRPr="000A32AD">
        <w:rPr>
          <w:rFonts w:ascii="Times New Roman" w:hAnsi="Times New Roman" w:cs="Times New Roman"/>
          <w:color w:val="000000" w:themeColor="text1"/>
          <w:sz w:val="28"/>
          <w:szCs w:val="28"/>
        </w:rPr>
        <w:t>FGF</w:t>
      </w:r>
      <w:r w:rsidRPr="000A32AD">
        <w:rPr>
          <w:rFonts w:ascii="Times New Roman" w:hAnsi="Times New Roman" w:cs="Times New Roman"/>
          <w:color w:val="000000" w:themeColor="text1"/>
          <w:sz w:val="28"/>
          <w:szCs w:val="28"/>
          <w:lang w:val="uk-UA"/>
        </w:rPr>
        <w:t xml:space="preserve">2 також достовірно корелював з тривалістю ЦД 1 типу, його тяжкістю та стадією діабетичної ретинопатії. Автори вважають це доказом безпосередньої участі </w:t>
      </w:r>
      <w:r w:rsidRPr="000A32AD">
        <w:rPr>
          <w:rFonts w:ascii="Times New Roman" w:hAnsi="Times New Roman" w:cs="Times New Roman"/>
          <w:color w:val="000000" w:themeColor="text1"/>
          <w:sz w:val="28"/>
          <w:szCs w:val="28"/>
        </w:rPr>
        <w:t>FGF</w:t>
      </w:r>
      <w:r w:rsidRPr="000A32AD">
        <w:rPr>
          <w:rFonts w:ascii="Times New Roman" w:hAnsi="Times New Roman" w:cs="Times New Roman"/>
          <w:color w:val="000000" w:themeColor="text1"/>
          <w:sz w:val="28"/>
          <w:szCs w:val="28"/>
          <w:lang w:val="uk-UA"/>
        </w:rPr>
        <w:t>2 в патогенезі мікросудинних порушень при ЦД 1 типу. Головну причину ускладнень автори пов’язують зі зменшенням просвіту судин та ішемією органів-мішеней, в основі яких потовщення базальної мембрани капілярів, збільшення її проникності та дисфункцію ендотеліальних, гладко-м’язових та інтерсти</w:t>
      </w:r>
      <w:r w:rsidR="00BC6BC0" w:rsidRPr="000A32AD">
        <w:rPr>
          <w:rFonts w:ascii="Times New Roman" w:hAnsi="Times New Roman" w:cs="Times New Roman"/>
          <w:color w:val="000000" w:themeColor="text1"/>
          <w:sz w:val="28"/>
          <w:szCs w:val="28"/>
          <w:lang w:val="uk-UA"/>
        </w:rPr>
        <w:softHyphen/>
      </w:r>
      <w:r w:rsidRPr="000A32AD">
        <w:rPr>
          <w:rFonts w:ascii="Times New Roman" w:hAnsi="Times New Roman" w:cs="Times New Roman"/>
          <w:color w:val="000000" w:themeColor="text1"/>
          <w:sz w:val="28"/>
          <w:szCs w:val="28"/>
          <w:lang w:val="uk-UA"/>
        </w:rPr>
        <w:t>ціальних клітин судин [</w:t>
      </w:r>
      <w:r w:rsidR="002D1353" w:rsidRPr="000A32AD">
        <w:rPr>
          <w:rFonts w:ascii="Times New Roman" w:hAnsi="Times New Roman" w:cs="Times New Roman"/>
          <w:color w:val="000000" w:themeColor="text1"/>
          <w:sz w:val="28"/>
          <w:szCs w:val="28"/>
          <w:lang w:val="uk-UA"/>
        </w:rPr>
        <w:t>65</w:t>
      </w:r>
      <w:r w:rsidRPr="000A32AD">
        <w:rPr>
          <w:rFonts w:ascii="Times New Roman" w:hAnsi="Times New Roman" w:cs="Times New Roman"/>
          <w:color w:val="000000" w:themeColor="text1"/>
          <w:sz w:val="28"/>
          <w:szCs w:val="28"/>
          <w:lang w:val="uk-UA"/>
        </w:rPr>
        <w:t>]</w:t>
      </w:r>
      <w:r w:rsidR="002D1353" w:rsidRPr="000A32AD">
        <w:rPr>
          <w:rFonts w:ascii="Times New Roman" w:hAnsi="Times New Roman" w:cs="Times New Roman"/>
          <w:color w:val="000000" w:themeColor="text1"/>
          <w:sz w:val="28"/>
          <w:szCs w:val="28"/>
          <w:lang w:val="uk-UA"/>
        </w:rPr>
        <w:t>.</w:t>
      </w:r>
    </w:p>
    <w:p w:rsidR="000D5D92" w:rsidRPr="000A32AD" w:rsidRDefault="000D5D92" w:rsidP="000D5D92">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У клінічному дослідженні за участю 107 пацієнтів з АГ</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та 50 здорових добровольців не виявлено значних відмінностей рівнів ростових факторів між аналізованими групами (р = 0,322), і вони не співвідносилися з рівнями артеріального тиску. Виявлено тенденцію до негативної кореляції між показниками діастолічної функції ЛЖ та концентраціями плазми IGF-1 та TGF. Значення ІМТ також не показало суттєвої кореляції з TGFb1, FGF2 і IGF-1 у всіх досліджених групах. За думкою авторів, отримані результати вказують на обмежену корисність одиничних вимірювань TGFb1, FGF2 та IGF-1</w:t>
      </w:r>
      <w:r w:rsidR="00673A52">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lang w:val="uk-UA"/>
        </w:rPr>
        <w:t xml:space="preserve"> як потенційних прогностичних факторів ремоделювання кровоносних судин та серцевої мускулатури у пацієнтів з гіпертонічною хворобою. Але ці показники можуть не відображати місцеву концент</w:t>
      </w:r>
      <w:r w:rsidR="002D1353" w:rsidRPr="000A32AD">
        <w:rPr>
          <w:rFonts w:ascii="Times New Roman" w:hAnsi="Times New Roman" w:cs="Times New Roman"/>
          <w:color w:val="000000" w:themeColor="text1"/>
          <w:sz w:val="28"/>
          <w:szCs w:val="28"/>
          <w:lang w:val="uk-UA"/>
        </w:rPr>
        <w:t>рацію цитокінів у органі-мішені</w:t>
      </w:r>
      <w:r w:rsidRPr="000A32AD">
        <w:rPr>
          <w:rFonts w:ascii="Times New Roman" w:hAnsi="Times New Roman" w:cs="Times New Roman"/>
          <w:color w:val="000000" w:themeColor="text1"/>
          <w:sz w:val="28"/>
          <w:szCs w:val="28"/>
          <w:lang w:val="uk-UA"/>
        </w:rPr>
        <w:t xml:space="preserve"> [</w:t>
      </w:r>
      <w:r w:rsidR="002D1353" w:rsidRPr="000A32AD">
        <w:rPr>
          <w:rFonts w:ascii="Times New Roman" w:hAnsi="Times New Roman" w:cs="Times New Roman"/>
          <w:color w:val="000000" w:themeColor="text1"/>
          <w:sz w:val="28"/>
          <w:szCs w:val="28"/>
          <w:lang w:val="uk-UA"/>
        </w:rPr>
        <w:t>157</w:t>
      </w:r>
      <w:r w:rsidRPr="000A32AD">
        <w:rPr>
          <w:rFonts w:ascii="Times New Roman" w:hAnsi="Times New Roman" w:cs="Times New Roman"/>
          <w:color w:val="000000" w:themeColor="text1"/>
          <w:sz w:val="28"/>
          <w:szCs w:val="28"/>
          <w:lang w:val="uk-UA"/>
        </w:rPr>
        <w:t>].</w:t>
      </w:r>
    </w:p>
    <w:p w:rsidR="000D5D92" w:rsidRPr="000A32AD" w:rsidRDefault="000D5D92" w:rsidP="000D5D92">
      <w:pPr>
        <w:pStyle w:val="1"/>
        <w:shd w:val="clear" w:color="auto" w:fill="FFFFFF"/>
        <w:spacing w:before="0" w:beforeAutospacing="0" w:after="0" w:afterAutospacing="0" w:line="360" w:lineRule="auto"/>
        <w:ind w:firstLine="709"/>
        <w:jc w:val="both"/>
        <w:rPr>
          <w:b w:val="0"/>
          <w:color w:val="000000" w:themeColor="text1"/>
          <w:sz w:val="28"/>
          <w:szCs w:val="28"/>
          <w:lang w:val="uk-UA"/>
        </w:rPr>
      </w:pPr>
      <w:r w:rsidRPr="000A32AD">
        <w:rPr>
          <w:b w:val="0"/>
          <w:color w:val="000000" w:themeColor="text1"/>
          <w:sz w:val="28"/>
          <w:szCs w:val="28"/>
          <w:lang w:val="uk-UA"/>
        </w:rPr>
        <w:t xml:space="preserve">За результатами дослідження </w:t>
      </w:r>
      <w:r w:rsidRPr="000A32AD">
        <w:rPr>
          <w:b w:val="0"/>
          <w:color w:val="000000" w:themeColor="text1"/>
          <w:sz w:val="28"/>
          <w:szCs w:val="28"/>
          <w:lang w:val="en"/>
        </w:rPr>
        <w:t>SMART</w:t>
      </w:r>
      <w:r w:rsidRPr="000A32AD">
        <w:rPr>
          <w:b w:val="0"/>
          <w:color w:val="000000" w:themeColor="text1"/>
          <w:sz w:val="28"/>
          <w:szCs w:val="28"/>
          <w:lang w:val="uk-UA"/>
        </w:rPr>
        <w:t xml:space="preserve"> (</w:t>
      </w:r>
      <w:r w:rsidRPr="000A32AD">
        <w:rPr>
          <w:b w:val="0"/>
          <w:color w:val="000000" w:themeColor="text1"/>
          <w:sz w:val="28"/>
          <w:szCs w:val="28"/>
          <w:lang w:val="en"/>
        </w:rPr>
        <w:t>Second</w:t>
      </w:r>
      <w:r w:rsidRPr="000A32AD">
        <w:rPr>
          <w:b w:val="0"/>
          <w:color w:val="000000" w:themeColor="text1"/>
          <w:sz w:val="28"/>
          <w:szCs w:val="28"/>
          <w:lang w:val="uk-UA"/>
        </w:rPr>
        <w:t xml:space="preserve"> </w:t>
      </w:r>
      <w:r w:rsidRPr="000A32AD">
        <w:rPr>
          <w:b w:val="0"/>
          <w:color w:val="000000" w:themeColor="text1"/>
          <w:sz w:val="28"/>
          <w:szCs w:val="28"/>
          <w:lang w:val="en"/>
        </w:rPr>
        <w:t>Manifestations</w:t>
      </w:r>
      <w:r w:rsidRPr="000A32AD">
        <w:rPr>
          <w:b w:val="0"/>
          <w:color w:val="000000" w:themeColor="text1"/>
          <w:sz w:val="28"/>
          <w:szCs w:val="28"/>
          <w:lang w:val="uk-UA"/>
        </w:rPr>
        <w:t xml:space="preserve"> </w:t>
      </w:r>
      <w:r w:rsidRPr="000A32AD">
        <w:rPr>
          <w:b w:val="0"/>
          <w:color w:val="000000" w:themeColor="text1"/>
          <w:sz w:val="28"/>
          <w:szCs w:val="28"/>
          <w:lang w:val="en"/>
        </w:rPr>
        <w:t>of</w:t>
      </w:r>
      <w:r w:rsidRPr="000A32AD">
        <w:rPr>
          <w:b w:val="0"/>
          <w:color w:val="000000" w:themeColor="text1"/>
          <w:sz w:val="28"/>
          <w:szCs w:val="28"/>
          <w:lang w:val="uk-UA"/>
        </w:rPr>
        <w:t xml:space="preserve"> </w:t>
      </w:r>
      <w:r w:rsidRPr="000A32AD">
        <w:rPr>
          <w:b w:val="0"/>
          <w:color w:val="000000" w:themeColor="text1"/>
          <w:sz w:val="28"/>
          <w:szCs w:val="28"/>
          <w:lang w:val="en"/>
        </w:rPr>
        <w:t>ARTertial</w:t>
      </w:r>
      <w:r w:rsidRPr="000A32AD">
        <w:rPr>
          <w:b w:val="0"/>
          <w:color w:val="000000" w:themeColor="text1"/>
          <w:sz w:val="28"/>
          <w:szCs w:val="28"/>
          <w:lang w:val="uk-UA"/>
        </w:rPr>
        <w:t xml:space="preserve"> </w:t>
      </w:r>
      <w:r w:rsidRPr="000A32AD">
        <w:rPr>
          <w:b w:val="0"/>
          <w:color w:val="000000" w:themeColor="text1"/>
          <w:sz w:val="28"/>
          <w:szCs w:val="28"/>
          <w:lang w:val="en"/>
        </w:rPr>
        <w:t>disease</w:t>
      </w:r>
      <w:r w:rsidRPr="000A32AD">
        <w:rPr>
          <w:b w:val="0"/>
          <w:color w:val="000000" w:themeColor="text1"/>
          <w:sz w:val="28"/>
          <w:szCs w:val="28"/>
          <w:lang w:val="uk-UA"/>
        </w:rPr>
        <w:t xml:space="preserve">) (1002 пацієнтів) та </w:t>
      </w:r>
      <w:r w:rsidRPr="000A32AD">
        <w:rPr>
          <w:b w:val="0"/>
          <w:color w:val="000000" w:themeColor="text1"/>
          <w:sz w:val="28"/>
          <w:szCs w:val="28"/>
          <w:lang w:val="en"/>
        </w:rPr>
        <w:t>EPIC</w:t>
      </w:r>
      <w:r w:rsidRPr="000A32AD">
        <w:rPr>
          <w:b w:val="0"/>
          <w:color w:val="000000" w:themeColor="text1"/>
          <w:sz w:val="28"/>
          <w:szCs w:val="28"/>
          <w:lang w:val="uk-UA"/>
        </w:rPr>
        <w:t>-</w:t>
      </w:r>
      <w:r w:rsidRPr="000A32AD">
        <w:rPr>
          <w:b w:val="0"/>
          <w:color w:val="000000" w:themeColor="text1"/>
          <w:sz w:val="28"/>
          <w:szCs w:val="28"/>
          <w:lang w:val="en"/>
        </w:rPr>
        <w:t>NL</w:t>
      </w:r>
      <w:r w:rsidRPr="000A32AD">
        <w:rPr>
          <w:b w:val="0"/>
          <w:color w:val="000000" w:themeColor="text1"/>
          <w:sz w:val="28"/>
          <w:szCs w:val="28"/>
          <w:lang w:val="uk-UA"/>
        </w:rPr>
        <w:t xml:space="preserve"> (</w:t>
      </w:r>
      <w:r w:rsidRPr="000A32AD">
        <w:rPr>
          <w:b w:val="0"/>
          <w:color w:val="000000" w:themeColor="text1"/>
          <w:sz w:val="28"/>
          <w:szCs w:val="28"/>
          <w:lang w:val="en"/>
        </w:rPr>
        <w:t>European</w:t>
      </w:r>
      <w:r w:rsidRPr="000A32AD">
        <w:rPr>
          <w:b w:val="0"/>
          <w:color w:val="000000" w:themeColor="text1"/>
          <w:sz w:val="28"/>
          <w:szCs w:val="28"/>
          <w:lang w:val="uk-UA"/>
        </w:rPr>
        <w:t xml:space="preserve"> </w:t>
      </w:r>
      <w:r w:rsidRPr="000A32AD">
        <w:rPr>
          <w:b w:val="0"/>
          <w:color w:val="000000" w:themeColor="text1"/>
          <w:sz w:val="28"/>
          <w:szCs w:val="28"/>
          <w:lang w:val="en"/>
        </w:rPr>
        <w:t>Prospective</w:t>
      </w:r>
      <w:r w:rsidRPr="000A32AD">
        <w:rPr>
          <w:b w:val="0"/>
          <w:color w:val="000000" w:themeColor="text1"/>
          <w:sz w:val="28"/>
          <w:szCs w:val="28"/>
          <w:lang w:val="uk-UA"/>
        </w:rPr>
        <w:t xml:space="preserve"> </w:t>
      </w:r>
      <w:r w:rsidRPr="000A32AD">
        <w:rPr>
          <w:b w:val="0"/>
          <w:color w:val="000000" w:themeColor="text1"/>
          <w:sz w:val="28"/>
          <w:szCs w:val="28"/>
          <w:lang w:val="en"/>
        </w:rPr>
        <w:t>Investigation</w:t>
      </w:r>
      <w:r w:rsidRPr="000A32AD">
        <w:rPr>
          <w:b w:val="0"/>
          <w:color w:val="000000" w:themeColor="text1"/>
          <w:sz w:val="28"/>
          <w:szCs w:val="28"/>
          <w:lang w:val="uk-UA"/>
        </w:rPr>
        <w:t xml:space="preserve"> </w:t>
      </w:r>
      <w:r w:rsidRPr="000A32AD">
        <w:rPr>
          <w:b w:val="0"/>
          <w:color w:val="000000" w:themeColor="text1"/>
          <w:sz w:val="28"/>
          <w:szCs w:val="28"/>
          <w:lang w:val="en"/>
        </w:rPr>
        <w:t>into</w:t>
      </w:r>
      <w:r w:rsidRPr="000A32AD">
        <w:rPr>
          <w:b w:val="0"/>
          <w:color w:val="000000" w:themeColor="text1"/>
          <w:sz w:val="28"/>
          <w:szCs w:val="28"/>
          <w:lang w:val="uk-UA"/>
        </w:rPr>
        <w:t xml:space="preserve"> </w:t>
      </w:r>
      <w:r w:rsidRPr="000A32AD">
        <w:rPr>
          <w:b w:val="0"/>
          <w:color w:val="000000" w:themeColor="text1"/>
          <w:sz w:val="28"/>
          <w:szCs w:val="28"/>
          <w:lang w:val="en"/>
        </w:rPr>
        <w:t>Cancer</w:t>
      </w:r>
      <w:r w:rsidRPr="000A32AD">
        <w:rPr>
          <w:b w:val="0"/>
          <w:color w:val="000000" w:themeColor="text1"/>
          <w:sz w:val="28"/>
          <w:szCs w:val="28"/>
          <w:lang w:val="uk-UA"/>
        </w:rPr>
        <w:t xml:space="preserve"> </w:t>
      </w:r>
      <w:r w:rsidRPr="000A32AD">
        <w:rPr>
          <w:b w:val="0"/>
          <w:color w:val="000000" w:themeColor="text1"/>
          <w:sz w:val="28"/>
          <w:szCs w:val="28"/>
          <w:lang w:val="en"/>
        </w:rPr>
        <w:t>and</w:t>
      </w:r>
      <w:r w:rsidRPr="000A32AD">
        <w:rPr>
          <w:b w:val="0"/>
          <w:color w:val="000000" w:themeColor="text1"/>
          <w:sz w:val="28"/>
          <w:szCs w:val="28"/>
          <w:lang w:val="uk-UA"/>
        </w:rPr>
        <w:t xml:space="preserve"> </w:t>
      </w:r>
      <w:r w:rsidRPr="000A32AD">
        <w:rPr>
          <w:b w:val="0"/>
          <w:color w:val="000000" w:themeColor="text1"/>
          <w:sz w:val="28"/>
          <w:szCs w:val="28"/>
          <w:lang w:val="en"/>
        </w:rPr>
        <w:t>Nutrition</w:t>
      </w:r>
      <w:r w:rsidRPr="000A32AD">
        <w:rPr>
          <w:b w:val="0"/>
          <w:color w:val="000000" w:themeColor="text1"/>
          <w:sz w:val="28"/>
          <w:szCs w:val="28"/>
          <w:lang w:val="uk-UA"/>
        </w:rPr>
        <w:t>-</w:t>
      </w:r>
      <w:r w:rsidRPr="000A32AD">
        <w:rPr>
          <w:b w:val="0"/>
          <w:color w:val="000000" w:themeColor="text1"/>
          <w:sz w:val="28"/>
          <w:szCs w:val="28"/>
          <w:lang w:val="en"/>
        </w:rPr>
        <w:t>NL</w:t>
      </w:r>
      <w:r w:rsidRPr="000A32AD">
        <w:rPr>
          <w:b w:val="0"/>
          <w:color w:val="000000" w:themeColor="text1"/>
          <w:sz w:val="28"/>
          <w:szCs w:val="28"/>
          <w:lang w:val="uk-UA"/>
        </w:rPr>
        <w:t xml:space="preserve">) (288 пацієнтів), у якому вивчалася прогностична роль 23 потенційних біомаркерів кардіоваскулярних подій у хворих на ЦД 2 типу, виявлено значимість тільки </w:t>
      </w:r>
      <w:r w:rsidRPr="000A32AD">
        <w:rPr>
          <w:b w:val="0"/>
          <w:color w:val="000000" w:themeColor="text1"/>
          <w:sz w:val="28"/>
          <w:szCs w:val="28"/>
          <w:lang w:val="en"/>
        </w:rPr>
        <w:t>N</w:t>
      </w:r>
      <w:r w:rsidRPr="000A32AD">
        <w:rPr>
          <w:b w:val="0"/>
          <w:color w:val="000000" w:themeColor="text1"/>
          <w:sz w:val="28"/>
          <w:szCs w:val="28"/>
          <w:lang w:val="uk-UA"/>
        </w:rPr>
        <w:t>-</w:t>
      </w:r>
      <w:r w:rsidRPr="000A32AD">
        <w:rPr>
          <w:b w:val="0"/>
          <w:color w:val="000000" w:themeColor="text1"/>
          <w:sz w:val="28"/>
          <w:szCs w:val="28"/>
          <w:lang w:val="en"/>
        </w:rPr>
        <w:t>terminal</w:t>
      </w:r>
      <w:r w:rsidRPr="000A32AD">
        <w:rPr>
          <w:b w:val="0"/>
          <w:color w:val="000000" w:themeColor="text1"/>
          <w:sz w:val="28"/>
          <w:szCs w:val="28"/>
          <w:lang w:val="uk-UA"/>
        </w:rPr>
        <w:t xml:space="preserve"> </w:t>
      </w:r>
      <w:r w:rsidRPr="000A32AD">
        <w:rPr>
          <w:b w:val="0"/>
          <w:color w:val="000000" w:themeColor="text1"/>
          <w:sz w:val="28"/>
          <w:szCs w:val="28"/>
          <w:lang w:val="en"/>
        </w:rPr>
        <w:t>prohormone</w:t>
      </w:r>
      <w:r w:rsidRPr="000A32AD">
        <w:rPr>
          <w:b w:val="0"/>
          <w:color w:val="000000" w:themeColor="text1"/>
          <w:sz w:val="28"/>
          <w:szCs w:val="28"/>
          <w:lang w:val="uk-UA"/>
        </w:rPr>
        <w:t xml:space="preserve"> </w:t>
      </w:r>
      <w:r w:rsidRPr="000A32AD">
        <w:rPr>
          <w:b w:val="0"/>
          <w:color w:val="000000" w:themeColor="text1"/>
          <w:sz w:val="28"/>
          <w:szCs w:val="28"/>
          <w:lang w:val="en"/>
        </w:rPr>
        <w:t>of</w:t>
      </w:r>
      <w:r w:rsidRPr="000A32AD">
        <w:rPr>
          <w:b w:val="0"/>
          <w:color w:val="000000" w:themeColor="text1"/>
          <w:sz w:val="28"/>
          <w:szCs w:val="28"/>
          <w:lang w:val="uk-UA"/>
        </w:rPr>
        <w:t xml:space="preserve"> </w:t>
      </w:r>
      <w:r w:rsidRPr="000A32AD">
        <w:rPr>
          <w:b w:val="0"/>
          <w:color w:val="000000" w:themeColor="text1"/>
          <w:sz w:val="28"/>
          <w:szCs w:val="28"/>
          <w:lang w:val="en"/>
        </w:rPr>
        <w:t>B</w:t>
      </w:r>
      <w:r w:rsidRPr="000A32AD">
        <w:rPr>
          <w:b w:val="0"/>
          <w:color w:val="000000" w:themeColor="text1"/>
          <w:sz w:val="28"/>
          <w:szCs w:val="28"/>
          <w:lang w:val="uk-UA"/>
        </w:rPr>
        <w:t>-</w:t>
      </w:r>
      <w:r w:rsidRPr="000A32AD">
        <w:rPr>
          <w:b w:val="0"/>
          <w:color w:val="000000" w:themeColor="text1"/>
          <w:sz w:val="28"/>
          <w:szCs w:val="28"/>
          <w:lang w:val="en"/>
        </w:rPr>
        <w:t>type</w:t>
      </w:r>
      <w:r w:rsidRPr="000A32AD">
        <w:rPr>
          <w:b w:val="0"/>
          <w:color w:val="000000" w:themeColor="text1"/>
          <w:sz w:val="28"/>
          <w:szCs w:val="28"/>
          <w:lang w:val="uk-UA"/>
        </w:rPr>
        <w:t xml:space="preserve"> </w:t>
      </w:r>
      <w:r w:rsidRPr="000A32AD">
        <w:rPr>
          <w:b w:val="0"/>
          <w:color w:val="000000" w:themeColor="text1"/>
          <w:sz w:val="28"/>
          <w:szCs w:val="28"/>
          <w:lang w:val="en"/>
        </w:rPr>
        <w:t>natriuretic</w:t>
      </w:r>
      <w:r w:rsidRPr="000A32AD">
        <w:rPr>
          <w:b w:val="0"/>
          <w:color w:val="000000" w:themeColor="text1"/>
          <w:sz w:val="28"/>
          <w:szCs w:val="28"/>
          <w:lang w:val="uk-UA"/>
        </w:rPr>
        <w:t xml:space="preserve"> </w:t>
      </w:r>
      <w:r w:rsidRPr="000A32AD">
        <w:rPr>
          <w:b w:val="0"/>
          <w:color w:val="000000" w:themeColor="text1"/>
          <w:sz w:val="28"/>
          <w:szCs w:val="28"/>
          <w:lang w:val="en"/>
        </w:rPr>
        <w:t>peptide</w:t>
      </w:r>
      <w:r w:rsidRPr="000A32AD">
        <w:rPr>
          <w:b w:val="0"/>
          <w:color w:val="000000" w:themeColor="text1"/>
          <w:sz w:val="28"/>
          <w:szCs w:val="28"/>
          <w:lang w:val="uk-UA"/>
        </w:rPr>
        <w:t xml:space="preserve">, </w:t>
      </w:r>
      <w:r w:rsidRPr="000A32AD">
        <w:rPr>
          <w:b w:val="0"/>
          <w:color w:val="000000" w:themeColor="text1"/>
          <w:sz w:val="28"/>
          <w:szCs w:val="28"/>
          <w:lang w:val="en"/>
        </w:rPr>
        <w:t>osteopontin</w:t>
      </w:r>
      <w:r w:rsidRPr="000A32AD">
        <w:rPr>
          <w:b w:val="0"/>
          <w:color w:val="000000" w:themeColor="text1"/>
          <w:sz w:val="28"/>
          <w:szCs w:val="28"/>
          <w:lang w:val="uk-UA"/>
        </w:rPr>
        <w:t xml:space="preserve"> та </w:t>
      </w:r>
      <w:r w:rsidRPr="000A32AD">
        <w:rPr>
          <w:b w:val="0"/>
          <w:color w:val="000000" w:themeColor="text1"/>
          <w:sz w:val="28"/>
          <w:szCs w:val="28"/>
          <w:lang w:val="en"/>
        </w:rPr>
        <w:t>MMP</w:t>
      </w:r>
      <w:r w:rsidRPr="000A32AD">
        <w:rPr>
          <w:b w:val="0"/>
          <w:color w:val="000000" w:themeColor="text1"/>
          <w:sz w:val="28"/>
          <w:szCs w:val="28"/>
          <w:lang w:val="uk-UA"/>
        </w:rPr>
        <w:t xml:space="preserve">-3. Прогностичного значення </w:t>
      </w:r>
      <w:r w:rsidRPr="000A32AD">
        <w:rPr>
          <w:b w:val="0"/>
          <w:color w:val="000000" w:themeColor="text1"/>
          <w:sz w:val="28"/>
          <w:szCs w:val="28"/>
        </w:rPr>
        <w:t>FGF2</w:t>
      </w:r>
      <w:r w:rsidRPr="000A32AD">
        <w:rPr>
          <w:b w:val="0"/>
          <w:color w:val="000000" w:themeColor="text1"/>
          <w:sz w:val="28"/>
          <w:szCs w:val="28"/>
          <w:lang w:val="uk-UA"/>
        </w:rPr>
        <w:t xml:space="preserve"> не виявлено. При цьому, </w:t>
      </w:r>
      <w:r w:rsidRPr="000A32AD">
        <w:rPr>
          <w:b w:val="0"/>
          <w:color w:val="000000" w:themeColor="text1"/>
          <w:sz w:val="28"/>
          <w:szCs w:val="28"/>
          <w:lang w:val="uk-UA"/>
        </w:rPr>
        <w:lastRenderedPageBreak/>
        <w:t xml:space="preserve">у дослідженні </w:t>
      </w:r>
      <w:r w:rsidRPr="000A32AD">
        <w:rPr>
          <w:b w:val="0"/>
          <w:color w:val="000000" w:themeColor="text1"/>
          <w:sz w:val="28"/>
          <w:szCs w:val="28"/>
          <w:lang w:val="en"/>
        </w:rPr>
        <w:t>SMART</w:t>
      </w:r>
      <w:r w:rsidR="00F17BD2" w:rsidRPr="000A32AD">
        <w:rPr>
          <w:b w:val="0"/>
          <w:color w:val="000000" w:themeColor="text1"/>
          <w:sz w:val="28"/>
          <w:szCs w:val="28"/>
          <w:lang w:val="uk-UA"/>
        </w:rPr>
        <w:t xml:space="preserve"> </w:t>
      </w:r>
      <w:r w:rsidRPr="000A32AD">
        <w:rPr>
          <w:b w:val="0"/>
          <w:color w:val="000000" w:themeColor="text1"/>
          <w:sz w:val="28"/>
          <w:szCs w:val="28"/>
          <w:lang w:val="uk-UA"/>
        </w:rPr>
        <w:t xml:space="preserve">концентрація </w:t>
      </w:r>
      <w:r w:rsidRPr="000A32AD">
        <w:rPr>
          <w:b w:val="0"/>
          <w:color w:val="000000" w:themeColor="text1"/>
          <w:sz w:val="28"/>
          <w:szCs w:val="28"/>
        </w:rPr>
        <w:t>FGF2</w:t>
      </w:r>
      <w:r w:rsidRPr="000A32AD">
        <w:rPr>
          <w:b w:val="0"/>
          <w:color w:val="000000" w:themeColor="text1"/>
          <w:sz w:val="28"/>
          <w:szCs w:val="28"/>
          <w:lang w:val="uk-UA"/>
        </w:rPr>
        <w:t xml:space="preserve"> становила 3.1 (1.8–6.2),</w:t>
      </w:r>
      <w:r w:rsidR="00F17BD2" w:rsidRPr="000A32AD">
        <w:rPr>
          <w:b w:val="0"/>
          <w:color w:val="000000" w:themeColor="text1"/>
          <w:sz w:val="28"/>
          <w:szCs w:val="28"/>
          <w:lang w:val="uk-UA"/>
        </w:rPr>
        <w:t xml:space="preserve"> </w:t>
      </w:r>
      <w:r w:rsidRPr="000A32AD">
        <w:rPr>
          <w:b w:val="0"/>
          <w:color w:val="000000" w:themeColor="text1"/>
          <w:sz w:val="28"/>
          <w:szCs w:val="28"/>
          <w:lang w:val="uk-UA"/>
        </w:rPr>
        <w:t xml:space="preserve">у дослідженні </w:t>
      </w:r>
      <w:r w:rsidRPr="000A32AD">
        <w:rPr>
          <w:b w:val="0"/>
          <w:color w:val="000000" w:themeColor="text1"/>
          <w:sz w:val="28"/>
          <w:szCs w:val="28"/>
          <w:lang w:val="en"/>
        </w:rPr>
        <w:t>EPIC</w:t>
      </w:r>
      <w:r w:rsidRPr="000A32AD">
        <w:rPr>
          <w:b w:val="0"/>
          <w:color w:val="000000" w:themeColor="text1"/>
          <w:sz w:val="28"/>
          <w:szCs w:val="28"/>
          <w:lang w:val="uk-UA"/>
        </w:rPr>
        <w:t>-</w:t>
      </w:r>
      <w:r w:rsidRPr="000A32AD">
        <w:rPr>
          <w:b w:val="0"/>
          <w:color w:val="000000" w:themeColor="text1"/>
          <w:sz w:val="28"/>
          <w:szCs w:val="28"/>
          <w:lang w:val="en"/>
        </w:rPr>
        <w:t>NL</w:t>
      </w:r>
      <w:r w:rsidRPr="000A32AD">
        <w:rPr>
          <w:b w:val="0"/>
          <w:color w:val="000000" w:themeColor="text1"/>
          <w:sz w:val="28"/>
          <w:szCs w:val="28"/>
          <w:lang w:val="uk-UA"/>
        </w:rPr>
        <w:t xml:space="preserve"> – 6.9 (4.3–11.4)</w:t>
      </w:r>
      <w:r w:rsidR="00F17BD2" w:rsidRPr="000A32AD">
        <w:rPr>
          <w:b w:val="0"/>
          <w:color w:val="000000" w:themeColor="text1"/>
          <w:sz w:val="28"/>
          <w:szCs w:val="28"/>
          <w:lang w:val="uk-UA"/>
        </w:rPr>
        <w:t xml:space="preserve"> </w:t>
      </w:r>
      <w:r w:rsidRPr="000A32AD">
        <w:rPr>
          <w:b w:val="0"/>
          <w:color w:val="000000" w:themeColor="text1"/>
          <w:sz w:val="28"/>
          <w:szCs w:val="28"/>
          <w:lang w:val="uk-UA"/>
        </w:rPr>
        <w:t>[</w:t>
      </w:r>
      <w:r w:rsidR="002D1353" w:rsidRPr="000A32AD">
        <w:rPr>
          <w:b w:val="0"/>
          <w:color w:val="000000" w:themeColor="text1"/>
          <w:sz w:val="28"/>
          <w:szCs w:val="28"/>
          <w:lang w:val="uk-UA"/>
        </w:rPr>
        <w:t>230</w:t>
      </w:r>
      <w:r w:rsidRPr="000A32AD">
        <w:rPr>
          <w:b w:val="0"/>
          <w:color w:val="000000" w:themeColor="text1"/>
          <w:sz w:val="28"/>
          <w:szCs w:val="28"/>
          <w:lang w:val="uk-UA"/>
        </w:rPr>
        <w:t>].</w:t>
      </w:r>
    </w:p>
    <w:p w:rsidR="000D5D92" w:rsidRPr="000A32AD" w:rsidRDefault="000D5D92" w:rsidP="000D5D92">
      <w:pPr>
        <w:pStyle w:val="1"/>
        <w:shd w:val="clear" w:color="auto" w:fill="FFFFFF"/>
        <w:spacing w:before="0" w:beforeAutospacing="0" w:after="0" w:afterAutospacing="0" w:line="360" w:lineRule="auto"/>
        <w:ind w:firstLine="709"/>
        <w:jc w:val="both"/>
        <w:rPr>
          <w:b w:val="0"/>
          <w:color w:val="000000" w:themeColor="text1"/>
          <w:sz w:val="28"/>
          <w:szCs w:val="28"/>
          <w:lang w:val="uk-UA"/>
        </w:rPr>
      </w:pPr>
      <w:r w:rsidRPr="000A32AD">
        <w:rPr>
          <w:b w:val="0"/>
          <w:color w:val="000000" w:themeColor="text1"/>
          <w:sz w:val="28"/>
          <w:szCs w:val="28"/>
          <w:lang w:val="uk-UA"/>
        </w:rPr>
        <w:t xml:space="preserve">За результатами дослідження </w:t>
      </w:r>
      <w:r w:rsidRPr="000A32AD">
        <w:rPr>
          <w:b w:val="0"/>
          <w:color w:val="000000" w:themeColor="text1"/>
          <w:sz w:val="28"/>
          <w:szCs w:val="28"/>
          <w:lang w:val="en"/>
        </w:rPr>
        <w:t>VADT</w:t>
      </w:r>
      <w:r w:rsidRPr="000A32AD">
        <w:rPr>
          <w:b w:val="0"/>
          <w:color w:val="000000" w:themeColor="text1"/>
          <w:sz w:val="28"/>
          <w:szCs w:val="28"/>
          <w:lang w:val="uk-UA"/>
        </w:rPr>
        <w:t xml:space="preserve"> (</w:t>
      </w:r>
      <w:r w:rsidRPr="000A32AD">
        <w:rPr>
          <w:b w:val="0"/>
          <w:color w:val="000000" w:themeColor="text1"/>
          <w:sz w:val="28"/>
          <w:szCs w:val="28"/>
          <w:lang w:val="en"/>
        </w:rPr>
        <w:t>Veterans</w:t>
      </w:r>
      <w:r w:rsidRPr="000A32AD">
        <w:rPr>
          <w:b w:val="0"/>
          <w:color w:val="000000" w:themeColor="text1"/>
          <w:sz w:val="28"/>
          <w:szCs w:val="28"/>
          <w:lang w:val="uk-UA"/>
        </w:rPr>
        <w:t xml:space="preserve"> </w:t>
      </w:r>
      <w:r w:rsidRPr="000A32AD">
        <w:rPr>
          <w:b w:val="0"/>
          <w:color w:val="000000" w:themeColor="text1"/>
          <w:sz w:val="28"/>
          <w:szCs w:val="28"/>
          <w:lang w:val="en"/>
        </w:rPr>
        <w:t>Affairs</w:t>
      </w:r>
      <w:r w:rsidRPr="000A32AD">
        <w:rPr>
          <w:b w:val="0"/>
          <w:color w:val="000000" w:themeColor="text1"/>
          <w:sz w:val="28"/>
          <w:szCs w:val="28"/>
          <w:lang w:val="uk-UA"/>
        </w:rPr>
        <w:t xml:space="preserve"> </w:t>
      </w:r>
      <w:r w:rsidRPr="000A32AD">
        <w:rPr>
          <w:b w:val="0"/>
          <w:color w:val="000000" w:themeColor="text1"/>
          <w:sz w:val="28"/>
          <w:szCs w:val="28"/>
          <w:lang w:val="en"/>
        </w:rPr>
        <w:t>Diabetes</w:t>
      </w:r>
      <w:r w:rsidRPr="000A32AD">
        <w:rPr>
          <w:b w:val="0"/>
          <w:color w:val="000000" w:themeColor="text1"/>
          <w:sz w:val="28"/>
          <w:szCs w:val="28"/>
          <w:lang w:val="uk-UA"/>
        </w:rPr>
        <w:t xml:space="preserve"> </w:t>
      </w:r>
      <w:r w:rsidRPr="000A32AD">
        <w:rPr>
          <w:b w:val="0"/>
          <w:color w:val="000000" w:themeColor="text1"/>
          <w:sz w:val="28"/>
          <w:szCs w:val="28"/>
          <w:lang w:val="en"/>
        </w:rPr>
        <w:t>Trial</w:t>
      </w:r>
      <w:r w:rsidRPr="000A32AD">
        <w:rPr>
          <w:b w:val="0"/>
          <w:color w:val="000000" w:themeColor="text1"/>
          <w:sz w:val="28"/>
          <w:szCs w:val="28"/>
          <w:lang w:val="uk-UA"/>
        </w:rPr>
        <w:t xml:space="preserve">), встановлено, що рівень імнореактивного </w:t>
      </w:r>
      <w:r w:rsidRPr="000A32AD">
        <w:rPr>
          <w:b w:val="0"/>
          <w:color w:val="000000" w:themeColor="text1"/>
          <w:sz w:val="28"/>
          <w:szCs w:val="28"/>
          <w:lang w:val="en"/>
        </w:rPr>
        <w:t>FGF</w:t>
      </w:r>
      <w:r w:rsidRPr="000A32AD">
        <w:rPr>
          <w:b w:val="0"/>
          <w:color w:val="000000" w:themeColor="text1"/>
          <w:sz w:val="28"/>
          <w:szCs w:val="28"/>
          <w:lang w:val="uk-UA"/>
        </w:rPr>
        <w:t>2 (</w:t>
      </w:r>
      <w:r w:rsidRPr="000A32AD">
        <w:rPr>
          <w:b w:val="0"/>
          <w:color w:val="000000" w:themeColor="text1"/>
          <w:sz w:val="28"/>
          <w:szCs w:val="28"/>
          <w:lang w:val="en"/>
        </w:rPr>
        <w:t>FGF</w:t>
      </w:r>
      <w:r w:rsidRPr="000A32AD">
        <w:rPr>
          <w:b w:val="0"/>
          <w:color w:val="000000" w:themeColor="text1"/>
          <w:sz w:val="28"/>
          <w:szCs w:val="28"/>
          <w:lang w:val="uk-UA"/>
        </w:rPr>
        <w:t>2-</w:t>
      </w:r>
      <w:r w:rsidRPr="000A32AD">
        <w:rPr>
          <w:b w:val="0"/>
          <w:color w:val="000000" w:themeColor="text1"/>
          <w:sz w:val="28"/>
          <w:szCs w:val="28"/>
          <w:lang w:val="en"/>
        </w:rPr>
        <w:t>IR</w:t>
      </w:r>
      <w:r w:rsidRPr="000A32AD">
        <w:rPr>
          <w:b w:val="0"/>
          <w:color w:val="000000" w:themeColor="text1"/>
          <w:sz w:val="28"/>
          <w:szCs w:val="28"/>
          <w:lang w:val="uk-UA"/>
        </w:rPr>
        <w:t>) є маркером ризику розвитку ІХС у хворих на ЦД 2 типу (середня тривалість діабету 11,4 р)</w:t>
      </w:r>
      <w:r w:rsidR="00F17BD2" w:rsidRPr="000A32AD">
        <w:rPr>
          <w:b w:val="0"/>
          <w:color w:val="000000" w:themeColor="text1"/>
          <w:sz w:val="28"/>
          <w:szCs w:val="28"/>
          <w:lang w:val="uk-UA"/>
        </w:rPr>
        <w:t xml:space="preserve"> </w:t>
      </w:r>
      <w:r w:rsidRPr="000A32AD">
        <w:rPr>
          <w:b w:val="0"/>
          <w:color w:val="000000" w:themeColor="text1"/>
          <w:sz w:val="28"/>
          <w:szCs w:val="28"/>
          <w:lang w:val="uk-UA"/>
        </w:rPr>
        <w:t>[</w:t>
      </w:r>
      <w:r w:rsidR="002D1353" w:rsidRPr="000A32AD">
        <w:rPr>
          <w:b w:val="0"/>
          <w:color w:val="000000" w:themeColor="text1"/>
          <w:sz w:val="28"/>
          <w:szCs w:val="28"/>
          <w:lang w:val="uk-UA"/>
        </w:rPr>
        <w:t>251; 252</w:t>
      </w:r>
      <w:r w:rsidRPr="000A32AD">
        <w:rPr>
          <w:b w:val="0"/>
          <w:color w:val="000000" w:themeColor="text1"/>
          <w:sz w:val="28"/>
          <w:szCs w:val="28"/>
          <w:lang w:val="uk-UA"/>
        </w:rPr>
        <w:t>].</w:t>
      </w:r>
    </w:p>
    <w:p w:rsidR="000D5D92" w:rsidRPr="000A32AD" w:rsidRDefault="000D5D92" w:rsidP="000D5D92">
      <w:pPr>
        <w:pStyle w:val="1"/>
        <w:shd w:val="clear" w:color="auto" w:fill="FFFFFF"/>
        <w:spacing w:before="0" w:beforeAutospacing="0" w:after="0" w:afterAutospacing="0" w:line="360" w:lineRule="auto"/>
        <w:ind w:firstLine="709"/>
        <w:jc w:val="both"/>
        <w:rPr>
          <w:b w:val="0"/>
          <w:color w:val="000000" w:themeColor="text1"/>
          <w:sz w:val="28"/>
          <w:szCs w:val="28"/>
          <w:lang w:val="uk-UA"/>
        </w:rPr>
      </w:pPr>
      <w:r w:rsidRPr="000A32AD">
        <w:rPr>
          <w:b w:val="0"/>
          <w:color w:val="000000" w:themeColor="text1"/>
          <w:sz w:val="28"/>
          <w:szCs w:val="28"/>
          <w:lang w:val="uk-UA"/>
        </w:rPr>
        <w:t xml:space="preserve">Цікаві дані булу отримані у дослідженні </w:t>
      </w:r>
      <w:r w:rsidRPr="000A32AD">
        <w:rPr>
          <w:b w:val="0"/>
          <w:color w:val="000000" w:themeColor="text1"/>
          <w:sz w:val="28"/>
          <w:szCs w:val="28"/>
        </w:rPr>
        <w:t>S</w:t>
      </w:r>
      <w:r w:rsidRPr="000A32AD">
        <w:rPr>
          <w:b w:val="0"/>
          <w:color w:val="000000" w:themeColor="text1"/>
          <w:sz w:val="28"/>
          <w:szCs w:val="28"/>
          <w:lang w:val="uk-UA"/>
        </w:rPr>
        <w:t xml:space="preserve">. </w:t>
      </w:r>
      <w:r w:rsidRPr="000A32AD">
        <w:rPr>
          <w:b w:val="0"/>
          <w:color w:val="000000" w:themeColor="text1"/>
          <w:sz w:val="28"/>
          <w:szCs w:val="28"/>
        </w:rPr>
        <w:t>Ohgi</w:t>
      </w:r>
      <w:r w:rsidRPr="000A32AD">
        <w:rPr>
          <w:b w:val="0"/>
          <w:color w:val="000000" w:themeColor="text1"/>
          <w:sz w:val="28"/>
          <w:szCs w:val="28"/>
          <w:lang w:val="uk-UA"/>
        </w:rPr>
        <w:t xml:space="preserve"> та </w:t>
      </w:r>
      <w:r w:rsidRPr="000A32AD">
        <w:rPr>
          <w:b w:val="0"/>
          <w:color w:val="000000" w:themeColor="text1"/>
          <w:sz w:val="28"/>
          <w:szCs w:val="28"/>
        </w:rPr>
        <w:t>P</w:t>
      </w:r>
      <w:r w:rsidRPr="000A32AD">
        <w:rPr>
          <w:b w:val="0"/>
          <w:color w:val="000000" w:themeColor="text1"/>
          <w:sz w:val="28"/>
          <w:szCs w:val="28"/>
          <w:lang w:val="uk-UA"/>
        </w:rPr>
        <w:t>.</w:t>
      </w:r>
      <w:r w:rsidRPr="000A32AD">
        <w:rPr>
          <w:b w:val="0"/>
          <w:color w:val="000000" w:themeColor="text1"/>
          <w:sz w:val="28"/>
          <w:szCs w:val="28"/>
        </w:rPr>
        <w:t>W</w:t>
      </w:r>
      <w:r w:rsidRPr="000A32AD">
        <w:rPr>
          <w:b w:val="0"/>
          <w:color w:val="000000" w:themeColor="text1"/>
          <w:sz w:val="28"/>
          <w:szCs w:val="28"/>
          <w:lang w:val="uk-UA"/>
        </w:rPr>
        <w:t xml:space="preserve">. </w:t>
      </w:r>
      <w:r w:rsidRPr="000A32AD">
        <w:rPr>
          <w:b w:val="0"/>
          <w:color w:val="000000" w:themeColor="text1"/>
          <w:sz w:val="28"/>
          <w:szCs w:val="28"/>
        </w:rPr>
        <w:t>Johnson</w:t>
      </w:r>
      <w:r w:rsidRPr="000A32AD">
        <w:rPr>
          <w:b w:val="0"/>
          <w:color w:val="000000" w:themeColor="text1"/>
          <w:sz w:val="28"/>
          <w:szCs w:val="28"/>
          <w:lang w:val="uk-UA"/>
        </w:rPr>
        <w:t xml:space="preserve"> у 1996 році. Встановлено, що в умовах збільшеної концентрації глюкози спостерігалось збільшення проліферації фібробластів та збільшена</w:t>
      </w:r>
      <w:r w:rsidR="00F17BD2" w:rsidRPr="000A32AD">
        <w:rPr>
          <w:b w:val="0"/>
          <w:color w:val="000000" w:themeColor="text1"/>
          <w:sz w:val="28"/>
          <w:szCs w:val="28"/>
          <w:lang w:val="uk-UA"/>
        </w:rPr>
        <w:t xml:space="preserve"> </w:t>
      </w:r>
      <w:r w:rsidRPr="000A32AD">
        <w:rPr>
          <w:b w:val="0"/>
          <w:color w:val="000000" w:themeColor="text1"/>
          <w:sz w:val="28"/>
          <w:szCs w:val="28"/>
          <w:lang w:val="uk-UA"/>
        </w:rPr>
        <w:t xml:space="preserve">експресія </w:t>
      </w:r>
      <w:r w:rsidRPr="000A32AD">
        <w:rPr>
          <w:b w:val="0"/>
          <w:bCs w:val="0"/>
          <w:color w:val="000000" w:themeColor="text1"/>
          <w:sz w:val="28"/>
          <w:szCs w:val="28"/>
          <w:lang w:val="uk-UA"/>
        </w:rPr>
        <w:t>FGF2. При цьому,</w:t>
      </w:r>
      <w:r w:rsidRPr="000A32AD">
        <w:rPr>
          <w:b w:val="0"/>
          <w:color w:val="000000" w:themeColor="text1"/>
          <w:sz w:val="28"/>
          <w:szCs w:val="28"/>
        </w:rPr>
        <w:t xml:space="preserve"> </w:t>
      </w:r>
      <w:r w:rsidRPr="000A32AD">
        <w:rPr>
          <w:b w:val="0"/>
          <w:color w:val="000000" w:themeColor="text1"/>
          <w:sz w:val="28"/>
          <w:szCs w:val="28"/>
          <w:lang w:val="uk-UA"/>
        </w:rPr>
        <w:t xml:space="preserve">збільшення експресії інших факторів росту не спостерігалось. </w:t>
      </w:r>
      <w:r w:rsidRPr="000A32AD">
        <w:rPr>
          <w:b w:val="0"/>
          <w:color w:val="000000" w:themeColor="text1"/>
          <w:sz w:val="28"/>
          <w:szCs w:val="28"/>
        </w:rPr>
        <w:t>[</w:t>
      </w:r>
      <w:r w:rsidR="002D1353" w:rsidRPr="000A32AD">
        <w:rPr>
          <w:b w:val="0"/>
          <w:color w:val="000000" w:themeColor="text1"/>
          <w:sz w:val="28"/>
          <w:szCs w:val="28"/>
          <w:lang w:val="uk-UA"/>
        </w:rPr>
        <w:t>195</w:t>
      </w:r>
      <w:r w:rsidRPr="000A32AD">
        <w:rPr>
          <w:b w:val="0"/>
          <w:color w:val="000000" w:themeColor="text1"/>
          <w:sz w:val="28"/>
          <w:szCs w:val="28"/>
          <w:lang w:val="ru-RU"/>
        </w:rPr>
        <w:t>]</w:t>
      </w:r>
      <w:r w:rsidRPr="000A32AD">
        <w:rPr>
          <w:b w:val="0"/>
          <w:color w:val="000000" w:themeColor="text1"/>
          <w:sz w:val="28"/>
          <w:szCs w:val="28"/>
          <w:lang w:val="uk-UA"/>
        </w:rPr>
        <w:t xml:space="preserve">. </w:t>
      </w:r>
    </w:p>
    <w:p w:rsidR="000D5D92" w:rsidRPr="000A32AD" w:rsidRDefault="000D5D92" w:rsidP="000D5D92">
      <w:pPr>
        <w:pStyle w:val="1"/>
        <w:shd w:val="clear" w:color="auto" w:fill="FFFFFF"/>
        <w:spacing w:before="0" w:beforeAutospacing="0" w:after="0" w:afterAutospacing="0" w:line="360" w:lineRule="auto"/>
        <w:ind w:firstLine="709"/>
        <w:jc w:val="both"/>
        <w:rPr>
          <w:b w:val="0"/>
          <w:color w:val="000000" w:themeColor="text1"/>
          <w:sz w:val="28"/>
          <w:szCs w:val="28"/>
          <w:lang w:val="uk-UA"/>
        </w:rPr>
      </w:pPr>
      <w:r w:rsidRPr="000A32AD">
        <w:rPr>
          <w:b w:val="0"/>
          <w:color w:val="000000" w:themeColor="text1"/>
          <w:sz w:val="28"/>
          <w:szCs w:val="28"/>
          <w:lang w:val="uk-UA"/>
        </w:rPr>
        <w:t xml:space="preserve">Такий зв’язок можливо пояснюється впливом кінцевих продуктів гліколізування на сполучну тканини. Зокрема встановлено, що неферментне гліколізування зменшую мітогенну активність внутрішньоклітинних FGF2. Втрата цієї біологічної активності була пов'язана з порушенням загоєння ран та мікроангіопатіями у хворих з ЦД. В експерименті </w:t>
      </w:r>
      <w:r w:rsidRPr="000A32AD">
        <w:rPr>
          <w:b w:val="0"/>
          <w:color w:val="000000" w:themeColor="text1"/>
          <w:sz w:val="28"/>
          <w:szCs w:val="28"/>
          <w:lang w:val="en-US"/>
        </w:rPr>
        <w:t>in</w:t>
      </w:r>
      <w:r w:rsidRPr="000A32AD">
        <w:rPr>
          <w:b w:val="0"/>
          <w:color w:val="000000" w:themeColor="text1"/>
          <w:sz w:val="28"/>
          <w:szCs w:val="28"/>
        </w:rPr>
        <w:t xml:space="preserve"> </w:t>
      </w:r>
      <w:r w:rsidRPr="000A32AD">
        <w:rPr>
          <w:b w:val="0"/>
          <w:color w:val="000000" w:themeColor="text1"/>
          <w:sz w:val="28"/>
          <w:szCs w:val="28"/>
          <w:lang w:val="en-US"/>
        </w:rPr>
        <w:t>vitro</w:t>
      </w:r>
      <w:r w:rsidRPr="000A32AD">
        <w:rPr>
          <w:b w:val="0"/>
          <w:color w:val="000000" w:themeColor="text1"/>
          <w:sz w:val="28"/>
          <w:szCs w:val="28"/>
        </w:rPr>
        <w:t xml:space="preserve"> </w:t>
      </w:r>
      <w:r w:rsidRPr="000A32AD">
        <w:rPr>
          <w:b w:val="0"/>
          <w:color w:val="000000" w:themeColor="text1"/>
          <w:sz w:val="28"/>
          <w:szCs w:val="28"/>
          <w:lang w:val="uk-UA"/>
        </w:rPr>
        <w:t>був вивчений вплив неферментного гліколізування на FGF2, зв’язаний з гепарином, гепаран-сульфатом та спорідненими сполуками. Встановлено, що інкубація FGF2 з гліколізуючими сполуками (гліцеральдегід-3-фосфат або фруктоза) призводить до втрати мітогенної активності FGF2 на 90% та 40% відповідно. При додаванні гепарину мітогенна активність FGF2 були майже повністю збережені. Подібний захисний ефект спостерігався і при додаванні гепаран-сульфату, низькомоле</w:t>
      </w:r>
      <w:r w:rsidR="00500434" w:rsidRPr="000A32AD">
        <w:rPr>
          <w:b w:val="0"/>
          <w:color w:val="000000" w:themeColor="text1"/>
          <w:sz w:val="28"/>
          <w:szCs w:val="28"/>
          <w:lang w:val="uk-UA"/>
        </w:rPr>
        <w:softHyphen/>
      </w:r>
      <w:r w:rsidRPr="000A32AD">
        <w:rPr>
          <w:b w:val="0"/>
          <w:color w:val="000000" w:themeColor="text1"/>
          <w:sz w:val="28"/>
          <w:szCs w:val="28"/>
          <w:lang w:val="uk-UA"/>
        </w:rPr>
        <w:t>кулярного гепарину та полісахариду декстран-сульфатом, але був відсутній при застосуванні хондроїтин-сульфату. Це дозволило зробити висновок, що HSPG-зв'язаний FGF2 стійкий до втрати активності, викликаної неферментативним гліколізува</w:t>
      </w:r>
      <w:r w:rsidR="002D1353" w:rsidRPr="000A32AD">
        <w:rPr>
          <w:b w:val="0"/>
          <w:color w:val="000000" w:themeColor="text1"/>
          <w:sz w:val="28"/>
          <w:szCs w:val="28"/>
          <w:lang w:val="uk-UA"/>
        </w:rPr>
        <w:t>нням</w:t>
      </w:r>
      <w:r w:rsidRPr="000A32AD">
        <w:rPr>
          <w:b w:val="0"/>
          <w:color w:val="000000" w:themeColor="text1"/>
          <w:sz w:val="28"/>
          <w:szCs w:val="28"/>
          <w:lang w:val="uk-UA"/>
        </w:rPr>
        <w:t xml:space="preserve"> [</w:t>
      </w:r>
      <w:r w:rsidR="002D1353" w:rsidRPr="000A32AD">
        <w:rPr>
          <w:b w:val="0"/>
          <w:color w:val="000000" w:themeColor="text1"/>
          <w:sz w:val="28"/>
          <w:szCs w:val="28"/>
          <w:lang w:val="uk-UA"/>
        </w:rPr>
        <w:t>193</w:t>
      </w:r>
      <w:r w:rsidRPr="000A32AD">
        <w:rPr>
          <w:b w:val="0"/>
          <w:color w:val="000000" w:themeColor="text1"/>
          <w:sz w:val="28"/>
          <w:szCs w:val="28"/>
          <w:lang w:val="uk-UA"/>
        </w:rPr>
        <w:t>].</w:t>
      </w:r>
    </w:p>
    <w:p w:rsidR="000D5D92" w:rsidRPr="000A32AD" w:rsidRDefault="000D5D92" w:rsidP="000D5D92">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0A32AD">
        <w:rPr>
          <w:rStyle w:val="authorsname"/>
          <w:rFonts w:ascii="Times New Roman" w:hAnsi="Times New Roman" w:cs="Times New Roman"/>
          <w:color w:val="000000" w:themeColor="text1"/>
          <w:sz w:val="28"/>
          <w:szCs w:val="28"/>
          <w:lang w:val="uk-UA"/>
        </w:rPr>
        <w:t xml:space="preserve">Виявлено прогностичне значення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2 при іншій кардіальній патології. Так, з</w:t>
      </w:r>
      <w:r w:rsidRPr="000A32AD">
        <w:rPr>
          <w:rStyle w:val="authorsname"/>
          <w:rFonts w:ascii="Times New Roman" w:hAnsi="Times New Roman" w:cs="Times New Roman"/>
          <w:color w:val="000000" w:themeColor="text1"/>
          <w:sz w:val="28"/>
          <w:szCs w:val="28"/>
          <w:lang w:val="uk-UA"/>
        </w:rPr>
        <w:t xml:space="preserve">а даними китайських дослідників, рівень високомолекулярного фактору </w:t>
      </w:r>
      <w:r w:rsidRPr="000A32AD">
        <w:rPr>
          <w:rStyle w:val="authorsname"/>
          <w:rFonts w:ascii="Times New Roman" w:hAnsi="Times New Roman" w:cs="Times New Roman"/>
          <w:color w:val="000000" w:themeColor="text1"/>
          <w:sz w:val="28"/>
          <w:szCs w:val="28"/>
          <w:lang w:val="uk-UA"/>
        </w:rPr>
        <w:lastRenderedPageBreak/>
        <w:t>росту фібробластів (</w:t>
      </w:r>
      <w:r w:rsidRPr="000A32AD">
        <w:rPr>
          <w:rFonts w:ascii="Times New Roman" w:hAnsi="Times New Roman" w:cs="Times New Roman"/>
          <w:color w:val="000000" w:themeColor="text1"/>
          <w:sz w:val="28"/>
          <w:szCs w:val="28"/>
          <w:lang w:val="en-US"/>
        </w:rPr>
        <w:t>Hi</w:t>
      </w:r>
      <w:r w:rsidRPr="000A32AD">
        <w:rPr>
          <w:rFonts w:ascii="Times New Roman" w:hAnsi="Times New Roman" w:cs="Times New Roman"/>
          <w:color w:val="000000" w:themeColor="text1"/>
          <w:sz w:val="28"/>
          <w:szCs w:val="28"/>
        </w:rPr>
        <w:t>-</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w:t>
      </w:r>
      <w:r w:rsidRPr="000A32AD">
        <w:rPr>
          <w:rStyle w:val="authorsname"/>
          <w:rFonts w:ascii="Times New Roman" w:hAnsi="Times New Roman" w:cs="Times New Roman"/>
          <w:color w:val="000000" w:themeColor="text1"/>
          <w:sz w:val="28"/>
          <w:szCs w:val="28"/>
          <w:lang w:val="uk-UA"/>
        </w:rPr>
        <w:t xml:space="preserve"> значно збільшений у пацієнтів з фібриляцією передсердь, у яких виникла серцева недостатність. Це дозволило автором зробити висновок про інформативність цього показника для прогнозування СН при наявності фібриляції передсердь [</w:t>
      </w:r>
      <w:r w:rsidR="002D1353" w:rsidRPr="000A32AD">
        <w:rPr>
          <w:rStyle w:val="authorsname"/>
          <w:rFonts w:ascii="Times New Roman" w:hAnsi="Times New Roman" w:cs="Times New Roman"/>
          <w:color w:val="000000" w:themeColor="text1"/>
          <w:sz w:val="28"/>
          <w:szCs w:val="28"/>
          <w:lang w:val="uk-UA"/>
        </w:rPr>
        <w:t>226</w:t>
      </w:r>
      <w:r w:rsidRPr="000A32AD">
        <w:rPr>
          <w:rFonts w:ascii="Times New Roman" w:hAnsi="Times New Roman" w:cs="Times New Roman"/>
          <w:color w:val="000000" w:themeColor="text1"/>
          <w:sz w:val="28"/>
          <w:szCs w:val="28"/>
        </w:rPr>
        <w:t>]</w:t>
      </w:r>
      <w:r w:rsidRPr="000A32AD">
        <w:rPr>
          <w:rFonts w:ascii="Times New Roman" w:hAnsi="Times New Roman" w:cs="Times New Roman"/>
          <w:color w:val="000000" w:themeColor="text1"/>
          <w:sz w:val="28"/>
          <w:szCs w:val="28"/>
          <w:lang w:val="uk-UA"/>
        </w:rPr>
        <w:t>.</w:t>
      </w:r>
    </w:p>
    <w:p w:rsidR="000D5D92" w:rsidRPr="000A32AD" w:rsidRDefault="000D5D92" w:rsidP="000D5D92">
      <w:pPr>
        <w:pStyle w:val="a4"/>
        <w:spacing w:before="0" w:beforeAutospacing="0" w:after="0" w:afterAutospacing="0" w:line="360" w:lineRule="auto"/>
        <w:ind w:firstLine="709"/>
        <w:jc w:val="both"/>
        <w:rPr>
          <w:color w:val="000000" w:themeColor="text1"/>
          <w:sz w:val="28"/>
          <w:szCs w:val="28"/>
        </w:rPr>
      </w:pPr>
      <w:r w:rsidRPr="000A32AD">
        <w:rPr>
          <w:color w:val="000000" w:themeColor="text1"/>
          <w:sz w:val="28"/>
          <w:szCs w:val="28"/>
        </w:rPr>
        <w:t xml:space="preserve">Також встановлено, що експресія FGF2 перевищує нормальні показники </w:t>
      </w:r>
      <w:r w:rsidR="00500434" w:rsidRPr="000A32AD">
        <w:rPr>
          <w:color w:val="000000" w:themeColor="text1"/>
          <w:sz w:val="28"/>
          <w:szCs w:val="28"/>
        </w:rPr>
        <w:t xml:space="preserve">[166] </w:t>
      </w:r>
      <w:r w:rsidRPr="000A32AD">
        <w:rPr>
          <w:color w:val="000000" w:themeColor="text1"/>
          <w:sz w:val="28"/>
          <w:szCs w:val="28"/>
        </w:rPr>
        <w:t>майже в три рази при наявності клінічних ознак ДСТ. Рівень FGF2 залежав від виразності гіпермобільності суглобів та кількості скелетних аномалій. Максимальні значення були отриману у жінок з виразною гіпермобільністю суглобів [</w:t>
      </w:r>
      <w:r w:rsidR="002D1353" w:rsidRPr="000A32AD">
        <w:rPr>
          <w:color w:val="000000" w:themeColor="text1"/>
          <w:sz w:val="28"/>
          <w:szCs w:val="28"/>
        </w:rPr>
        <w:t>89</w:t>
      </w:r>
      <w:r w:rsidRPr="000A32AD">
        <w:rPr>
          <w:color w:val="000000" w:themeColor="text1"/>
          <w:sz w:val="28"/>
          <w:szCs w:val="28"/>
        </w:rPr>
        <w:t>]. Виявлено значне збільшення рівня FGF-2 у хворих з фенотипичними ознаками ДСТ [</w:t>
      </w:r>
      <w:r w:rsidR="002D1353" w:rsidRPr="000A32AD">
        <w:rPr>
          <w:color w:val="000000" w:themeColor="text1"/>
          <w:sz w:val="28"/>
          <w:szCs w:val="28"/>
        </w:rPr>
        <w:t>63</w:t>
      </w:r>
      <w:r w:rsidRPr="000A32AD">
        <w:rPr>
          <w:color w:val="000000" w:themeColor="text1"/>
          <w:sz w:val="28"/>
          <w:szCs w:val="28"/>
        </w:rPr>
        <w:t>]</w:t>
      </w:r>
      <w:r w:rsidR="002D1353" w:rsidRPr="000A32AD">
        <w:rPr>
          <w:color w:val="000000" w:themeColor="text1"/>
          <w:sz w:val="28"/>
          <w:szCs w:val="28"/>
        </w:rPr>
        <w:t>.</w:t>
      </w:r>
    </w:p>
    <w:p w:rsidR="000D5D92" w:rsidRPr="000A32AD" w:rsidRDefault="000D5D92" w:rsidP="000D5D92">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Встановлено значення й інших </w:t>
      </w:r>
      <w:r w:rsidRPr="000A32AD">
        <w:rPr>
          <w:rFonts w:ascii="Times New Roman" w:hAnsi="Times New Roman" w:cs="Times New Roman"/>
          <w:color w:val="000000" w:themeColor="text1"/>
          <w:sz w:val="28"/>
          <w:szCs w:val="28"/>
        </w:rPr>
        <w:t>FGF</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у патогенезі </w:t>
      </w:r>
      <w:r w:rsidR="00DE29E7" w:rsidRPr="000A32AD">
        <w:rPr>
          <w:rFonts w:ascii="Times New Roman" w:hAnsi="Times New Roman" w:cs="Times New Roman"/>
          <w:color w:val="000000" w:themeColor="text1"/>
          <w:sz w:val="28"/>
          <w:szCs w:val="28"/>
          <w:lang w:val="uk-UA"/>
        </w:rPr>
        <w:t xml:space="preserve">різноманітної </w:t>
      </w:r>
      <w:r w:rsidRPr="000A32AD">
        <w:rPr>
          <w:rFonts w:ascii="Times New Roman" w:hAnsi="Times New Roman" w:cs="Times New Roman"/>
          <w:color w:val="000000" w:themeColor="text1"/>
          <w:sz w:val="28"/>
          <w:szCs w:val="28"/>
          <w:lang w:val="uk-UA"/>
        </w:rPr>
        <w:t xml:space="preserve">патології. Зокрема, за результатами багатофакторного аналізу збільшення індексу маси міокарда лівого шлуночка спостерігалось при збільшеному рівні </w:t>
      </w:r>
      <w:r w:rsidRPr="000A32AD">
        <w:rPr>
          <w:rFonts w:ascii="Times New Roman" w:hAnsi="Times New Roman" w:cs="Times New Roman"/>
          <w:color w:val="000000" w:themeColor="text1"/>
          <w:sz w:val="28"/>
          <w:szCs w:val="28"/>
        </w:rPr>
        <w:t>FGF23</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rPr>
        <w:t>(r = 0,612, p &lt; 0,01)</w:t>
      </w:r>
      <w:r w:rsidRPr="000A32AD">
        <w:rPr>
          <w:rFonts w:ascii="Times New Roman" w:hAnsi="Times New Roman" w:cs="Times New Roman"/>
          <w:color w:val="000000" w:themeColor="text1"/>
          <w:sz w:val="28"/>
          <w:szCs w:val="28"/>
          <w:lang w:val="uk-UA"/>
        </w:rPr>
        <w:t xml:space="preserve">. При цьому його рівень більш 412 пг/мл прогнозував гіпертрофію лівого шлуночка з чутливістю 80%, специфічністю – 76%. Рівень білка Клото, якій є ко-фактором </w:t>
      </w:r>
      <w:r w:rsidRPr="000A32AD">
        <w:rPr>
          <w:rFonts w:ascii="Times New Roman" w:hAnsi="Times New Roman" w:cs="Times New Roman"/>
          <w:color w:val="000000" w:themeColor="text1"/>
          <w:sz w:val="28"/>
          <w:szCs w:val="28"/>
        </w:rPr>
        <w:t>FGF</w:t>
      </w:r>
      <w:r w:rsidRPr="000A32AD">
        <w:rPr>
          <w:rFonts w:ascii="Times New Roman" w:hAnsi="Times New Roman" w:cs="Times New Roman"/>
          <w:color w:val="000000" w:themeColor="text1"/>
          <w:sz w:val="28"/>
          <w:szCs w:val="28"/>
          <w:lang w:val="uk-UA"/>
        </w:rPr>
        <w:t>23, навпаки, мав негативну кореляцію зі ступенем кальцинозу серця (</w:t>
      </w:r>
      <w:r w:rsidRPr="000A32AD">
        <w:rPr>
          <w:rFonts w:ascii="Times New Roman" w:hAnsi="Times New Roman" w:cs="Times New Roman"/>
          <w:color w:val="000000" w:themeColor="text1"/>
          <w:sz w:val="28"/>
          <w:szCs w:val="28"/>
        </w:rPr>
        <w:t>r</w:t>
      </w:r>
      <w:r w:rsidRPr="000A32AD">
        <w:rPr>
          <w:rFonts w:ascii="Times New Roman" w:hAnsi="Times New Roman" w:cs="Times New Roman"/>
          <w:color w:val="000000" w:themeColor="text1"/>
          <w:sz w:val="28"/>
          <w:szCs w:val="28"/>
          <w:lang w:val="uk-UA"/>
        </w:rPr>
        <w:t xml:space="preserve"> = -0,634, </w:t>
      </w:r>
      <w:r w:rsidRPr="000A32AD">
        <w:rPr>
          <w:rFonts w:ascii="Times New Roman" w:hAnsi="Times New Roman" w:cs="Times New Roman"/>
          <w:color w:val="000000" w:themeColor="text1"/>
          <w:sz w:val="28"/>
          <w:szCs w:val="28"/>
        </w:rPr>
        <w:t>p</w:t>
      </w:r>
      <w:r w:rsidRPr="000A32AD">
        <w:rPr>
          <w:rFonts w:ascii="Times New Roman" w:hAnsi="Times New Roman" w:cs="Times New Roman"/>
          <w:color w:val="000000" w:themeColor="text1"/>
          <w:sz w:val="28"/>
          <w:szCs w:val="28"/>
          <w:lang w:val="uk-UA"/>
        </w:rPr>
        <w:t xml:space="preserve"> &lt; 0,01). За думкою авторів ці показники можуть бути застосовані у якості ранніх маркерів серцево-судинного ризику у хворих на хронічну хворобу нирок (ХХН) [</w:t>
      </w:r>
      <w:r w:rsidR="00365A66" w:rsidRPr="000A32AD">
        <w:rPr>
          <w:rFonts w:ascii="Times New Roman" w:hAnsi="Times New Roman" w:cs="Times New Roman"/>
          <w:color w:val="000000" w:themeColor="text1"/>
          <w:sz w:val="28"/>
          <w:szCs w:val="28"/>
          <w:lang w:val="uk-UA"/>
        </w:rPr>
        <w:t>54</w:t>
      </w:r>
      <w:r w:rsidRPr="000A32AD">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rPr>
        <w:t xml:space="preserve">. </w:t>
      </w:r>
      <w:r w:rsidRPr="000A32AD">
        <w:rPr>
          <w:rFonts w:ascii="Times New Roman" w:hAnsi="Times New Roman" w:cs="Times New Roman"/>
          <w:color w:val="000000" w:themeColor="text1"/>
          <w:sz w:val="28"/>
          <w:szCs w:val="28"/>
          <w:lang w:val="uk-UA"/>
        </w:rPr>
        <w:t xml:space="preserve">Виявлено зменшення експресії білка Клото паралельно з прогресуванням ХХН, у той час як експресія </w:t>
      </w:r>
      <w:r w:rsidRPr="000A32AD">
        <w:rPr>
          <w:rFonts w:ascii="Times New Roman" w:hAnsi="Times New Roman" w:cs="Times New Roman"/>
          <w:color w:val="000000" w:themeColor="text1"/>
          <w:sz w:val="28"/>
          <w:szCs w:val="28"/>
        </w:rPr>
        <w:t>FGF23</w:t>
      </w:r>
      <w:r w:rsidRPr="000A32AD">
        <w:rPr>
          <w:rFonts w:ascii="Times New Roman" w:hAnsi="Times New Roman" w:cs="Times New Roman"/>
          <w:color w:val="000000" w:themeColor="text1"/>
          <w:sz w:val="28"/>
          <w:szCs w:val="28"/>
          <w:lang w:val="uk-UA"/>
        </w:rPr>
        <w:t xml:space="preserve"> на ранніх стадіях ХХН збільшувалась [</w:t>
      </w:r>
      <w:r w:rsidR="002D1353" w:rsidRPr="000A32AD">
        <w:rPr>
          <w:rFonts w:ascii="Times New Roman" w:hAnsi="Times New Roman" w:cs="Times New Roman"/>
          <w:color w:val="000000" w:themeColor="text1"/>
          <w:sz w:val="28"/>
          <w:szCs w:val="28"/>
          <w:lang w:val="uk-UA"/>
        </w:rPr>
        <w:t>53</w:t>
      </w:r>
      <w:r w:rsidRPr="000A32AD">
        <w:rPr>
          <w:rFonts w:ascii="Times New Roman" w:hAnsi="Times New Roman" w:cs="Times New Roman"/>
          <w:color w:val="000000" w:themeColor="text1"/>
          <w:sz w:val="28"/>
          <w:szCs w:val="28"/>
          <w:lang w:val="uk-UA"/>
        </w:rPr>
        <w:t xml:space="preserve">]. Збільшення рівня </w:t>
      </w:r>
      <w:r w:rsidRPr="000A32AD">
        <w:rPr>
          <w:rFonts w:ascii="Times New Roman" w:hAnsi="Times New Roman" w:cs="Times New Roman"/>
          <w:color w:val="000000" w:themeColor="text1"/>
          <w:sz w:val="28"/>
          <w:szCs w:val="28"/>
        </w:rPr>
        <w:t>FGF</w:t>
      </w:r>
      <w:r w:rsidRPr="000A32AD">
        <w:rPr>
          <w:rFonts w:ascii="Times New Roman" w:hAnsi="Times New Roman" w:cs="Times New Roman"/>
          <w:color w:val="000000" w:themeColor="text1"/>
          <w:sz w:val="28"/>
          <w:szCs w:val="28"/>
          <w:lang w:val="uk-UA"/>
        </w:rPr>
        <w:t>23 в початкових стадіях ХХН встановлено й в інших дослідженнях [</w:t>
      </w:r>
      <w:r w:rsidR="00365A66" w:rsidRPr="000A32AD">
        <w:rPr>
          <w:rFonts w:ascii="Times New Roman" w:hAnsi="Times New Roman" w:cs="Times New Roman"/>
          <w:color w:val="000000" w:themeColor="text1"/>
          <w:sz w:val="28"/>
          <w:szCs w:val="28"/>
          <w:lang w:val="uk-UA"/>
        </w:rPr>
        <w:t>5</w:t>
      </w:r>
      <w:r w:rsidRPr="000A32AD">
        <w:rPr>
          <w:rFonts w:ascii="Times New Roman" w:hAnsi="Times New Roman" w:cs="Times New Roman"/>
          <w:color w:val="000000" w:themeColor="text1"/>
          <w:sz w:val="28"/>
          <w:szCs w:val="28"/>
          <w:lang w:val="uk-UA"/>
        </w:rPr>
        <w:t xml:space="preserve">; </w:t>
      </w:r>
      <w:r w:rsidR="002D1353" w:rsidRPr="000A32AD">
        <w:rPr>
          <w:rFonts w:ascii="Times New Roman" w:hAnsi="Times New Roman" w:cs="Times New Roman"/>
          <w:color w:val="000000" w:themeColor="text1"/>
          <w:sz w:val="28"/>
          <w:szCs w:val="28"/>
          <w:lang w:val="uk-UA"/>
        </w:rPr>
        <w:t>150</w:t>
      </w:r>
      <w:r w:rsidRPr="000A32AD">
        <w:rPr>
          <w:rFonts w:ascii="Times New Roman" w:hAnsi="Times New Roman" w:cs="Times New Roman"/>
          <w:color w:val="000000" w:themeColor="text1"/>
          <w:sz w:val="28"/>
          <w:szCs w:val="28"/>
          <w:lang w:val="uk-UA"/>
        </w:rPr>
        <w:t xml:space="preserve">]. Крім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 xml:space="preserve">23 в патогенезі ускладнень ЦД відводять роль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21, який вважають одним з регуляторів та біомаркерів метаболізму у хворих на ЦД та ожиріння. Встановлено його зв’язок з концентрацією тригліцерідів, систолічним АТ та наявністю ІХС [</w:t>
      </w:r>
      <w:r w:rsidR="002D1353" w:rsidRPr="000A32AD">
        <w:rPr>
          <w:rFonts w:ascii="Times New Roman" w:hAnsi="Times New Roman" w:cs="Times New Roman"/>
          <w:color w:val="000000" w:themeColor="text1"/>
          <w:sz w:val="28"/>
          <w:szCs w:val="28"/>
          <w:lang w:val="uk-UA"/>
        </w:rPr>
        <w:t>123</w:t>
      </w:r>
      <w:r w:rsidRPr="000A32AD">
        <w:rPr>
          <w:rFonts w:ascii="Times New Roman" w:hAnsi="Times New Roman" w:cs="Times New Roman"/>
          <w:color w:val="000000" w:themeColor="text1"/>
          <w:sz w:val="28"/>
          <w:szCs w:val="28"/>
          <w:lang w:val="uk-UA"/>
        </w:rPr>
        <w:t xml:space="preserve">; </w:t>
      </w:r>
      <w:r w:rsidR="002D1353" w:rsidRPr="000A32AD">
        <w:rPr>
          <w:rFonts w:ascii="Times New Roman" w:hAnsi="Times New Roman" w:cs="Times New Roman"/>
          <w:color w:val="000000" w:themeColor="text1"/>
          <w:sz w:val="28"/>
          <w:szCs w:val="28"/>
          <w:lang w:val="uk-UA"/>
        </w:rPr>
        <w:t>247</w:t>
      </w:r>
      <w:r w:rsidRPr="000A32AD">
        <w:rPr>
          <w:rFonts w:ascii="Times New Roman" w:hAnsi="Times New Roman" w:cs="Times New Roman"/>
          <w:color w:val="000000" w:themeColor="text1"/>
          <w:sz w:val="28"/>
          <w:szCs w:val="28"/>
          <w:lang w:val="uk-UA"/>
        </w:rPr>
        <w:t xml:space="preserve">]. В патогенезі ускладнень ЦД важливу роль відводять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 xml:space="preserve">21, який вважають одним з регуляторів та біомаркерів метаболізму у хворих </w:t>
      </w:r>
      <w:r w:rsidRPr="000A32AD">
        <w:rPr>
          <w:rFonts w:ascii="Times New Roman" w:hAnsi="Times New Roman" w:cs="Times New Roman"/>
          <w:color w:val="000000" w:themeColor="text1"/>
          <w:sz w:val="28"/>
          <w:szCs w:val="28"/>
          <w:lang w:val="uk-UA"/>
        </w:rPr>
        <w:lastRenderedPageBreak/>
        <w:t>на ЦД та ожиріння. Встановлено його зв’язок з концентрацією тригліцерідів, систолічним АТ та наявністю ІХМ [</w:t>
      </w:r>
      <w:r w:rsidR="002D1353" w:rsidRPr="000A32AD">
        <w:rPr>
          <w:rFonts w:ascii="Times New Roman" w:hAnsi="Times New Roman" w:cs="Times New Roman"/>
          <w:color w:val="000000" w:themeColor="text1"/>
          <w:sz w:val="28"/>
          <w:szCs w:val="28"/>
          <w:lang w:val="uk-UA"/>
        </w:rPr>
        <w:t>123</w:t>
      </w:r>
      <w:r w:rsidRPr="000A32AD">
        <w:rPr>
          <w:rFonts w:ascii="Times New Roman" w:hAnsi="Times New Roman" w:cs="Times New Roman"/>
          <w:color w:val="000000" w:themeColor="text1"/>
          <w:sz w:val="28"/>
          <w:szCs w:val="28"/>
          <w:lang w:val="uk-UA"/>
        </w:rPr>
        <w:t xml:space="preserve">; </w:t>
      </w:r>
      <w:r w:rsidR="002D1353" w:rsidRPr="000A32AD">
        <w:rPr>
          <w:rFonts w:ascii="Times New Roman" w:hAnsi="Times New Roman" w:cs="Times New Roman"/>
          <w:color w:val="000000" w:themeColor="text1"/>
          <w:sz w:val="28"/>
          <w:szCs w:val="28"/>
          <w:lang w:val="uk-UA"/>
        </w:rPr>
        <w:t>247</w:t>
      </w:r>
      <w:r w:rsidRPr="000A32AD">
        <w:rPr>
          <w:rFonts w:ascii="Times New Roman" w:hAnsi="Times New Roman" w:cs="Times New Roman"/>
          <w:color w:val="000000" w:themeColor="text1"/>
          <w:sz w:val="28"/>
          <w:szCs w:val="28"/>
          <w:lang w:val="uk-UA"/>
        </w:rPr>
        <w:t>].</w:t>
      </w:r>
    </w:p>
    <w:p w:rsidR="000D5D92" w:rsidRPr="000A32AD" w:rsidRDefault="000D5D92" w:rsidP="000D5D92">
      <w:pPr>
        <w:pStyle w:val="a4"/>
        <w:shd w:val="clear" w:color="auto" w:fill="FFFFFF"/>
        <w:spacing w:before="0" w:beforeAutospacing="0" w:after="0" w:afterAutospacing="0" w:line="360" w:lineRule="auto"/>
        <w:ind w:firstLine="709"/>
        <w:jc w:val="both"/>
        <w:rPr>
          <w:color w:val="000000" w:themeColor="text1"/>
          <w:sz w:val="28"/>
          <w:szCs w:val="28"/>
        </w:rPr>
      </w:pPr>
      <w:r w:rsidRPr="000A32AD">
        <w:rPr>
          <w:color w:val="000000" w:themeColor="text1"/>
          <w:sz w:val="28"/>
          <w:szCs w:val="28"/>
        </w:rPr>
        <w:t xml:space="preserve">В реалізації активуючої функції FGF та взаємодії з </w:t>
      </w:r>
      <w:r w:rsidRPr="000A32AD">
        <w:rPr>
          <w:color w:val="000000" w:themeColor="text1"/>
          <w:sz w:val="28"/>
          <w:szCs w:val="28"/>
          <w:lang w:val="en"/>
        </w:rPr>
        <w:t>FGFR</w:t>
      </w:r>
      <w:r w:rsidRPr="000A32AD">
        <w:rPr>
          <w:color w:val="000000" w:themeColor="text1"/>
          <w:sz w:val="28"/>
          <w:szCs w:val="28"/>
        </w:rPr>
        <w:t xml:space="preserve"> бере участь ко-фактори, якими для </w:t>
      </w:r>
      <w:r w:rsidRPr="000A32AD">
        <w:rPr>
          <w:color w:val="000000" w:themeColor="text1"/>
          <w:sz w:val="28"/>
          <w:szCs w:val="28"/>
          <w:lang w:val="en"/>
        </w:rPr>
        <w:t>FGF</w:t>
      </w:r>
      <w:r w:rsidRPr="000A32AD">
        <w:rPr>
          <w:color w:val="000000" w:themeColor="text1"/>
          <w:sz w:val="28"/>
          <w:szCs w:val="28"/>
        </w:rPr>
        <w:t>2 є гепарин та гепаран-сульфати (ГС) [</w:t>
      </w:r>
      <w:r w:rsidR="00E77C08" w:rsidRPr="000A32AD">
        <w:rPr>
          <w:color w:val="000000" w:themeColor="text1"/>
          <w:sz w:val="28"/>
          <w:szCs w:val="28"/>
        </w:rPr>
        <w:t>197; 206</w:t>
      </w:r>
      <w:r w:rsidRPr="000A32AD">
        <w:rPr>
          <w:color w:val="000000" w:themeColor="text1"/>
          <w:sz w:val="28"/>
          <w:szCs w:val="28"/>
        </w:rPr>
        <w:t>]. Гепаран-сульфати є білками трансмембранного типу на поверхні клітин (наприклад, синдекани), білками типу гліцерофосфатидилінізотіду на основі клітинної поверхні (наприклад, гліпіканів) або дифузійними білками, локалізованими в ЕЦМ (наприклад, перлекан та агрін) [</w:t>
      </w:r>
      <w:r w:rsidR="00E77C08" w:rsidRPr="000A32AD">
        <w:rPr>
          <w:color w:val="000000" w:themeColor="text1"/>
          <w:sz w:val="28"/>
          <w:szCs w:val="28"/>
        </w:rPr>
        <w:t xml:space="preserve">95; </w:t>
      </w:r>
      <w:r w:rsidR="00C14963" w:rsidRPr="000A32AD">
        <w:rPr>
          <w:color w:val="000000" w:themeColor="text1"/>
          <w:sz w:val="28"/>
          <w:szCs w:val="28"/>
        </w:rPr>
        <w:t>180</w:t>
      </w:r>
      <w:r w:rsidRPr="000A32AD">
        <w:rPr>
          <w:color w:val="000000" w:themeColor="text1"/>
          <w:sz w:val="28"/>
          <w:szCs w:val="28"/>
        </w:rPr>
        <w:t>]. ГС може самостійно взаємодіяти як з FGF, так і з FGFR. Як компонент ЕЦМ ГС може моделювати дифузію FGF [</w:t>
      </w:r>
      <w:r w:rsidR="00E77C08" w:rsidRPr="000A32AD">
        <w:rPr>
          <w:color w:val="000000" w:themeColor="text1"/>
          <w:sz w:val="28"/>
          <w:szCs w:val="28"/>
        </w:rPr>
        <w:t>176</w:t>
      </w:r>
      <w:r w:rsidRPr="000A32AD">
        <w:rPr>
          <w:color w:val="000000" w:themeColor="text1"/>
          <w:sz w:val="28"/>
          <w:szCs w:val="28"/>
        </w:rPr>
        <w:t>].</w:t>
      </w:r>
    </w:p>
    <w:p w:rsidR="000D5D92" w:rsidRPr="000A32AD" w:rsidRDefault="000D5D92" w:rsidP="000D5D92">
      <w:pPr>
        <w:spacing w:line="360" w:lineRule="auto"/>
        <w:ind w:firstLine="708"/>
        <w:jc w:val="both"/>
        <w:rPr>
          <w:rFonts w:ascii="Times New Roman" w:hAnsi="Times New Roman" w:cs="Times New Roman"/>
          <w:color w:val="000000" w:themeColor="text1"/>
          <w:sz w:val="28"/>
          <w:szCs w:val="28"/>
          <w:lang w:val="uk-UA"/>
        </w:rPr>
      </w:pPr>
      <w:r w:rsidRPr="000A32AD">
        <w:rPr>
          <w:rFonts w:ascii="Times New Roman" w:eastAsia="Times New Roman" w:hAnsi="Times New Roman" w:cs="Times New Roman"/>
          <w:color w:val="000000" w:themeColor="text1"/>
          <w:sz w:val="28"/>
          <w:szCs w:val="28"/>
          <w:lang w:val="uk-UA"/>
        </w:rPr>
        <w:t xml:space="preserve">Про роль ГС у розвитку судинної патології відомо з минулого віку. </w:t>
      </w:r>
      <w:r w:rsidRPr="000A32AD">
        <w:rPr>
          <w:rFonts w:ascii="Times New Roman" w:hAnsi="Times New Roman" w:cs="Times New Roman"/>
          <w:color w:val="000000" w:themeColor="text1"/>
          <w:sz w:val="28"/>
          <w:szCs w:val="28"/>
          <w:lang w:val="uk-UA"/>
        </w:rPr>
        <w:t>У 1989 році було запропоновано гіпотезу спільного механізму розвитку ендотеліальної дисфункції та мікроаальбумінурії, яка отримала назву «гіпотеза Стено» [</w:t>
      </w:r>
      <w:r w:rsidR="00E77C08" w:rsidRPr="000A32AD">
        <w:rPr>
          <w:rFonts w:ascii="Times New Roman" w:hAnsi="Times New Roman" w:cs="Times New Roman"/>
          <w:color w:val="000000" w:themeColor="text1"/>
          <w:sz w:val="28"/>
          <w:szCs w:val="28"/>
          <w:lang w:val="uk-UA"/>
        </w:rPr>
        <w:t>117</w:t>
      </w:r>
      <w:r w:rsidRPr="000A32AD">
        <w:rPr>
          <w:rFonts w:ascii="Times New Roman" w:hAnsi="Times New Roman" w:cs="Times New Roman"/>
          <w:color w:val="000000" w:themeColor="text1"/>
          <w:sz w:val="28"/>
          <w:szCs w:val="28"/>
          <w:lang w:val="uk-UA"/>
        </w:rPr>
        <w:t>]. Згідно цієї гіпотезі в основі цих ушкоджень є структурний дефект базальної мембрани капілярів та подоцитів, що виникає при ЦД внаслідок гіперглікемії, яка знижує активність ферментів, відповідальних за сульфатування гепарану з утворенням ГС. ГС є основним ГАГ у складі базальної мембрани, тому недостатнє сульфатування призводить до підвищеної проникності мембран та ендотеліальної дисфункції не тільки в клубочках нирок, але й в судинах та в гломерулярному ендотелії [</w:t>
      </w:r>
      <w:r w:rsidR="004E3C72" w:rsidRPr="000A32AD">
        <w:rPr>
          <w:rFonts w:ascii="Times New Roman" w:hAnsi="Times New Roman" w:cs="Times New Roman"/>
          <w:color w:val="000000" w:themeColor="text1"/>
          <w:sz w:val="28"/>
          <w:szCs w:val="28"/>
          <w:lang w:val="uk-UA"/>
        </w:rPr>
        <w:t>90</w:t>
      </w:r>
      <w:r w:rsidRPr="000A32AD">
        <w:rPr>
          <w:rFonts w:ascii="Times New Roman" w:hAnsi="Times New Roman" w:cs="Times New Roman"/>
          <w:color w:val="000000" w:themeColor="text1"/>
          <w:sz w:val="28"/>
          <w:szCs w:val="28"/>
          <w:lang w:val="uk-UA"/>
        </w:rPr>
        <w:t xml:space="preserve">; </w:t>
      </w:r>
      <w:r w:rsidR="00E77C08" w:rsidRPr="000A32AD">
        <w:rPr>
          <w:rFonts w:ascii="Times New Roman" w:hAnsi="Times New Roman" w:cs="Times New Roman"/>
          <w:color w:val="000000" w:themeColor="text1"/>
          <w:sz w:val="28"/>
          <w:szCs w:val="28"/>
          <w:lang w:val="uk-UA"/>
        </w:rPr>
        <w:t>152</w:t>
      </w:r>
      <w:r w:rsidRPr="000A32AD">
        <w:rPr>
          <w:rFonts w:ascii="Times New Roman" w:hAnsi="Times New Roman" w:cs="Times New Roman"/>
          <w:color w:val="000000" w:themeColor="text1"/>
          <w:sz w:val="28"/>
          <w:szCs w:val="28"/>
          <w:lang w:val="uk-UA"/>
        </w:rPr>
        <w:t xml:space="preserve">; </w:t>
      </w:r>
      <w:r w:rsidR="00E77C08" w:rsidRPr="000A32AD">
        <w:rPr>
          <w:rFonts w:ascii="Times New Roman" w:hAnsi="Times New Roman" w:cs="Times New Roman"/>
          <w:color w:val="000000" w:themeColor="text1"/>
          <w:sz w:val="28"/>
          <w:szCs w:val="28"/>
          <w:lang w:val="uk-UA"/>
        </w:rPr>
        <w:t>215</w:t>
      </w:r>
      <w:r w:rsidRPr="000A32AD">
        <w:rPr>
          <w:rFonts w:ascii="Times New Roman" w:hAnsi="Times New Roman" w:cs="Times New Roman"/>
          <w:color w:val="000000" w:themeColor="text1"/>
          <w:sz w:val="28"/>
          <w:szCs w:val="28"/>
          <w:lang w:val="uk-UA"/>
        </w:rPr>
        <w:t>]. Зниження вмісту ГС в результаті гломерулярних ушкоджень призводить до втрати негативного заряду мембран та збільшення їх проникності для альбуміну та інших молекул. Деякі дослідники вважають, що збільшення екскреції ГС із сечею може бути маркером початкових стадій діабетичної нефропатії [</w:t>
      </w:r>
      <w:r w:rsidR="00E77C08" w:rsidRPr="000A32AD">
        <w:rPr>
          <w:rFonts w:ascii="Times New Roman" w:hAnsi="Times New Roman" w:cs="Times New Roman"/>
          <w:color w:val="000000" w:themeColor="text1"/>
          <w:sz w:val="28"/>
          <w:szCs w:val="28"/>
          <w:lang w:val="uk-UA"/>
        </w:rPr>
        <w:t>202</w:t>
      </w:r>
      <w:r w:rsidRPr="000A32AD">
        <w:rPr>
          <w:rFonts w:ascii="Times New Roman" w:hAnsi="Times New Roman" w:cs="Times New Roman"/>
          <w:color w:val="000000" w:themeColor="text1"/>
          <w:sz w:val="28"/>
          <w:szCs w:val="28"/>
          <w:lang w:val="uk-UA"/>
        </w:rPr>
        <w:t xml:space="preserve">]. </w:t>
      </w:r>
    </w:p>
    <w:p w:rsidR="000D5D92" w:rsidRPr="000A32AD" w:rsidRDefault="000D5D92" w:rsidP="000D5D92">
      <w:pPr>
        <w:spacing w:line="360" w:lineRule="auto"/>
        <w:ind w:firstLine="708"/>
        <w:jc w:val="both"/>
        <w:rPr>
          <w:rFonts w:ascii="Times New Roman" w:eastAsia="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Порушенню обміні ГАГ, зокрема, ГС відводять важливу роль у розвитку ускладнень ЦД. У хворих на ЦД виявлено зниження вмісту ГАГ та їх фракції в сироватці крові та в сечі у порівнянні зі здоровими особами. При цьому встановлено, що відмічається збільшення фракції ГС у порівнянні з хондроїтін-</w:t>
      </w:r>
      <w:r w:rsidRPr="000A32AD">
        <w:rPr>
          <w:rFonts w:ascii="Times New Roman" w:hAnsi="Times New Roman" w:cs="Times New Roman"/>
          <w:color w:val="000000" w:themeColor="text1"/>
          <w:sz w:val="28"/>
          <w:szCs w:val="28"/>
          <w:lang w:val="uk-UA"/>
        </w:rPr>
        <w:lastRenderedPageBreak/>
        <w:t>сульфатами та гіалуроновою кислотою. Ці зміни відбувалися й хворих з нормоальбумінурією. В крові рівень ГС збільшувався у хворих з відсутністю альбумінурії, та поступово знижувався зі збільшенням тяжкості нефропатії [</w:t>
      </w:r>
      <w:r w:rsidR="00E77C08" w:rsidRPr="000A32AD">
        <w:rPr>
          <w:rFonts w:ascii="Times New Roman" w:hAnsi="Times New Roman" w:cs="Times New Roman"/>
          <w:color w:val="000000" w:themeColor="text1"/>
          <w:sz w:val="28"/>
          <w:szCs w:val="28"/>
          <w:lang w:val="uk-UA"/>
        </w:rPr>
        <w:t>56</w:t>
      </w:r>
      <w:r w:rsidRPr="000A32AD">
        <w:rPr>
          <w:rFonts w:ascii="Times New Roman" w:eastAsia="Times New Roman" w:hAnsi="Times New Roman" w:cs="Times New Roman"/>
          <w:color w:val="000000" w:themeColor="text1"/>
          <w:sz w:val="28"/>
          <w:szCs w:val="28"/>
          <w:lang w:val="uk-UA"/>
        </w:rPr>
        <w:t>].</w:t>
      </w:r>
    </w:p>
    <w:p w:rsidR="000D5D92" w:rsidRPr="000A32AD" w:rsidRDefault="000F0812" w:rsidP="000D5D92">
      <w:pPr>
        <w:shd w:val="clear" w:color="auto" w:fill="FFFFFF"/>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Гепаран-сульфат </w:t>
      </w:r>
      <w:r w:rsidR="000D5D92" w:rsidRPr="000A32AD">
        <w:rPr>
          <w:rFonts w:ascii="Times New Roman" w:hAnsi="Times New Roman" w:cs="Times New Roman"/>
          <w:color w:val="000000" w:themeColor="text1"/>
          <w:sz w:val="28"/>
          <w:szCs w:val="28"/>
          <w:lang w:val="uk-UA"/>
        </w:rPr>
        <w:t>є одним з основним структурних компонентів позаклітинної матриці, який забезпечує зберігання та ініціацію біологічно активних молекул, зокрема, фактору росту фібробластів та ендотеліального фактору росту. ГС є складовою не тільки позаклитинної матриці, але клітинних мембран. Можливим механізмом розвитку ускладнень ЦД вважають активацію гепаранази, яка гідролізує гепаран-сульфат на олігосахариди. Розщеплення ГС гепараназой може бути причиною загибелі β-клітин підшлункової залози, розвитку атеросклерозу та кардіоміопатії [</w:t>
      </w:r>
      <w:r w:rsidR="000B6EAF" w:rsidRPr="000A32AD">
        <w:rPr>
          <w:rFonts w:ascii="Times New Roman" w:hAnsi="Times New Roman" w:cs="Times New Roman"/>
          <w:color w:val="000000" w:themeColor="text1"/>
          <w:sz w:val="28"/>
          <w:szCs w:val="28"/>
          <w:lang w:val="uk-UA"/>
        </w:rPr>
        <w:t>238</w:t>
      </w:r>
      <w:r w:rsidR="000D5D92" w:rsidRPr="000A32AD">
        <w:rPr>
          <w:rFonts w:ascii="Times New Roman" w:hAnsi="Times New Roman" w:cs="Times New Roman"/>
          <w:color w:val="000000" w:themeColor="text1"/>
          <w:sz w:val="28"/>
          <w:szCs w:val="28"/>
          <w:lang w:val="uk-UA"/>
        </w:rPr>
        <w:t>]. Крім гепаранази, руйнуючою дією на ГС володіють активні форми кисню, кількість яких значно збільшена при ЦД. [</w:t>
      </w:r>
      <w:r w:rsidR="00E77C08" w:rsidRPr="000A32AD">
        <w:rPr>
          <w:rFonts w:ascii="Times New Roman" w:hAnsi="Times New Roman" w:cs="Times New Roman"/>
          <w:color w:val="000000" w:themeColor="text1"/>
          <w:sz w:val="28"/>
          <w:szCs w:val="28"/>
          <w:lang w:val="uk-UA"/>
        </w:rPr>
        <w:t>140</w:t>
      </w:r>
      <w:r w:rsidR="000D5D92" w:rsidRPr="000A32AD">
        <w:rPr>
          <w:rFonts w:ascii="Times New Roman" w:hAnsi="Times New Roman" w:cs="Times New Roman"/>
          <w:color w:val="000000" w:themeColor="text1"/>
          <w:sz w:val="28"/>
          <w:szCs w:val="28"/>
          <w:lang w:val="uk-UA"/>
        </w:rPr>
        <w:t>]. Застосування ГАГ та ГАГ-подібних сполук вважають перспективним напрямком профілактики та лікування судинних ускладнень ЦД. Захисною дією володіє гепарин та інсулін, які можуть інгібувати експресію гепаранази [</w:t>
      </w:r>
      <w:r w:rsidR="00E77C08" w:rsidRPr="000A32AD">
        <w:rPr>
          <w:rFonts w:ascii="Times New Roman" w:hAnsi="Times New Roman" w:cs="Times New Roman"/>
          <w:color w:val="000000" w:themeColor="text1"/>
          <w:sz w:val="28"/>
          <w:szCs w:val="28"/>
          <w:lang w:val="uk-UA"/>
        </w:rPr>
        <w:t>136</w:t>
      </w:r>
      <w:r w:rsidR="000D5D92" w:rsidRPr="000A32AD">
        <w:rPr>
          <w:rFonts w:ascii="Times New Roman" w:hAnsi="Times New Roman" w:cs="Times New Roman"/>
          <w:color w:val="000000" w:themeColor="text1"/>
          <w:sz w:val="28"/>
          <w:szCs w:val="28"/>
          <w:lang w:val="uk-UA"/>
        </w:rPr>
        <w:t>].</w:t>
      </w:r>
    </w:p>
    <w:p w:rsidR="000D5D92" w:rsidRPr="000A32AD" w:rsidRDefault="000D5D92" w:rsidP="000D5D92">
      <w:pPr>
        <w:spacing w:line="360" w:lineRule="auto"/>
        <w:ind w:firstLine="708"/>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Непрямим доказом значення порушень метаболізму сполучної тканини при ЦД є лі</w:t>
      </w:r>
      <w:r w:rsidR="00B4243D">
        <w:rPr>
          <w:rFonts w:ascii="Times New Roman" w:hAnsi="Times New Roman" w:cs="Times New Roman"/>
          <w:color w:val="000000" w:themeColor="text1"/>
          <w:sz w:val="28"/>
          <w:szCs w:val="28"/>
          <w:lang w:val="uk-UA"/>
        </w:rPr>
        <w:t>кувальна ефективність сулодексид</w:t>
      </w:r>
      <w:r w:rsidRPr="000A32AD">
        <w:rPr>
          <w:rFonts w:ascii="Times New Roman" w:hAnsi="Times New Roman" w:cs="Times New Roman"/>
          <w:color w:val="000000" w:themeColor="text1"/>
          <w:sz w:val="28"/>
          <w:szCs w:val="28"/>
          <w:lang w:val="uk-UA"/>
        </w:rPr>
        <w:t>у – препарату групи ГАГ, якій містить 80% гепариноподібної фракції та 20% дерматансульфату. Зокрема, він виявився ефективним при лікуванні діабетичної ретинопатії, у патогенезі якої суттєву роль грає порушення синтезу гепарансульфату в базальних мембранах ендот</w:t>
      </w:r>
      <w:r w:rsidR="00E77C08" w:rsidRPr="000A32AD">
        <w:rPr>
          <w:rFonts w:ascii="Times New Roman" w:hAnsi="Times New Roman" w:cs="Times New Roman"/>
          <w:color w:val="000000" w:themeColor="text1"/>
          <w:sz w:val="28"/>
          <w:szCs w:val="28"/>
          <w:lang w:val="uk-UA"/>
        </w:rPr>
        <w:t>еліальних клітин судин сітківки</w:t>
      </w:r>
      <w:r w:rsidRPr="000A32AD">
        <w:rPr>
          <w:rFonts w:ascii="Times New Roman" w:hAnsi="Times New Roman" w:cs="Times New Roman"/>
          <w:color w:val="000000" w:themeColor="text1"/>
          <w:sz w:val="28"/>
          <w:szCs w:val="28"/>
          <w:lang w:val="uk-UA"/>
        </w:rPr>
        <w:t xml:space="preserve"> [</w:t>
      </w:r>
      <w:r w:rsidR="00E77C08" w:rsidRPr="000A32AD">
        <w:rPr>
          <w:rFonts w:ascii="Times New Roman" w:hAnsi="Times New Roman" w:cs="Times New Roman"/>
          <w:color w:val="000000" w:themeColor="text1"/>
          <w:sz w:val="28"/>
          <w:szCs w:val="28"/>
          <w:lang w:val="uk-UA"/>
        </w:rPr>
        <w:t>13</w:t>
      </w:r>
      <w:r w:rsidRPr="000A32AD">
        <w:rPr>
          <w:rFonts w:ascii="Times New Roman" w:hAnsi="Times New Roman" w:cs="Times New Roman"/>
          <w:color w:val="000000" w:themeColor="text1"/>
          <w:sz w:val="28"/>
          <w:szCs w:val="28"/>
          <w:lang w:val="uk-UA"/>
        </w:rPr>
        <w:t>]. Ефективність цього препарату доведено і при лікуванні діабетичної нефропатії [</w:t>
      </w:r>
      <w:r w:rsidR="00E77C08" w:rsidRPr="000A32AD">
        <w:rPr>
          <w:rFonts w:ascii="Times New Roman" w:hAnsi="Times New Roman" w:cs="Times New Roman"/>
          <w:color w:val="000000" w:themeColor="text1"/>
          <w:sz w:val="28"/>
          <w:szCs w:val="28"/>
          <w:lang w:val="uk-UA"/>
        </w:rPr>
        <w:t>64</w:t>
      </w:r>
      <w:r w:rsidRPr="000A32AD">
        <w:rPr>
          <w:rFonts w:ascii="Times New Roman" w:hAnsi="Times New Roman" w:cs="Times New Roman"/>
          <w:color w:val="000000" w:themeColor="text1"/>
          <w:sz w:val="28"/>
          <w:szCs w:val="28"/>
          <w:lang w:val="uk-UA"/>
        </w:rPr>
        <w:t>]. У хворих на цукровий діабет 2 типу та ішемічною хворобою серця продемонстрована ефективність ГАГ в профілактиці контраст-індукованої нефропатії. Застосування ГАГ створювало передумови для профілактики ниркової дисфункції, надаючи антипротеїнурічний ефект, коригуючи порушення ліпідного обміну та згортання крові [</w:t>
      </w:r>
      <w:r w:rsidR="00E77C08" w:rsidRPr="000A32AD">
        <w:rPr>
          <w:rFonts w:ascii="Times New Roman" w:hAnsi="Times New Roman" w:cs="Times New Roman"/>
          <w:color w:val="000000" w:themeColor="text1"/>
          <w:sz w:val="28"/>
          <w:szCs w:val="28"/>
          <w:lang w:val="uk-UA"/>
        </w:rPr>
        <w:t>41</w:t>
      </w:r>
      <w:r w:rsidRPr="000A32AD">
        <w:rPr>
          <w:rFonts w:ascii="Times New Roman" w:hAnsi="Times New Roman" w:cs="Times New Roman"/>
          <w:color w:val="000000" w:themeColor="text1"/>
          <w:sz w:val="28"/>
          <w:szCs w:val="28"/>
          <w:lang w:val="uk-UA"/>
        </w:rPr>
        <w:t>].</w:t>
      </w:r>
    </w:p>
    <w:p w:rsidR="000D5D92" w:rsidRPr="000A32AD" w:rsidRDefault="000D5D92" w:rsidP="000D5D92">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lastRenderedPageBreak/>
        <w:t xml:space="preserve">Таким чином, фактори росту загалом, та, зокрема,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eastAsia="Times New Roman" w:hAnsi="Times New Roman" w:cs="Times New Roman"/>
          <w:color w:val="000000" w:themeColor="text1"/>
          <w:sz w:val="28"/>
          <w:szCs w:val="28"/>
          <w:lang w:val="uk-UA"/>
        </w:rPr>
        <w:t xml:space="preserve"> володіють досить різноманітними, нерідко протилежними функціями. Результати клінічних досліджень значущості цих факторів не однозначні. Але, звертаючи увагу на роль ЦД, ДСТ та АГ у розвитку судинних ускладнень та частоту фіброзних уражень органів та тканин, з’ясування можливої патогенетичної ролі маркерів метаболізму сполучної тканини може бути корисним в аспекті визначення прогнозу захворювання та нових напрямків попередження та лікування цих ускладнень.</w:t>
      </w:r>
      <w:r w:rsidR="00F17BD2" w:rsidRPr="000A32AD">
        <w:rPr>
          <w:rFonts w:ascii="Times New Roman" w:eastAsia="Times New Roman" w:hAnsi="Times New Roman" w:cs="Times New Roman"/>
          <w:color w:val="000000" w:themeColor="text1"/>
          <w:sz w:val="28"/>
          <w:szCs w:val="28"/>
          <w:lang w:val="uk-UA"/>
        </w:rPr>
        <w:t xml:space="preserve"> </w:t>
      </w: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p>
    <w:p w:rsidR="000D5D92" w:rsidRPr="000A32AD" w:rsidRDefault="000D5D92" w:rsidP="000D5D92">
      <w:pPr>
        <w:spacing w:line="360" w:lineRule="auto"/>
        <w:ind w:firstLine="709"/>
        <w:jc w:val="both"/>
        <w:rPr>
          <w:rFonts w:ascii="Times New Roman" w:hAnsi="Times New Roman" w:cs="Times New Roman"/>
          <w:color w:val="000000" w:themeColor="text1"/>
          <w:sz w:val="28"/>
          <w:szCs w:val="28"/>
          <w:lang w:val="uk-UA"/>
        </w:rPr>
      </w:pPr>
    </w:p>
    <w:p w:rsidR="000D5D92" w:rsidRPr="000A32AD" w:rsidRDefault="000D5D92" w:rsidP="000D5D92">
      <w:pPr>
        <w:spacing w:line="360" w:lineRule="auto"/>
        <w:ind w:firstLine="708"/>
        <w:jc w:val="both"/>
        <w:rPr>
          <w:rFonts w:ascii="Times New Roman" w:hAnsi="Times New Roman" w:cs="Times New Roman"/>
          <w:b/>
          <w:color w:val="000000" w:themeColor="text1"/>
          <w:sz w:val="28"/>
          <w:szCs w:val="28"/>
          <w:lang w:val="uk-UA"/>
        </w:rPr>
      </w:pPr>
    </w:p>
    <w:p w:rsidR="00BC6BC0" w:rsidRPr="000A32AD" w:rsidRDefault="00BC6BC0" w:rsidP="00BC6BC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b/>
          <w:color w:val="000000" w:themeColor="text1"/>
          <w:sz w:val="28"/>
          <w:szCs w:val="28"/>
          <w:lang w:val="uk-UA"/>
        </w:rPr>
      </w:pPr>
    </w:p>
    <w:p w:rsidR="003C4A7F" w:rsidRPr="000A32AD" w:rsidRDefault="003C4A7F">
      <w:pPr>
        <w:spacing w:after="160" w:line="259" w:lineRule="auto"/>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br w:type="page"/>
      </w:r>
    </w:p>
    <w:p w:rsidR="00BC6BC0" w:rsidRPr="000A32AD" w:rsidRDefault="00BC6BC0" w:rsidP="00BC6BC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lastRenderedPageBreak/>
        <w:t>РОЗДІЛ 2</w:t>
      </w:r>
    </w:p>
    <w:p w:rsidR="00BC6BC0" w:rsidRPr="000A32AD" w:rsidRDefault="00BC6BC0" w:rsidP="00BC6BC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t>МАТЕРІАЛИ ТА МЕТОДИ ДОСЛІДЖЕННЯ</w:t>
      </w:r>
    </w:p>
    <w:p w:rsidR="00BC6BC0" w:rsidRPr="000A32AD" w:rsidRDefault="00BC6BC0" w:rsidP="00BC6BC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p>
    <w:p w:rsidR="00BC6BC0" w:rsidRPr="000A32AD" w:rsidRDefault="00BC6BC0" w:rsidP="00BC6BC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t>2.1 Загальна клінічна характеристика обстежених хворих</w:t>
      </w:r>
    </w:p>
    <w:p w:rsidR="00BC6BC0" w:rsidRPr="000A32AD" w:rsidRDefault="00BC6BC0" w:rsidP="00BC6BC0">
      <w:pPr>
        <w:pStyle w:val="Table0"/>
        <w:jc w:val="both"/>
        <w:rPr>
          <w:rFonts w:cs="Times New Roman"/>
          <w:i w:val="0"/>
          <w:color w:val="000000" w:themeColor="text1"/>
          <w:szCs w:val="28"/>
          <w:lang w:val="uk-UA"/>
        </w:rPr>
      </w:pPr>
    </w:p>
    <w:p w:rsidR="00BC6BC0" w:rsidRPr="000A32AD" w:rsidRDefault="00BC6BC0" w:rsidP="00130568">
      <w:pPr>
        <w:pStyle w:val="Table0"/>
        <w:jc w:val="both"/>
        <w:rPr>
          <w:rFonts w:cs="Times New Roman"/>
          <w:i w:val="0"/>
          <w:color w:val="000000" w:themeColor="text1"/>
          <w:szCs w:val="28"/>
          <w:lang w:val="uk-UA"/>
        </w:rPr>
      </w:pPr>
      <w:r w:rsidRPr="000A32AD">
        <w:rPr>
          <w:rFonts w:cs="Times New Roman"/>
          <w:i w:val="0"/>
          <w:color w:val="000000" w:themeColor="text1"/>
          <w:szCs w:val="28"/>
          <w:lang w:val="uk-UA"/>
        </w:rPr>
        <w:t>Дисертаційне дослідження виконано на базі ендокринологічного відділення Харківської обласної клінічної лікарні. У дослідження увійшли 90 пацієнтів, що знаходилися на лікуванні в період 2016–2018 рр., які мали наступні критерії включення:</w:t>
      </w:r>
      <w:r w:rsidR="00130568" w:rsidRPr="000A32AD">
        <w:rPr>
          <w:rFonts w:cs="Times New Roman"/>
          <w:i w:val="0"/>
          <w:color w:val="000000" w:themeColor="text1"/>
          <w:szCs w:val="28"/>
          <w:lang w:val="uk-UA"/>
        </w:rPr>
        <w:t xml:space="preserve"> </w:t>
      </w:r>
      <w:r w:rsidRPr="000A32AD">
        <w:rPr>
          <w:rFonts w:cs="Times New Roman"/>
          <w:i w:val="0"/>
          <w:color w:val="000000" w:themeColor="text1"/>
          <w:szCs w:val="28"/>
          <w:lang w:val="uk-UA"/>
        </w:rPr>
        <w:t>встановлений діагноз ЦД 2 типу відповідно до існуючих клінічних настанов;</w:t>
      </w:r>
      <w:r w:rsidR="00130568" w:rsidRPr="000A32AD">
        <w:rPr>
          <w:rFonts w:cs="Times New Roman"/>
          <w:i w:val="0"/>
          <w:color w:val="000000" w:themeColor="text1"/>
          <w:szCs w:val="28"/>
          <w:lang w:val="uk-UA"/>
        </w:rPr>
        <w:t xml:space="preserve"> </w:t>
      </w:r>
      <w:r w:rsidRPr="000A32AD">
        <w:rPr>
          <w:rFonts w:cs="Times New Roman"/>
          <w:i w:val="0"/>
          <w:color w:val="000000" w:themeColor="text1"/>
          <w:lang w:val="uk-UA"/>
        </w:rPr>
        <w:t>тривалість ЦД до 10 років;</w:t>
      </w:r>
      <w:r w:rsidR="00130568" w:rsidRPr="000A32AD">
        <w:rPr>
          <w:rFonts w:cs="Times New Roman"/>
          <w:i w:val="0"/>
          <w:color w:val="000000" w:themeColor="text1"/>
          <w:lang w:val="uk-UA"/>
        </w:rPr>
        <w:t xml:space="preserve"> </w:t>
      </w:r>
      <w:r w:rsidRPr="000A32AD">
        <w:rPr>
          <w:rFonts w:cs="Times New Roman"/>
          <w:i w:val="0"/>
          <w:color w:val="000000" w:themeColor="text1"/>
          <w:lang w:val="uk-UA"/>
        </w:rPr>
        <w:t>вік пацієнта 35–45 років;</w:t>
      </w:r>
      <w:r w:rsidR="00130568" w:rsidRPr="000A32AD">
        <w:rPr>
          <w:rFonts w:cs="Times New Roman"/>
          <w:i w:val="0"/>
          <w:color w:val="000000" w:themeColor="text1"/>
          <w:lang w:val="uk-UA"/>
        </w:rPr>
        <w:t xml:space="preserve"> </w:t>
      </w:r>
      <w:r w:rsidRPr="000A32AD">
        <w:rPr>
          <w:rFonts w:cs="Times New Roman"/>
          <w:i w:val="0"/>
          <w:color w:val="000000" w:themeColor="text1"/>
          <w:szCs w:val="28"/>
          <w:lang w:val="uk-UA"/>
        </w:rPr>
        <w:t>отримання інформованої згоди хворого на участь в дослідженні.</w:t>
      </w:r>
    </w:p>
    <w:p w:rsidR="00BC6BC0" w:rsidRPr="000A32AD" w:rsidRDefault="00BC6BC0" w:rsidP="00BC6BC0">
      <w:pPr>
        <w:pStyle w:val="Table0"/>
        <w:jc w:val="both"/>
        <w:rPr>
          <w:rFonts w:cs="Times New Roman"/>
          <w:i w:val="0"/>
          <w:color w:val="000000" w:themeColor="text1"/>
          <w:szCs w:val="28"/>
          <w:lang w:val="uk-UA"/>
        </w:rPr>
      </w:pPr>
      <w:r w:rsidRPr="000A32AD">
        <w:rPr>
          <w:rFonts w:cs="Times New Roman"/>
          <w:i w:val="0"/>
          <w:color w:val="000000" w:themeColor="text1"/>
          <w:szCs w:val="28"/>
          <w:lang w:val="uk-UA"/>
        </w:rPr>
        <w:t>Такий відбір був обумовлений відомою високою коморбідністю ЦД, зокрема,</w:t>
      </w:r>
      <w:r w:rsidR="00F17BD2" w:rsidRPr="000A32AD">
        <w:rPr>
          <w:rFonts w:cs="Times New Roman"/>
          <w:i w:val="0"/>
          <w:color w:val="000000" w:themeColor="text1"/>
          <w:szCs w:val="28"/>
          <w:lang w:val="uk-UA"/>
        </w:rPr>
        <w:t xml:space="preserve"> </w:t>
      </w:r>
      <w:r w:rsidRPr="000A32AD">
        <w:rPr>
          <w:rFonts w:cs="Times New Roman"/>
          <w:i w:val="0"/>
          <w:color w:val="000000" w:themeColor="text1"/>
          <w:szCs w:val="28"/>
          <w:lang w:val="uk-UA"/>
        </w:rPr>
        <w:t>сполучення з АГ. Обрана вікова група пояснюється тим, що в цьому віці тривалість ЦД 2 типу у більшості випадків не перевищує 10 років, а також тим, що у більшому віці нерідко з’являються супутні захворювання, що обумовлені причинами, безпосередньо не зв’язаними з ЦД.</w:t>
      </w:r>
    </w:p>
    <w:p w:rsidR="00BC6BC0" w:rsidRPr="000A32AD" w:rsidRDefault="00BC6BC0" w:rsidP="00130568">
      <w:pPr>
        <w:pStyle w:val="Table0"/>
        <w:jc w:val="both"/>
        <w:rPr>
          <w:rFonts w:cs="Times New Roman"/>
          <w:i w:val="0"/>
          <w:color w:val="000000" w:themeColor="text1"/>
          <w:lang w:val="uk-UA"/>
        </w:rPr>
      </w:pPr>
      <w:r w:rsidRPr="000A32AD">
        <w:rPr>
          <w:rFonts w:cs="Times New Roman"/>
          <w:i w:val="0"/>
          <w:color w:val="000000" w:themeColor="text1"/>
          <w:szCs w:val="28"/>
          <w:lang w:val="uk-UA"/>
        </w:rPr>
        <w:t>У дослідження не включалися хворі при наявності:</w:t>
      </w:r>
      <w:r w:rsidR="00130568" w:rsidRPr="000A32AD">
        <w:rPr>
          <w:rFonts w:cs="Times New Roman"/>
          <w:i w:val="0"/>
          <w:color w:val="000000" w:themeColor="text1"/>
          <w:szCs w:val="28"/>
          <w:lang w:val="uk-UA"/>
        </w:rPr>
        <w:t xml:space="preserve"> </w:t>
      </w:r>
      <w:r w:rsidRPr="000A32AD">
        <w:rPr>
          <w:rFonts w:cs="Times New Roman"/>
          <w:i w:val="0"/>
          <w:color w:val="000000" w:themeColor="text1"/>
          <w:szCs w:val="28"/>
          <w:lang w:val="uk-UA"/>
        </w:rPr>
        <w:t>тяжкого перебігу ЦД;</w:t>
      </w:r>
      <w:r w:rsidR="00130568" w:rsidRPr="000A32AD">
        <w:rPr>
          <w:rFonts w:cs="Times New Roman"/>
          <w:i w:val="0"/>
          <w:color w:val="000000" w:themeColor="text1"/>
          <w:szCs w:val="28"/>
          <w:lang w:val="uk-UA"/>
        </w:rPr>
        <w:t xml:space="preserve"> </w:t>
      </w:r>
      <w:r w:rsidRPr="000A32AD">
        <w:rPr>
          <w:rFonts w:cs="Times New Roman"/>
          <w:i w:val="0"/>
          <w:color w:val="000000" w:themeColor="text1"/>
          <w:szCs w:val="28"/>
          <w:lang w:val="uk-UA"/>
        </w:rPr>
        <w:t>декомпенсованої супутньої патології будь-якої локалізації;</w:t>
      </w:r>
      <w:r w:rsidR="00130568" w:rsidRPr="000A32AD">
        <w:rPr>
          <w:rFonts w:cs="Times New Roman"/>
          <w:i w:val="0"/>
          <w:color w:val="000000" w:themeColor="text1"/>
          <w:szCs w:val="28"/>
          <w:lang w:val="uk-UA"/>
        </w:rPr>
        <w:t xml:space="preserve"> </w:t>
      </w:r>
      <w:r w:rsidRPr="000A32AD">
        <w:rPr>
          <w:rFonts w:cs="Times New Roman"/>
          <w:i w:val="0"/>
          <w:color w:val="000000" w:themeColor="text1"/>
          <w:szCs w:val="28"/>
          <w:lang w:val="uk-UA"/>
        </w:rPr>
        <w:t>інших ендокринних та системних захворювань;</w:t>
      </w:r>
      <w:r w:rsidR="00130568" w:rsidRPr="000A32AD">
        <w:rPr>
          <w:rFonts w:cs="Times New Roman"/>
          <w:i w:val="0"/>
          <w:color w:val="000000" w:themeColor="text1"/>
          <w:szCs w:val="28"/>
          <w:lang w:val="uk-UA"/>
        </w:rPr>
        <w:t xml:space="preserve"> </w:t>
      </w:r>
      <w:r w:rsidRPr="000A32AD">
        <w:rPr>
          <w:rFonts w:cs="Times New Roman"/>
          <w:i w:val="0"/>
          <w:color w:val="000000" w:themeColor="text1"/>
          <w:lang w:val="uk-UA"/>
        </w:rPr>
        <w:t>гострих запальних захворювань будь-якої локалізації;</w:t>
      </w:r>
      <w:r w:rsidR="00130568" w:rsidRPr="000A32AD">
        <w:rPr>
          <w:rFonts w:cs="Times New Roman"/>
          <w:i w:val="0"/>
          <w:color w:val="000000" w:themeColor="text1"/>
          <w:lang w:val="uk-UA"/>
        </w:rPr>
        <w:t xml:space="preserve"> </w:t>
      </w:r>
      <w:r w:rsidRPr="000A32AD">
        <w:rPr>
          <w:rFonts w:cs="Times New Roman"/>
          <w:i w:val="0"/>
          <w:color w:val="000000" w:themeColor="text1"/>
          <w:lang w:val="uk-UA"/>
        </w:rPr>
        <w:t>онкопатології будь-якої локалізації;</w:t>
      </w:r>
      <w:r w:rsidR="00130568" w:rsidRPr="000A32AD">
        <w:rPr>
          <w:rFonts w:cs="Times New Roman"/>
          <w:i w:val="0"/>
          <w:color w:val="000000" w:themeColor="text1"/>
          <w:lang w:val="uk-UA"/>
        </w:rPr>
        <w:t xml:space="preserve"> </w:t>
      </w:r>
      <w:r w:rsidRPr="000A32AD">
        <w:rPr>
          <w:rFonts w:cs="Times New Roman"/>
          <w:i w:val="0"/>
          <w:color w:val="000000" w:themeColor="text1"/>
          <w:lang w:val="uk-UA"/>
        </w:rPr>
        <w:t>психічних захворювань.</w:t>
      </w:r>
    </w:p>
    <w:p w:rsidR="00BC6BC0" w:rsidRPr="000A32AD" w:rsidRDefault="00BC6BC0" w:rsidP="00BC6BC0">
      <w:pPr>
        <w:pStyle w:val="Table0"/>
        <w:jc w:val="both"/>
        <w:rPr>
          <w:rFonts w:cs="Times New Roman"/>
          <w:i w:val="0"/>
          <w:color w:val="000000" w:themeColor="text1"/>
          <w:szCs w:val="28"/>
          <w:lang w:val="uk-UA"/>
        </w:rPr>
      </w:pPr>
      <w:r w:rsidRPr="000A32AD">
        <w:rPr>
          <w:rFonts w:cs="Times New Roman"/>
          <w:i w:val="0"/>
          <w:color w:val="000000" w:themeColor="text1"/>
          <w:szCs w:val="28"/>
          <w:lang w:val="uk-UA"/>
        </w:rPr>
        <w:t xml:space="preserve">Всі пацієнти надійшли до відділення в плановому порядку за направленням поліклінічних установ за місцем проживання. </w:t>
      </w:r>
    </w:p>
    <w:p w:rsidR="00BC6BC0" w:rsidRPr="000A32AD" w:rsidRDefault="00BC6BC0" w:rsidP="00BC6BC0">
      <w:pPr>
        <w:pStyle w:val="af9"/>
        <w:rPr>
          <w:rFonts w:cs="Times New Roman"/>
          <w:color w:val="000000" w:themeColor="text1"/>
          <w:lang w:val="uk-UA"/>
        </w:rPr>
      </w:pPr>
      <w:r w:rsidRPr="000A32AD">
        <w:rPr>
          <w:rFonts w:cs="Times New Roman"/>
          <w:color w:val="000000" w:themeColor="text1"/>
          <w:lang w:val="uk-UA"/>
        </w:rPr>
        <w:t xml:space="preserve">Середній вік хворих, </w:t>
      </w:r>
      <w:r w:rsidR="007C349E">
        <w:rPr>
          <w:rFonts w:cs="Times New Roman"/>
          <w:color w:val="000000" w:themeColor="text1"/>
          <w:lang w:val="uk-UA"/>
        </w:rPr>
        <w:t>що увійшли у дослідження, скла</w:t>
      </w:r>
      <w:r w:rsidRPr="000A32AD">
        <w:rPr>
          <w:rFonts w:cs="Times New Roman"/>
          <w:color w:val="000000" w:themeColor="text1"/>
          <w:lang w:val="uk-UA"/>
        </w:rPr>
        <w:t xml:space="preserve">в (37,8±3,3). Середня тривалість ЦД становила (4,7±2,5) р., у тому числі, 66 (73,3%) з тривалістю ЦД до 5 років та 24 (26,7%) – від 5 років та більше. </w:t>
      </w:r>
    </w:p>
    <w:p w:rsidR="00BC6BC0" w:rsidRPr="000A32AD" w:rsidRDefault="00BC6BC0" w:rsidP="00BC6BC0">
      <w:pPr>
        <w:pStyle w:val="af9"/>
        <w:rPr>
          <w:rFonts w:cs="Times New Roman"/>
          <w:color w:val="000000" w:themeColor="text1"/>
          <w:lang w:val="uk-UA"/>
        </w:rPr>
      </w:pPr>
      <w:r w:rsidRPr="000A32AD">
        <w:rPr>
          <w:rFonts w:cs="Times New Roman"/>
          <w:color w:val="000000" w:themeColor="text1"/>
          <w:lang w:val="uk-UA"/>
        </w:rPr>
        <w:t>Серед хворих було 54 (60,0%) жінок та 36 (40,0%) чоловіків.</w:t>
      </w:r>
    </w:p>
    <w:p w:rsidR="00BC6BC0" w:rsidRPr="000A32AD" w:rsidRDefault="00BC6BC0" w:rsidP="00BC6BC0">
      <w:pPr>
        <w:pStyle w:val="af9"/>
        <w:rPr>
          <w:rFonts w:cs="Times New Roman"/>
          <w:color w:val="000000" w:themeColor="text1"/>
          <w:lang w:val="uk-UA"/>
        </w:rPr>
      </w:pPr>
      <w:r w:rsidRPr="000A32AD">
        <w:rPr>
          <w:rFonts w:cs="Times New Roman"/>
          <w:color w:val="000000" w:themeColor="text1"/>
          <w:lang w:val="uk-UA"/>
        </w:rPr>
        <w:t>Серед ускладнень ЦД у досліджених хворих спостерігались:</w:t>
      </w:r>
    </w:p>
    <w:p w:rsidR="00BC6BC0" w:rsidRPr="000A32AD" w:rsidRDefault="00BC6BC0" w:rsidP="00BC6BC0">
      <w:pPr>
        <w:pStyle w:val="af9"/>
        <w:numPr>
          <w:ilvl w:val="0"/>
          <w:numId w:val="25"/>
        </w:numPr>
        <w:rPr>
          <w:rFonts w:cs="Times New Roman"/>
          <w:color w:val="000000" w:themeColor="text1"/>
          <w:lang w:val="uk-UA"/>
        </w:rPr>
      </w:pPr>
      <w:r w:rsidRPr="000A32AD">
        <w:rPr>
          <w:rFonts w:cs="Times New Roman"/>
          <w:color w:val="000000" w:themeColor="text1"/>
          <w:lang w:val="uk-UA"/>
        </w:rPr>
        <w:t>діабетична нефропатія – 58 (64,4%);</w:t>
      </w:r>
    </w:p>
    <w:p w:rsidR="00BC6BC0" w:rsidRPr="000A32AD" w:rsidRDefault="00BC6BC0" w:rsidP="00BC6BC0">
      <w:pPr>
        <w:pStyle w:val="af9"/>
        <w:numPr>
          <w:ilvl w:val="0"/>
          <w:numId w:val="25"/>
        </w:numPr>
        <w:rPr>
          <w:rFonts w:cs="Times New Roman"/>
          <w:color w:val="000000" w:themeColor="text1"/>
          <w:lang w:val="uk-UA"/>
        </w:rPr>
      </w:pPr>
      <w:r w:rsidRPr="000A32AD">
        <w:rPr>
          <w:rFonts w:cs="Times New Roman"/>
          <w:color w:val="000000" w:themeColor="text1"/>
          <w:lang w:val="uk-UA"/>
        </w:rPr>
        <w:lastRenderedPageBreak/>
        <w:t>діабетична нейропатія – 71 (78,9%);</w:t>
      </w:r>
    </w:p>
    <w:p w:rsidR="00BC6BC0" w:rsidRPr="000A32AD" w:rsidRDefault="00BC6BC0" w:rsidP="00BC6BC0">
      <w:pPr>
        <w:pStyle w:val="af9"/>
        <w:numPr>
          <w:ilvl w:val="0"/>
          <w:numId w:val="25"/>
        </w:numPr>
        <w:rPr>
          <w:rFonts w:cs="Times New Roman"/>
          <w:color w:val="000000" w:themeColor="text1"/>
          <w:lang w:val="uk-UA"/>
        </w:rPr>
      </w:pPr>
      <w:r w:rsidRPr="000A32AD">
        <w:rPr>
          <w:rFonts w:cs="Times New Roman"/>
          <w:color w:val="000000" w:themeColor="text1"/>
          <w:lang w:val="uk-UA"/>
        </w:rPr>
        <w:t>діабетична ретинопатія – 41 (45,6%).</w:t>
      </w:r>
    </w:p>
    <w:p w:rsidR="00BC6BC0" w:rsidRPr="000A32AD" w:rsidRDefault="00BC6BC0" w:rsidP="00BC6BC0">
      <w:pPr>
        <w:pStyle w:val="af9"/>
        <w:rPr>
          <w:rFonts w:cs="Times New Roman"/>
          <w:color w:val="000000" w:themeColor="text1"/>
          <w:lang w:val="uk-UA"/>
        </w:rPr>
      </w:pPr>
      <w:r w:rsidRPr="000A32AD">
        <w:rPr>
          <w:rFonts w:cs="Times New Roman"/>
          <w:color w:val="000000" w:themeColor="text1"/>
          <w:lang w:val="uk-UA"/>
        </w:rPr>
        <w:t>Супутня патологія, діагностована у хворих, що увійшли у досл</w:t>
      </w:r>
      <w:r w:rsidR="00D8762F" w:rsidRPr="000A32AD">
        <w:rPr>
          <w:rFonts w:cs="Times New Roman"/>
          <w:color w:val="000000" w:themeColor="text1"/>
          <w:lang w:val="uk-UA"/>
        </w:rPr>
        <w:t>ідження представлена у табл. 2.1</w:t>
      </w:r>
      <w:r w:rsidRPr="000A32AD">
        <w:rPr>
          <w:rFonts w:cs="Times New Roman"/>
          <w:color w:val="000000" w:themeColor="text1"/>
          <w:lang w:val="uk-UA"/>
        </w:rPr>
        <w:t>.</w:t>
      </w:r>
    </w:p>
    <w:p w:rsidR="00BC6BC0" w:rsidRPr="000A32AD" w:rsidRDefault="00BC6BC0" w:rsidP="00BC6BC0">
      <w:pPr>
        <w:pStyle w:val="af9"/>
        <w:rPr>
          <w:rFonts w:cs="Times New Roman"/>
          <w:color w:val="000000" w:themeColor="text1"/>
          <w:lang w:val="uk-UA"/>
        </w:rPr>
      </w:pPr>
    </w:p>
    <w:p w:rsidR="00BC6BC0" w:rsidRPr="000A32AD" w:rsidRDefault="00BC6BC0" w:rsidP="00BC6BC0">
      <w:pPr>
        <w:pStyle w:val="af9"/>
        <w:rPr>
          <w:rFonts w:cs="Times New Roman"/>
          <w:color w:val="000000" w:themeColor="text1"/>
          <w:lang w:val="uk-UA"/>
        </w:rPr>
      </w:pPr>
      <w:r w:rsidRPr="000A32AD">
        <w:rPr>
          <w:rFonts w:cs="Times New Roman"/>
          <w:color w:val="000000" w:themeColor="text1"/>
          <w:lang w:val="uk-UA"/>
        </w:rPr>
        <w:t>Таблиця 2.1 – Супутня патологія у хворих на ЦД 2 типу, що увійшли у дослідження</w:t>
      </w:r>
    </w:p>
    <w:tbl>
      <w:tblPr>
        <w:tblStyle w:val="afa"/>
        <w:tblW w:w="0" w:type="auto"/>
        <w:tblLook w:val="04A0" w:firstRow="1" w:lastRow="0" w:firstColumn="1" w:lastColumn="0" w:noHBand="0" w:noVBand="1"/>
      </w:tblPr>
      <w:tblGrid>
        <w:gridCol w:w="5495"/>
        <w:gridCol w:w="4076"/>
      </w:tblGrid>
      <w:tr w:rsidR="00BC6BC0" w:rsidRPr="000A32AD" w:rsidTr="00FE7908">
        <w:tc>
          <w:tcPr>
            <w:tcW w:w="5495" w:type="dxa"/>
            <w:vAlign w:val="center"/>
          </w:tcPr>
          <w:p w:rsidR="00BC6BC0" w:rsidRPr="000A32AD" w:rsidRDefault="00BC6BC0" w:rsidP="00FE7908">
            <w:pPr>
              <w:pStyle w:val="af9"/>
              <w:spacing w:line="240" w:lineRule="auto"/>
              <w:ind w:firstLine="0"/>
              <w:jc w:val="center"/>
              <w:rPr>
                <w:rFonts w:cs="Times New Roman"/>
                <w:color w:val="000000" w:themeColor="text1"/>
                <w:lang w:val="uk-UA"/>
              </w:rPr>
            </w:pPr>
            <w:r w:rsidRPr="000A32AD">
              <w:rPr>
                <w:rFonts w:cs="Times New Roman"/>
                <w:color w:val="000000" w:themeColor="text1"/>
                <w:lang w:val="uk-UA"/>
              </w:rPr>
              <w:t>Патологія</w:t>
            </w:r>
          </w:p>
        </w:tc>
        <w:tc>
          <w:tcPr>
            <w:tcW w:w="4076" w:type="dxa"/>
            <w:vAlign w:val="center"/>
          </w:tcPr>
          <w:p w:rsidR="00BC6BC0" w:rsidRPr="000A32AD" w:rsidRDefault="00BC6BC0" w:rsidP="00FE7908">
            <w:pPr>
              <w:pStyle w:val="af9"/>
              <w:spacing w:line="240" w:lineRule="auto"/>
              <w:ind w:firstLine="0"/>
              <w:jc w:val="center"/>
              <w:rPr>
                <w:rFonts w:cs="Times New Roman"/>
                <w:color w:val="000000" w:themeColor="text1"/>
                <w:lang w:val="uk-UA"/>
              </w:rPr>
            </w:pPr>
            <w:r w:rsidRPr="000A32AD">
              <w:rPr>
                <w:rFonts w:cs="Times New Roman"/>
                <w:color w:val="000000" w:themeColor="text1"/>
                <w:lang w:val="uk-UA"/>
              </w:rPr>
              <w:t>Абс. кількість (%)</w:t>
            </w:r>
          </w:p>
        </w:tc>
      </w:tr>
      <w:tr w:rsidR="00BC6BC0" w:rsidRPr="000A32AD" w:rsidTr="00FE7908">
        <w:tc>
          <w:tcPr>
            <w:tcW w:w="5495" w:type="dxa"/>
            <w:vAlign w:val="center"/>
          </w:tcPr>
          <w:p w:rsidR="00BC6BC0" w:rsidRPr="000A32AD" w:rsidRDefault="00BC6BC0" w:rsidP="00FE7908">
            <w:pPr>
              <w:pStyle w:val="af9"/>
              <w:ind w:firstLine="0"/>
              <w:jc w:val="left"/>
              <w:rPr>
                <w:rFonts w:cs="Times New Roman"/>
                <w:color w:val="000000" w:themeColor="text1"/>
                <w:lang w:val="uk-UA"/>
              </w:rPr>
            </w:pPr>
            <w:r w:rsidRPr="000A32AD">
              <w:rPr>
                <w:rFonts w:cs="Times New Roman"/>
                <w:color w:val="000000" w:themeColor="text1"/>
                <w:lang w:val="uk-UA"/>
              </w:rPr>
              <w:t>АГ</w:t>
            </w:r>
          </w:p>
        </w:tc>
        <w:tc>
          <w:tcPr>
            <w:tcW w:w="4076" w:type="dxa"/>
            <w:vAlign w:val="center"/>
          </w:tcPr>
          <w:p w:rsidR="00BC6BC0" w:rsidRPr="000A32AD" w:rsidRDefault="00BC6BC0" w:rsidP="00FE7908">
            <w:pPr>
              <w:pStyle w:val="af9"/>
              <w:ind w:firstLine="0"/>
              <w:jc w:val="center"/>
              <w:rPr>
                <w:rFonts w:cs="Times New Roman"/>
                <w:color w:val="000000" w:themeColor="text1"/>
                <w:lang w:val="uk-UA"/>
              </w:rPr>
            </w:pPr>
            <w:r w:rsidRPr="000A32AD">
              <w:rPr>
                <w:rFonts w:cs="Times New Roman"/>
                <w:color w:val="000000" w:themeColor="text1"/>
                <w:lang w:val="uk-UA"/>
              </w:rPr>
              <w:t>67</w:t>
            </w:r>
            <w:r w:rsidR="00F17BD2" w:rsidRPr="000A32AD">
              <w:rPr>
                <w:rFonts w:cs="Times New Roman"/>
                <w:color w:val="000000" w:themeColor="text1"/>
                <w:lang w:val="uk-UA"/>
              </w:rPr>
              <w:t xml:space="preserve"> </w:t>
            </w:r>
            <w:r w:rsidRPr="000A32AD">
              <w:rPr>
                <w:rFonts w:cs="Times New Roman"/>
                <w:color w:val="000000" w:themeColor="text1"/>
                <w:lang w:val="uk-UA"/>
              </w:rPr>
              <w:t>(74,4%)</w:t>
            </w:r>
          </w:p>
        </w:tc>
      </w:tr>
      <w:tr w:rsidR="00BC6BC0" w:rsidRPr="000A32AD" w:rsidTr="00FE7908">
        <w:tc>
          <w:tcPr>
            <w:tcW w:w="5495" w:type="dxa"/>
            <w:vAlign w:val="center"/>
          </w:tcPr>
          <w:p w:rsidR="00BC6BC0" w:rsidRPr="000A32AD" w:rsidRDefault="00BC6BC0" w:rsidP="00FE7908">
            <w:pPr>
              <w:pStyle w:val="af9"/>
              <w:ind w:firstLine="0"/>
              <w:jc w:val="left"/>
              <w:rPr>
                <w:rFonts w:cs="Times New Roman"/>
                <w:color w:val="000000" w:themeColor="text1"/>
                <w:lang w:val="uk-UA"/>
              </w:rPr>
            </w:pPr>
            <w:r w:rsidRPr="000A32AD">
              <w:rPr>
                <w:rFonts w:cs="Times New Roman"/>
                <w:color w:val="000000" w:themeColor="text1"/>
                <w:lang w:val="uk-UA"/>
              </w:rPr>
              <w:t>ІХС</w:t>
            </w:r>
          </w:p>
        </w:tc>
        <w:tc>
          <w:tcPr>
            <w:tcW w:w="4076" w:type="dxa"/>
            <w:vAlign w:val="center"/>
          </w:tcPr>
          <w:p w:rsidR="00BC6BC0" w:rsidRPr="000A32AD" w:rsidRDefault="00BC6BC0" w:rsidP="00FE7908">
            <w:pPr>
              <w:pStyle w:val="af9"/>
              <w:ind w:firstLine="0"/>
              <w:jc w:val="center"/>
              <w:rPr>
                <w:rFonts w:cs="Times New Roman"/>
                <w:color w:val="000000" w:themeColor="text1"/>
                <w:lang w:val="uk-UA"/>
              </w:rPr>
            </w:pPr>
            <w:r w:rsidRPr="000A32AD">
              <w:rPr>
                <w:rFonts w:cs="Times New Roman"/>
                <w:color w:val="000000" w:themeColor="text1"/>
                <w:lang w:val="uk-UA"/>
              </w:rPr>
              <w:t>5</w:t>
            </w:r>
            <w:r w:rsidR="00F17BD2" w:rsidRPr="000A32AD">
              <w:rPr>
                <w:rFonts w:cs="Times New Roman"/>
                <w:color w:val="000000" w:themeColor="text1"/>
                <w:lang w:val="uk-UA"/>
              </w:rPr>
              <w:t xml:space="preserve"> </w:t>
            </w:r>
            <w:r w:rsidRPr="000A32AD">
              <w:rPr>
                <w:rFonts w:cs="Times New Roman"/>
                <w:color w:val="000000" w:themeColor="text1"/>
                <w:lang w:val="uk-UA"/>
              </w:rPr>
              <w:t>(5,6%)</w:t>
            </w:r>
          </w:p>
        </w:tc>
      </w:tr>
      <w:tr w:rsidR="00BC6BC0" w:rsidRPr="000A32AD" w:rsidTr="00FE7908">
        <w:tc>
          <w:tcPr>
            <w:tcW w:w="5495" w:type="dxa"/>
            <w:vAlign w:val="center"/>
          </w:tcPr>
          <w:p w:rsidR="00BC6BC0" w:rsidRPr="000A32AD" w:rsidRDefault="00BC6BC0" w:rsidP="00FE7908">
            <w:pPr>
              <w:pStyle w:val="af9"/>
              <w:ind w:firstLine="0"/>
              <w:jc w:val="left"/>
              <w:rPr>
                <w:rFonts w:cs="Times New Roman"/>
                <w:color w:val="000000" w:themeColor="text1"/>
                <w:lang w:val="uk-UA"/>
              </w:rPr>
            </w:pPr>
            <w:r w:rsidRPr="000A32AD">
              <w:rPr>
                <w:rFonts w:cs="Times New Roman"/>
                <w:color w:val="000000" w:themeColor="text1"/>
                <w:lang w:val="uk-UA"/>
              </w:rPr>
              <w:t>Варикозне розширення вен нижній кінцівок</w:t>
            </w:r>
          </w:p>
        </w:tc>
        <w:tc>
          <w:tcPr>
            <w:tcW w:w="4076" w:type="dxa"/>
            <w:vAlign w:val="center"/>
          </w:tcPr>
          <w:p w:rsidR="00BC6BC0" w:rsidRPr="000A32AD" w:rsidRDefault="00BC6BC0" w:rsidP="00FE7908">
            <w:pPr>
              <w:pStyle w:val="af9"/>
              <w:ind w:firstLine="0"/>
              <w:jc w:val="center"/>
              <w:rPr>
                <w:rFonts w:cs="Times New Roman"/>
                <w:color w:val="000000" w:themeColor="text1"/>
                <w:lang w:val="uk-UA"/>
              </w:rPr>
            </w:pPr>
            <w:r w:rsidRPr="000A32AD">
              <w:rPr>
                <w:rFonts w:cs="Times New Roman"/>
                <w:color w:val="000000" w:themeColor="text1"/>
                <w:lang w:val="uk-UA"/>
              </w:rPr>
              <w:t>4 (4,4%)</w:t>
            </w:r>
          </w:p>
        </w:tc>
      </w:tr>
      <w:tr w:rsidR="00BC6BC0" w:rsidRPr="000A32AD" w:rsidTr="00FE7908">
        <w:tc>
          <w:tcPr>
            <w:tcW w:w="5495" w:type="dxa"/>
            <w:vAlign w:val="center"/>
          </w:tcPr>
          <w:p w:rsidR="00BC6BC0" w:rsidRPr="000A32AD" w:rsidRDefault="00BC6BC0" w:rsidP="00FE7908">
            <w:pPr>
              <w:pStyle w:val="af9"/>
              <w:ind w:firstLine="0"/>
              <w:jc w:val="left"/>
              <w:rPr>
                <w:rFonts w:cs="Times New Roman"/>
                <w:color w:val="000000" w:themeColor="text1"/>
                <w:lang w:val="uk-UA"/>
              </w:rPr>
            </w:pPr>
            <w:r w:rsidRPr="000A32AD">
              <w:rPr>
                <w:rFonts w:cs="Times New Roman"/>
                <w:color w:val="000000" w:themeColor="text1"/>
                <w:lang w:val="uk-UA"/>
              </w:rPr>
              <w:t>Патологія суглобів</w:t>
            </w:r>
          </w:p>
        </w:tc>
        <w:tc>
          <w:tcPr>
            <w:tcW w:w="4076" w:type="dxa"/>
            <w:vAlign w:val="center"/>
          </w:tcPr>
          <w:p w:rsidR="00BC6BC0" w:rsidRPr="000A32AD" w:rsidRDefault="00BC6BC0" w:rsidP="00FE7908">
            <w:pPr>
              <w:pStyle w:val="af9"/>
              <w:ind w:firstLine="0"/>
              <w:jc w:val="center"/>
              <w:rPr>
                <w:rFonts w:cs="Times New Roman"/>
                <w:color w:val="000000" w:themeColor="text1"/>
                <w:lang w:val="uk-UA"/>
              </w:rPr>
            </w:pPr>
            <w:r w:rsidRPr="000A32AD">
              <w:rPr>
                <w:rFonts w:cs="Times New Roman"/>
                <w:color w:val="000000" w:themeColor="text1"/>
                <w:lang w:val="uk-UA"/>
              </w:rPr>
              <w:t>8 (8,9%)</w:t>
            </w:r>
          </w:p>
        </w:tc>
      </w:tr>
      <w:tr w:rsidR="00BC6BC0" w:rsidRPr="000A32AD" w:rsidTr="00FE7908">
        <w:tc>
          <w:tcPr>
            <w:tcW w:w="5495" w:type="dxa"/>
            <w:vAlign w:val="center"/>
          </w:tcPr>
          <w:p w:rsidR="00BC6BC0" w:rsidRPr="000A32AD" w:rsidRDefault="00BC6BC0" w:rsidP="00FE7908">
            <w:pPr>
              <w:pStyle w:val="af9"/>
              <w:ind w:firstLine="0"/>
              <w:jc w:val="left"/>
              <w:rPr>
                <w:rFonts w:cs="Times New Roman"/>
                <w:color w:val="000000" w:themeColor="text1"/>
                <w:lang w:val="uk-UA"/>
              </w:rPr>
            </w:pPr>
            <w:r w:rsidRPr="000A32AD">
              <w:rPr>
                <w:rFonts w:cs="Times New Roman"/>
                <w:color w:val="000000" w:themeColor="text1"/>
                <w:lang w:val="uk-UA"/>
              </w:rPr>
              <w:t>Патологія хребта</w:t>
            </w:r>
          </w:p>
        </w:tc>
        <w:tc>
          <w:tcPr>
            <w:tcW w:w="4076" w:type="dxa"/>
            <w:vAlign w:val="center"/>
          </w:tcPr>
          <w:p w:rsidR="00BC6BC0" w:rsidRPr="000A32AD" w:rsidRDefault="00BC6BC0" w:rsidP="00FE7908">
            <w:pPr>
              <w:pStyle w:val="af9"/>
              <w:ind w:firstLine="0"/>
              <w:jc w:val="center"/>
              <w:rPr>
                <w:rFonts w:cs="Times New Roman"/>
                <w:color w:val="000000" w:themeColor="text1"/>
                <w:lang w:val="uk-UA"/>
              </w:rPr>
            </w:pPr>
            <w:r w:rsidRPr="000A32AD">
              <w:rPr>
                <w:rFonts w:cs="Times New Roman"/>
                <w:color w:val="000000" w:themeColor="text1"/>
                <w:lang w:val="uk-UA"/>
              </w:rPr>
              <w:t>16 (17,8%)</w:t>
            </w:r>
          </w:p>
        </w:tc>
      </w:tr>
      <w:tr w:rsidR="00BC6BC0" w:rsidRPr="000A32AD" w:rsidTr="00FE7908">
        <w:tc>
          <w:tcPr>
            <w:tcW w:w="5495" w:type="dxa"/>
            <w:vAlign w:val="center"/>
          </w:tcPr>
          <w:p w:rsidR="00BC6BC0" w:rsidRPr="000A32AD" w:rsidRDefault="00BC6BC0" w:rsidP="00FE7908">
            <w:pPr>
              <w:pStyle w:val="af9"/>
              <w:ind w:firstLine="0"/>
              <w:jc w:val="left"/>
              <w:rPr>
                <w:rFonts w:cs="Times New Roman"/>
                <w:color w:val="000000" w:themeColor="text1"/>
                <w:lang w:val="uk-UA"/>
              </w:rPr>
            </w:pPr>
            <w:r w:rsidRPr="000A32AD">
              <w:rPr>
                <w:rFonts w:cs="Times New Roman"/>
                <w:color w:val="000000" w:themeColor="text1"/>
                <w:lang w:val="uk-UA"/>
              </w:rPr>
              <w:t>Грижі різної локалізації</w:t>
            </w:r>
          </w:p>
        </w:tc>
        <w:tc>
          <w:tcPr>
            <w:tcW w:w="4076" w:type="dxa"/>
            <w:vAlign w:val="center"/>
          </w:tcPr>
          <w:p w:rsidR="00BC6BC0" w:rsidRPr="000A32AD" w:rsidRDefault="00BC6BC0" w:rsidP="00FE7908">
            <w:pPr>
              <w:pStyle w:val="af9"/>
              <w:ind w:firstLine="0"/>
              <w:jc w:val="center"/>
              <w:rPr>
                <w:rFonts w:cs="Times New Roman"/>
                <w:color w:val="000000" w:themeColor="text1"/>
                <w:lang w:val="uk-UA"/>
              </w:rPr>
            </w:pPr>
            <w:r w:rsidRPr="000A32AD">
              <w:rPr>
                <w:rFonts w:cs="Times New Roman"/>
                <w:color w:val="000000" w:themeColor="text1"/>
                <w:lang w:val="uk-UA"/>
              </w:rPr>
              <w:t>4 (4,4%)</w:t>
            </w:r>
          </w:p>
        </w:tc>
      </w:tr>
      <w:tr w:rsidR="00BC6BC0" w:rsidRPr="000A32AD" w:rsidTr="00FE7908">
        <w:tc>
          <w:tcPr>
            <w:tcW w:w="5495" w:type="dxa"/>
            <w:vAlign w:val="center"/>
          </w:tcPr>
          <w:p w:rsidR="00BC6BC0" w:rsidRPr="000A32AD" w:rsidRDefault="00BC6BC0" w:rsidP="00FE7908">
            <w:pPr>
              <w:pStyle w:val="af9"/>
              <w:ind w:firstLine="0"/>
              <w:jc w:val="left"/>
              <w:rPr>
                <w:rFonts w:cs="Times New Roman"/>
                <w:color w:val="000000" w:themeColor="text1"/>
                <w:lang w:val="uk-UA"/>
              </w:rPr>
            </w:pPr>
            <w:r w:rsidRPr="000A32AD">
              <w:rPr>
                <w:rFonts w:cs="Times New Roman"/>
                <w:color w:val="000000" w:themeColor="text1"/>
                <w:lang w:val="uk-UA"/>
              </w:rPr>
              <w:t>Малі аномалії розвитку серця</w:t>
            </w:r>
          </w:p>
        </w:tc>
        <w:tc>
          <w:tcPr>
            <w:tcW w:w="4076" w:type="dxa"/>
            <w:vAlign w:val="center"/>
          </w:tcPr>
          <w:p w:rsidR="00BC6BC0" w:rsidRPr="000A32AD" w:rsidRDefault="00BC6BC0" w:rsidP="00FE7908">
            <w:pPr>
              <w:pStyle w:val="af9"/>
              <w:ind w:firstLine="0"/>
              <w:jc w:val="center"/>
              <w:rPr>
                <w:rFonts w:cs="Times New Roman"/>
                <w:color w:val="000000" w:themeColor="text1"/>
                <w:lang w:val="uk-UA"/>
              </w:rPr>
            </w:pPr>
            <w:r w:rsidRPr="000A32AD">
              <w:rPr>
                <w:rFonts w:cs="Times New Roman"/>
                <w:color w:val="000000" w:themeColor="text1"/>
                <w:lang w:val="uk-UA"/>
              </w:rPr>
              <w:t>30 (33,3%)</w:t>
            </w:r>
          </w:p>
        </w:tc>
      </w:tr>
      <w:tr w:rsidR="00BC6BC0" w:rsidRPr="000A32AD" w:rsidTr="00FE7908">
        <w:tc>
          <w:tcPr>
            <w:tcW w:w="5495" w:type="dxa"/>
            <w:vAlign w:val="center"/>
          </w:tcPr>
          <w:p w:rsidR="00BC6BC0" w:rsidRPr="000A32AD" w:rsidRDefault="00BC6BC0" w:rsidP="00FE7908">
            <w:pPr>
              <w:pStyle w:val="af9"/>
              <w:ind w:firstLine="0"/>
              <w:jc w:val="left"/>
              <w:rPr>
                <w:rFonts w:cs="Times New Roman"/>
                <w:color w:val="000000" w:themeColor="text1"/>
                <w:lang w:val="uk-UA"/>
              </w:rPr>
            </w:pPr>
            <w:r w:rsidRPr="000A32AD">
              <w:rPr>
                <w:rFonts w:cs="Times New Roman"/>
                <w:color w:val="000000" w:themeColor="text1"/>
                <w:lang w:val="uk-UA"/>
              </w:rPr>
              <w:t>Аномалії розвитку жовчного міхура</w:t>
            </w:r>
          </w:p>
        </w:tc>
        <w:tc>
          <w:tcPr>
            <w:tcW w:w="4076" w:type="dxa"/>
            <w:vAlign w:val="center"/>
          </w:tcPr>
          <w:p w:rsidR="00BC6BC0" w:rsidRPr="000A32AD" w:rsidRDefault="00BC6BC0" w:rsidP="00FE7908">
            <w:pPr>
              <w:pStyle w:val="af9"/>
              <w:ind w:firstLine="0"/>
              <w:jc w:val="center"/>
              <w:rPr>
                <w:rFonts w:cs="Times New Roman"/>
                <w:color w:val="000000" w:themeColor="text1"/>
                <w:lang w:val="uk-UA"/>
              </w:rPr>
            </w:pPr>
            <w:r w:rsidRPr="000A32AD">
              <w:rPr>
                <w:rFonts w:cs="Times New Roman"/>
                <w:color w:val="000000" w:themeColor="text1"/>
                <w:lang w:val="uk-UA"/>
              </w:rPr>
              <w:t>7 (7,8%)</w:t>
            </w:r>
          </w:p>
        </w:tc>
      </w:tr>
      <w:tr w:rsidR="00BC6BC0" w:rsidRPr="000A32AD" w:rsidTr="00FE7908">
        <w:tc>
          <w:tcPr>
            <w:tcW w:w="5495" w:type="dxa"/>
            <w:vAlign w:val="center"/>
          </w:tcPr>
          <w:p w:rsidR="00BC6BC0" w:rsidRPr="000A32AD" w:rsidRDefault="00BC6BC0" w:rsidP="00FE7908">
            <w:pPr>
              <w:pStyle w:val="af9"/>
              <w:ind w:firstLine="0"/>
              <w:jc w:val="left"/>
              <w:rPr>
                <w:rFonts w:cs="Times New Roman"/>
                <w:color w:val="000000" w:themeColor="text1"/>
                <w:lang w:val="uk-UA"/>
              </w:rPr>
            </w:pPr>
            <w:r w:rsidRPr="000A32AD">
              <w:rPr>
                <w:rFonts w:cs="Times New Roman"/>
                <w:color w:val="000000" w:themeColor="text1"/>
                <w:lang w:val="uk-UA"/>
              </w:rPr>
              <w:t>Хронічний холецистит</w:t>
            </w:r>
          </w:p>
        </w:tc>
        <w:tc>
          <w:tcPr>
            <w:tcW w:w="4076" w:type="dxa"/>
            <w:vAlign w:val="center"/>
          </w:tcPr>
          <w:p w:rsidR="00BC6BC0" w:rsidRPr="000A32AD" w:rsidRDefault="00BC6BC0" w:rsidP="00FE7908">
            <w:pPr>
              <w:pStyle w:val="af9"/>
              <w:ind w:firstLine="0"/>
              <w:jc w:val="center"/>
              <w:rPr>
                <w:rFonts w:cs="Times New Roman"/>
                <w:color w:val="000000" w:themeColor="text1"/>
                <w:lang w:val="uk-UA"/>
              </w:rPr>
            </w:pPr>
            <w:r w:rsidRPr="000A32AD">
              <w:rPr>
                <w:rFonts w:cs="Times New Roman"/>
                <w:color w:val="000000" w:themeColor="text1"/>
                <w:lang w:val="uk-UA"/>
              </w:rPr>
              <w:t>26 (28,9%)</w:t>
            </w:r>
          </w:p>
        </w:tc>
      </w:tr>
      <w:tr w:rsidR="00BC6BC0" w:rsidRPr="000A32AD" w:rsidTr="00FE7908">
        <w:tc>
          <w:tcPr>
            <w:tcW w:w="5495" w:type="dxa"/>
            <w:vAlign w:val="center"/>
          </w:tcPr>
          <w:p w:rsidR="00BC6BC0" w:rsidRPr="000A32AD" w:rsidRDefault="00BC6BC0" w:rsidP="00FE7908">
            <w:pPr>
              <w:pStyle w:val="af9"/>
              <w:ind w:firstLine="0"/>
              <w:jc w:val="left"/>
              <w:rPr>
                <w:rFonts w:cs="Times New Roman"/>
                <w:color w:val="000000" w:themeColor="text1"/>
                <w:lang w:val="uk-UA"/>
              </w:rPr>
            </w:pPr>
            <w:r w:rsidRPr="000A32AD">
              <w:rPr>
                <w:rFonts w:cs="Times New Roman"/>
                <w:color w:val="000000" w:themeColor="text1"/>
                <w:lang w:val="uk-UA"/>
              </w:rPr>
              <w:t>Захворювання печінки</w:t>
            </w:r>
          </w:p>
        </w:tc>
        <w:tc>
          <w:tcPr>
            <w:tcW w:w="4076" w:type="dxa"/>
            <w:vAlign w:val="center"/>
          </w:tcPr>
          <w:p w:rsidR="00BC6BC0" w:rsidRPr="000A32AD" w:rsidRDefault="00BC6BC0" w:rsidP="00FE7908">
            <w:pPr>
              <w:pStyle w:val="af9"/>
              <w:ind w:firstLine="0"/>
              <w:jc w:val="center"/>
              <w:rPr>
                <w:rFonts w:cs="Times New Roman"/>
                <w:color w:val="000000" w:themeColor="text1"/>
                <w:lang w:val="uk-UA"/>
              </w:rPr>
            </w:pPr>
            <w:r w:rsidRPr="000A32AD">
              <w:rPr>
                <w:rFonts w:cs="Times New Roman"/>
                <w:color w:val="000000" w:themeColor="text1"/>
                <w:lang w:val="uk-UA"/>
              </w:rPr>
              <w:t>19</w:t>
            </w:r>
            <w:r w:rsidR="00F17BD2" w:rsidRPr="000A32AD">
              <w:rPr>
                <w:rFonts w:cs="Times New Roman"/>
                <w:color w:val="000000" w:themeColor="text1"/>
                <w:lang w:val="uk-UA"/>
              </w:rPr>
              <w:t xml:space="preserve"> </w:t>
            </w:r>
            <w:r w:rsidRPr="000A32AD">
              <w:rPr>
                <w:rFonts w:cs="Times New Roman"/>
                <w:color w:val="000000" w:themeColor="text1"/>
                <w:lang w:val="uk-UA"/>
              </w:rPr>
              <w:t>(21,1%)</w:t>
            </w:r>
          </w:p>
        </w:tc>
      </w:tr>
      <w:tr w:rsidR="00BC6BC0" w:rsidRPr="000A32AD" w:rsidTr="00FE7908">
        <w:tc>
          <w:tcPr>
            <w:tcW w:w="5495" w:type="dxa"/>
            <w:vAlign w:val="center"/>
          </w:tcPr>
          <w:p w:rsidR="00BC6BC0" w:rsidRPr="000A32AD" w:rsidRDefault="00BC6BC0" w:rsidP="00FE7908">
            <w:pPr>
              <w:pStyle w:val="af9"/>
              <w:ind w:firstLine="0"/>
              <w:jc w:val="left"/>
              <w:rPr>
                <w:rFonts w:cs="Times New Roman"/>
                <w:color w:val="000000" w:themeColor="text1"/>
                <w:lang w:val="uk-UA"/>
              </w:rPr>
            </w:pPr>
            <w:r w:rsidRPr="000A32AD">
              <w:rPr>
                <w:rFonts w:cs="Times New Roman"/>
                <w:color w:val="000000" w:themeColor="text1"/>
                <w:lang w:val="uk-UA"/>
              </w:rPr>
              <w:t>Захворювання підшлункової залози</w:t>
            </w:r>
          </w:p>
        </w:tc>
        <w:tc>
          <w:tcPr>
            <w:tcW w:w="4076" w:type="dxa"/>
            <w:vAlign w:val="center"/>
          </w:tcPr>
          <w:p w:rsidR="00BC6BC0" w:rsidRPr="000A32AD" w:rsidRDefault="00BC6BC0" w:rsidP="00FE7908">
            <w:pPr>
              <w:pStyle w:val="af9"/>
              <w:ind w:firstLine="0"/>
              <w:jc w:val="center"/>
              <w:rPr>
                <w:rFonts w:cs="Times New Roman"/>
                <w:color w:val="000000" w:themeColor="text1"/>
                <w:lang w:val="uk-UA"/>
              </w:rPr>
            </w:pPr>
            <w:r w:rsidRPr="000A32AD">
              <w:rPr>
                <w:rFonts w:cs="Times New Roman"/>
                <w:color w:val="000000" w:themeColor="text1"/>
                <w:lang w:val="uk-UA"/>
              </w:rPr>
              <w:t>22 (24,4%)</w:t>
            </w:r>
          </w:p>
        </w:tc>
      </w:tr>
      <w:tr w:rsidR="00BC6BC0" w:rsidRPr="000A32AD" w:rsidTr="00FE7908">
        <w:tc>
          <w:tcPr>
            <w:tcW w:w="5495" w:type="dxa"/>
            <w:vAlign w:val="center"/>
          </w:tcPr>
          <w:p w:rsidR="00BC6BC0" w:rsidRPr="000A32AD" w:rsidRDefault="00BC6BC0" w:rsidP="00FE7908">
            <w:pPr>
              <w:pStyle w:val="af9"/>
              <w:ind w:firstLine="0"/>
              <w:jc w:val="left"/>
              <w:rPr>
                <w:rFonts w:cs="Times New Roman"/>
                <w:color w:val="000000" w:themeColor="text1"/>
                <w:lang w:val="uk-UA"/>
              </w:rPr>
            </w:pPr>
            <w:r w:rsidRPr="000A32AD">
              <w:rPr>
                <w:rFonts w:cs="Times New Roman"/>
                <w:color w:val="000000" w:themeColor="text1"/>
                <w:lang w:val="uk-UA"/>
              </w:rPr>
              <w:t>Нефроптоз</w:t>
            </w:r>
          </w:p>
        </w:tc>
        <w:tc>
          <w:tcPr>
            <w:tcW w:w="4076" w:type="dxa"/>
            <w:vAlign w:val="center"/>
          </w:tcPr>
          <w:p w:rsidR="00BC6BC0" w:rsidRPr="000A32AD" w:rsidRDefault="00BC6BC0" w:rsidP="00FE7908">
            <w:pPr>
              <w:pStyle w:val="af9"/>
              <w:ind w:firstLine="0"/>
              <w:jc w:val="center"/>
              <w:rPr>
                <w:rFonts w:cs="Times New Roman"/>
                <w:color w:val="000000" w:themeColor="text1"/>
                <w:lang w:val="uk-UA"/>
              </w:rPr>
            </w:pPr>
            <w:r w:rsidRPr="000A32AD">
              <w:rPr>
                <w:rFonts w:cs="Times New Roman"/>
                <w:color w:val="000000" w:themeColor="text1"/>
                <w:lang w:val="uk-UA"/>
              </w:rPr>
              <w:t>5</w:t>
            </w:r>
            <w:r w:rsidR="00F17BD2" w:rsidRPr="000A32AD">
              <w:rPr>
                <w:rFonts w:cs="Times New Roman"/>
                <w:color w:val="000000" w:themeColor="text1"/>
                <w:lang w:val="uk-UA"/>
              </w:rPr>
              <w:t xml:space="preserve"> </w:t>
            </w:r>
            <w:r w:rsidRPr="000A32AD">
              <w:rPr>
                <w:rFonts w:cs="Times New Roman"/>
                <w:color w:val="000000" w:themeColor="text1"/>
                <w:lang w:val="uk-UA"/>
              </w:rPr>
              <w:t>(5,6%)</w:t>
            </w:r>
          </w:p>
        </w:tc>
      </w:tr>
    </w:tbl>
    <w:p w:rsidR="003C4A7F" w:rsidRPr="000A32AD" w:rsidRDefault="003C4A7F" w:rsidP="00BC6BC0">
      <w:pPr>
        <w:pStyle w:val="af9"/>
        <w:rPr>
          <w:rFonts w:cs="Times New Roman"/>
          <w:color w:val="000000" w:themeColor="text1"/>
          <w:lang w:val="uk-UA"/>
        </w:rPr>
      </w:pPr>
    </w:p>
    <w:p w:rsidR="003C4A7F" w:rsidRPr="000A32AD" w:rsidRDefault="003C4A7F" w:rsidP="00BC6BC0">
      <w:pPr>
        <w:pStyle w:val="af9"/>
        <w:rPr>
          <w:rFonts w:cs="Times New Roman"/>
          <w:color w:val="000000" w:themeColor="text1"/>
          <w:lang w:val="uk-UA"/>
        </w:rPr>
      </w:pPr>
    </w:p>
    <w:p w:rsidR="00BC6BC0" w:rsidRPr="000A32AD" w:rsidRDefault="00BC6BC0" w:rsidP="00BC6BC0">
      <w:pPr>
        <w:pStyle w:val="af9"/>
        <w:rPr>
          <w:rFonts w:cs="Times New Roman"/>
          <w:color w:val="000000" w:themeColor="text1"/>
          <w:lang w:val="uk-UA"/>
        </w:rPr>
      </w:pPr>
      <w:r w:rsidRPr="000A32AD">
        <w:rPr>
          <w:rFonts w:cs="Times New Roman"/>
          <w:color w:val="000000" w:themeColor="text1"/>
          <w:lang w:val="uk-UA"/>
        </w:rPr>
        <w:t>Як видно з наведених даних, найбільш частою супутньою патологію була АГ, малі аномалії розвитку серця (включаючи пролапс клапанів на наявність додаткових хорд за даними УЗД), хронічний холецистит, хронічний панкреатит, патологія печінки та патологія хребта та/або суглобів. Більш ретельний аналіз загально-клінічних показників наведено у наступних розділах.</w:t>
      </w:r>
    </w:p>
    <w:p w:rsidR="00BC6BC0" w:rsidRPr="000A32AD" w:rsidRDefault="00BC6BC0" w:rsidP="00BC6BC0">
      <w:pPr>
        <w:pStyle w:val="af9"/>
        <w:rPr>
          <w:rFonts w:cs="Times New Roman"/>
          <w:color w:val="000000" w:themeColor="text1"/>
          <w:lang w:val="uk-UA"/>
        </w:rPr>
      </w:pPr>
      <w:r w:rsidRPr="000A32AD">
        <w:rPr>
          <w:rFonts w:cs="Times New Roman"/>
          <w:color w:val="000000" w:themeColor="text1"/>
          <w:lang w:val="uk-UA"/>
        </w:rPr>
        <w:t xml:space="preserve">Загалом супутню патологію виявлено у 77 (85,6%) хворих, причому два </w:t>
      </w:r>
      <w:r w:rsidRPr="000A32AD">
        <w:rPr>
          <w:rFonts w:cs="Times New Roman"/>
          <w:color w:val="000000" w:themeColor="text1"/>
          <w:lang w:val="uk-UA"/>
        </w:rPr>
        <w:lastRenderedPageBreak/>
        <w:t>супутніх захворювання мали 19 (21,1%) хворих, три та більше супутніх захворювання виявлено у 30 (33,3%) хворих</w:t>
      </w:r>
      <w:r w:rsidR="000545A8">
        <w:rPr>
          <w:rFonts w:cs="Times New Roman"/>
          <w:color w:val="000000" w:themeColor="text1"/>
          <w:lang w:val="uk-UA"/>
        </w:rPr>
        <w:t>.</w:t>
      </w:r>
    </w:p>
    <w:p w:rsidR="00BC6BC0" w:rsidRPr="000A32AD" w:rsidRDefault="00BC6BC0" w:rsidP="00BC6BC0">
      <w:pPr>
        <w:pStyle w:val="af9"/>
        <w:rPr>
          <w:rFonts w:cs="Times New Roman"/>
          <w:color w:val="000000" w:themeColor="text1"/>
          <w:lang w:val="uk-UA"/>
        </w:rPr>
      </w:pPr>
      <w:r w:rsidRPr="000A32AD">
        <w:rPr>
          <w:rFonts w:cs="Times New Roman"/>
          <w:color w:val="000000" w:themeColor="text1"/>
          <w:lang w:val="uk-UA"/>
        </w:rPr>
        <w:t>В структурі супутньої патології були виділені захворювання, що є можливим фенотипичним проявом НДСТ, у тому числі, патологія хребта та суглобів, малі аномалії розвитку серця, аномалії розвитку жовчного міхура, варикозне розширення вен нижніх кінцівок, грижі різної локалізації та нефроптоз. У 18 хворих виявлялися два та більше таких захворювань.</w:t>
      </w:r>
    </w:p>
    <w:p w:rsidR="00BC6BC0" w:rsidRPr="000A32AD" w:rsidRDefault="00BC6BC0" w:rsidP="00BC6BC0">
      <w:pPr>
        <w:pStyle w:val="af9"/>
        <w:rPr>
          <w:rFonts w:cs="Times New Roman"/>
          <w:color w:val="000000" w:themeColor="text1"/>
          <w:lang w:val="uk-UA"/>
        </w:rPr>
      </w:pPr>
      <w:r w:rsidRPr="000A32AD">
        <w:rPr>
          <w:rFonts w:cs="Times New Roman"/>
          <w:color w:val="000000" w:themeColor="text1"/>
          <w:lang w:val="uk-UA"/>
        </w:rPr>
        <w:t xml:space="preserve">Наявність цієї патології дозволили припустити наявність у 48 хворих НДСТ, що склали І (основну групу), у тому числі: 31 хворий з вісцеральними проявами НДСТ, та 17 хворих з вісцеральними та скелетними проявами НДСТ. </w:t>
      </w:r>
    </w:p>
    <w:p w:rsidR="00BC6BC0" w:rsidRPr="000A32AD" w:rsidRDefault="00BC6BC0" w:rsidP="00BC6BC0">
      <w:pPr>
        <w:pStyle w:val="af9"/>
        <w:rPr>
          <w:rFonts w:cs="Times New Roman"/>
          <w:color w:val="000000" w:themeColor="text1"/>
          <w:lang w:val="uk-UA"/>
        </w:rPr>
      </w:pPr>
      <w:r w:rsidRPr="000A32AD">
        <w:rPr>
          <w:rFonts w:cs="Times New Roman"/>
          <w:color w:val="000000" w:themeColor="text1"/>
          <w:lang w:val="uk-UA"/>
        </w:rPr>
        <w:t>У 42 хворих, що склали ІІ групу (порівняння), ознак НДСТ не виявлено.</w:t>
      </w:r>
    </w:p>
    <w:p w:rsidR="00BC6BC0" w:rsidRPr="000A32AD" w:rsidRDefault="00BC6BC0" w:rsidP="00BC6BC0">
      <w:pPr>
        <w:pStyle w:val="af9"/>
        <w:rPr>
          <w:rFonts w:cs="Times New Roman"/>
          <w:color w:val="000000" w:themeColor="text1"/>
          <w:lang w:val="uk-UA"/>
        </w:rPr>
      </w:pPr>
      <w:r w:rsidRPr="000A32AD">
        <w:rPr>
          <w:rFonts w:cs="Times New Roman"/>
          <w:color w:val="000000" w:themeColor="text1"/>
          <w:lang w:val="uk-UA"/>
        </w:rPr>
        <w:t>Крім цього, обстежено 20 практично здорових людей, порівнянних за статтю та віком (11 чоловіків і 9 жінок) у віці від 35 до 42 років, середній вік (36,2 ± 1,8) років з відсутністю клінічно значимої патології та обтяженого анамнезу, які склали контрольну групу для порівняння вивчаємих лабораторних показників.</w:t>
      </w:r>
    </w:p>
    <w:p w:rsidR="00BC6BC0" w:rsidRPr="000A32AD" w:rsidRDefault="00BC6BC0" w:rsidP="00BC6BC0">
      <w:pPr>
        <w:spacing w:line="360" w:lineRule="auto"/>
        <w:ind w:firstLine="709"/>
        <w:contextualSpacing/>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Дослідження виконувалися після отримання інформованої згоди пацієнтів у відповідності з етичними нормами та діючому в Україні законодавства: Закону України «Про лікарські засоби», 1996, ст. 7, 8, 12, принципів ІСН GСP (2008 р.), наказу МОЗ України № 690 від 23.09.2009 «Про затвердження Правил проведення клінічних випробувань та експертизи матеріалів клінічних випробувань і Типового положення про комісію з питань етики», зі змінами і доповненнями.</w:t>
      </w:r>
    </w:p>
    <w:p w:rsidR="00BC6BC0" w:rsidRPr="000A32AD" w:rsidRDefault="00BC6BC0" w:rsidP="00BC6BC0">
      <w:pPr>
        <w:pStyle w:val="af9"/>
        <w:rPr>
          <w:rFonts w:cs="Times New Roman"/>
          <w:color w:val="000000" w:themeColor="text1"/>
          <w:lang w:val="uk-UA"/>
        </w:rPr>
      </w:pPr>
    </w:p>
    <w:p w:rsidR="00BC6BC0" w:rsidRPr="000A32AD" w:rsidRDefault="00BC6BC0" w:rsidP="00BC6BC0">
      <w:pPr>
        <w:pStyle w:val="111"/>
        <w:spacing w:after="0"/>
        <w:ind w:firstLine="0"/>
        <w:rPr>
          <w:rFonts w:cs="Times New Roman"/>
          <w:b/>
          <w:color w:val="000000" w:themeColor="text1"/>
          <w:lang w:val="uk-UA"/>
        </w:rPr>
      </w:pPr>
      <w:r w:rsidRPr="000A32AD">
        <w:rPr>
          <w:rFonts w:cs="Times New Roman"/>
          <w:b/>
          <w:color w:val="000000" w:themeColor="text1"/>
          <w:lang w:val="uk-UA"/>
        </w:rPr>
        <w:t>2.2 Методи дослідження</w:t>
      </w:r>
    </w:p>
    <w:p w:rsidR="00BC6BC0" w:rsidRPr="000A32AD" w:rsidRDefault="00BC6BC0" w:rsidP="00BC6BC0">
      <w:pPr>
        <w:spacing w:line="360" w:lineRule="auto"/>
        <w:ind w:firstLine="708"/>
        <w:jc w:val="both"/>
        <w:rPr>
          <w:rFonts w:ascii="Times New Roman" w:hAnsi="Times New Roman" w:cs="Times New Roman"/>
          <w:color w:val="000000" w:themeColor="text1"/>
          <w:sz w:val="28"/>
          <w:szCs w:val="28"/>
          <w:lang w:val="uk-UA" w:eastAsia="ar-SA"/>
        </w:rPr>
      </w:pPr>
      <w:r w:rsidRPr="000A32AD">
        <w:rPr>
          <w:rFonts w:ascii="Times New Roman" w:hAnsi="Times New Roman" w:cs="Times New Roman"/>
          <w:color w:val="000000" w:themeColor="text1"/>
          <w:sz w:val="28"/>
          <w:szCs w:val="28"/>
          <w:lang w:val="uk-UA" w:eastAsia="ar-SA"/>
        </w:rPr>
        <w:t xml:space="preserve">Всім хворим виконано комплексне загально-клінічне, лабораторне та інструментальне обстеження під час надходження до стаціонару згідно з Наказом МОЗ України №1118 від 21.12.2012 р "Уніфікований клінічний </w:t>
      </w:r>
      <w:r w:rsidRPr="000A32AD">
        <w:rPr>
          <w:rFonts w:ascii="Times New Roman" w:hAnsi="Times New Roman" w:cs="Times New Roman"/>
          <w:color w:val="000000" w:themeColor="text1"/>
          <w:sz w:val="28"/>
          <w:szCs w:val="28"/>
          <w:lang w:val="uk-UA" w:eastAsia="ar-SA"/>
        </w:rPr>
        <w:lastRenderedPageBreak/>
        <w:t>протокол первинної та вторинної (спеціалізованої) медичної допомоги. Цукровий діабет 2 типу"</w:t>
      </w:r>
      <w:r w:rsidR="00107D53" w:rsidRPr="000A32AD">
        <w:rPr>
          <w:rFonts w:ascii="Times New Roman" w:hAnsi="Times New Roman" w:cs="Times New Roman"/>
          <w:color w:val="000000" w:themeColor="text1"/>
          <w:sz w:val="28"/>
          <w:szCs w:val="28"/>
          <w:lang w:val="uk-UA" w:eastAsia="ar-SA"/>
        </w:rPr>
        <w:t xml:space="preserve"> [</w:t>
      </w:r>
      <w:r w:rsidR="00635620" w:rsidRPr="000A32AD">
        <w:rPr>
          <w:rFonts w:ascii="Times New Roman" w:hAnsi="Times New Roman" w:cs="Times New Roman"/>
          <w:color w:val="000000" w:themeColor="text1"/>
          <w:sz w:val="28"/>
          <w:szCs w:val="28"/>
          <w:lang w:val="uk-UA" w:eastAsia="ar-SA"/>
        </w:rPr>
        <w:t>57</w:t>
      </w:r>
      <w:r w:rsidR="00107D53" w:rsidRPr="000A32AD">
        <w:rPr>
          <w:rFonts w:ascii="Times New Roman" w:hAnsi="Times New Roman" w:cs="Times New Roman"/>
          <w:color w:val="000000" w:themeColor="text1"/>
          <w:sz w:val="28"/>
          <w:szCs w:val="28"/>
          <w:lang w:val="uk-UA" w:eastAsia="ar-SA"/>
        </w:rPr>
        <w:t>]</w:t>
      </w:r>
      <w:r w:rsidRPr="000A32AD">
        <w:rPr>
          <w:rFonts w:ascii="Times New Roman" w:hAnsi="Times New Roman" w:cs="Times New Roman"/>
          <w:color w:val="000000" w:themeColor="text1"/>
          <w:sz w:val="28"/>
          <w:szCs w:val="28"/>
          <w:lang w:val="uk-UA" w:eastAsia="ar-SA"/>
        </w:rPr>
        <w:t>.</w:t>
      </w:r>
    </w:p>
    <w:p w:rsidR="00BC6BC0" w:rsidRPr="000A32AD" w:rsidRDefault="00BC6BC0" w:rsidP="00BC6BC0">
      <w:pPr>
        <w:spacing w:line="360" w:lineRule="auto"/>
        <w:ind w:firstLine="708"/>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eastAsia="ar-SA"/>
        </w:rPr>
        <w:t>Діагностику АГ</w:t>
      </w:r>
      <w:r w:rsidR="00F17BD2" w:rsidRPr="000A32AD">
        <w:rPr>
          <w:rFonts w:ascii="Times New Roman" w:hAnsi="Times New Roman" w:cs="Times New Roman"/>
          <w:color w:val="000000" w:themeColor="text1"/>
          <w:sz w:val="28"/>
          <w:szCs w:val="28"/>
          <w:lang w:val="uk-UA" w:eastAsia="ar-SA"/>
        </w:rPr>
        <w:t xml:space="preserve"> </w:t>
      </w:r>
      <w:r w:rsidRPr="000A32AD">
        <w:rPr>
          <w:rFonts w:ascii="Times New Roman" w:hAnsi="Times New Roman" w:cs="Times New Roman"/>
          <w:color w:val="000000" w:themeColor="text1"/>
          <w:sz w:val="28"/>
          <w:szCs w:val="28"/>
          <w:lang w:val="uk-UA" w:eastAsia="ar-SA"/>
        </w:rPr>
        <w:t xml:space="preserve">здійснювали згідно з </w:t>
      </w:r>
      <w:r w:rsidRPr="000A32AD">
        <w:rPr>
          <w:rFonts w:ascii="Times New Roman" w:hAnsi="Times New Roman" w:cs="Times New Roman"/>
          <w:color w:val="000000" w:themeColor="text1"/>
          <w:sz w:val="28"/>
          <w:szCs w:val="28"/>
          <w:lang w:val="uk-UA"/>
        </w:rPr>
        <w:t>Наказом МОЗ України №384 від 24.05.2012 року "Артеріальна гіпертензія. Оновлена та адаптована клінічна настанова, заснована на доказах"</w:t>
      </w:r>
      <w:r w:rsidR="00107D53" w:rsidRPr="000A32AD">
        <w:rPr>
          <w:rFonts w:ascii="Times New Roman" w:hAnsi="Times New Roman" w:cs="Times New Roman"/>
          <w:color w:val="000000" w:themeColor="text1"/>
          <w:sz w:val="28"/>
          <w:szCs w:val="28"/>
          <w:lang w:val="uk-UA"/>
        </w:rPr>
        <w:t xml:space="preserve"> [</w:t>
      </w:r>
      <w:r w:rsidR="00635620" w:rsidRPr="000A32AD">
        <w:rPr>
          <w:rFonts w:ascii="Times New Roman" w:hAnsi="Times New Roman" w:cs="Times New Roman"/>
          <w:color w:val="000000" w:themeColor="text1"/>
          <w:sz w:val="28"/>
          <w:szCs w:val="28"/>
          <w:lang w:val="uk-UA"/>
        </w:rPr>
        <w:t>58</w:t>
      </w:r>
      <w:r w:rsidR="00107D53" w:rsidRPr="000A32AD">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lang w:val="uk-UA"/>
        </w:rPr>
        <w:t>.</w:t>
      </w:r>
    </w:p>
    <w:p w:rsidR="00A33511" w:rsidRPr="000A32AD" w:rsidRDefault="00BC6BC0" w:rsidP="00D61E1B">
      <w:pPr>
        <w:spacing w:line="360" w:lineRule="auto"/>
        <w:ind w:firstLine="708"/>
        <w:jc w:val="both"/>
        <w:rPr>
          <w:rFonts w:ascii="Times New Roman" w:hAnsi="Times New Roman" w:cs="Times New Roman"/>
          <w:color w:val="000000" w:themeColor="text1"/>
          <w:sz w:val="28"/>
          <w:szCs w:val="28"/>
          <w:lang w:val="uk-UA" w:eastAsia="ar-SA"/>
        </w:rPr>
      </w:pPr>
      <w:r w:rsidRPr="000A32AD">
        <w:rPr>
          <w:rFonts w:ascii="Times New Roman" w:hAnsi="Times New Roman" w:cs="Times New Roman"/>
          <w:color w:val="000000" w:themeColor="text1"/>
          <w:sz w:val="28"/>
          <w:szCs w:val="28"/>
          <w:lang w:val="uk-UA"/>
        </w:rPr>
        <w:t xml:space="preserve">Діагностику НДСТ здійснювали шляхом комплексного обстеження </w:t>
      </w:r>
      <w:r w:rsidR="00C20C62" w:rsidRPr="000A32AD">
        <w:rPr>
          <w:rFonts w:ascii="Times New Roman" w:hAnsi="Times New Roman" w:cs="Times New Roman"/>
          <w:color w:val="000000" w:themeColor="text1"/>
          <w:sz w:val="28"/>
          <w:szCs w:val="28"/>
          <w:lang w:val="uk-UA"/>
        </w:rPr>
        <w:t xml:space="preserve">з акцентом на </w:t>
      </w:r>
      <w:r w:rsidRPr="000A32AD">
        <w:rPr>
          <w:rFonts w:ascii="Times New Roman" w:hAnsi="Times New Roman" w:cs="Times New Roman"/>
          <w:color w:val="000000" w:themeColor="text1"/>
          <w:sz w:val="28"/>
          <w:szCs w:val="28"/>
          <w:lang w:val="uk-UA"/>
        </w:rPr>
        <w:t>наявн</w:t>
      </w:r>
      <w:r w:rsidR="00C20C62" w:rsidRPr="000A32AD">
        <w:rPr>
          <w:rFonts w:ascii="Times New Roman" w:hAnsi="Times New Roman" w:cs="Times New Roman"/>
          <w:color w:val="000000" w:themeColor="text1"/>
          <w:sz w:val="28"/>
          <w:szCs w:val="28"/>
          <w:lang w:val="uk-UA"/>
        </w:rPr>
        <w:t>і</w:t>
      </w:r>
      <w:r w:rsidRPr="000A32AD">
        <w:rPr>
          <w:rFonts w:ascii="Times New Roman" w:hAnsi="Times New Roman" w:cs="Times New Roman"/>
          <w:color w:val="000000" w:themeColor="text1"/>
          <w:sz w:val="28"/>
          <w:szCs w:val="28"/>
          <w:lang w:val="uk-UA"/>
        </w:rPr>
        <w:t>ст</w:t>
      </w:r>
      <w:r w:rsidR="00C20C62" w:rsidRPr="000A32AD">
        <w:rPr>
          <w:rFonts w:ascii="Times New Roman" w:hAnsi="Times New Roman" w:cs="Times New Roman"/>
          <w:color w:val="000000" w:themeColor="text1"/>
          <w:sz w:val="28"/>
          <w:szCs w:val="28"/>
          <w:lang w:val="uk-UA"/>
        </w:rPr>
        <w:t>ь</w:t>
      </w:r>
      <w:r w:rsidRPr="000A32AD">
        <w:rPr>
          <w:rFonts w:ascii="Times New Roman" w:hAnsi="Times New Roman" w:cs="Times New Roman"/>
          <w:color w:val="000000" w:themeColor="text1"/>
          <w:sz w:val="28"/>
          <w:szCs w:val="28"/>
          <w:lang w:val="uk-UA"/>
        </w:rPr>
        <w:t xml:space="preserve"> </w:t>
      </w:r>
      <w:r w:rsidR="00C20C62" w:rsidRPr="000A32AD">
        <w:rPr>
          <w:rFonts w:ascii="Times New Roman" w:hAnsi="Times New Roman" w:cs="Times New Roman"/>
          <w:color w:val="000000" w:themeColor="text1"/>
          <w:sz w:val="28"/>
          <w:szCs w:val="28"/>
          <w:lang w:val="uk-UA"/>
        </w:rPr>
        <w:t xml:space="preserve">її найбільш демонстративних </w:t>
      </w:r>
      <w:r w:rsidR="004A65AB" w:rsidRPr="000A32AD">
        <w:rPr>
          <w:rFonts w:ascii="Times New Roman" w:hAnsi="Times New Roman" w:cs="Times New Roman"/>
          <w:color w:val="000000" w:themeColor="text1"/>
          <w:sz w:val="28"/>
          <w:szCs w:val="28"/>
          <w:lang w:val="uk-UA"/>
        </w:rPr>
        <w:t>фенотопичних проявів:</w:t>
      </w:r>
      <w:r w:rsidR="00D61E1B" w:rsidRPr="000A32AD">
        <w:rPr>
          <w:rFonts w:ascii="Times New Roman" w:hAnsi="Times New Roman" w:cs="Times New Roman"/>
          <w:color w:val="000000" w:themeColor="text1"/>
          <w:sz w:val="28"/>
          <w:szCs w:val="28"/>
          <w:lang w:val="uk-UA"/>
        </w:rPr>
        <w:t xml:space="preserve"> скелетних (</w:t>
      </w:r>
      <w:r w:rsidR="004A65AB" w:rsidRPr="000A32AD">
        <w:rPr>
          <w:rFonts w:ascii="Times New Roman" w:hAnsi="Times New Roman" w:cs="Times New Roman"/>
          <w:color w:val="000000" w:themeColor="text1"/>
          <w:sz w:val="28"/>
          <w:szCs w:val="28"/>
          <w:lang w:val="uk-UA"/>
        </w:rPr>
        <w:t>деформація грудно</w:t>
      </w:r>
      <w:r w:rsidR="00835F74" w:rsidRPr="000A32AD">
        <w:rPr>
          <w:rFonts w:ascii="Times New Roman" w:hAnsi="Times New Roman" w:cs="Times New Roman"/>
          <w:color w:val="000000" w:themeColor="text1"/>
          <w:sz w:val="28"/>
          <w:szCs w:val="28"/>
          <w:lang w:val="uk-UA"/>
        </w:rPr>
        <w:t>ї клітини, сколіз, кіфоз, дефор</w:t>
      </w:r>
      <w:r w:rsidR="004A65AB" w:rsidRPr="000A32AD">
        <w:rPr>
          <w:rFonts w:ascii="Times New Roman" w:hAnsi="Times New Roman" w:cs="Times New Roman"/>
          <w:color w:val="000000" w:themeColor="text1"/>
          <w:sz w:val="28"/>
          <w:szCs w:val="28"/>
          <w:lang w:val="uk-UA"/>
        </w:rPr>
        <w:t>мація черепа, гіпермобільність суглобів, звичний вивіх/підвивих будь-якого суглобу, плоскостопість, арахнодактилія</w:t>
      </w:r>
      <w:r w:rsidR="00D61E1B" w:rsidRPr="000A32AD">
        <w:rPr>
          <w:rFonts w:ascii="Times New Roman" w:hAnsi="Times New Roman" w:cs="Times New Roman"/>
          <w:color w:val="000000" w:themeColor="text1"/>
          <w:sz w:val="28"/>
          <w:szCs w:val="28"/>
          <w:lang w:val="uk-UA"/>
        </w:rPr>
        <w:t>) та/або вісцеральних (</w:t>
      </w:r>
      <w:r w:rsidR="00A33511" w:rsidRPr="000A32AD">
        <w:rPr>
          <w:rFonts w:ascii="Times New Roman" w:hAnsi="Times New Roman" w:cs="Times New Roman"/>
          <w:color w:val="000000" w:themeColor="text1"/>
          <w:sz w:val="28"/>
          <w:szCs w:val="28"/>
          <w:lang w:val="uk-UA"/>
        </w:rPr>
        <w:t>серцево-судинн</w:t>
      </w:r>
      <w:r w:rsidR="00D61E1B" w:rsidRPr="000A32AD">
        <w:rPr>
          <w:rFonts w:ascii="Times New Roman" w:hAnsi="Times New Roman" w:cs="Times New Roman"/>
          <w:color w:val="000000" w:themeColor="text1"/>
          <w:sz w:val="28"/>
          <w:szCs w:val="28"/>
          <w:lang w:val="uk-UA"/>
        </w:rPr>
        <w:t xml:space="preserve">них – </w:t>
      </w:r>
      <w:r w:rsidR="00A33511" w:rsidRPr="000A32AD">
        <w:rPr>
          <w:rFonts w:ascii="Times New Roman" w:hAnsi="Times New Roman" w:cs="Times New Roman"/>
          <w:color w:val="000000" w:themeColor="text1"/>
          <w:sz w:val="28"/>
          <w:szCs w:val="28"/>
          <w:lang w:val="uk-UA"/>
        </w:rPr>
        <w:t>пролапс клапанів, наявність аневризм міжпередсердної перегородки, додаткові хорди, розширення кореня аорти, збільшена звітість артерій, варикозне розширення вен, варикоцеле;</w:t>
      </w:r>
      <w:r w:rsidR="00D61E1B" w:rsidRPr="000A32AD">
        <w:rPr>
          <w:rFonts w:ascii="Times New Roman" w:hAnsi="Times New Roman" w:cs="Times New Roman"/>
          <w:color w:val="000000" w:themeColor="text1"/>
          <w:sz w:val="28"/>
          <w:szCs w:val="28"/>
          <w:lang w:val="uk-UA"/>
        </w:rPr>
        <w:t xml:space="preserve"> </w:t>
      </w:r>
      <w:r w:rsidR="00A33511" w:rsidRPr="000A32AD">
        <w:rPr>
          <w:rFonts w:ascii="Times New Roman" w:hAnsi="Times New Roman" w:cs="Times New Roman"/>
          <w:color w:val="000000" w:themeColor="text1"/>
          <w:sz w:val="28"/>
          <w:szCs w:val="28"/>
          <w:lang w:val="uk-UA"/>
        </w:rPr>
        <w:t>травної системи (патологічні рефлюкси, гастроптоз, колоноптоз, птоз та/або деформації жовчного міхура, дивертикули);</w:t>
      </w:r>
      <w:r w:rsidR="00D61E1B" w:rsidRPr="000A32AD">
        <w:rPr>
          <w:rFonts w:ascii="Times New Roman" w:hAnsi="Times New Roman" w:cs="Times New Roman"/>
          <w:color w:val="000000" w:themeColor="text1"/>
          <w:sz w:val="28"/>
          <w:szCs w:val="28"/>
          <w:lang w:val="uk-UA"/>
        </w:rPr>
        <w:t xml:space="preserve"> </w:t>
      </w:r>
      <w:r w:rsidR="00A33511" w:rsidRPr="000A32AD">
        <w:rPr>
          <w:rFonts w:ascii="Times New Roman" w:hAnsi="Times New Roman" w:cs="Times New Roman"/>
          <w:color w:val="000000" w:themeColor="text1"/>
          <w:sz w:val="28"/>
          <w:szCs w:val="28"/>
          <w:lang w:val="uk-UA"/>
        </w:rPr>
        <w:t>нирков</w:t>
      </w:r>
      <w:r w:rsidR="00D61E1B" w:rsidRPr="000A32AD">
        <w:rPr>
          <w:rFonts w:ascii="Times New Roman" w:hAnsi="Times New Roman" w:cs="Times New Roman"/>
          <w:color w:val="000000" w:themeColor="text1"/>
          <w:sz w:val="28"/>
          <w:szCs w:val="28"/>
          <w:lang w:val="uk-UA"/>
        </w:rPr>
        <w:t>их</w:t>
      </w:r>
      <w:r w:rsidR="00A33511" w:rsidRPr="000A32AD">
        <w:rPr>
          <w:rFonts w:ascii="Times New Roman" w:hAnsi="Times New Roman" w:cs="Times New Roman"/>
          <w:color w:val="000000" w:themeColor="text1"/>
          <w:sz w:val="28"/>
          <w:szCs w:val="28"/>
          <w:lang w:val="uk-UA"/>
        </w:rPr>
        <w:t xml:space="preserve"> (нефроптоз, атонія чашечно-лоханочної системи)</w:t>
      </w:r>
      <w:r w:rsidR="00D61E1B" w:rsidRPr="000A32AD">
        <w:rPr>
          <w:rFonts w:ascii="Times New Roman" w:hAnsi="Times New Roman" w:cs="Times New Roman"/>
          <w:color w:val="000000" w:themeColor="text1"/>
          <w:sz w:val="28"/>
          <w:szCs w:val="28"/>
          <w:lang w:val="uk-UA"/>
        </w:rPr>
        <w:t xml:space="preserve"> [</w:t>
      </w:r>
      <w:r w:rsidR="000A32AD" w:rsidRPr="000A32AD">
        <w:rPr>
          <w:rFonts w:ascii="Times New Roman" w:hAnsi="Times New Roman" w:cs="Times New Roman"/>
          <w:color w:val="000000" w:themeColor="text1"/>
          <w:sz w:val="28"/>
          <w:szCs w:val="28"/>
          <w:lang w:val="uk-UA"/>
        </w:rPr>
        <w:t>33</w:t>
      </w:r>
      <w:r w:rsidR="00D61E1B" w:rsidRPr="000A32AD">
        <w:rPr>
          <w:rFonts w:ascii="Times New Roman" w:hAnsi="Times New Roman" w:cs="Times New Roman"/>
          <w:color w:val="000000" w:themeColor="text1"/>
          <w:sz w:val="28"/>
          <w:szCs w:val="28"/>
          <w:lang w:val="uk-UA"/>
        </w:rPr>
        <w:t>]</w:t>
      </w:r>
      <w:r w:rsidR="00A33511" w:rsidRPr="000A32AD">
        <w:rPr>
          <w:rFonts w:ascii="Times New Roman" w:hAnsi="Times New Roman" w:cs="Times New Roman"/>
          <w:color w:val="000000" w:themeColor="text1"/>
          <w:sz w:val="28"/>
          <w:szCs w:val="28"/>
          <w:lang w:val="uk-UA"/>
        </w:rPr>
        <w:t>.</w:t>
      </w:r>
    </w:p>
    <w:p w:rsidR="00BC6BC0" w:rsidRPr="000A32AD" w:rsidRDefault="00BC6BC0" w:rsidP="00BC6BC0">
      <w:pPr>
        <w:spacing w:line="360" w:lineRule="auto"/>
        <w:ind w:firstLine="708"/>
        <w:jc w:val="both"/>
        <w:rPr>
          <w:rFonts w:ascii="Times New Roman" w:hAnsi="Times New Roman" w:cs="Times New Roman"/>
          <w:color w:val="000000" w:themeColor="text1"/>
          <w:sz w:val="28"/>
          <w:szCs w:val="28"/>
          <w:lang w:val="uk-UA" w:eastAsia="ar-SA"/>
        </w:rPr>
      </w:pPr>
      <w:r w:rsidRPr="000A32AD">
        <w:rPr>
          <w:rFonts w:ascii="Times New Roman" w:hAnsi="Times New Roman" w:cs="Times New Roman"/>
          <w:color w:val="000000" w:themeColor="text1"/>
          <w:sz w:val="28"/>
          <w:szCs w:val="28"/>
          <w:lang w:val="uk-UA" w:eastAsia="ar-SA"/>
        </w:rPr>
        <w:t>Вимірювали зріст (в см) і вагу (в кг) хворого з обчисленням індексу маси тіла (ІМТ) за формулою:</w:t>
      </w:r>
    </w:p>
    <w:p w:rsidR="00BC6BC0" w:rsidRPr="000A32AD" w:rsidRDefault="00BC6BC0" w:rsidP="00BC6BC0">
      <w:pPr>
        <w:spacing w:line="360" w:lineRule="auto"/>
        <w:ind w:left="720"/>
        <w:jc w:val="center"/>
        <w:rPr>
          <w:rFonts w:ascii="Times New Roman" w:hAnsi="Times New Roman" w:cs="Times New Roman"/>
          <w:color w:val="000000" w:themeColor="text1"/>
          <w:sz w:val="28"/>
          <w:szCs w:val="28"/>
          <w:lang w:val="uk-UA"/>
        </w:rPr>
      </w:pPr>
    </w:p>
    <w:p w:rsidR="00BC6BC0" w:rsidRPr="000A32AD" w:rsidRDefault="00BC6BC0" w:rsidP="00BC6BC0">
      <w:pPr>
        <w:spacing w:line="360" w:lineRule="auto"/>
        <w:ind w:left="720" w:firstLine="840"/>
        <w:jc w:val="right"/>
        <w:rPr>
          <w:rFonts w:ascii="Times New Roman" w:hAnsi="Times New Roman" w:cs="Times New Roman"/>
          <w:color w:val="000000" w:themeColor="text1"/>
          <w:sz w:val="28"/>
          <w:szCs w:val="28"/>
          <w:lang w:val="uk-UA"/>
        </w:rPr>
      </w:pPr>
      <m:oMath>
        <m:r>
          <m:rPr>
            <m:sty m:val="p"/>
          </m:rPr>
          <w:rPr>
            <w:rFonts w:ascii="Cambria Math" w:hAnsi="Cambria Math" w:cs="Times New Roman"/>
            <w:color w:val="000000" w:themeColor="text1"/>
            <w:sz w:val="28"/>
            <w:szCs w:val="28"/>
            <w:lang w:val="uk-UA"/>
          </w:rPr>
          <m:t>ІМТ=</m:t>
        </m:r>
        <m:f>
          <m:fPr>
            <m:ctrlPr>
              <w:rPr>
                <w:rFonts w:ascii="Cambria Math" w:hAnsi="Cambria Math" w:cs="Times New Roman"/>
                <w:color w:val="000000" w:themeColor="text1"/>
                <w:sz w:val="28"/>
                <w:szCs w:val="28"/>
                <w:lang w:val="uk-UA"/>
              </w:rPr>
            </m:ctrlPr>
          </m:fPr>
          <m:num>
            <m:r>
              <m:rPr>
                <m:sty m:val="p"/>
              </m:rPr>
              <w:rPr>
                <w:rFonts w:ascii="Cambria Math" w:hAnsi="Cambria Math" w:cs="Times New Roman"/>
                <w:color w:val="000000" w:themeColor="text1"/>
                <w:sz w:val="28"/>
                <w:szCs w:val="28"/>
                <w:lang w:val="uk-UA"/>
              </w:rPr>
              <m:t>m</m:t>
            </m:r>
          </m:num>
          <m:den>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h</m:t>
                </m:r>
              </m:e>
              <m:sup>
                <m:r>
                  <m:rPr>
                    <m:sty m:val="p"/>
                  </m:rPr>
                  <w:rPr>
                    <w:rFonts w:ascii="Cambria Math" w:hAnsi="Cambria Math" w:cs="Times New Roman"/>
                    <w:color w:val="000000" w:themeColor="text1"/>
                    <w:sz w:val="28"/>
                    <w:szCs w:val="28"/>
                    <w:lang w:val="uk-UA"/>
                  </w:rPr>
                  <m:t>2</m:t>
                </m:r>
              </m:sup>
            </m:sSup>
          </m:den>
        </m:f>
      </m:oMath>
      <w:r w:rsidRPr="000A32AD">
        <w:rPr>
          <w:rFonts w:ascii="Times New Roman" w:hAnsi="Times New Roman" w:cs="Times New Roman"/>
          <w:color w:val="000000" w:themeColor="text1"/>
          <w:sz w:val="28"/>
          <w:szCs w:val="28"/>
          <w:lang w:val="uk-UA"/>
        </w:rPr>
        <w:tab/>
        <w:t xml:space="preserve"> (кг/м²),</w:t>
      </w:r>
      <w:r w:rsidRPr="000A32AD">
        <w:rPr>
          <w:rFonts w:ascii="Times New Roman" w:hAnsi="Times New Roman" w:cs="Times New Roman"/>
          <w:color w:val="000000" w:themeColor="text1"/>
          <w:sz w:val="28"/>
          <w:szCs w:val="28"/>
          <w:lang w:val="uk-UA"/>
        </w:rPr>
        <w:tab/>
      </w:r>
      <w:r w:rsidRPr="000A32AD">
        <w:rPr>
          <w:rFonts w:ascii="Times New Roman" w:hAnsi="Times New Roman" w:cs="Times New Roman"/>
          <w:color w:val="000000" w:themeColor="text1"/>
          <w:sz w:val="28"/>
          <w:szCs w:val="28"/>
          <w:lang w:val="uk-UA"/>
        </w:rPr>
        <w:tab/>
      </w:r>
      <w:r w:rsidRPr="000A32AD">
        <w:rPr>
          <w:rFonts w:ascii="Times New Roman" w:hAnsi="Times New Roman" w:cs="Times New Roman"/>
          <w:color w:val="000000" w:themeColor="text1"/>
          <w:sz w:val="28"/>
          <w:szCs w:val="28"/>
          <w:lang w:val="uk-UA"/>
        </w:rPr>
        <w:tab/>
      </w:r>
      <w:r w:rsidRPr="000A32AD">
        <w:rPr>
          <w:rFonts w:ascii="Times New Roman" w:hAnsi="Times New Roman" w:cs="Times New Roman"/>
          <w:color w:val="000000" w:themeColor="text1"/>
          <w:sz w:val="28"/>
          <w:szCs w:val="28"/>
          <w:lang w:val="uk-UA"/>
        </w:rPr>
        <w:tab/>
      </w:r>
      <w:r w:rsidRPr="000A32AD">
        <w:rPr>
          <w:rFonts w:ascii="Times New Roman" w:hAnsi="Times New Roman" w:cs="Times New Roman"/>
          <w:color w:val="000000" w:themeColor="text1"/>
          <w:sz w:val="28"/>
          <w:szCs w:val="28"/>
          <w:lang w:val="uk-UA"/>
        </w:rPr>
        <w:tab/>
      </w:r>
      <w:r w:rsidRPr="000A32AD">
        <w:rPr>
          <w:rFonts w:ascii="Times New Roman" w:hAnsi="Times New Roman" w:cs="Times New Roman"/>
          <w:color w:val="000000" w:themeColor="text1"/>
          <w:sz w:val="28"/>
          <w:szCs w:val="28"/>
          <w:lang w:val="uk-UA"/>
        </w:rPr>
        <w:tab/>
        <w:t>(2.1)</w:t>
      </w:r>
    </w:p>
    <w:p w:rsidR="00BC6BC0" w:rsidRPr="000A32AD" w:rsidRDefault="00BC6BC0" w:rsidP="00BC6BC0">
      <w:pPr>
        <w:spacing w:line="360" w:lineRule="auto"/>
        <w:ind w:left="720"/>
        <w:jc w:val="both"/>
        <w:rPr>
          <w:rFonts w:ascii="Times New Roman" w:hAnsi="Times New Roman" w:cs="Times New Roman"/>
          <w:color w:val="000000" w:themeColor="text1"/>
          <w:sz w:val="28"/>
          <w:szCs w:val="28"/>
          <w:lang w:val="uk-UA"/>
        </w:rPr>
      </w:pPr>
    </w:p>
    <w:p w:rsidR="00BC6BC0" w:rsidRPr="000A32AD" w:rsidRDefault="00BC6BC0" w:rsidP="00BC6BC0">
      <w:pPr>
        <w:spacing w:line="360" w:lineRule="auto"/>
        <w:ind w:left="720"/>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де: </w:t>
      </w:r>
      <w:r w:rsidRPr="000A32AD">
        <w:rPr>
          <w:rFonts w:ascii="Times New Roman" w:hAnsi="Times New Roman" w:cs="Times New Roman"/>
          <w:iCs/>
          <w:color w:val="000000" w:themeColor="text1"/>
          <w:sz w:val="28"/>
          <w:szCs w:val="28"/>
          <w:lang w:val="uk-UA"/>
        </w:rPr>
        <w:t>m</w:t>
      </w:r>
      <w:r w:rsidRPr="000A32AD">
        <w:rPr>
          <w:rFonts w:ascii="Times New Roman" w:hAnsi="Times New Roman" w:cs="Times New Roman"/>
          <w:color w:val="000000" w:themeColor="text1"/>
          <w:sz w:val="28"/>
          <w:szCs w:val="28"/>
          <w:lang w:val="uk-UA"/>
        </w:rPr>
        <w:t xml:space="preserve"> — маса тіла в кілограмах; </w:t>
      </w:r>
      <w:r w:rsidRPr="000A32AD">
        <w:rPr>
          <w:rFonts w:ascii="Times New Roman" w:hAnsi="Times New Roman" w:cs="Times New Roman"/>
          <w:iCs/>
          <w:color w:val="000000" w:themeColor="text1"/>
          <w:sz w:val="28"/>
          <w:szCs w:val="28"/>
          <w:lang w:val="uk-UA"/>
        </w:rPr>
        <w:t>h</w:t>
      </w:r>
      <w:r w:rsidRPr="000A32AD">
        <w:rPr>
          <w:rFonts w:ascii="Times New Roman" w:hAnsi="Times New Roman" w:cs="Times New Roman"/>
          <w:color w:val="000000" w:themeColor="text1"/>
          <w:sz w:val="28"/>
          <w:szCs w:val="28"/>
          <w:lang w:val="uk-UA"/>
        </w:rPr>
        <w:t> — зріст в метрах.</w:t>
      </w:r>
    </w:p>
    <w:p w:rsidR="00BC6BC0" w:rsidRPr="000A32AD" w:rsidRDefault="00BC6BC0" w:rsidP="00BC6BC0">
      <w:pPr>
        <w:pStyle w:val="af9"/>
        <w:rPr>
          <w:rFonts w:cs="Times New Roman"/>
          <w:color w:val="000000" w:themeColor="text1"/>
          <w:lang w:val="uk-UA"/>
        </w:rPr>
      </w:pPr>
      <w:r w:rsidRPr="000A32AD">
        <w:rPr>
          <w:rFonts w:cs="Times New Roman"/>
          <w:color w:val="000000" w:themeColor="text1"/>
          <w:lang w:val="uk-UA"/>
        </w:rPr>
        <w:t>Величину ІМТ оцінювали згідно додатку до Наказу МОЗ України №1118 від 21.12.2012 р: норма – 18,5–25 кг/м²; надлишкова маса тіла – 25–30 кг/м²; ожиріння</w:t>
      </w:r>
      <w:r w:rsidR="00F17BD2" w:rsidRPr="000A32AD">
        <w:rPr>
          <w:rFonts w:cs="Times New Roman"/>
          <w:color w:val="000000" w:themeColor="text1"/>
          <w:lang w:val="uk-UA"/>
        </w:rPr>
        <w:t xml:space="preserve"> </w:t>
      </w:r>
      <w:r w:rsidRPr="000A32AD">
        <w:rPr>
          <w:rFonts w:cs="Times New Roman"/>
          <w:color w:val="000000" w:themeColor="text1"/>
          <w:lang w:val="uk-UA"/>
        </w:rPr>
        <w:t>– 30–35 кг/м²; важке ожиріння – &gt; 35–39,9 кг/м².</w:t>
      </w:r>
    </w:p>
    <w:p w:rsidR="00BC6BC0" w:rsidRPr="000A32AD" w:rsidRDefault="00BC6BC0" w:rsidP="00BC6BC0">
      <w:pPr>
        <w:pStyle w:val="af9"/>
        <w:rPr>
          <w:rFonts w:cs="Times New Roman"/>
          <w:color w:val="000000" w:themeColor="text1"/>
          <w:lang w:val="uk-UA"/>
        </w:rPr>
      </w:pPr>
      <w:r w:rsidRPr="000A32AD">
        <w:rPr>
          <w:rFonts w:cs="Times New Roman"/>
          <w:iCs/>
          <w:color w:val="000000" w:themeColor="text1"/>
          <w:lang w:val="uk-UA" w:eastAsia="ru-RU"/>
        </w:rPr>
        <w:t>Площу поверхні тіла</w:t>
      </w:r>
      <w:r w:rsidRPr="000A32AD">
        <w:rPr>
          <w:rFonts w:cs="Times New Roman"/>
          <w:color w:val="000000" w:themeColor="text1"/>
          <w:lang w:val="uk-UA"/>
        </w:rPr>
        <w:t xml:space="preserve"> (ППТ) (в м</w:t>
      </w:r>
      <w:r w:rsidRPr="000A32AD">
        <w:rPr>
          <w:rFonts w:cs="Times New Roman"/>
          <w:color w:val="000000" w:themeColor="text1"/>
          <w:vertAlign w:val="superscript"/>
          <w:lang w:val="uk-UA"/>
        </w:rPr>
        <w:t>2</w:t>
      </w:r>
      <w:r w:rsidRPr="000A32AD">
        <w:rPr>
          <w:rFonts w:cs="Times New Roman"/>
          <w:color w:val="000000" w:themeColor="text1"/>
          <w:lang w:val="uk-UA"/>
        </w:rPr>
        <w:t>) розраховували за формулою Mosteller (1987):</w:t>
      </w:r>
    </w:p>
    <w:p w:rsidR="00BC6BC0" w:rsidRPr="000A32AD" w:rsidRDefault="00BC6BC0" w:rsidP="00BC6BC0">
      <w:pPr>
        <w:pStyle w:val="af9"/>
        <w:rPr>
          <w:rFonts w:cs="Times New Roman"/>
          <w:color w:val="000000" w:themeColor="text1"/>
          <w:lang w:val="uk-UA"/>
        </w:rPr>
      </w:pPr>
    </w:p>
    <w:p w:rsidR="00BC6BC0" w:rsidRPr="000A32AD" w:rsidRDefault="00BC6BC0" w:rsidP="00BC6BC0">
      <w:pPr>
        <w:ind w:left="1701" w:firstLine="426"/>
        <w:jc w:val="right"/>
        <w:rPr>
          <w:rFonts w:ascii="Times New Roman" w:hAnsi="Times New Roman" w:cs="Times New Roman"/>
          <w:iCs/>
          <w:color w:val="000000" w:themeColor="text1"/>
          <w:sz w:val="28"/>
          <w:szCs w:val="28"/>
          <w:lang w:val="uk-UA"/>
        </w:rPr>
      </w:pPr>
      <w:r w:rsidRPr="000A32AD">
        <w:rPr>
          <w:rFonts w:ascii="Times New Roman" w:hAnsi="Times New Roman" w:cs="Times New Roman"/>
          <w:iCs/>
          <w:color w:val="000000" w:themeColor="text1"/>
          <w:sz w:val="28"/>
          <w:szCs w:val="28"/>
          <w:lang w:val="uk-UA"/>
        </w:rPr>
        <w:lastRenderedPageBreak/>
        <w:fldChar w:fldCharType="begin"/>
      </w:r>
      <w:r w:rsidRPr="000A32AD">
        <w:rPr>
          <w:rFonts w:ascii="Times New Roman" w:hAnsi="Times New Roman" w:cs="Times New Roman"/>
          <w:iCs/>
          <w:color w:val="000000" w:themeColor="text1"/>
          <w:sz w:val="28"/>
          <w:szCs w:val="28"/>
          <w:lang w:val="uk-UA"/>
        </w:rPr>
        <w:instrText xml:space="preserve"> QUOTE </w:instrText>
      </w:r>
      <m:oMath>
        <m:r>
          <m:rPr>
            <m:sty m:val="p"/>
          </m:rPr>
          <w:rPr>
            <w:rFonts w:ascii="Cambria Math" w:hAnsi="Cambria Math" w:cs="Times New Roman"/>
            <w:color w:val="000000" w:themeColor="text1"/>
            <w:sz w:val="28"/>
            <w:szCs w:val="28"/>
            <w:lang w:val="uk-UA"/>
          </w:rPr>
          <m:t>ППТ=</m:t>
        </m:r>
        <m:rad>
          <m:radPr>
            <m:degHide m:val="1"/>
            <m:ctrlPr>
              <w:rPr>
                <w:rFonts w:ascii="Cambria Math" w:hAnsi="Cambria Math" w:cs="Times New Roman"/>
                <w:iCs/>
                <w:color w:val="000000" w:themeColor="text1"/>
                <w:sz w:val="28"/>
                <w:szCs w:val="28"/>
                <w:lang w:val="uk-UA"/>
              </w:rPr>
            </m:ctrlPr>
          </m:radPr>
          <m:deg/>
          <m:e>
            <m:r>
              <m:rPr>
                <m:sty m:val="p"/>
              </m:rPr>
              <w:rPr>
                <w:rFonts w:ascii="Cambria Math" w:hAnsi="Cambria Math" w:cs="Times New Roman"/>
                <w:color w:val="000000" w:themeColor="text1"/>
                <w:sz w:val="28"/>
                <w:szCs w:val="28"/>
                <w:lang w:val="uk-UA"/>
              </w:rPr>
              <m:t xml:space="preserve">  </m:t>
            </m:r>
            <m:f>
              <m:fPr>
                <m:ctrlPr>
                  <w:rPr>
                    <w:rFonts w:ascii="Cambria Math" w:hAnsi="Cambria Math" w:cs="Times New Roman"/>
                    <w:iCs/>
                    <w:color w:val="000000" w:themeColor="text1"/>
                    <w:sz w:val="28"/>
                    <w:szCs w:val="28"/>
                    <w:lang w:val="uk-UA"/>
                  </w:rPr>
                </m:ctrlPr>
              </m:fPr>
              <m:num>
                <m:r>
                  <m:rPr>
                    <m:sty m:val="p"/>
                  </m:rPr>
                  <w:rPr>
                    <w:rFonts w:ascii="Cambria Math" w:hAnsi="Cambria Math" w:cs="Times New Roman"/>
                    <w:color w:val="000000" w:themeColor="text1"/>
                    <w:sz w:val="28"/>
                    <w:szCs w:val="28"/>
                    <w:lang w:val="uk-UA"/>
                  </w:rPr>
                  <m:t>рост×вес</m:t>
                </m:r>
              </m:num>
              <m:den>
                <m:r>
                  <m:rPr>
                    <m:sty m:val="p"/>
                  </m:rPr>
                  <w:rPr>
                    <w:rFonts w:ascii="Cambria Math" w:hAnsi="Cambria Math" w:cs="Times New Roman"/>
                    <w:color w:val="000000" w:themeColor="text1"/>
                    <w:sz w:val="28"/>
                    <w:szCs w:val="28"/>
                    <w:lang w:val="uk-UA"/>
                  </w:rPr>
                  <m:t>3600</m:t>
                </m:r>
              </m:den>
            </m:f>
          </m:e>
        </m:rad>
      </m:oMath>
      <w:r w:rsidRPr="000A32AD">
        <w:rPr>
          <w:rFonts w:ascii="Times New Roman" w:hAnsi="Times New Roman" w:cs="Times New Roman"/>
          <w:iCs/>
          <w:color w:val="000000" w:themeColor="text1"/>
          <w:sz w:val="28"/>
          <w:szCs w:val="28"/>
          <w:lang w:val="uk-UA"/>
        </w:rPr>
        <w:fldChar w:fldCharType="separate"/>
      </w:r>
      <m:oMath>
        <m:r>
          <m:rPr>
            <m:sty m:val="p"/>
          </m:rPr>
          <w:rPr>
            <w:rFonts w:ascii="Cambria Math" w:hAnsi="Cambria Math" w:cs="Times New Roman"/>
            <w:color w:val="000000" w:themeColor="text1"/>
            <w:sz w:val="28"/>
            <w:szCs w:val="28"/>
            <w:lang w:val="uk-UA"/>
          </w:rPr>
          <m:t>ППТ=</m:t>
        </m:r>
        <m:f>
          <m:fPr>
            <m:ctrlPr>
              <w:rPr>
                <w:rFonts w:ascii="Cambria Math" w:hAnsi="Cambria Math" w:cs="Times New Roman"/>
                <w:i/>
                <w:color w:val="000000" w:themeColor="text1"/>
                <w:sz w:val="28"/>
                <w:szCs w:val="28"/>
              </w:rPr>
            </m:ctrlPr>
          </m:fPr>
          <m:num>
            <m:r>
              <m:rPr>
                <m:sty m:val="p"/>
              </m:rPr>
              <w:rPr>
                <w:rFonts w:ascii="Cambria Math" w:hAnsi="Cambria Math" w:cs="Times New Roman"/>
                <w:color w:val="000000" w:themeColor="text1"/>
                <w:sz w:val="28"/>
                <w:szCs w:val="28"/>
                <w:lang w:val="uk-UA"/>
              </w:rPr>
              <m:t>зріст ×вага</m:t>
            </m:r>
          </m:num>
          <m:den>
            <m:r>
              <m:rPr>
                <m:sty m:val="p"/>
              </m:rPr>
              <w:rPr>
                <w:rFonts w:ascii="Cambria Math" w:hAnsi="Cambria Math" w:cs="Times New Roman"/>
                <w:color w:val="000000" w:themeColor="text1"/>
                <w:sz w:val="28"/>
                <w:szCs w:val="28"/>
                <w:lang w:val="uk-UA"/>
              </w:rPr>
              <m:t>3600</m:t>
            </m:r>
          </m:den>
        </m:f>
      </m:oMath>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iCs/>
          <w:color w:val="000000" w:themeColor="text1"/>
          <w:sz w:val="28"/>
          <w:szCs w:val="28"/>
          <w:lang w:val="uk-UA"/>
        </w:rPr>
        <w:fldChar w:fldCharType="end"/>
      </w:r>
      <w:r w:rsidRPr="000A32AD">
        <w:rPr>
          <w:rFonts w:ascii="Times New Roman" w:hAnsi="Times New Roman" w:cs="Times New Roman"/>
          <w:iCs/>
          <w:color w:val="000000" w:themeColor="text1"/>
          <w:sz w:val="28"/>
          <w:szCs w:val="28"/>
          <w:lang w:val="uk-UA"/>
        </w:rPr>
        <w:tab/>
      </w:r>
      <w:r w:rsidRPr="000A32AD">
        <w:rPr>
          <w:rFonts w:ascii="Times New Roman" w:hAnsi="Times New Roman" w:cs="Times New Roman"/>
          <w:iCs/>
          <w:color w:val="000000" w:themeColor="text1"/>
          <w:sz w:val="28"/>
          <w:szCs w:val="28"/>
          <w:lang w:val="uk-UA"/>
        </w:rPr>
        <w:tab/>
      </w:r>
      <w:r w:rsidRPr="000A32AD">
        <w:rPr>
          <w:rFonts w:ascii="Times New Roman" w:hAnsi="Times New Roman" w:cs="Times New Roman"/>
          <w:iCs/>
          <w:color w:val="000000" w:themeColor="text1"/>
          <w:sz w:val="28"/>
          <w:szCs w:val="28"/>
          <w:lang w:val="uk-UA"/>
        </w:rPr>
        <w:tab/>
      </w:r>
      <w:r w:rsidRPr="000A32AD">
        <w:rPr>
          <w:rFonts w:ascii="Times New Roman" w:hAnsi="Times New Roman" w:cs="Times New Roman"/>
          <w:iCs/>
          <w:color w:val="000000" w:themeColor="text1"/>
          <w:sz w:val="28"/>
          <w:szCs w:val="28"/>
          <w:lang w:val="uk-UA"/>
        </w:rPr>
        <w:tab/>
      </w:r>
      <w:r w:rsidRPr="000A32AD">
        <w:rPr>
          <w:rFonts w:ascii="Times New Roman" w:hAnsi="Times New Roman" w:cs="Times New Roman"/>
          <w:iCs/>
          <w:color w:val="000000" w:themeColor="text1"/>
          <w:sz w:val="28"/>
          <w:szCs w:val="28"/>
          <w:lang w:val="uk-UA"/>
        </w:rPr>
        <w:tab/>
      </w:r>
      <w:r w:rsidRPr="000A32AD">
        <w:rPr>
          <w:rFonts w:ascii="Times New Roman" w:hAnsi="Times New Roman" w:cs="Times New Roman"/>
          <w:iCs/>
          <w:color w:val="000000" w:themeColor="text1"/>
          <w:sz w:val="28"/>
          <w:szCs w:val="28"/>
          <w:lang w:val="uk-UA"/>
        </w:rPr>
        <w:tab/>
      </w:r>
      <w:r w:rsidRPr="000A32AD">
        <w:rPr>
          <w:rFonts w:ascii="Times New Roman" w:hAnsi="Times New Roman" w:cs="Times New Roman"/>
          <w:iCs/>
          <w:color w:val="000000" w:themeColor="text1"/>
          <w:sz w:val="28"/>
          <w:szCs w:val="28"/>
          <w:lang w:val="uk-UA"/>
        </w:rPr>
        <w:tab/>
        <w:t>(2.2)</w:t>
      </w:r>
      <w:r w:rsidRPr="000A32AD">
        <w:rPr>
          <w:rFonts w:ascii="Times New Roman" w:hAnsi="Times New Roman" w:cs="Times New Roman"/>
          <w:iCs/>
          <w:color w:val="000000" w:themeColor="text1"/>
          <w:sz w:val="28"/>
          <w:szCs w:val="28"/>
          <w:lang w:val="uk-UA"/>
        </w:rPr>
        <w:tab/>
      </w:r>
    </w:p>
    <w:p w:rsidR="00BC6BC0" w:rsidRPr="000A32AD" w:rsidRDefault="00BC6BC0" w:rsidP="00BC6BC0">
      <w:pPr>
        <w:pStyle w:val="af9"/>
        <w:rPr>
          <w:rFonts w:cs="Times New Roman"/>
          <w:iCs/>
          <w:color w:val="000000" w:themeColor="text1"/>
          <w:lang w:val="uk-UA" w:eastAsia="ru-RU"/>
        </w:rPr>
      </w:pPr>
    </w:p>
    <w:p w:rsidR="00BC6BC0" w:rsidRPr="000A32AD" w:rsidRDefault="00BC6BC0" w:rsidP="00BC6BC0">
      <w:pPr>
        <w:shd w:val="clear" w:color="auto" w:fill="FFFFFF"/>
        <w:spacing w:line="360" w:lineRule="auto"/>
        <w:ind w:left="34" w:right="5" w:firstLine="706"/>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eastAsia="ar-SA"/>
        </w:rPr>
        <w:t xml:space="preserve">Ехокардіоскопію виконано на приладі ультразвукової діагностики Siemens Sonoline G40 (виробництва Simens – Німеччина) з використанням стандартних методів сканування. </w:t>
      </w:r>
    </w:p>
    <w:p w:rsidR="00BC6BC0" w:rsidRPr="000A32AD" w:rsidRDefault="00BC6BC0" w:rsidP="00BC6BC0">
      <w:pPr>
        <w:spacing w:line="360" w:lineRule="auto"/>
        <w:ind w:firstLine="709"/>
        <w:jc w:val="both"/>
        <w:rPr>
          <w:rStyle w:val="14"/>
          <w:i w:val="0"/>
          <w:color w:val="000000" w:themeColor="text1"/>
          <w:lang w:val="uk-UA"/>
        </w:rPr>
      </w:pPr>
      <w:r w:rsidRPr="000A32AD">
        <w:rPr>
          <w:rStyle w:val="14"/>
          <w:i w:val="0"/>
          <w:color w:val="000000" w:themeColor="text1"/>
          <w:lang w:val="uk-UA"/>
        </w:rPr>
        <w:t xml:space="preserve">Дослідження концентрації основного фактору росту фібробластів (FGF2) в плазмі крові здійснено імуноферментним методом із застосуванням набору реагентів </w:t>
      </w:r>
      <w:r w:rsidRPr="000A32AD">
        <w:rPr>
          <w:rFonts w:ascii="Times New Roman" w:hAnsi="Times New Roman" w:cs="Times New Roman"/>
          <w:color w:val="000000" w:themeColor="text1"/>
          <w:sz w:val="28"/>
          <w:szCs w:val="28"/>
          <w:lang w:val="uk-UA"/>
        </w:rPr>
        <w:t>Quantikine</w:t>
      </w:r>
      <w:r w:rsidRPr="000A32AD">
        <w:rPr>
          <w:rStyle w:val="14"/>
          <w:i w:val="0"/>
          <w:color w:val="000000" w:themeColor="text1"/>
          <w:lang w:val="uk-UA"/>
        </w:rPr>
        <w:t xml:space="preserve"> (</w:t>
      </w:r>
      <w:r w:rsidRPr="000A32AD">
        <w:rPr>
          <w:rFonts w:ascii="Times New Roman" w:hAnsi="Times New Roman" w:cs="Times New Roman"/>
          <w:color w:val="000000" w:themeColor="text1"/>
          <w:sz w:val="28"/>
          <w:szCs w:val="28"/>
          <w:lang w:val="uk-UA"/>
        </w:rPr>
        <w:t>Human FGF basic Immunoassay) виробництва</w:t>
      </w:r>
      <w:r w:rsidR="00A86300" w:rsidRPr="000A32AD">
        <w:rPr>
          <w:rFonts w:ascii="Times New Roman" w:hAnsi="Times New Roman" w:cs="Times New Roman"/>
          <w:color w:val="000000" w:themeColor="text1"/>
          <w:sz w:val="28"/>
          <w:szCs w:val="28"/>
          <w:lang w:val="uk-UA"/>
        </w:rPr>
        <w:t xml:space="preserve"> </w:t>
      </w:r>
      <w:r w:rsidR="0098668B" w:rsidRPr="0098668B">
        <w:rPr>
          <w:rFonts w:ascii="Times New Roman" w:hAnsi="Times New Roman" w:cs="Times New Roman"/>
          <w:color w:val="000000" w:themeColor="text1"/>
          <w:sz w:val="28"/>
          <w:szCs w:val="28"/>
          <w:lang w:val="uk-UA"/>
        </w:rPr>
        <w:t xml:space="preserve">(«R&amp;D Systems», США), </w:t>
      </w:r>
      <w:r w:rsidR="0098668B" w:rsidRPr="0098668B">
        <w:rPr>
          <w:rFonts w:ascii="Times New Roman" w:hAnsi="Times New Roman" w:cs="Times New Roman"/>
          <w:color w:val="000000" w:themeColor="text1"/>
          <w:sz w:val="28"/>
          <w:szCs w:val="28"/>
          <w:lang w:val="en-US"/>
        </w:rPr>
        <w:t>LOT</w:t>
      </w:r>
      <w:r w:rsidR="0098668B" w:rsidRPr="0098668B">
        <w:rPr>
          <w:rFonts w:ascii="Times New Roman" w:hAnsi="Times New Roman" w:cs="Times New Roman"/>
          <w:color w:val="000000" w:themeColor="text1"/>
          <w:sz w:val="28"/>
          <w:szCs w:val="28"/>
          <w:lang w:val="uk-UA"/>
        </w:rPr>
        <w:t xml:space="preserve"> </w:t>
      </w:r>
      <w:r w:rsidR="0098668B" w:rsidRPr="0098668B">
        <w:rPr>
          <w:rFonts w:ascii="Times New Roman" w:hAnsi="Times New Roman" w:cs="Times New Roman"/>
          <w:color w:val="000000" w:themeColor="text1"/>
          <w:sz w:val="28"/>
          <w:szCs w:val="28"/>
          <w:lang w:val="en-US"/>
        </w:rPr>
        <w:t>P</w:t>
      </w:r>
      <w:r w:rsidR="0098668B" w:rsidRPr="0098668B">
        <w:rPr>
          <w:rFonts w:ascii="Times New Roman" w:hAnsi="Times New Roman" w:cs="Times New Roman"/>
          <w:color w:val="000000" w:themeColor="text1"/>
          <w:sz w:val="28"/>
          <w:szCs w:val="28"/>
          <w:lang w:val="uk-UA"/>
        </w:rPr>
        <w:t>142734, Cat/№</w:t>
      </w:r>
      <w:r w:rsidR="0098668B" w:rsidRPr="0098668B">
        <w:rPr>
          <w:rFonts w:ascii="Times New Roman" w:hAnsi="Times New Roman" w:cs="Times New Roman"/>
          <w:color w:val="000000" w:themeColor="text1"/>
          <w:sz w:val="28"/>
          <w:szCs w:val="28"/>
          <w:lang w:val="en-US"/>
        </w:rPr>
        <w:t>DFB</w:t>
      </w:r>
      <w:r w:rsidR="0098668B" w:rsidRPr="0098668B">
        <w:rPr>
          <w:rFonts w:ascii="Times New Roman" w:hAnsi="Times New Roman" w:cs="Times New Roman"/>
          <w:color w:val="000000" w:themeColor="text1"/>
          <w:sz w:val="28"/>
          <w:szCs w:val="28"/>
          <w:lang w:val="uk-UA"/>
        </w:rPr>
        <w:t xml:space="preserve">50 на </w:t>
      </w:r>
      <w:r w:rsidR="0098668B" w:rsidRPr="0098668B">
        <w:rPr>
          <w:rStyle w:val="14"/>
          <w:i w:val="0"/>
          <w:color w:val="000000" w:themeColor="text1"/>
          <w:lang w:val="uk-UA"/>
        </w:rPr>
        <w:t xml:space="preserve">напівавтоматичному аналізаторі </w:t>
      </w:r>
      <w:r w:rsidR="0098668B" w:rsidRPr="0098668B">
        <w:rPr>
          <w:rFonts w:ascii="Times New Roman" w:hAnsi="Times New Roman" w:cs="Times New Roman"/>
          <w:color w:val="000000" w:themeColor="text1"/>
          <w:sz w:val="28"/>
          <w:szCs w:val="28"/>
          <w:shd w:val="clear" w:color="auto" w:fill="FFFFFF"/>
          <w:lang w:val="en-US"/>
        </w:rPr>
        <w:t>StarFax</w:t>
      </w:r>
      <w:r w:rsidR="0098668B" w:rsidRPr="0098668B">
        <w:rPr>
          <w:rFonts w:ascii="Times New Roman" w:hAnsi="Times New Roman" w:cs="Times New Roman"/>
          <w:color w:val="000000" w:themeColor="text1"/>
          <w:sz w:val="28"/>
          <w:szCs w:val="28"/>
          <w:shd w:val="clear" w:color="auto" w:fill="FFFFFF"/>
          <w:lang w:val="uk-UA"/>
        </w:rPr>
        <w:t>2100</w:t>
      </w:r>
      <w:r w:rsidR="0098668B" w:rsidRPr="00DE073E">
        <w:rPr>
          <w:rFonts w:cs="Times New Roman"/>
          <w:color w:val="000000" w:themeColor="text1"/>
          <w:shd w:val="clear" w:color="auto" w:fill="FFFFFF"/>
          <w:lang w:val="uk-UA"/>
        </w:rPr>
        <w:t xml:space="preserve"> </w:t>
      </w:r>
      <w:r w:rsidRPr="000A32AD">
        <w:rPr>
          <w:rFonts w:ascii="Times New Roman" w:eastAsia="Times New Roman" w:hAnsi="Times New Roman" w:cs="Times New Roman"/>
          <w:color w:val="000000" w:themeColor="text1"/>
          <w:sz w:val="28"/>
          <w:szCs w:val="28"/>
          <w:shd w:val="clear" w:color="auto" w:fill="FFFFFF"/>
          <w:lang w:val="uk-UA"/>
        </w:rPr>
        <w:t xml:space="preserve">у відділу експериментальної фармакології та токсикології ДУ «Інститут проблем ендокринної патології ім. В.Я. Данілевського НАМН України». </w:t>
      </w:r>
      <w:r w:rsidRPr="000A32AD">
        <w:rPr>
          <w:rStyle w:val="14"/>
          <w:i w:val="0"/>
          <w:color w:val="000000" w:themeColor="text1"/>
          <w:lang w:val="uk-UA"/>
        </w:rPr>
        <w:t xml:space="preserve">Кров для дослідження забирали з вени натще при первинному обстеженні за згодою пацієнта. В якості антикоагулянта використовували ЕДТА. Після забору кров центрифугували протягом 15 хв., відбирали плазму в пробірку Епендорф та заморожували при температурі </w:t>
      </w:r>
      <w:r w:rsidRPr="000A32AD">
        <w:rPr>
          <w:rStyle w:val="14"/>
          <w:i w:val="0"/>
          <w:color w:val="000000" w:themeColor="text1"/>
          <w:lang w:val="uk-UA"/>
        </w:rPr>
        <w:noBreakHyphen/>
        <w:t>70ºС і зберігали до виконання дослідження.</w:t>
      </w:r>
    </w:p>
    <w:p w:rsidR="00BC6BC0" w:rsidRPr="000A32AD" w:rsidRDefault="00BC6BC0" w:rsidP="00BC6BC0">
      <w:pPr>
        <w:spacing w:line="360" w:lineRule="auto"/>
        <w:ind w:firstLine="709"/>
        <w:jc w:val="both"/>
        <w:rPr>
          <w:rStyle w:val="14"/>
          <w:i w:val="0"/>
          <w:color w:val="000000" w:themeColor="text1"/>
          <w:lang w:val="uk-UA"/>
        </w:rPr>
      </w:pPr>
      <w:r w:rsidRPr="000A32AD">
        <w:rPr>
          <w:rFonts w:ascii="Times New Roman" w:hAnsi="Times New Roman" w:cs="Times New Roman"/>
          <w:color w:val="000000" w:themeColor="text1"/>
          <w:sz w:val="28"/>
          <w:szCs w:val="28"/>
          <w:lang w:val="uk-UA"/>
        </w:rPr>
        <w:t xml:space="preserve">В основі імуноферментного аналізу Quantikine FGF лежить твердофазний ELISA, в якому використовують мікропланшети з імобілізованими моноклональними антитілами проти </w:t>
      </w:r>
      <w:r w:rsidRPr="000A32AD">
        <w:rPr>
          <w:rStyle w:val="14"/>
          <w:i w:val="0"/>
          <w:color w:val="000000" w:themeColor="text1"/>
          <w:lang w:val="uk-UA"/>
        </w:rPr>
        <w:t xml:space="preserve">FGF2, моноклональні антитіла проти FGF2, кон’юговані з пероксидаою хрону та стандарт FGF2 на основі ліофілізованого білка з консервантом, розріджувачі, розчинники та кольорові реагенти (перекис водню та </w:t>
      </w:r>
      <w:r w:rsidRPr="000A32AD">
        <w:rPr>
          <w:rFonts w:ascii="Times New Roman" w:hAnsi="Times New Roman" w:cs="Times New Roman"/>
          <w:color w:val="000000" w:themeColor="text1"/>
          <w:sz w:val="28"/>
          <w:szCs w:val="28"/>
          <w:lang w:val="uk-UA"/>
        </w:rPr>
        <w:t xml:space="preserve">тетраметілбензидин). Послідовне додавання досліджуваної плазми до реагентів призводить до зміни кольору розчину залежно від вмісту </w:t>
      </w:r>
      <w:r w:rsidRPr="000A32AD">
        <w:rPr>
          <w:rStyle w:val="14"/>
          <w:i w:val="0"/>
          <w:color w:val="000000" w:themeColor="text1"/>
          <w:lang w:val="uk-UA"/>
        </w:rPr>
        <w:t>FGF2</w:t>
      </w:r>
      <w:r w:rsidRPr="000A32AD">
        <w:rPr>
          <w:rFonts w:ascii="Times New Roman" w:hAnsi="Times New Roman" w:cs="Times New Roman"/>
          <w:color w:val="000000" w:themeColor="text1"/>
          <w:sz w:val="28"/>
          <w:szCs w:val="28"/>
          <w:lang w:val="uk-UA"/>
        </w:rPr>
        <w:t xml:space="preserve">. Визначення його оптичної щільності у порівнянні зі стандартом дає можливість оцінити концентрацію </w:t>
      </w:r>
      <w:r w:rsidRPr="000A32AD">
        <w:rPr>
          <w:rStyle w:val="14"/>
          <w:i w:val="0"/>
          <w:color w:val="000000" w:themeColor="text1"/>
          <w:lang w:val="uk-UA"/>
        </w:rPr>
        <w:t>FGF2.</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Style w:val="14"/>
          <w:i w:val="0"/>
          <w:color w:val="000000" w:themeColor="text1"/>
          <w:lang w:val="uk-UA"/>
        </w:rPr>
        <w:t xml:space="preserve">Патоморфологічні дослідження </w:t>
      </w:r>
      <w:r w:rsidRPr="000A32AD">
        <w:rPr>
          <w:rFonts w:ascii="Times New Roman" w:hAnsi="Times New Roman" w:cs="Times New Roman"/>
          <w:color w:val="000000" w:themeColor="text1"/>
          <w:sz w:val="28"/>
          <w:szCs w:val="28"/>
          <w:lang w:val="uk-UA"/>
        </w:rPr>
        <w:t xml:space="preserve">засновано на вивченні 20 випадків аутопсій жінок зі встановленим діагнозом </w:t>
      </w:r>
      <w:r w:rsidR="00190B8E" w:rsidRPr="000A32AD">
        <w:rPr>
          <w:rFonts w:ascii="Times New Roman" w:hAnsi="Times New Roman" w:cs="Times New Roman"/>
          <w:color w:val="000000" w:themeColor="text1"/>
          <w:sz w:val="28"/>
          <w:szCs w:val="28"/>
          <w:lang w:val="uk-UA"/>
        </w:rPr>
        <w:t>Ц</w:t>
      </w:r>
      <w:r w:rsidR="00671610" w:rsidRPr="000A32AD">
        <w:rPr>
          <w:rFonts w:ascii="Times New Roman" w:hAnsi="Times New Roman" w:cs="Times New Roman"/>
          <w:color w:val="000000" w:themeColor="text1"/>
          <w:sz w:val="28"/>
          <w:szCs w:val="28"/>
          <w:lang w:val="uk-UA"/>
        </w:rPr>
        <w:t>Д 2 типу різного сту</w:t>
      </w:r>
      <w:r w:rsidRPr="000A32AD">
        <w:rPr>
          <w:rFonts w:ascii="Times New Roman" w:hAnsi="Times New Roman" w:cs="Times New Roman"/>
          <w:color w:val="000000" w:themeColor="text1"/>
          <w:sz w:val="28"/>
          <w:szCs w:val="28"/>
          <w:lang w:val="uk-UA"/>
        </w:rPr>
        <w:t xml:space="preserve">пеню тяжкості </w:t>
      </w:r>
      <w:r w:rsidR="00671610" w:rsidRPr="000A32AD">
        <w:rPr>
          <w:rFonts w:ascii="Times New Roman" w:hAnsi="Times New Roman" w:cs="Times New Roman"/>
          <w:color w:val="000000" w:themeColor="text1"/>
          <w:sz w:val="28"/>
          <w:szCs w:val="28"/>
          <w:lang w:val="uk-UA"/>
        </w:rPr>
        <w:t>(</w:t>
      </w:r>
      <w:r w:rsidR="00B20775" w:rsidRPr="000A32AD">
        <w:rPr>
          <w:rFonts w:ascii="Times New Roman" w:hAnsi="Times New Roman" w:cs="Times New Roman"/>
          <w:color w:val="000000" w:themeColor="text1"/>
          <w:sz w:val="28"/>
          <w:szCs w:val="28"/>
          <w:lang w:val="uk-UA"/>
        </w:rPr>
        <w:t>легкого ступеню без артеріальної гіпертензії</w:t>
      </w:r>
      <w:r w:rsidR="00671610" w:rsidRPr="000A32AD">
        <w:rPr>
          <w:rFonts w:ascii="Times New Roman" w:hAnsi="Times New Roman" w:cs="Times New Roman"/>
          <w:color w:val="000000" w:themeColor="text1"/>
          <w:sz w:val="28"/>
          <w:szCs w:val="28"/>
          <w:lang w:val="uk-UA"/>
        </w:rPr>
        <w:t xml:space="preserve"> та </w:t>
      </w:r>
      <w:r w:rsidR="00B20775" w:rsidRPr="000A32AD">
        <w:rPr>
          <w:rFonts w:ascii="Times New Roman" w:hAnsi="Times New Roman" w:cs="Times New Roman"/>
          <w:color w:val="000000" w:themeColor="text1"/>
          <w:sz w:val="28"/>
          <w:szCs w:val="28"/>
          <w:lang w:val="uk-UA"/>
        </w:rPr>
        <w:t xml:space="preserve">середнього ступеню тяжкості з </w:t>
      </w:r>
      <w:r w:rsidR="00671610" w:rsidRPr="000A32AD">
        <w:rPr>
          <w:rFonts w:ascii="Times New Roman" w:hAnsi="Times New Roman" w:cs="Times New Roman"/>
          <w:color w:val="000000" w:themeColor="text1"/>
          <w:sz w:val="28"/>
          <w:szCs w:val="28"/>
          <w:lang w:val="uk-UA"/>
        </w:rPr>
        <w:lastRenderedPageBreak/>
        <w:t>артеріально</w:t>
      </w:r>
      <w:r w:rsidR="00B20775" w:rsidRPr="000A32AD">
        <w:rPr>
          <w:rFonts w:ascii="Times New Roman" w:hAnsi="Times New Roman" w:cs="Times New Roman"/>
          <w:color w:val="000000" w:themeColor="text1"/>
          <w:sz w:val="28"/>
          <w:szCs w:val="28"/>
          <w:lang w:val="uk-UA"/>
        </w:rPr>
        <w:t>ю</w:t>
      </w:r>
      <w:r w:rsidR="00671610" w:rsidRPr="000A32AD">
        <w:rPr>
          <w:rFonts w:ascii="Times New Roman" w:hAnsi="Times New Roman" w:cs="Times New Roman"/>
          <w:color w:val="000000" w:themeColor="text1"/>
          <w:sz w:val="28"/>
          <w:szCs w:val="28"/>
          <w:lang w:val="uk-UA"/>
        </w:rPr>
        <w:t xml:space="preserve"> </w:t>
      </w:r>
      <w:r w:rsidR="00B20775" w:rsidRPr="000A32AD">
        <w:rPr>
          <w:rFonts w:ascii="Times New Roman" w:hAnsi="Times New Roman" w:cs="Times New Roman"/>
          <w:color w:val="000000" w:themeColor="text1"/>
          <w:sz w:val="28"/>
          <w:szCs w:val="28"/>
          <w:lang w:val="uk-UA"/>
        </w:rPr>
        <w:t>гіпертензією</w:t>
      </w:r>
      <w:r w:rsidR="00671610" w:rsidRPr="000A32AD">
        <w:rPr>
          <w:rFonts w:ascii="Times New Roman" w:hAnsi="Times New Roman" w:cs="Times New Roman"/>
          <w:color w:val="000000" w:themeColor="text1"/>
          <w:sz w:val="28"/>
          <w:szCs w:val="28"/>
          <w:lang w:val="uk-UA"/>
        </w:rPr>
        <w:t xml:space="preserve">) </w:t>
      </w:r>
      <w:r w:rsidR="00190B8E" w:rsidRPr="000A32AD">
        <w:rPr>
          <w:rFonts w:ascii="Times New Roman" w:hAnsi="Times New Roman" w:cs="Times New Roman"/>
          <w:color w:val="000000" w:themeColor="text1"/>
          <w:sz w:val="28"/>
          <w:szCs w:val="28"/>
          <w:lang w:val="uk-UA"/>
        </w:rPr>
        <w:t xml:space="preserve">та з наявністю фенотипічних ознак </w:t>
      </w:r>
      <w:r w:rsidR="00C20C62" w:rsidRPr="000A32AD">
        <w:rPr>
          <w:rFonts w:ascii="Times New Roman" w:hAnsi="Times New Roman" w:cs="Times New Roman"/>
          <w:color w:val="000000" w:themeColor="text1"/>
          <w:sz w:val="28"/>
          <w:szCs w:val="28"/>
          <w:lang w:val="uk-UA"/>
        </w:rPr>
        <w:t>ДСТ (див. вище)</w:t>
      </w:r>
      <w:r w:rsidRPr="000A32AD">
        <w:rPr>
          <w:rFonts w:ascii="Times New Roman" w:hAnsi="Times New Roman" w:cs="Times New Roman"/>
          <w:color w:val="000000" w:themeColor="text1"/>
          <w:sz w:val="28"/>
          <w:szCs w:val="28"/>
          <w:lang w:val="uk-UA"/>
        </w:rPr>
        <w:t>. Матеріал зібран</w:t>
      </w:r>
      <w:r w:rsidR="00190B8E" w:rsidRPr="000A32AD">
        <w:rPr>
          <w:rFonts w:ascii="Times New Roman" w:hAnsi="Times New Roman" w:cs="Times New Roman"/>
          <w:color w:val="000000" w:themeColor="text1"/>
          <w:sz w:val="28"/>
          <w:szCs w:val="28"/>
          <w:lang w:val="uk-UA"/>
        </w:rPr>
        <w:t>о</w:t>
      </w:r>
      <w:r w:rsidRPr="000A32AD">
        <w:rPr>
          <w:rFonts w:ascii="Times New Roman" w:hAnsi="Times New Roman" w:cs="Times New Roman"/>
          <w:color w:val="000000" w:themeColor="text1"/>
          <w:sz w:val="28"/>
          <w:szCs w:val="28"/>
          <w:lang w:val="uk-UA"/>
        </w:rPr>
        <w:t xml:space="preserve"> за період з 2009 по 2013 р. Середній вік </w:t>
      </w:r>
      <w:r w:rsidR="00190B8E" w:rsidRPr="000A32AD">
        <w:rPr>
          <w:rFonts w:ascii="Times New Roman" w:hAnsi="Times New Roman" w:cs="Times New Roman"/>
          <w:color w:val="000000" w:themeColor="text1"/>
          <w:sz w:val="28"/>
          <w:szCs w:val="28"/>
          <w:lang w:val="uk-UA"/>
        </w:rPr>
        <w:t>пацієнтів</w:t>
      </w:r>
      <w:r w:rsidRPr="000A32AD">
        <w:rPr>
          <w:rFonts w:ascii="Times New Roman" w:hAnsi="Times New Roman" w:cs="Times New Roman"/>
          <w:color w:val="000000" w:themeColor="text1"/>
          <w:sz w:val="28"/>
          <w:szCs w:val="28"/>
          <w:lang w:val="uk-UA"/>
        </w:rPr>
        <w:t xml:space="preserve"> </w:t>
      </w:r>
      <w:r w:rsidR="00190B8E" w:rsidRPr="000A32AD">
        <w:rPr>
          <w:rFonts w:ascii="Times New Roman" w:hAnsi="Times New Roman" w:cs="Times New Roman"/>
          <w:color w:val="000000" w:themeColor="text1"/>
          <w:sz w:val="28"/>
          <w:szCs w:val="28"/>
          <w:lang w:val="uk-UA"/>
        </w:rPr>
        <w:t>цієї</w:t>
      </w:r>
      <w:r w:rsidRPr="000A32AD">
        <w:rPr>
          <w:rFonts w:ascii="Times New Roman" w:hAnsi="Times New Roman" w:cs="Times New Roman"/>
          <w:color w:val="000000" w:themeColor="text1"/>
          <w:sz w:val="28"/>
          <w:szCs w:val="28"/>
          <w:lang w:val="uk-UA"/>
        </w:rPr>
        <w:t xml:space="preserve"> групи скла</w:t>
      </w:r>
      <w:r w:rsidR="00190B8E" w:rsidRPr="000A32AD">
        <w:rPr>
          <w:rFonts w:ascii="Times New Roman" w:hAnsi="Times New Roman" w:cs="Times New Roman"/>
          <w:color w:val="000000" w:themeColor="text1"/>
          <w:sz w:val="28"/>
          <w:szCs w:val="28"/>
          <w:lang w:val="uk-UA"/>
        </w:rPr>
        <w:t>да</w:t>
      </w:r>
      <w:r w:rsidRPr="000A32AD">
        <w:rPr>
          <w:rFonts w:ascii="Times New Roman" w:hAnsi="Times New Roman" w:cs="Times New Roman"/>
          <w:color w:val="000000" w:themeColor="text1"/>
          <w:sz w:val="28"/>
          <w:szCs w:val="28"/>
          <w:lang w:val="uk-UA"/>
        </w:rPr>
        <w:t xml:space="preserve">в 34,89±4,33 років. Середня вага </w:t>
      </w:r>
      <w:r w:rsidR="00190B8E"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 скла</w:t>
      </w:r>
      <w:r w:rsidR="00190B8E" w:rsidRPr="000A32AD">
        <w:rPr>
          <w:rFonts w:ascii="Times New Roman" w:hAnsi="Times New Roman" w:cs="Times New Roman"/>
          <w:color w:val="000000" w:themeColor="text1"/>
          <w:sz w:val="28"/>
          <w:szCs w:val="28"/>
          <w:lang w:val="uk-UA"/>
        </w:rPr>
        <w:t>да</w:t>
      </w:r>
      <w:r w:rsidRPr="000A32AD">
        <w:rPr>
          <w:rFonts w:ascii="Times New Roman" w:hAnsi="Times New Roman" w:cs="Times New Roman"/>
          <w:color w:val="000000" w:themeColor="text1"/>
          <w:sz w:val="28"/>
          <w:szCs w:val="28"/>
          <w:lang w:val="uk-UA"/>
        </w:rPr>
        <w:t xml:space="preserve">ла 77±2,91кг, зріст 153±17см, товщина передньої черевної стінки – 3,11±0,31см. Для отримання достовірних даних матеріал підбирався ретельно. Причина смерті жінок нашої досліджуваної групи не була пов'язана з цукровим діабетом. Групу порівняння склали 15 випадків дослідження (жінки) з підтвердженим діагнозом ЦД 2 типу різного ступеня тяжкості без </w:t>
      </w:r>
      <w:r w:rsidR="0089469A" w:rsidRPr="000A32AD">
        <w:rPr>
          <w:rFonts w:ascii="Times New Roman" w:hAnsi="Times New Roman" w:cs="Times New Roman"/>
          <w:color w:val="000000" w:themeColor="text1"/>
          <w:sz w:val="28"/>
          <w:szCs w:val="28"/>
          <w:lang w:val="uk-UA"/>
        </w:rPr>
        <w:t xml:space="preserve">наявності ознак </w:t>
      </w:r>
      <w:r w:rsidRPr="000A32AD">
        <w:rPr>
          <w:rFonts w:ascii="Times New Roman" w:hAnsi="Times New Roman" w:cs="Times New Roman"/>
          <w:color w:val="000000" w:themeColor="text1"/>
          <w:sz w:val="28"/>
          <w:szCs w:val="28"/>
          <w:lang w:val="uk-UA"/>
        </w:rPr>
        <w:t xml:space="preserve">дисплазії сполучної тканини. Патологоанатомічні розтини проводилися в перші 12 годин після констатації смерті. Після забору, нирки ретельно переглядали та зважували на електронних вагах. Для морфологічного дослідження з нирки вирізалися шматочки. </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Шматочки паренхіми фіксувалися в 10% розчині нейтрального формаліну. Потім матеріал піддавався стандартній проводці через спирти зростаючої концентрації, рідину Нікіфорова (96% спирт та діетиловий ефір у співвід</w:t>
      </w:r>
      <w:r w:rsidR="00C20C62" w:rsidRPr="000A32AD">
        <w:rPr>
          <w:rFonts w:ascii="Times New Roman" w:hAnsi="Times New Roman" w:cs="Times New Roman"/>
          <w:color w:val="000000" w:themeColor="text1"/>
          <w:sz w:val="28"/>
          <w:szCs w:val="28"/>
          <w:lang w:val="uk-UA"/>
        </w:rPr>
        <w:softHyphen/>
      </w:r>
      <w:r w:rsidRPr="000A32AD">
        <w:rPr>
          <w:rFonts w:ascii="Times New Roman" w:hAnsi="Times New Roman" w:cs="Times New Roman"/>
          <w:color w:val="000000" w:themeColor="text1"/>
          <w:sz w:val="28"/>
          <w:szCs w:val="28"/>
          <w:lang w:val="uk-UA"/>
        </w:rPr>
        <w:t>ношенні 1:1), хлороформ, після чого заливався парафіном. Із приготовлених у такий спосіб блоків робилися серійні зрізи товщиною 4-5х10</w:t>
      </w:r>
      <w:r w:rsidR="00C20C62" w:rsidRPr="000A32AD">
        <w:rPr>
          <w:rFonts w:ascii="Times New Roman" w:hAnsi="Times New Roman" w:cs="Times New Roman"/>
          <w:color w:val="000000" w:themeColor="text1"/>
          <w:sz w:val="28"/>
          <w:szCs w:val="28"/>
          <w:vertAlign w:val="superscript"/>
          <w:lang w:val="uk-UA"/>
        </w:rPr>
        <w:noBreakHyphen/>
      </w:r>
      <w:r w:rsidRPr="000A32AD">
        <w:rPr>
          <w:rFonts w:ascii="Times New Roman" w:hAnsi="Times New Roman" w:cs="Times New Roman"/>
          <w:color w:val="000000" w:themeColor="text1"/>
          <w:sz w:val="28"/>
          <w:szCs w:val="28"/>
          <w:vertAlign w:val="superscript"/>
          <w:lang w:val="uk-UA"/>
        </w:rPr>
        <w:t>6</w:t>
      </w:r>
      <w:r w:rsidR="00C20C62" w:rsidRPr="000A32AD">
        <w:rPr>
          <w:rFonts w:ascii="Times New Roman" w:hAnsi="Times New Roman" w:cs="Times New Roman"/>
          <w:color w:val="000000" w:themeColor="text1"/>
          <w:sz w:val="28"/>
          <w:szCs w:val="28"/>
          <w:vertAlign w:val="superscript"/>
          <w:lang w:val="uk-UA"/>
        </w:rPr>
        <w:t> </w:t>
      </w:r>
      <w:r w:rsidRPr="000A32AD">
        <w:rPr>
          <w:rFonts w:ascii="Times New Roman" w:hAnsi="Times New Roman" w:cs="Times New Roman"/>
          <w:color w:val="000000" w:themeColor="text1"/>
          <w:sz w:val="28"/>
          <w:szCs w:val="28"/>
          <w:lang w:val="uk-UA"/>
        </w:rPr>
        <w:t xml:space="preserve">м. </w:t>
      </w:r>
      <w:bookmarkStart w:id="6" w:name="OLE_LINK13"/>
      <w:bookmarkStart w:id="7" w:name="OLE_LINK14"/>
      <w:r w:rsidRPr="000A32AD">
        <w:rPr>
          <w:rFonts w:ascii="Times New Roman" w:hAnsi="Times New Roman" w:cs="Times New Roman"/>
          <w:color w:val="000000" w:themeColor="text1"/>
          <w:sz w:val="28"/>
          <w:szCs w:val="28"/>
          <w:lang w:val="uk-UA"/>
        </w:rPr>
        <w:t xml:space="preserve">Парафінові зрізи офарблювали </w:t>
      </w:r>
      <w:bookmarkEnd w:id="6"/>
      <w:bookmarkEnd w:id="7"/>
      <w:r w:rsidRPr="000A32AD">
        <w:rPr>
          <w:rFonts w:ascii="Times New Roman" w:hAnsi="Times New Roman" w:cs="Times New Roman"/>
          <w:color w:val="000000" w:themeColor="text1"/>
          <w:sz w:val="28"/>
          <w:szCs w:val="28"/>
          <w:lang w:val="uk-UA"/>
        </w:rPr>
        <w:t xml:space="preserve">гістологічними та гістохімічними методами: гематоксиліном та еозином, пікрофуксином за Ван Гізоном з відповідним контролем. </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Для з'ясування взаємин між стромою та паренхімою в </w:t>
      </w:r>
      <w:r w:rsidR="00D46B2D" w:rsidRPr="000A32AD">
        <w:rPr>
          <w:rFonts w:ascii="Times New Roman" w:hAnsi="Times New Roman" w:cs="Times New Roman"/>
          <w:color w:val="000000" w:themeColor="text1"/>
          <w:sz w:val="28"/>
          <w:szCs w:val="28"/>
          <w:lang w:val="uk-UA"/>
        </w:rPr>
        <w:t xml:space="preserve">нирках </w:t>
      </w:r>
      <w:r w:rsidRPr="000A32AD">
        <w:rPr>
          <w:rFonts w:ascii="Times New Roman" w:hAnsi="Times New Roman" w:cs="Times New Roman"/>
          <w:color w:val="000000" w:themeColor="text1"/>
          <w:sz w:val="28"/>
          <w:szCs w:val="28"/>
          <w:lang w:val="uk-UA"/>
        </w:rPr>
        <w:t>різних досліджуваних груп визначався середній відносний обсяг строми. Із усіх існуючих морфо- та стереометричних методів оцінки питомих та абсолютних обсягів різних структурних складових органа найбільш об'єктивний, інформативний та ефективний метод «полів» [</w:t>
      </w:r>
      <w:r w:rsidR="00E77C08" w:rsidRPr="000A32AD">
        <w:rPr>
          <w:rFonts w:ascii="Times New Roman" w:hAnsi="Times New Roman" w:cs="Times New Roman"/>
          <w:color w:val="000000" w:themeColor="text1"/>
          <w:sz w:val="28"/>
          <w:szCs w:val="28"/>
        </w:rPr>
        <w:t>1</w:t>
      </w:r>
      <w:r w:rsidRPr="000A32AD">
        <w:rPr>
          <w:rFonts w:ascii="Times New Roman" w:hAnsi="Times New Roman" w:cs="Times New Roman"/>
          <w:color w:val="000000" w:themeColor="text1"/>
          <w:sz w:val="28"/>
          <w:szCs w:val="28"/>
          <w:lang w:val="uk-UA"/>
        </w:rPr>
        <w:t>].</w:t>
      </w:r>
      <w:r w:rsidRPr="000A32AD">
        <w:rPr>
          <w:rFonts w:ascii="Times New Roman" w:hAnsi="Times New Roman" w:cs="Times New Roman"/>
          <w:iCs/>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Аналіз на площинних препаратах проводили в такий спосіб. На поверхню зображення накладали сітку із ґратами, що має рівновіддалені крапки (у нашому дослідженні використовувалася сітка Автанділова з 100 крапок), і робили диференційований підрахунок крапок, що припадають окремо на кожну структурну складову орган</w:t>
      </w:r>
      <w:r w:rsidR="00190B8E" w:rsidRPr="000A32AD">
        <w:rPr>
          <w:rFonts w:ascii="Times New Roman" w:hAnsi="Times New Roman" w:cs="Times New Roman"/>
          <w:color w:val="000000" w:themeColor="text1"/>
          <w:sz w:val="28"/>
          <w:szCs w:val="28"/>
          <w:lang w:val="uk-UA"/>
        </w:rPr>
        <w:t>у</w:t>
      </w:r>
      <w:r w:rsidRPr="000A32AD">
        <w:rPr>
          <w:rFonts w:ascii="Times New Roman" w:hAnsi="Times New Roman" w:cs="Times New Roman"/>
          <w:color w:val="000000" w:themeColor="text1"/>
          <w:sz w:val="28"/>
          <w:szCs w:val="28"/>
          <w:lang w:val="uk-UA"/>
        </w:rPr>
        <w:t xml:space="preserve">. Потрібного числа підрахунків крапок для одержання достовірних даних </w:t>
      </w:r>
      <w:r w:rsidRPr="000A32AD">
        <w:rPr>
          <w:rFonts w:ascii="Times New Roman" w:hAnsi="Times New Roman" w:cs="Times New Roman"/>
          <w:color w:val="000000" w:themeColor="text1"/>
          <w:sz w:val="28"/>
          <w:szCs w:val="28"/>
          <w:lang w:val="uk-UA"/>
        </w:rPr>
        <w:lastRenderedPageBreak/>
        <w:t xml:space="preserve">в 95% довірчому інтервалі досягали повторними накладеннями ґрат на різні поля зору. У даній роботі в кожному досліджуваному препараті було зроблено по три накладення. </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Комплекс гістологічних та морфометричних досліджень проводили на мікроскопі Olympus BX-41 з використанням програм Olympus Db-soft (Version 3:1).</w:t>
      </w:r>
    </w:p>
    <w:p w:rsidR="00BC6BC0" w:rsidRPr="000A32AD" w:rsidRDefault="00BC6BC0" w:rsidP="00BC6BC0">
      <w:pPr>
        <w:pStyle w:val="a9"/>
        <w:spacing w:line="360" w:lineRule="auto"/>
        <w:ind w:firstLine="720"/>
        <w:jc w:val="both"/>
        <w:rPr>
          <w:rFonts w:ascii="Times New Roman" w:hAnsi="Times New Roman" w:cs="Times New Roman"/>
          <w:color w:val="000000" w:themeColor="text1"/>
          <w:sz w:val="28"/>
          <w:szCs w:val="28"/>
        </w:rPr>
      </w:pPr>
      <w:r w:rsidRPr="000A32AD">
        <w:rPr>
          <w:rFonts w:ascii="Times New Roman" w:hAnsi="Times New Roman" w:cs="Times New Roman"/>
          <w:color w:val="000000" w:themeColor="text1"/>
          <w:sz w:val="28"/>
          <w:szCs w:val="28"/>
        </w:rPr>
        <w:t xml:space="preserve">Нами було використано системи останнього покоління з полімерними молекулами декстранів, на яких перебувають вторинні антитіла, імуногенні до первинних, та численні молекули пероксидази. Це дозволило суттєво скоротити тривалість дослідження до двох кроків та підвищити його чутливість і специфічність, насамперед за рахунок виключення із системи біотину. Пероксидаза – фермент, виділений з кореня хріну, розщеплює перекис водню та проводить до ускладнення хромогену DAB (3-диаменобензидина тетрахлорид), що проявляється у фарбуванні продуктів реакції в </w:t>
      </w:r>
      <w:r w:rsidR="00190B8E" w:rsidRPr="000A32AD">
        <w:rPr>
          <w:rFonts w:ascii="Times New Roman" w:hAnsi="Times New Roman" w:cs="Times New Roman"/>
          <w:color w:val="000000" w:themeColor="text1"/>
          <w:sz w:val="28"/>
          <w:szCs w:val="28"/>
        </w:rPr>
        <w:t>інтенсивне</w:t>
      </w:r>
      <w:r w:rsidRPr="000A32AD">
        <w:rPr>
          <w:rFonts w:ascii="Times New Roman" w:hAnsi="Times New Roman" w:cs="Times New Roman"/>
          <w:color w:val="000000" w:themeColor="text1"/>
          <w:sz w:val="28"/>
          <w:szCs w:val="28"/>
        </w:rPr>
        <w:t xml:space="preserve"> коричневий колір, та в такий спосіб дозволяє ідентифікувати місце зв'язування шуканого антигену із МКА. </w:t>
      </w:r>
    </w:p>
    <w:p w:rsidR="00BC6BC0" w:rsidRPr="000A32AD" w:rsidRDefault="00BC6BC0" w:rsidP="00BC6BC0">
      <w:pPr>
        <w:widowControl w:val="0"/>
        <w:spacing w:line="360" w:lineRule="auto"/>
        <w:ind w:firstLine="720"/>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В нашому дослідженні зрізи товщиною 4-6 мкм наносили на спеціальне адгезивне предметне скло Superfrost Plus, потім депарафінізували згідно із прийнятими стандартами. У зв'язку з тим, що при фіксації у формаліні відбувається порушення структури антигенних детермінант, яке призводить до зниження їх імуногенності, необхідним етапом імуногістохімічного дослідження було проведення теплової індукції епітопного (антигенного) відновлення (HІER - heat іnductіon of epіtope retrіeval), в результаті якого відновлювалися антигенні властивості тканин, що в кінцевому результаті дозволило збільшити розведення антитіл без втрат якості реакції. Ми використовували нагрівання в цитратному буфері із рН=6,0 в автоклаві (8 хвилин при температурі +1210С) із симетричним розташуванням стекол у кюветі. </w:t>
      </w:r>
    </w:p>
    <w:p w:rsidR="00BC6BC0" w:rsidRPr="000A32AD" w:rsidRDefault="00BC6BC0" w:rsidP="00BC6BC0">
      <w:pPr>
        <w:widowControl w:val="0"/>
        <w:spacing w:line="360" w:lineRule="auto"/>
        <w:ind w:firstLine="720"/>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lastRenderedPageBreak/>
        <w:t xml:space="preserve">Для оцінки стану сполучної тканини стінки судин використовували маркер collagen 4. Також для цього маркера виконувалися </w:t>
      </w:r>
      <w:bookmarkStart w:id="8" w:name="OLE_LINK23"/>
      <w:bookmarkStart w:id="9" w:name="OLE_LINK24"/>
      <w:r w:rsidRPr="000A32AD">
        <w:rPr>
          <w:rFonts w:ascii="Times New Roman" w:hAnsi="Times New Roman" w:cs="Times New Roman"/>
          <w:color w:val="000000" w:themeColor="text1"/>
          <w:sz w:val="28"/>
          <w:szCs w:val="28"/>
          <w:lang w:val="uk-UA"/>
        </w:rPr>
        <w:t>контрольні дослідження хибнопозитивних або хибнонегативних реакцій</w:t>
      </w:r>
      <w:bookmarkEnd w:id="8"/>
      <w:bookmarkEnd w:id="9"/>
      <w:r w:rsidRPr="000A32AD">
        <w:rPr>
          <w:rFonts w:ascii="Times New Roman" w:hAnsi="Times New Roman" w:cs="Times New Roman"/>
          <w:color w:val="000000" w:themeColor="text1"/>
          <w:sz w:val="28"/>
          <w:szCs w:val="28"/>
          <w:lang w:val="uk-UA"/>
        </w:rPr>
        <w:t>.</w:t>
      </w:r>
    </w:p>
    <w:p w:rsidR="00BC6BC0" w:rsidRPr="000A32AD" w:rsidRDefault="00BC6BC0" w:rsidP="00BC6BC0">
      <w:pPr>
        <w:widowControl w:val="0"/>
        <w:spacing w:line="360" w:lineRule="auto"/>
        <w:ind w:firstLine="720"/>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Важливими умовами специфічних та якісних імуногістохімічних реакцій є правильно підібраний титр антитіл, а також час та температура інкубації. Ми використовували інкубацію зрізів з первинними антитілами у вологих камерах при температурі 23-25°С протягом 30 хвилин. Титр антитіл підбирали індивідуально для кожного маркера з використанням у якості розчинника спеціальний розчин antibody diluent (Dako).</w:t>
      </w:r>
    </w:p>
    <w:p w:rsidR="00BC6BC0" w:rsidRPr="000A32AD" w:rsidRDefault="00BC6BC0" w:rsidP="00BC6BC0">
      <w:pPr>
        <w:widowControl w:val="0"/>
        <w:spacing w:line="360" w:lineRule="auto"/>
        <w:ind w:firstLine="720"/>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Наступний етап імуногістохімічного дослідження проводили з використанням системи візуалізації Ultravision LP (Lab Vision). Вторинні антитіла, які містили велику кількість молекул пероксидази хріну, наносили на зрізи та інкубували у вологих камерах близько 30 хвилин при кімнатній температурі. Після кожного етапу зрізи промивалися в </w:t>
      </w:r>
      <w:bookmarkStart w:id="10" w:name="OLE_LINK25"/>
      <w:bookmarkStart w:id="11" w:name="OLE_LINK26"/>
      <w:r w:rsidRPr="000A32AD">
        <w:rPr>
          <w:rFonts w:ascii="Times New Roman" w:hAnsi="Times New Roman" w:cs="Times New Roman"/>
          <w:color w:val="000000" w:themeColor="text1"/>
          <w:sz w:val="28"/>
          <w:szCs w:val="28"/>
          <w:lang w:val="uk-UA"/>
        </w:rPr>
        <w:t>ТРИС буфер</w:t>
      </w:r>
      <w:bookmarkEnd w:id="10"/>
      <w:bookmarkEnd w:id="11"/>
      <w:r w:rsidRPr="000A32AD">
        <w:rPr>
          <w:rFonts w:ascii="Times New Roman" w:hAnsi="Times New Roman" w:cs="Times New Roman"/>
          <w:color w:val="000000" w:themeColor="text1"/>
          <w:sz w:val="28"/>
          <w:szCs w:val="28"/>
          <w:lang w:val="uk-UA"/>
        </w:rPr>
        <w:t>і із рн 7,4 протягом 10 хвилин. Далі, для ідентифікації реакції наносився розчин хромогену ДАБ (Quanto, Labvision) під контролем мікроскопа протягом від 20 секунд до 3 хвилин, із проявом у вигляді коричневого фарбування специфічних структур залежно від маркера (ядерна, цитоплазматична, мембранна реакція). Для диференціювання структур тканин зрізи додатково офарблювали гематоксиліном Майєра протягом 1-3 хвилин. Наступна дегідратація та включення в бальзам здійснювалося згідно з розповсюдженими методиками.</w:t>
      </w:r>
    </w:p>
    <w:p w:rsidR="00442333" w:rsidRPr="000A32AD" w:rsidRDefault="00BC6BC0" w:rsidP="00BC6BC0">
      <w:pPr>
        <w:spacing w:line="360" w:lineRule="auto"/>
        <w:ind w:firstLine="708"/>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Оцінка імуногістохімічних реакцій базувалася на інтенсивності фарбування та поділу імунопозитивних клітин відповідно рекомендаціям інших авторів [</w:t>
      </w:r>
      <w:r w:rsidR="00E77C08" w:rsidRPr="000A32AD">
        <w:rPr>
          <w:rFonts w:ascii="Times New Roman" w:hAnsi="Times New Roman" w:cs="Times New Roman"/>
          <w:color w:val="000000" w:themeColor="text1"/>
          <w:sz w:val="28"/>
          <w:szCs w:val="28"/>
          <w:lang w:val="uk-UA"/>
        </w:rPr>
        <w:t>114</w:t>
      </w:r>
      <w:r w:rsidRPr="000A32AD">
        <w:rPr>
          <w:rFonts w:ascii="Times New Roman" w:hAnsi="Times New Roman" w:cs="Times New Roman"/>
          <w:color w:val="000000" w:themeColor="text1"/>
          <w:sz w:val="28"/>
          <w:szCs w:val="28"/>
          <w:lang w:val="uk-UA"/>
        </w:rPr>
        <w:t>].</w:t>
      </w:r>
    </w:p>
    <w:p w:rsidR="00BC6BC0" w:rsidRPr="000A32AD" w:rsidRDefault="00BC6BC0" w:rsidP="00BC6BC0">
      <w:pPr>
        <w:spacing w:line="360" w:lineRule="auto"/>
        <w:ind w:firstLine="708"/>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Шкала інтенсивності фарбування: -- немає експресії; + - слабка експресія; ++ - помірна експресія; +++ - інтенсивна експресія.</w:t>
      </w:r>
    </w:p>
    <w:p w:rsidR="00442333" w:rsidRPr="000A32AD" w:rsidRDefault="00442333" w:rsidP="00442333">
      <w:pPr>
        <w:spacing w:line="360" w:lineRule="auto"/>
        <w:ind w:firstLine="709"/>
        <w:jc w:val="both"/>
        <w:rPr>
          <w:rFonts w:ascii="Times New Roman" w:hAnsi="Times New Roman" w:cs="Times New Roman"/>
          <w:i/>
          <w:color w:val="000000" w:themeColor="text1"/>
          <w:sz w:val="28"/>
          <w:szCs w:val="28"/>
          <w:lang w:val="uk-UA"/>
        </w:rPr>
      </w:pPr>
    </w:p>
    <w:p w:rsidR="00442333" w:rsidRPr="000A32AD" w:rsidRDefault="00442333" w:rsidP="00442333">
      <w:pPr>
        <w:spacing w:line="360" w:lineRule="auto"/>
        <w:ind w:firstLine="709"/>
        <w:jc w:val="both"/>
        <w:rPr>
          <w:rFonts w:ascii="Times New Roman" w:hAnsi="Times New Roman" w:cs="Times New Roman"/>
          <w:i/>
          <w:color w:val="000000" w:themeColor="text1"/>
          <w:sz w:val="28"/>
          <w:szCs w:val="28"/>
          <w:lang w:val="uk-UA"/>
        </w:rPr>
      </w:pPr>
      <w:r w:rsidRPr="000A32AD">
        <w:rPr>
          <w:rFonts w:ascii="Times New Roman" w:hAnsi="Times New Roman" w:cs="Times New Roman"/>
          <w:i/>
          <w:color w:val="000000" w:themeColor="text1"/>
          <w:sz w:val="28"/>
          <w:szCs w:val="28"/>
          <w:lang w:val="uk-UA"/>
        </w:rPr>
        <w:lastRenderedPageBreak/>
        <w:t>Висловлюємо подяку кафедрі фундаментальної медицини медичного факультету ХНУ імені В.Н. Каразіна і особисто доценту Ремньова Наталії Олексіївні</w:t>
      </w:r>
      <w:r w:rsidRPr="000A32AD">
        <w:rPr>
          <w:rFonts w:ascii="Times New Roman" w:hAnsi="Times New Roman" w:cs="Times New Roman"/>
          <w:b/>
          <w:i/>
          <w:color w:val="000000" w:themeColor="text1"/>
          <w:sz w:val="28"/>
          <w:szCs w:val="28"/>
          <w:lang w:val="uk-UA"/>
        </w:rPr>
        <w:t xml:space="preserve"> </w:t>
      </w:r>
      <w:r w:rsidR="00E21941">
        <w:rPr>
          <w:rFonts w:ascii="Times New Roman" w:hAnsi="Times New Roman" w:cs="Times New Roman"/>
          <w:i/>
          <w:color w:val="000000" w:themeColor="text1"/>
          <w:sz w:val="28"/>
          <w:szCs w:val="28"/>
          <w:lang w:val="uk-UA"/>
        </w:rPr>
        <w:t>за допомогу в від</w:t>
      </w:r>
      <w:r w:rsidRPr="000A32AD">
        <w:rPr>
          <w:rFonts w:ascii="Times New Roman" w:hAnsi="Times New Roman" w:cs="Times New Roman"/>
          <w:i/>
          <w:color w:val="000000" w:themeColor="text1"/>
          <w:sz w:val="28"/>
          <w:szCs w:val="28"/>
          <w:lang w:val="uk-UA"/>
        </w:rPr>
        <w:t>борі та дослідженні патоморфологічного матеріалу.</w:t>
      </w:r>
    </w:p>
    <w:p w:rsidR="00C20C62" w:rsidRPr="000A32AD" w:rsidRDefault="00C20C62" w:rsidP="00BC6BC0">
      <w:pPr>
        <w:spacing w:line="360" w:lineRule="auto"/>
        <w:ind w:firstLine="708"/>
        <w:jc w:val="both"/>
        <w:rPr>
          <w:rFonts w:ascii="Times New Roman" w:hAnsi="Times New Roman" w:cs="Times New Roman"/>
          <w:color w:val="000000" w:themeColor="text1"/>
          <w:sz w:val="28"/>
          <w:szCs w:val="28"/>
          <w:lang w:val="uk-UA"/>
        </w:rPr>
      </w:pPr>
    </w:p>
    <w:p w:rsidR="00BC6BC0" w:rsidRPr="000A32AD" w:rsidRDefault="00BC6BC0" w:rsidP="00BC6BC0">
      <w:pPr>
        <w:keepNext/>
        <w:spacing w:line="360" w:lineRule="auto"/>
        <w:ind w:firstLine="709"/>
        <w:jc w:val="both"/>
        <w:rPr>
          <w:rStyle w:val="14"/>
          <w:b/>
          <w:i w:val="0"/>
          <w:color w:val="000000" w:themeColor="text1"/>
          <w:lang w:val="uk-UA" w:eastAsia="ar-SA"/>
        </w:rPr>
      </w:pPr>
      <w:r w:rsidRPr="000A32AD">
        <w:rPr>
          <w:rStyle w:val="14"/>
          <w:b/>
          <w:i w:val="0"/>
          <w:color w:val="000000" w:themeColor="text1"/>
          <w:lang w:val="uk-UA" w:eastAsia="ar-SA"/>
        </w:rPr>
        <w:t xml:space="preserve">2.3 Методи статистичної обробки </w:t>
      </w:r>
      <w:r w:rsidRPr="000A32AD">
        <w:rPr>
          <w:rFonts w:ascii="Times New Roman" w:hAnsi="Times New Roman" w:cs="Times New Roman"/>
          <w:b/>
          <w:color w:val="000000" w:themeColor="text1"/>
          <w:sz w:val="28"/>
          <w:szCs w:val="28"/>
          <w:lang w:val="uk-UA"/>
        </w:rPr>
        <w:t>результатів дослідження</w:t>
      </w:r>
    </w:p>
    <w:p w:rsidR="00BC6BC0" w:rsidRPr="000A32AD" w:rsidRDefault="00BC6BC0" w:rsidP="00BC6BC0">
      <w:pPr>
        <w:spacing w:line="360" w:lineRule="auto"/>
        <w:ind w:firstLine="708"/>
        <w:jc w:val="both"/>
        <w:rPr>
          <w:rStyle w:val="14"/>
          <w:i w:val="0"/>
          <w:color w:val="000000" w:themeColor="text1"/>
          <w:lang w:val="uk-UA" w:eastAsia="ar-SA"/>
        </w:rPr>
      </w:pPr>
      <w:r w:rsidRPr="000A32AD">
        <w:rPr>
          <w:rStyle w:val="14"/>
          <w:i w:val="0"/>
          <w:color w:val="000000" w:themeColor="text1"/>
          <w:lang w:val="uk-UA" w:eastAsia="ar-SA"/>
        </w:rPr>
        <w:t>Отримані результати оброблялися за допомогою пакета статистичних програм PSSР (відкрита програма, що не потребує ліцензії) з урахуванням рекомендацій до медико-біологічних досліджень</w:t>
      </w:r>
      <w:r w:rsidR="00107D53" w:rsidRPr="000A32AD">
        <w:rPr>
          <w:rStyle w:val="14"/>
          <w:i w:val="0"/>
          <w:color w:val="000000" w:themeColor="text1"/>
          <w:lang w:val="uk-UA" w:eastAsia="ar-SA"/>
        </w:rPr>
        <w:t xml:space="preserve"> [</w:t>
      </w:r>
      <w:r w:rsidR="00E77C08" w:rsidRPr="000A32AD">
        <w:rPr>
          <w:rStyle w:val="14"/>
          <w:i w:val="0"/>
          <w:color w:val="000000" w:themeColor="text1"/>
          <w:lang w:eastAsia="ar-SA"/>
        </w:rPr>
        <w:t>17</w:t>
      </w:r>
      <w:r w:rsidR="00107D53" w:rsidRPr="000A32AD">
        <w:rPr>
          <w:rStyle w:val="14"/>
          <w:i w:val="0"/>
          <w:color w:val="000000" w:themeColor="text1"/>
          <w:lang w:val="uk-UA" w:eastAsia="ar-SA"/>
        </w:rPr>
        <w:t>]</w:t>
      </w:r>
      <w:r w:rsidRPr="000A32AD">
        <w:rPr>
          <w:rStyle w:val="14"/>
          <w:i w:val="0"/>
          <w:color w:val="000000" w:themeColor="text1"/>
          <w:lang w:val="uk-UA" w:eastAsia="ar-SA"/>
        </w:rPr>
        <w:t xml:space="preserve">. </w:t>
      </w:r>
    </w:p>
    <w:p w:rsidR="00BC6BC0" w:rsidRPr="000A32AD" w:rsidRDefault="00BC6BC0" w:rsidP="00BC6BC0">
      <w:pPr>
        <w:spacing w:line="360" w:lineRule="auto"/>
        <w:ind w:firstLine="708"/>
        <w:jc w:val="both"/>
        <w:rPr>
          <w:rStyle w:val="14"/>
          <w:i w:val="0"/>
          <w:color w:val="000000" w:themeColor="text1"/>
          <w:lang w:val="uk-UA" w:eastAsia="ar-SA"/>
        </w:rPr>
      </w:pPr>
      <w:r w:rsidRPr="000A32AD">
        <w:rPr>
          <w:rStyle w:val="14"/>
          <w:i w:val="0"/>
          <w:color w:val="000000" w:themeColor="text1"/>
          <w:lang w:val="uk-UA" w:eastAsia="ar-SA"/>
        </w:rPr>
        <w:t>Кількісні показники перевірялися на нормальність розподілу за допомогою критерію Колмагорова-Смирнова та Лілієфорса. Дані, що розподілені за нормальним законом, наводили у вигляді (</w:t>
      </w:r>
      <w:r w:rsidRPr="000A32AD">
        <w:rPr>
          <w:rStyle w:val="14"/>
          <w:i w:val="0"/>
          <w:color w:val="000000" w:themeColor="text1"/>
          <w:lang w:val="en-US" w:eastAsia="ar-SA"/>
        </w:rPr>
        <w:t>M</w:t>
      </w:r>
      <w:r w:rsidRPr="000A32AD">
        <w:rPr>
          <w:rStyle w:val="14"/>
          <w:i w:val="0"/>
          <w:color w:val="000000" w:themeColor="text1"/>
          <w:lang w:val="uk-UA" w:eastAsia="ar-SA"/>
        </w:rPr>
        <w:t>±</w:t>
      </w:r>
      <w:r w:rsidRPr="000A32AD">
        <w:rPr>
          <w:rStyle w:val="14"/>
          <w:i w:val="0"/>
          <w:color w:val="000000" w:themeColor="text1"/>
          <w:lang w:val="en-US" w:eastAsia="ar-SA"/>
        </w:rPr>
        <w:t>SD</w:t>
      </w:r>
      <w:r w:rsidRPr="000A32AD">
        <w:rPr>
          <w:rStyle w:val="14"/>
          <w:i w:val="0"/>
          <w:color w:val="000000" w:themeColor="text1"/>
          <w:lang w:val="uk-UA" w:eastAsia="ar-SA"/>
        </w:rPr>
        <w:t>) (середнє арифметичне ± стандартне відхилення); для даних, закон розподілу яких відрізнявся від нормального, застосовували Ме (медіану) та міжквартільний інтервал [</w:t>
      </w:r>
      <w:r w:rsidRPr="000A32AD">
        <w:rPr>
          <w:rStyle w:val="14"/>
          <w:i w:val="0"/>
          <w:color w:val="000000" w:themeColor="text1"/>
          <w:lang w:val="en-US" w:eastAsia="ar-SA"/>
        </w:rPr>
        <w:t>Q</w:t>
      </w:r>
      <w:r w:rsidRPr="000A32AD">
        <w:rPr>
          <w:rStyle w:val="14"/>
          <w:i w:val="0"/>
          <w:color w:val="000000" w:themeColor="text1"/>
          <w:vertAlign w:val="subscript"/>
          <w:lang w:val="uk-UA" w:eastAsia="ar-SA"/>
        </w:rPr>
        <w:t>25</w:t>
      </w:r>
      <w:r w:rsidRPr="000A32AD">
        <w:rPr>
          <w:rStyle w:val="14"/>
          <w:i w:val="0"/>
          <w:color w:val="000000" w:themeColor="text1"/>
          <w:lang w:val="uk-UA" w:eastAsia="ar-SA"/>
        </w:rPr>
        <w:t>;</w:t>
      </w:r>
      <w:r w:rsidRPr="000A32AD">
        <w:rPr>
          <w:rStyle w:val="14"/>
          <w:i w:val="0"/>
          <w:color w:val="000000" w:themeColor="text1"/>
          <w:lang w:val="en-US" w:eastAsia="ar-SA"/>
        </w:rPr>
        <w:t>Q</w:t>
      </w:r>
      <w:r w:rsidRPr="000A32AD">
        <w:rPr>
          <w:rStyle w:val="14"/>
          <w:i w:val="0"/>
          <w:color w:val="000000" w:themeColor="text1"/>
          <w:vertAlign w:val="subscript"/>
          <w:lang w:val="uk-UA" w:eastAsia="ar-SA"/>
        </w:rPr>
        <w:t>75</w:t>
      </w:r>
      <w:r w:rsidRPr="000A32AD">
        <w:rPr>
          <w:rStyle w:val="14"/>
          <w:i w:val="0"/>
          <w:color w:val="000000" w:themeColor="text1"/>
          <w:lang w:val="uk-UA" w:eastAsia="ar-SA"/>
        </w:rPr>
        <w:t>]. Якісні показники представлено в абсолютній кількості (</w:t>
      </w:r>
      <w:r w:rsidRPr="000A32AD">
        <w:rPr>
          <w:rStyle w:val="14"/>
          <w:i w:val="0"/>
          <w:color w:val="000000" w:themeColor="text1"/>
          <w:lang w:val="en-US" w:eastAsia="ar-SA"/>
        </w:rPr>
        <w:t>n</w:t>
      </w:r>
      <w:r w:rsidRPr="000A32AD">
        <w:rPr>
          <w:rStyle w:val="14"/>
          <w:i w:val="0"/>
          <w:color w:val="000000" w:themeColor="text1"/>
          <w:lang w:eastAsia="ar-SA"/>
        </w:rPr>
        <w:t>)</w:t>
      </w:r>
      <w:r w:rsidRPr="000A32AD">
        <w:rPr>
          <w:rStyle w:val="14"/>
          <w:i w:val="0"/>
          <w:color w:val="000000" w:themeColor="text1"/>
          <w:lang w:val="uk-UA" w:eastAsia="ar-SA"/>
        </w:rPr>
        <w:t xml:space="preserve"> та у відсотках ( %). </w:t>
      </w:r>
    </w:p>
    <w:p w:rsidR="00BC6BC0" w:rsidRPr="000A32AD" w:rsidRDefault="00BC6BC0" w:rsidP="00E93FD6">
      <w:pPr>
        <w:spacing w:line="360" w:lineRule="auto"/>
        <w:ind w:firstLine="708"/>
        <w:jc w:val="both"/>
        <w:rPr>
          <w:rFonts w:ascii="Times New Roman" w:hAnsi="Times New Roman" w:cs="Times New Roman"/>
          <w:color w:val="000000" w:themeColor="text1"/>
          <w:sz w:val="28"/>
          <w:szCs w:val="28"/>
          <w:lang w:val="uk-UA"/>
        </w:rPr>
      </w:pPr>
      <w:r w:rsidRPr="000A32AD">
        <w:rPr>
          <w:rStyle w:val="14"/>
          <w:i w:val="0"/>
          <w:color w:val="000000" w:themeColor="text1"/>
          <w:lang w:val="uk-UA" w:eastAsia="ar-SA"/>
        </w:rPr>
        <w:t xml:space="preserve">Для порівняння показників з нормальним розподілом був використаний </w:t>
      </w:r>
      <w:r w:rsidRPr="000A32AD">
        <w:rPr>
          <w:rStyle w:val="14"/>
          <w:i w:val="0"/>
          <w:color w:val="000000" w:themeColor="text1"/>
          <w:lang w:val="en-US" w:eastAsia="ar-SA"/>
        </w:rPr>
        <w:t>t</w:t>
      </w:r>
      <w:r w:rsidRPr="000A32AD">
        <w:rPr>
          <w:rStyle w:val="14"/>
          <w:i w:val="0"/>
          <w:color w:val="000000" w:themeColor="text1"/>
          <w:lang w:eastAsia="ar-SA"/>
        </w:rPr>
        <w:t>-</w:t>
      </w:r>
      <w:r w:rsidRPr="000A32AD">
        <w:rPr>
          <w:rStyle w:val="14"/>
          <w:i w:val="0"/>
          <w:color w:val="000000" w:themeColor="text1"/>
          <w:lang w:val="uk-UA" w:eastAsia="ar-SA"/>
        </w:rPr>
        <w:t>критерій (Стьюдента) для незалежних вибірок та парний критерій Стьюдента для залежних вибірок. Для порівняння кількісних показників, які не відповідали критеріям нормального розподілу, були використані непараметричний критерій Манна-Уїтні (для двох незалежних вибірок), критерій Крускала-Уоліса (для більше двох незалежних вибірок), критерій Уілкоксона (для порівняння залежних вибірок). Для порівняння якісних показників використано таблиці спряженості з визначенням критерію χ</w:t>
      </w:r>
      <w:r w:rsidRPr="000A32AD">
        <w:rPr>
          <w:rStyle w:val="14"/>
          <w:i w:val="0"/>
          <w:color w:val="000000" w:themeColor="text1"/>
          <w:vertAlign w:val="superscript"/>
          <w:lang w:val="uk-UA" w:eastAsia="ar-SA"/>
        </w:rPr>
        <w:t>2</w:t>
      </w:r>
      <w:r w:rsidRPr="000A32AD">
        <w:rPr>
          <w:rStyle w:val="14"/>
          <w:i w:val="0"/>
          <w:color w:val="000000" w:themeColor="text1"/>
          <w:lang w:val="uk-UA" w:eastAsia="ar-SA"/>
        </w:rPr>
        <w:t xml:space="preserve"> (при малих вибірках - з поправкою Йєтса) або критерію Фішера. Відмінності вважали значущими при ймовірності нульової гіпотези менше 5 % (р&lt;0,05). Для вивчення взаємозв'язків ознак, що аналізуються, використаний кореляційний аналіз непараметричним методом Спірмена. </w:t>
      </w:r>
    </w:p>
    <w:p w:rsidR="00BC6BC0" w:rsidRPr="000A32AD" w:rsidRDefault="00BC6BC0" w:rsidP="00500434">
      <w:pPr>
        <w:spacing w:line="360" w:lineRule="auto"/>
        <w:jc w:val="center"/>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lastRenderedPageBreak/>
        <w:t>Розділ 3</w:t>
      </w:r>
    </w:p>
    <w:p w:rsidR="00BC6BC0" w:rsidRPr="000A32AD" w:rsidRDefault="00C20C62" w:rsidP="00500434">
      <w:pPr>
        <w:spacing w:line="360" w:lineRule="auto"/>
        <w:jc w:val="center"/>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t>ОСОБЛИВОСТІ ПЕРЕБІГУ ЦУКРОВОГО ДІАБЕТУ 2 ТИПУ ТА АРТЕРІАЛЬНОЇ ГІПЕРТЕНЗІЇ ЗАЛЕЖНО ВІД НАЯВНОСТІ НЕДИФЕРЕНЦІЙОВАНОЇ ДИСПЛАЗІЇ СПОЛУЧНОЇ ТКАНИНИ</w:t>
      </w:r>
    </w:p>
    <w:p w:rsidR="00BC6BC0" w:rsidRPr="000A32AD" w:rsidRDefault="00BC6BC0" w:rsidP="00BC6BC0">
      <w:pPr>
        <w:jc w:val="center"/>
        <w:rPr>
          <w:rFonts w:ascii="Times New Roman" w:hAnsi="Times New Roman" w:cs="Times New Roman"/>
          <w:b/>
          <w:color w:val="000000" w:themeColor="text1"/>
          <w:sz w:val="28"/>
          <w:szCs w:val="28"/>
          <w:lang w:val="uk-UA"/>
        </w:rPr>
      </w:pPr>
    </w:p>
    <w:p w:rsidR="004D5BA6" w:rsidRPr="000A32AD" w:rsidRDefault="004D5BA6" w:rsidP="00BC6BC0">
      <w:pPr>
        <w:spacing w:line="360" w:lineRule="auto"/>
        <w:ind w:firstLine="709"/>
        <w:jc w:val="both"/>
        <w:rPr>
          <w:rFonts w:ascii="Times New Roman" w:hAnsi="Times New Roman" w:cs="Times New Roman"/>
          <w:color w:val="000000" w:themeColor="text1"/>
          <w:sz w:val="28"/>
          <w:szCs w:val="28"/>
          <w:lang w:val="uk-UA"/>
        </w:rPr>
      </w:pP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За результатами окремих дослідників НДСТ обтяжує клінічний перебіг багатьох захворювань, тому числі ЦД та АГ, що пов’язують з посиленням фібротичних процесів та пригніченням ангіогенезу на тлі порушень метаболізму сполучної тканини. Серед пацієнтів, що увійшли у дослідження, фенотипічні ознаки (вісцеральні та/або скелетні) ознаки НДСТ мали 48 пацієнтів (І група) та у 42 пацієнтів ознак НДСТ не було (ІІ група).</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У дослідження увійшли хворі від 35 до 45 років, однак середній вік хворих І групи</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був достовірно меншим, ніж в ІІ групі: (36,8±3,2) р. та (38,8±2,8) р. відповідно (р=0,003 за t-критерієм) (табл. 3.1).</w:t>
      </w:r>
    </w:p>
    <w:p w:rsidR="004D5BA6" w:rsidRPr="000A32AD" w:rsidRDefault="004D5BA6" w:rsidP="004D5BA6">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 обох групах переважали жінки з недостовірним відносним збільшенням їх питомої в І групі – 31 (64,6%) жінка, у порівнянні з ІІ групою – 24 (57,1%) жінки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=0,522, р=0,470). При цьому, серед 17 пацієнтів І групи з наявністю вісцеральних та скелетних проявів НДСТ питома вага жінок ще більш зростала – до 13 (76,5%), але не достовірно у порівнянні з ІІ групою та з іншими пацієнтами І групи (р&gt;0,05 за критерієм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w:t>
      </w:r>
    </w:p>
    <w:p w:rsidR="004D5BA6" w:rsidRPr="000A32AD" w:rsidRDefault="004D5BA6" w:rsidP="004D5BA6">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Середній зріст хворих І групи був незначно, але достовірно більшим ніж у хворих ІІ групи – (174,6±11,1) см та (170,2±9,5) см відповідно (р=0,045 за t-критерієм). Вага, навпаки, у пацієнтів І групи була достовірно меншою: (24,7±3,7) кг та (26,0±5,8) кг відповідно (р=0,020 за t-критерієм). </w:t>
      </w:r>
    </w:p>
    <w:p w:rsidR="004D5BA6" w:rsidRPr="000A32AD" w:rsidRDefault="004D5BA6" w:rsidP="00BC6BC0">
      <w:pPr>
        <w:spacing w:line="360" w:lineRule="auto"/>
        <w:ind w:firstLine="709"/>
        <w:jc w:val="both"/>
        <w:rPr>
          <w:rFonts w:ascii="Times New Roman" w:hAnsi="Times New Roman" w:cs="Times New Roman"/>
          <w:color w:val="000000" w:themeColor="text1"/>
          <w:sz w:val="28"/>
          <w:szCs w:val="28"/>
          <w:lang w:val="uk-UA"/>
        </w:rPr>
      </w:pPr>
    </w:p>
    <w:p w:rsidR="005870CC" w:rsidRPr="000A32AD" w:rsidRDefault="005870CC" w:rsidP="00BC6BC0">
      <w:pPr>
        <w:spacing w:line="360" w:lineRule="auto"/>
        <w:ind w:firstLine="709"/>
        <w:jc w:val="both"/>
        <w:rPr>
          <w:rFonts w:ascii="Times New Roman" w:hAnsi="Times New Roman" w:cs="Times New Roman"/>
          <w:color w:val="000000" w:themeColor="text1"/>
          <w:sz w:val="28"/>
          <w:szCs w:val="28"/>
          <w:lang w:val="uk-UA"/>
        </w:rPr>
      </w:pPr>
    </w:p>
    <w:p w:rsidR="005870CC" w:rsidRPr="000A32AD" w:rsidRDefault="005870CC" w:rsidP="00BC6BC0">
      <w:pPr>
        <w:spacing w:line="360" w:lineRule="auto"/>
        <w:ind w:firstLine="709"/>
        <w:jc w:val="both"/>
        <w:rPr>
          <w:rFonts w:ascii="Times New Roman" w:hAnsi="Times New Roman" w:cs="Times New Roman"/>
          <w:color w:val="000000" w:themeColor="text1"/>
          <w:sz w:val="28"/>
          <w:szCs w:val="28"/>
          <w:lang w:val="uk-UA"/>
        </w:rPr>
      </w:pP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lastRenderedPageBreak/>
        <w:t>Таблиця 3.1 – Демографічні та антропометричні показники хворих на ЦД 2 типу залежно від наявності НДСТ</w:t>
      </w:r>
    </w:p>
    <w:tbl>
      <w:tblPr>
        <w:tblStyle w:val="afa"/>
        <w:tblW w:w="0" w:type="auto"/>
        <w:tblLook w:val="04A0" w:firstRow="1" w:lastRow="0" w:firstColumn="1" w:lastColumn="0" w:noHBand="0" w:noVBand="1"/>
      </w:tblPr>
      <w:tblGrid>
        <w:gridCol w:w="3190"/>
        <w:gridCol w:w="2447"/>
        <w:gridCol w:w="2126"/>
        <w:gridCol w:w="1808"/>
      </w:tblGrid>
      <w:tr w:rsidR="00BC6BC0" w:rsidRPr="000A32AD" w:rsidTr="00FE7908">
        <w:tc>
          <w:tcPr>
            <w:tcW w:w="3190" w:type="dxa"/>
          </w:tcPr>
          <w:p w:rsidR="00BC6BC0" w:rsidRPr="000A32AD" w:rsidRDefault="00BC6BC0"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Показник</w:t>
            </w:r>
          </w:p>
        </w:tc>
        <w:tc>
          <w:tcPr>
            <w:tcW w:w="2447" w:type="dxa"/>
          </w:tcPr>
          <w:p w:rsidR="00BC6BC0" w:rsidRPr="000A32AD" w:rsidRDefault="00BC6BC0"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І група (n=48)</w:t>
            </w:r>
          </w:p>
        </w:tc>
        <w:tc>
          <w:tcPr>
            <w:tcW w:w="2126" w:type="dxa"/>
          </w:tcPr>
          <w:p w:rsidR="00BC6BC0" w:rsidRPr="000A32AD" w:rsidRDefault="00BC6BC0"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ІІ група (n=42)</w:t>
            </w:r>
          </w:p>
        </w:tc>
        <w:tc>
          <w:tcPr>
            <w:tcW w:w="1808" w:type="dxa"/>
          </w:tcPr>
          <w:p w:rsidR="00BC6BC0" w:rsidRPr="000A32AD" w:rsidRDefault="00BC6BC0"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w:t>
            </w:r>
          </w:p>
        </w:tc>
      </w:tr>
      <w:tr w:rsidR="00BC6BC0" w:rsidRPr="000A32AD" w:rsidTr="00FE7908">
        <w:tc>
          <w:tcPr>
            <w:tcW w:w="3190" w:type="dxa"/>
          </w:tcPr>
          <w:p w:rsidR="00BC6BC0" w:rsidRPr="000A32AD" w:rsidRDefault="00BC6BC0" w:rsidP="00FE7908">
            <w:pPr>
              <w:spacing w:line="360" w:lineRule="auto"/>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Вік, роки</w:t>
            </w:r>
          </w:p>
        </w:tc>
        <w:tc>
          <w:tcPr>
            <w:tcW w:w="2447" w:type="dxa"/>
          </w:tcPr>
          <w:p w:rsidR="00BC6BC0" w:rsidRPr="000A32AD" w:rsidRDefault="00BC6BC0"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36,8±3,2</w:t>
            </w:r>
          </w:p>
        </w:tc>
        <w:tc>
          <w:tcPr>
            <w:tcW w:w="2126" w:type="dxa"/>
          </w:tcPr>
          <w:p w:rsidR="00BC6BC0" w:rsidRPr="000A32AD" w:rsidRDefault="00BC6BC0"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38,8±2,8</w:t>
            </w:r>
          </w:p>
        </w:tc>
        <w:tc>
          <w:tcPr>
            <w:tcW w:w="1808" w:type="dxa"/>
          </w:tcPr>
          <w:p w:rsidR="00BC6BC0" w:rsidRPr="000A32AD" w:rsidRDefault="00BC6BC0"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0,003</w:t>
            </w:r>
            <w:r w:rsidRPr="000A32AD">
              <w:rPr>
                <w:rFonts w:ascii="Times New Roman" w:hAnsi="Times New Roman" w:cs="Times New Roman"/>
                <w:color w:val="000000" w:themeColor="text1"/>
                <w:sz w:val="28"/>
                <w:szCs w:val="28"/>
                <w:vertAlign w:val="superscript"/>
                <w:lang w:val="uk-UA"/>
              </w:rPr>
              <w:t>1</w:t>
            </w:r>
          </w:p>
        </w:tc>
      </w:tr>
      <w:tr w:rsidR="00BC6BC0" w:rsidRPr="000A32AD" w:rsidTr="00FE7908">
        <w:tc>
          <w:tcPr>
            <w:tcW w:w="3190" w:type="dxa"/>
          </w:tcPr>
          <w:p w:rsidR="00BC6BC0" w:rsidRPr="000A32AD" w:rsidRDefault="00BC6BC0" w:rsidP="00FE7908">
            <w:pPr>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Стать:</w:t>
            </w:r>
          </w:p>
          <w:p w:rsidR="00BC6BC0" w:rsidRPr="000A32AD" w:rsidRDefault="00BC6BC0" w:rsidP="00FE7908">
            <w:pPr>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жінки</w:t>
            </w:r>
          </w:p>
          <w:p w:rsidR="00BC6BC0" w:rsidRPr="000A32AD" w:rsidRDefault="00BC6BC0" w:rsidP="00FE7908">
            <w:pPr>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чоловіки</w:t>
            </w:r>
          </w:p>
        </w:tc>
        <w:tc>
          <w:tcPr>
            <w:tcW w:w="2447" w:type="dxa"/>
          </w:tcPr>
          <w:p w:rsidR="00BC6BC0" w:rsidRPr="000A32AD" w:rsidRDefault="00BC6BC0" w:rsidP="00FE7908">
            <w:pPr>
              <w:jc w:val="center"/>
              <w:rPr>
                <w:rFonts w:ascii="Times New Roman" w:hAnsi="Times New Roman" w:cs="Times New Roman"/>
                <w:color w:val="000000" w:themeColor="text1"/>
                <w:sz w:val="28"/>
                <w:szCs w:val="28"/>
                <w:lang w:val="uk-UA"/>
              </w:rPr>
            </w:pP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31 (64,6%)</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17 (35,4%)</w:t>
            </w:r>
          </w:p>
        </w:tc>
        <w:tc>
          <w:tcPr>
            <w:tcW w:w="2126" w:type="dxa"/>
          </w:tcPr>
          <w:p w:rsidR="00BC6BC0" w:rsidRPr="000A32AD" w:rsidRDefault="00BC6BC0" w:rsidP="00FE7908">
            <w:pPr>
              <w:jc w:val="center"/>
              <w:rPr>
                <w:rFonts w:ascii="Times New Roman" w:hAnsi="Times New Roman" w:cs="Times New Roman"/>
                <w:color w:val="000000" w:themeColor="text1"/>
                <w:sz w:val="28"/>
                <w:szCs w:val="28"/>
                <w:lang w:val="uk-UA"/>
              </w:rPr>
            </w:pP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24 (57,1%)</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42,9%)</w:t>
            </w:r>
          </w:p>
        </w:tc>
        <w:tc>
          <w:tcPr>
            <w:tcW w:w="1808" w:type="dxa"/>
          </w:tcPr>
          <w:p w:rsidR="00BC6BC0" w:rsidRPr="000A32AD" w:rsidRDefault="00BC6BC0" w:rsidP="00FE7908">
            <w:pPr>
              <w:jc w:val="center"/>
              <w:rPr>
                <w:rFonts w:ascii="Times New Roman" w:hAnsi="Times New Roman" w:cs="Times New Roman"/>
                <w:color w:val="000000" w:themeColor="text1"/>
                <w:sz w:val="28"/>
                <w:szCs w:val="28"/>
                <w:lang w:val="uk-UA"/>
              </w:rPr>
            </w:pP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0,522</w:t>
            </w:r>
            <w:r w:rsidRPr="000A32AD">
              <w:rPr>
                <w:rFonts w:ascii="Times New Roman" w:hAnsi="Times New Roman" w:cs="Times New Roman"/>
                <w:color w:val="000000" w:themeColor="text1"/>
                <w:sz w:val="28"/>
                <w:szCs w:val="28"/>
                <w:vertAlign w:val="superscript"/>
                <w:lang w:val="uk-UA"/>
              </w:rPr>
              <w:t>2</w:t>
            </w:r>
          </w:p>
        </w:tc>
      </w:tr>
      <w:tr w:rsidR="00BC6BC0" w:rsidRPr="000A32AD" w:rsidTr="00FE7908">
        <w:trPr>
          <w:trHeight w:val="483"/>
        </w:trPr>
        <w:tc>
          <w:tcPr>
            <w:tcW w:w="3190" w:type="dxa"/>
          </w:tcPr>
          <w:p w:rsidR="00BC6BC0" w:rsidRPr="000A32AD" w:rsidRDefault="00BC6BC0" w:rsidP="00FE7908">
            <w:pPr>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Зріст, см</w:t>
            </w:r>
          </w:p>
        </w:tc>
        <w:tc>
          <w:tcPr>
            <w:tcW w:w="2447"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174,6±11,1</w:t>
            </w:r>
          </w:p>
        </w:tc>
        <w:tc>
          <w:tcPr>
            <w:tcW w:w="2126"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170,2±9,5</w:t>
            </w:r>
          </w:p>
        </w:tc>
        <w:tc>
          <w:tcPr>
            <w:tcW w:w="1808"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0,045</w:t>
            </w:r>
            <w:r w:rsidRPr="000A32AD">
              <w:rPr>
                <w:rFonts w:ascii="Times New Roman" w:hAnsi="Times New Roman" w:cs="Times New Roman"/>
                <w:color w:val="000000" w:themeColor="text1"/>
                <w:sz w:val="28"/>
                <w:szCs w:val="28"/>
                <w:vertAlign w:val="superscript"/>
                <w:lang w:val="uk-UA"/>
              </w:rPr>
              <w:t>1</w:t>
            </w:r>
          </w:p>
        </w:tc>
      </w:tr>
      <w:tr w:rsidR="00BC6BC0" w:rsidRPr="000A32AD" w:rsidTr="00FE7908">
        <w:trPr>
          <w:trHeight w:val="569"/>
        </w:trPr>
        <w:tc>
          <w:tcPr>
            <w:tcW w:w="3190" w:type="dxa"/>
          </w:tcPr>
          <w:p w:rsidR="00BC6BC0" w:rsidRPr="000A32AD" w:rsidRDefault="00BC6BC0" w:rsidP="00FE7908">
            <w:pPr>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Вага, кг</w:t>
            </w:r>
          </w:p>
        </w:tc>
        <w:tc>
          <w:tcPr>
            <w:tcW w:w="2447"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71,6±11,7</w:t>
            </w:r>
          </w:p>
        </w:tc>
        <w:tc>
          <w:tcPr>
            <w:tcW w:w="2126"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79,0±17,7</w:t>
            </w:r>
          </w:p>
        </w:tc>
        <w:tc>
          <w:tcPr>
            <w:tcW w:w="1808" w:type="dxa"/>
          </w:tcPr>
          <w:p w:rsidR="00BC6BC0" w:rsidRPr="000A32AD" w:rsidRDefault="00BC6BC0" w:rsidP="00FE7908">
            <w:pPr>
              <w:jc w:val="center"/>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0,020</w:t>
            </w:r>
          </w:p>
        </w:tc>
      </w:tr>
      <w:tr w:rsidR="00BC6BC0" w:rsidRPr="000A32AD" w:rsidTr="00FE7908">
        <w:trPr>
          <w:trHeight w:val="501"/>
        </w:trPr>
        <w:tc>
          <w:tcPr>
            <w:tcW w:w="3190" w:type="dxa"/>
          </w:tcPr>
          <w:p w:rsidR="00BC6BC0" w:rsidRPr="000A32AD" w:rsidRDefault="00BC6BC0" w:rsidP="00FE7908">
            <w:pPr>
              <w:jc w:val="both"/>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ІМТ, кг/м</w:t>
            </w:r>
            <w:r w:rsidRPr="000A32AD">
              <w:rPr>
                <w:rFonts w:ascii="Times New Roman" w:hAnsi="Times New Roman" w:cs="Times New Roman"/>
                <w:color w:val="000000" w:themeColor="text1"/>
                <w:sz w:val="28"/>
                <w:szCs w:val="28"/>
                <w:vertAlign w:val="superscript"/>
                <w:lang w:val="uk-UA"/>
              </w:rPr>
              <w:t>2</w:t>
            </w:r>
          </w:p>
        </w:tc>
        <w:tc>
          <w:tcPr>
            <w:tcW w:w="2447"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24,7±3,7</w:t>
            </w:r>
          </w:p>
        </w:tc>
        <w:tc>
          <w:tcPr>
            <w:tcW w:w="2126"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26,0±5,8</w:t>
            </w:r>
          </w:p>
        </w:tc>
        <w:tc>
          <w:tcPr>
            <w:tcW w:w="1808"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0,213</w:t>
            </w:r>
            <w:r w:rsidRPr="000A32AD">
              <w:rPr>
                <w:rFonts w:ascii="Times New Roman" w:hAnsi="Times New Roman" w:cs="Times New Roman"/>
                <w:color w:val="000000" w:themeColor="text1"/>
                <w:sz w:val="28"/>
                <w:szCs w:val="28"/>
                <w:vertAlign w:val="superscript"/>
                <w:lang w:val="uk-UA"/>
              </w:rPr>
              <w:t>1</w:t>
            </w:r>
          </w:p>
        </w:tc>
      </w:tr>
      <w:tr w:rsidR="00BC6BC0" w:rsidRPr="000A32AD" w:rsidTr="00FE7908">
        <w:tc>
          <w:tcPr>
            <w:tcW w:w="3190" w:type="dxa"/>
          </w:tcPr>
          <w:p w:rsidR="00BC6BC0" w:rsidRPr="000A32AD" w:rsidRDefault="00BC6BC0" w:rsidP="00FE7908">
            <w:pPr>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ІМТ:</w:t>
            </w:r>
          </w:p>
          <w:p w:rsidR="00BC6BC0" w:rsidRPr="000A32AD" w:rsidRDefault="00BC6BC0" w:rsidP="00FE7908">
            <w:pPr>
              <w:jc w:val="both"/>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до 25 кг/м</w:t>
            </w:r>
            <w:r w:rsidRPr="000A32AD">
              <w:rPr>
                <w:rFonts w:ascii="Times New Roman" w:hAnsi="Times New Roman" w:cs="Times New Roman"/>
                <w:color w:val="000000" w:themeColor="text1"/>
                <w:sz w:val="28"/>
                <w:szCs w:val="28"/>
                <w:vertAlign w:val="superscript"/>
                <w:lang w:val="uk-UA"/>
              </w:rPr>
              <w:t>2</w:t>
            </w:r>
          </w:p>
          <w:p w:rsidR="00BC6BC0" w:rsidRPr="000A32AD" w:rsidRDefault="00BC6BC0" w:rsidP="00FE7908">
            <w:pPr>
              <w:jc w:val="both"/>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25–30 кг/м</w:t>
            </w:r>
            <w:r w:rsidRPr="000A32AD">
              <w:rPr>
                <w:rFonts w:ascii="Times New Roman" w:hAnsi="Times New Roman" w:cs="Times New Roman"/>
                <w:color w:val="000000" w:themeColor="text1"/>
                <w:sz w:val="28"/>
                <w:szCs w:val="28"/>
                <w:vertAlign w:val="superscript"/>
                <w:lang w:val="uk-UA"/>
              </w:rPr>
              <w:t>2</w:t>
            </w:r>
          </w:p>
          <w:p w:rsidR="00BC6BC0" w:rsidRPr="000A32AD" w:rsidRDefault="00BC6BC0" w:rsidP="00FE7908">
            <w:pPr>
              <w:jc w:val="both"/>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30–35 кг/м</w:t>
            </w:r>
            <w:r w:rsidRPr="000A32AD">
              <w:rPr>
                <w:rFonts w:ascii="Times New Roman" w:hAnsi="Times New Roman" w:cs="Times New Roman"/>
                <w:color w:val="000000" w:themeColor="text1"/>
                <w:sz w:val="28"/>
                <w:szCs w:val="28"/>
                <w:vertAlign w:val="superscript"/>
                <w:lang w:val="uk-UA"/>
              </w:rPr>
              <w:t>2</w:t>
            </w:r>
          </w:p>
          <w:p w:rsidR="00BC6BC0" w:rsidRPr="000A32AD" w:rsidRDefault="00BC6BC0" w:rsidP="00FE7908">
            <w:pPr>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&gt;35 кг/м</w:t>
            </w:r>
            <w:r w:rsidRPr="000A32AD">
              <w:rPr>
                <w:rFonts w:ascii="Times New Roman" w:hAnsi="Times New Roman" w:cs="Times New Roman"/>
                <w:color w:val="000000" w:themeColor="text1"/>
                <w:sz w:val="28"/>
                <w:szCs w:val="28"/>
                <w:vertAlign w:val="superscript"/>
                <w:lang w:val="uk-UA"/>
              </w:rPr>
              <w:t>2</w:t>
            </w:r>
          </w:p>
        </w:tc>
        <w:tc>
          <w:tcPr>
            <w:tcW w:w="2447" w:type="dxa"/>
          </w:tcPr>
          <w:p w:rsidR="00BC6BC0" w:rsidRPr="000A32AD" w:rsidRDefault="00BC6BC0" w:rsidP="00FE7908">
            <w:pPr>
              <w:jc w:val="center"/>
              <w:rPr>
                <w:rFonts w:ascii="Times New Roman" w:hAnsi="Times New Roman" w:cs="Times New Roman"/>
                <w:color w:val="000000" w:themeColor="text1"/>
                <w:sz w:val="28"/>
                <w:szCs w:val="28"/>
                <w:lang w:val="uk-UA"/>
              </w:rPr>
            </w:pP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29 (60,4%)</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16 (33,3%)</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 (4,2%)</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 (2,1%)</w:t>
            </w:r>
          </w:p>
        </w:tc>
        <w:tc>
          <w:tcPr>
            <w:tcW w:w="2126" w:type="dxa"/>
          </w:tcPr>
          <w:p w:rsidR="00BC6BC0" w:rsidRPr="000A32AD" w:rsidRDefault="00BC6BC0" w:rsidP="00FE7908">
            <w:pPr>
              <w:jc w:val="center"/>
              <w:rPr>
                <w:rFonts w:ascii="Times New Roman" w:hAnsi="Times New Roman" w:cs="Times New Roman"/>
                <w:color w:val="000000" w:themeColor="text1"/>
                <w:sz w:val="28"/>
                <w:szCs w:val="28"/>
                <w:lang w:val="uk-UA"/>
              </w:rPr>
            </w:pP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24 (57,1%)</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8 (33,3%)</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6 (14,3%)</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4 (9,5%)</w:t>
            </w:r>
          </w:p>
        </w:tc>
        <w:tc>
          <w:tcPr>
            <w:tcW w:w="1808" w:type="dxa"/>
          </w:tcPr>
          <w:p w:rsidR="00BC6BC0" w:rsidRPr="000A32AD" w:rsidRDefault="00BC6BC0" w:rsidP="00FE7908">
            <w:pPr>
              <w:jc w:val="center"/>
              <w:rPr>
                <w:rFonts w:ascii="Times New Roman" w:hAnsi="Times New Roman" w:cs="Times New Roman"/>
                <w:color w:val="000000" w:themeColor="text1"/>
                <w:sz w:val="28"/>
                <w:szCs w:val="28"/>
                <w:lang w:val="uk-UA"/>
              </w:rPr>
            </w:pPr>
          </w:p>
          <w:p w:rsidR="00BC6BC0" w:rsidRPr="000A32AD" w:rsidRDefault="00BC6BC0" w:rsidP="00FE7908">
            <w:pPr>
              <w:jc w:val="center"/>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0,087</w:t>
            </w:r>
            <w:r w:rsidRPr="000A32AD">
              <w:rPr>
                <w:rFonts w:ascii="Times New Roman" w:hAnsi="Times New Roman" w:cs="Times New Roman"/>
                <w:color w:val="000000" w:themeColor="text1"/>
                <w:sz w:val="28"/>
                <w:szCs w:val="28"/>
                <w:vertAlign w:val="superscript"/>
                <w:lang w:val="uk-UA"/>
              </w:rPr>
              <w:t>2</w:t>
            </w:r>
          </w:p>
        </w:tc>
      </w:tr>
    </w:tbl>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Примітка. 1 – достовірність різниці за t-критерієм. 2 – достовірність різниці за критерієм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w:t>
      </w:r>
    </w:p>
    <w:p w:rsidR="004D5BA6" w:rsidRPr="000A32AD" w:rsidRDefault="004D5BA6" w:rsidP="00BC6BC0">
      <w:pPr>
        <w:spacing w:line="360" w:lineRule="auto"/>
        <w:ind w:firstLine="709"/>
        <w:jc w:val="both"/>
        <w:rPr>
          <w:rFonts w:ascii="Times New Roman" w:hAnsi="Times New Roman" w:cs="Times New Roman"/>
          <w:color w:val="000000" w:themeColor="text1"/>
          <w:sz w:val="28"/>
          <w:szCs w:val="28"/>
          <w:lang w:val="uk-UA"/>
        </w:rPr>
      </w:pP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Це вплинуло на величину середню величину ІМТ в аналізуємих групах: в І гр</w:t>
      </w:r>
      <w:r w:rsidR="00D577C8">
        <w:rPr>
          <w:rFonts w:ascii="Times New Roman" w:hAnsi="Times New Roman" w:cs="Times New Roman"/>
          <w:color w:val="000000" w:themeColor="text1"/>
          <w:sz w:val="28"/>
          <w:szCs w:val="28"/>
          <w:lang w:val="uk-UA"/>
        </w:rPr>
        <w:t>упі він був дещо меншим та скл</w:t>
      </w:r>
      <w:r w:rsidRPr="000A32AD">
        <w:rPr>
          <w:rFonts w:ascii="Times New Roman" w:hAnsi="Times New Roman" w:cs="Times New Roman"/>
          <w:color w:val="000000" w:themeColor="text1"/>
          <w:sz w:val="28"/>
          <w:szCs w:val="28"/>
          <w:lang w:val="uk-UA"/>
        </w:rPr>
        <w:t>ав (24,7±3,7) кг/м</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 в ІІ групі (26,0±5,8) кг/м</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 xml:space="preserve"> (р=0,213 за критерієм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 Кількість пацієнтів з надмірною вагою в І групі була вищою, ніж в ІІ групі – 16 (33,3)% та 8 (9,0%) відповідно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=1,664, р=0,197), але</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кількість хворих з ожирінням в І групі була менше, ніж в ІІ групі – 3(6,3%) та 10 (23,8%), що наближалось до достовірного рівня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=3,276, р=0,070).</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Таким чином, хворі на ЦД 2 типу з наявністю ознак НДСТ мали певні відмінності – збільшення питомою ваги жінок, зменшення віку, збільшення росту, зменшення ваги та зменшення частоти ожиріння (за ІМТ).</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За результатами аналізу особливостей перебігу ЦД встановлено, що середня тривалість захворювання суттєво не </w:t>
      </w:r>
      <w:r w:rsidR="005E6419">
        <w:rPr>
          <w:rFonts w:ascii="Times New Roman" w:hAnsi="Times New Roman" w:cs="Times New Roman"/>
          <w:color w:val="000000" w:themeColor="text1"/>
          <w:sz w:val="28"/>
          <w:szCs w:val="28"/>
          <w:lang w:val="uk-UA"/>
        </w:rPr>
        <w:t>відрізнялась та скла</w:t>
      </w:r>
      <w:r w:rsidRPr="000A32AD">
        <w:rPr>
          <w:rFonts w:ascii="Times New Roman" w:hAnsi="Times New Roman" w:cs="Times New Roman"/>
          <w:color w:val="000000" w:themeColor="text1"/>
          <w:sz w:val="28"/>
          <w:szCs w:val="28"/>
          <w:lang w:val="uk-UA"/>
        </w:rPr>
        <w:t xml:space="preserve">ла в І групі (5,1±2,3) років, в ІІ групі – 4,2±2,6 років (р=0,108 за t-критерієм). Пацієнтів з </w:t>
      </w:r>
      <w:r w:rsidRPr="000A32AD">
        <w:rPr>
          <w:rFonts w:ascii="Times New Roman" w:hAnsi="Times New Roman" w:cs="Times New Roman"/>
          <w:color w:val="000000" w:themeColor="text1"/>
          <w:sz w:val="28"/>
          <w:szCs w:val="28"/>
          <w:lang w:val="uk-UA"/>
        </w:rPr>
        <w:lastRenderedPageBreak/>
        <w:t>тривалістю діабету до 5 років в І групі було 37 (77,1%), в ІІ групі – 29 (69,0%), з тривалістю від 5 до 10 років в І групі – 11 (22,9%), в ІІ групі – 13 (31,0%)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=0,740, р=0,390) (табл. 3.2).</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lang w:val="uk-UA"/>
        </w:rPr>
        <w:t xml:space="preserve">Медіана рівня </w:t>
      </w:r>
      <w:r w:rsidRPr="000A32AD">
        <w:rPr>
          <w:rFonts w:ascii="Times New Roman" w:hAnsi="Times New Roman" w:cs="Times New Roman"/>
          <w:color w:val="000000" w:themeColor="text1"/>
          <w:sz w:val="28"/>
          <w:szCs w:val="28"/>
          <w:shd w:val="clear" w:color="auto" w:fill="FFFFFF"/>
          <w:lang w:val="uk-UA"/>
        </w:rPr>
        <w:t>HbA1c у хворих І групи була дещо вищою</w:t>
      </w:r>
      <w:r w:rsidR="005E6419">
        <w:rPr>
          <w:rFonts w:ascii="Times New Roman" w:hAnsi="Times New Roman" w:cs="Times New Roman"/>
          <w:color w:val="000000" w:themeColor="text1"/>
          <w:sz w:val="28"/>
          <w:szCs w:val="28"/>
          <w:shd w:val="clear" w:color="auto" w:fill="FFFFFF"/>
          <w:lang w:val="uk-UA"/>
        </w:rPr>
        <w:t xml:space="preserve"> ніж у хворих ІІ групи та скла</w:t>
      </w:r>
      <w:r w:rsidRPr="000A32AD">
        <w:rPr>
          <w:rFonts w:ascii="Times New Roman" w:hAnsi="Times New Roman" w:cs="Times New Roman"/>
          <w:color w:val="000000" w:themeColor="text1"/>
          <w:sz w:val="28"/>
          <w:szCs w:val="28"/>
          <w:shd w:val="clear" w:color="auto" w:fill="FFFFFF"/>
          <w:lang w:val="uk-UA"/>
        </w:rPr>
        <w:t xml:space="preserve">ла 9,4 [8,2; 11,0]%, у хворих ІІ групи – 9,0 [8,1; 10,0]% (р=0,121 за критерієм Мана-Уітні) </w:t>
      </w:r>
      <w:r w:rsidRPr="000A32AD">
        <w:rPr>
          <w:rFonts w:ascii="Times New Roman" w:hAnsi="Times New Roman" w:cs="Times New Roman"/>
          <w:color w:val="000000" w:themeColor="text1"/>
          <w:sz w:val="28"/>
          <w:szCs w:val="28"/>
          <w:lang w:val="uk-UA"/>
        </w:rPr>
        <w:t>(табл. 3.2)</w:t>
      </w:r>
      <w:r w:rsidRPr="000A32AD">
        <w:rPr>
          <w:rFonts w:ascii="Times New Roman" w:hAnsi="Times New Roman" w:cs="Times New Roman"/>
          <w:color w:val="000000" w:themeColor="text1"/>
          <w:sz w:val="28"/>
          <w:szCs w:val="28"/>
          <w:shd w:val="clear" w:color="auto" w:fill="FFFFFF"/>
          <w:lang w:val="uk-UA"/>
        </w:rPr>
        <w:t>.</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shd w:val="clear" w:color="auto" w:fill="FFFFFF"/>
          <w:lang w:val="uk-UA"/>
        </w:rPr>
      </w:pP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Таблиця 3.2 – Особливості перебігу ЦД залежно від наявності НДСТ</w:t>
      </w:r>
    </w:p>
    <w:tbl>
      <w:tblPr>
        <w:tblStyle w:val="afa"/>
        <w:tblW w:w="0" w:type="auto"/>
        <w:tblLook w:val="04A0" w:firstRow="1" w:lastRow="0" w:firstColumn="1" w:lastColumn="0" w:noHBand="0" w:noVBand="1"/>
      </w:tblPr>
      <w:tblGrid>
        <w:gridCol w:w="3190"/>
        <w:gridCol w:w="2447"/>
        <w:gridCol w:w="2409"/>
        <w:gridCol w:w="1525"/>
      </w:tblGrid>
      <w:tr w:rsidR="00BC6BC0" w:rsidRPr="000A32AD" w:rsidTr="00FE7908">
        <w:tc>
          <w:tcPr>
            <w:tcW w:w="3190" w:type="dxa"/>
          </w:tcPr>
          <w:p w:rsidR="00BC6BC0" w:rsidRPr="000A32AD" w:rsidRDefault="00BC6BC0"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Показник</w:t>
            </w:r>
          </w:p>
        </w:tc>
        <w:tc>
          <w:tcPr>
            <w:tcW w:w="2447" w:type="dxa"/>
          </w:tcPr>
          <w:p w:rsidR="00BC6BC0" w:rsidRPr="000A32AD" w:rsidRDefault="00BC6BC0"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І група (n=48)</w:t>
            </w:r>
          </w:p>
        </w:tc>
        <w:tc>
          <w:tcPr>
            <w:tcW w:w="2409" w:type="dxa"/>
          </w:tcPr>
          <w:p w:rsidR="00BC6BC0" w:rsidRPr="000A32AD" w:rsidRDefault="00BC6BC0"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ІІ група (n=42)</w:t>
            </w:r>
          </w:p>
        </w:tc>
        <w:tc>
          <w:tcPr>
            <w:tcW w:w="1525" w:type="dxa"/>
          </w:tcPr>
          <w:p w:rsidR="00BC6BC0" w:rsidRPr="000A32AD" w:rsidRDefault="00BC6BC0"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w:t>
            </w:r>
          </w:p>
        </w:tc>
      </w:tr>
      <w:tr w:rsidR="00BC6BC0" w:rsidRPr="000A32AD" w:rsidTr="00FE7908">
        <w:tc>
          <w:tcPr>
            <w:tcW w:w="3190" w:type="dxa"/>
          </w:tcPr>
          <w:p w:rsidR="00BC6BC0" w:rsidRPr="000A32AD" w:rsidRDefault="00BC6BC0" w:rsidP="00FE7908">
            <w:pPr>
              <w:spacing w:line="360" w:lineRule="auto"/>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Тривалість ЦД, роки</w:t>
            </w:r>
          </w:p>
        </w:tc>
        <w:tc>
          <w:tcPr>
            <w:tcW w:w="2447" w:type="dxa"/>
          </w:tcPr>
          <w:p w:rsidR="00BC6BC0" w:rsidRPr="000A32AD" w:rsidRDefault="00BC6BC0"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5,1±2,3 </w:t>
            </w:r>
          </w:p>
        </w:tc>
        <w:tc>
          <w:tcPr>
            <w:tcW w:w="2409" w:type="dxa"/>
          </w:tcPr>
          <w:p w:rsidR="00BC6BC0" w:rsidRPr="000A32AD" w:rsidRDefault="00BC6BC0"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4,2±2,6</w:t>
            </w:r>
          </w:p>
        </w:tc>
        <w:tc>
          <w:tcPr>
            <w:tcW w:w="1525" w:type="dxa"/>
          </w:tcPr>
          <w:p w:rsidR="00BC6BC0" w:rsidRPr="000A32AD" w:rsidRDefault="00BC6BC0"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0,108</w:t>
            </w:r>
            <w:r w:rsidRPr="000A32AD">
              <w:rPr>
                <w:rFonts w:ascii="Times New Roman" w:hAnsi="Times New Roman" w:cs="Times New Roman"/>
                <w:color w:val="000000" w:themeColor="text1"/>
                <w:sz w:val="28"/>
                <w:szCs w:val="28"/>
                <w:vertAlign w:val="superscript"/>
                <w:lang w:val="uk-UA"/>
              </w:rPr>
              <w:t>1</w:t>
            </w:r>
          </w:p>
        </w:tc>
      </w:tr>
      <w:tr w:rsidR="00BC6BC0" w:rsidRPr="000A32AD" w:rsidTr="00FE7908">
        <w:tc>
          <w:tcPr>
            <w:tcW w:w="3190" w:type="dxa"/>
          </w:tcPr>
          <w:p w:rsidR="00BC6BC0" w:rsidRPr="000A32AD" w:rsidRDefault="00BC6BC0" w:rsidP="00FE7908">
            <w:pPr>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Тривалість ЦД:</w:t>
            </w:r>
          </w:p>
          <w:p w:rsidR="00BC6BC0" w:rsidRPr="000A32AD" w:rsidRDefault="00BC6BC0" w:rsidP="00FE7908">
            <w:pPr>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до 5 років</w:t>
            </w:r>
          </w:p>
          <w:p w:rsidR="00BC6BC0" w:rsidRPr="000A32AD" w:rsidRDefault="00BC6BC0" w:rsidP="00FE7908">
            <w:pPr>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5–10 років</w:t>
            </w:r>
          </w:p>
        </w:tc>
        <w:tc>
          <w:tcPr>
            <w:tcW w:w="2447" w:type="dxa"/>
          </w:tcPr>
          <w:p w:rsidR="00BC6BC0" w:rsidRPr="000A32AD" w:rsidRDefault="00BC6BC0" w:rsidP="00FE7908">
            <w:pPr>
              <w:jc w:val="center"/>
              <w:rPr>
                <w:rFonts w:ascii="Times New Roman" w:hAnsi="Times New Roman" w:cs="Times New Roman"/>
                <w:color w:val="000000" w:themeColor="text1"/>
                <w:sz w:val="28"/>
                <w:szCs w:val="28"/>
                <w:lang w:val="uk-UA"/>
              </w:rPr>
            </w:pP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37 (77,1%)</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11 (22,9%)</w:t>
            </w:r>
          </w:p>
        </w:tc>
        <w:tc>
          <w:tcPr>
            <w:tcW w:w="2409" w:type="dxa"/>
          </w:tcPr>
          <w:p w:rsidR="00BC6BC0" w:rsidRPr="000A32AD" w:rsidRDefault="00BC6BC0" w:rsidP="00FE7908">
            <w:pPr>
              <w:jc w:val="center"/>
              <w:rPr>
                <w:rFonts w:ascii="Times New Roman" w:hAnsi="Times New Roman" w:cs="Times New Roman"/>
                <w:color w:val="000000" w:themeColor="text1"/>
                <w:sz w:val="28"/>
                <w:szCs w:val="28"/>
                <w:lang w:val="uk-UA"/>
              </w:rPr>
            </w:pP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29 (69,0%)</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13 (31,0%)</w:t>
            </w:r>
          </w:p>
        </w:tc>
        <w:tc>
          <w:tcPr>
            <w:tcW w:w="1525" w:type="dxa"/>
          </w:tcPr>
          <w:p w:rsidR="00BC6BC0" w:rsidRPr="000A32AD" w:rsidRDefault="00BC6BC0" w:rsidP="00FE7908">
            <w:pPr>
              <w:jc w:val="center"/>
              <w:rPr>
                <w:rFonts w:ascii="Times New Roman" w:hAnsi="Times New Roman" w:cs="Times New Roman"/>
                <w:color w:val="000000" w:themeColor="text1"/>
                <w:sz w:val="28"/>
                <w:szCs w:val="28"/>
                <w:lang w:val="uk-UA"/>
              </w:rPr>
            </w:pP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0,390</w:t>
            </w:r>
            <w:r w:rsidRPr="000A32AD">
              <w:rPr>
                <w:rFonts w:ascii="Times New Roman" w:hAnsi="Times New Roman" w:cs="Times New Roman"/>
                <w:color w:val="000000" w:themeColor="text1"/>
                <w:sz w:val="28"/>
                <w:szCs w:val="28"/>
                <w:vertAlign w:val="superscript"/>
                <w:lang w:val="uk-UA"/>
              </w:rPr>
              <w:t>2</w:t>
            </w:r>
          </w:p>
        </w:tc>
      </w:tr>
      <w:tr w:rsidR="00BC6BC0" w:rsidRPr="000A32AD" w:rsidTr="00FE7908">
        <w:trPr>
          <w:trHeight w:val="675"/>
        </w:trPr>
        <w:tc>
          <w:tcPr>
            <w:tcW w:w="3190" w:type="dxa"/>
          </w:tcPr>
          <w:p w:rsidR="00BC6BC0" w:rsidRPr="000A32AD" w:rsidRDefault="00BC6BC0" w:rsidP="00FE7908">
            <w:pPr>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shd w:val="clear" w:color="auto" w:fill="FFFFFF"/>
                <w:lang w:val="uk-UA"/>
              </w:rPr>
              <w:t>HbA1c</w:t>
            </w:r>
            <w:r w:rsidRPr="000A32AD">
              <w:rPr>
                <w:rFonts w:ascii="Times New Roman" w:hAnsi="Times New Roman" w:cs="Times New Roman"/>
                <w:color w:val="000000" w:themeColor="text1"/>
                <w:sz w:val="28"/>
                <w:szCs w:val="28"/>
                <w:lang w:val="uk-UA"/>
              </w:rPr>
              <w:t>, %</w:t>
            </w:r>
          </w:p>
        </w:tc>
        <w:tc>
          <w:tcPr>
            <w:tcW w:w="2447"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9,4 [8,2; 11,0]</w:t>
            </w:r>
          </w:p>
        </w:tc>
        <w:tc>
          <w:tcPr>
            <w:tcW w:w="2409"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9,0 [8,1; 10,0]</w:t>
            </w:r>
          </w:p>
        </w:tc>
        <w:tc>
          <w:tcPr>
            <w:tcW w:w="1525"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0,121</w:t>
            </w:r>
            <w:r w:rsidRPr="000A32AD">
              <w:rPr>
                <w:rFonts w:ascii="Times New Roman" w:hAnsi="Times New Roman" w:cs="Times New Roman"/>
                <w:color w:val="000000" w:themeColor="text1"/>
                <w:sz w:val="28"/>
                <w:szCs w:val="28"/>
                <w:vertAlign w:val="superscript"/>
                <w:lang w:val="uk-UA"/>
              </w:rPr>
              <w:t>3</w:t>
            </w:r>
          </w:p>
        </w:tc>
      </w:tr>
      <w:tr w:rsidR="00BC6BC0" w:rsidRPr="000A32AD" w:rsidTr="00FE7908">
        <w:trPr>
          <w:trHeight w:val="569"/>
        </w:trPr>
        <w:tc>
          <w:tcPr>
            <w:tcW w:w="3190" w:type="dxa"/>
          </w:tcPr>
          <w:p w:rsidR="00BC6BC0" w:rsidRPr="000A32AD" w:rsidRDefault="00BC6BC0" w:rsidP="00FE7908">
            <w:pPr>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Діабетична нефропатія</w:t>
            </w:r>
          </w:p>
          <w:p w:rsidR="00BC6BC0" w:rsidRPr="000A32AD" w:rsidRDefault="00BC6BC0" w:rsidP="00FE7908">
            <w:pPr>
              <w:pStyle w:val="a3"/>
              <w:widowControl w:val="0"/>
              <w:numPr>
                <w:ilvl w:val="0"/>
                <w:numId w:val="25"/>
              </w:numPr>
              <w:autoSpaceDE w:val="0"/>
              <w:autoSpaceDN w:val="0"/>
              <w:adjustRightInd w:val="0"/>
              <w:spacing w:line="240" w:lineRule="auto"/>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МАУ</w:t>
            </w:r>
          </w:p>
        </w:tc>
        <w:tc>
          <w:tcPr>
            <w:tcW w:w="2447"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38 (79,2%)</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17 (35,4%)</w:t>
            </w:r>
          </w:p>
        </w:tc>
        <w:tc>
          <w:tcPr>
            <w:tcW w:w="2409"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20 (47,6%)</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6 (14,3%)</w:t>
            </w:r>
          </w:p>
        </w:tc>
        <w:tc>
          <w:tcPr>
            <w:tcW w:w="1525"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0,004</w:t>
            </w:r>
            <w:r w:rsidRPr="000A32AD">
              <w:rPr>
                <w:rFonts w:ascii="Times New Roman" w:hAnsi="Times New Roman" w:cs="Times New Roman"/>
                <w:color w:val="000000" w:themeColor="text1"/>
                <w:sz w:val="28"/>
                <w:szCs w:val="28"/>
                <w:vertAlign w:val="superscript"/>
                <w:lang w:val="uk-UA"/>
              </w:rPr>
              <w:t>2</w:t>
            </w:r>
          </w:p>
          <w:p w:rsidR="00BC6BC0" w:rsidRPr="000A32AD" w:rsidRDefault="00BC6BC0" w:rsidP="00FE7908">
            <w:pPr>
              <w:jc w:val="center"/>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0,040</w:t>
            </w:r>
            <w:r w:rsidRPr="000A32AD">
              <w:rPr>
                <w:rFonts w:ascii="Times New Roman" w:hAnsi="Times New Roman" w:cs="Times New Roman"/>
                <w:color w:val="000000" w:themeColor="text1"/>
                <w:sz w:val="28"/>
                <w:szCs w:val="28"/>
                <w:vertAlign w:val="superscript"/>
                <w:lang w:val="uk-UA"/>
              </w:rPr>
              <w:t>2</w:t>
            </w:r>
          </w:p>
        </w:tc>
      </w:tr>
      <w:tr w:rsidR="00BC6BC0" w:rsidRPr="000A32AD" w:rsidTr="00FE7908">
        <w:trPr>
          <w:trHeight w:val="707"/>
        </w:trPr>
        <w:tc>
          <w:tcPr>
            <w:tcW w:w="3190" w:type="dxa"/>
          </w:tcPr>
          <w:p w:rsidR="00BC6BC0" w:rsidRPr="000A32AD" w:rsidRDefault="00BC6BC0" w:rsidP="00FE7908">
            <w:pPr>
              <w:jc w:val="both"/>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ШКФ, мл/мін/1,73 м</w:t>
            </w:r>
            <w:r w:rsidRPr="000A32AD">
              <w:rPr>
                <w:rFonts w:ascii="Times New Roman" w:hAnsi="Times New Roman" w:cs="Times New Roman"/>
                <w:color w:val="000000" w:themeColor="text1"/>
                <w:sz w:val="28"/>
                <w:szCs w:val="28"/>
                <w:vertAlign w:val="superscript"/>
                <w:lang w:val="uk-UA"/>
              </w:rPr>
              <w:t>2</w:t>
            </w:r>
          </w:p>
        </w:tc>
        <w:tc>
          <w:tcPr>
            <w:tcW w:w="2447"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96,0 [81,0; 103,7]</w:t>
            </w:r>
          </w:p>
        </w:tc>
        <w:tc>
          <w:tcPr>
            <w:tcW w:w="2409"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105,0 [92,0; 116,3]</w:t>
            </w:r>
          </w:p>
        </w:tc>
        <w:tc>
          <w:tcPr>
            <w:tcW w:w="1525"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0,007</w:t>
            </w:r>
            <w:r w:rsidRPr="000A32AD">
              <w:rPr>
                <w:rFonts w:ascii="Times New Roman" w:hAnsi="Times New Roman" w:cs="Times New Roman"/>
                <w:color w:val="000000" w:themeColor="text1"/>
                <w:sz w:val="28"/>
                <w:szCs w:val="28"/>
                <w:vertAlign w:val="superscript"/>
                <w:lang w:val="uk-UA"/>
              </w:rPr>
              <w:t>3</w:t>
            </w:r>
          </w:p>
        </w:tc>
      </w:tr>
      <w:tr w:rsidR="00BC6BC0" w:rsidRPr="000A32AD" w:rsidTr="00FE7908">
        <w:tc>
          <w:tcPr>
            <w:tcW w:w="3190" w:type="dxa"/>
          </w:tcPr>
          <w:p w:rsidR="00BC6BC0" w:rsidRPr="000A32AD" w:rsidRDefault="00BC6BC0" w:rsidP="00FE7908">
            <w:pPr>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ШКФ:</w:t>
            </w:r>
          </w:p>
          <w:p w:rsidR="00BC6BC0" w:rsidRPr="000A32AD" w:rsidRDefault="00BC6BC0" w:rsidP="00FE7908">
            <w:pPr>
              <w:jc w:val="both"/>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до 30 мл/мін/1,73 м</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25–30–60 мл/мін/1,73 м</w:t>
            </w:r>
            <w:r w:rsidRPr="000A32AD">
              <w:rPr>
                <w:rFonts w:ascii="Times New Roman" w:hAnsi="Times New Roman" w:cs="Times New Roman"/>
                <w:color w:val="000000" w:themeColor="text1"/>
                <w:sz w:val="28"/>
                <w:szCs w:val="28"/>
                <w:vertAlign w:val="superscript"/>
                <w:lang w:val="uk-UA"/>
              </w:rPr>
              <w:t>2</w:t>
            </w:r>
          </w:p>
          <w:p w:rsidR="00BC6BC0" w:rsidRPr="000A32AD" w:rsidRDefault="00BC6BC0" w:rsidP="00FE7908">
            <w:pPr>
              <w:jc w:val="both"/>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60–90 мл/мін/1,73 м</w:t>
            </w:r>
            <w:r w:rsidRPr="000A32AD">
              <w:rPr>
                <w:rFonts w:ascii="Times New Roman" w:hAnsi="Times New Roman" w:cs="Times New Roman"/>
                <w:color w:val="000000" w:themeColor="text1"/>
                <w:sz w:val="28"/>
                <w:szCs w:val="28"/>
                <w:vertAlign w:val="superscript"/>
                <w:lang w:val="uk-UA"/>
              </w:rPr>
              <w:t>2</w:t>
            </w:r>
          </w:p>
          <w:p w:rsidR="00BC6BC0" w:rsidRPr="000A32AD" w:rsidRDefault="00BC6BC0" w:rsidP="00FE7908">
            <w:pPr>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&gt;90</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мл/мін/1,73 м</w:t>
            </w:r>
            <w:r w:rsidRPr="000A32AD">
              <w:rPr>
                <w:rFonts w:ascii="Times New Roman" w:hAnsi="Times New Roman" w:cs="Times New Roman"/>
                <w:color w:val="000000" w:themeColor="text1"/>
                <w:sz w:val="28"/>
                <w:szCs w:val="28"/>
                <w:vertAlign w:val="superscript"/>
                <w:lang w:val="uk-UA"/>
              </w:rPr>
              <w:t>2</w:t>
            </w:r>
          </w:p>
        </w:tc>
        <w:tc>
          <w:tcPr>
            <w:tcW w:w="2447" w:type="dxa"/>
          </w:tcPr>
          <w:p w:rsidR="00BC6BC0" w:rsidRPr="000A32AD" w:rsidRDefault="00BC6BC0" w:rsidP="00FE7908">
            <w:pPr>
              <w:jc w:val="center"/>
              <w:rPr>
                <w:rFonts w:ascii="Times New Roman" w:hAnsi="Times New Roman" w:cs="Times New Roman"/>
                <w:color w:val="000000" w:themeColor="text1"/>
                <w:sz w:val="28"/>
                <w:szCs w:val="28"/>
                <w:lang w:val="uk-UA"/>
              </w:rPr>
            </w:pP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 (2,4%)</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 (2,4%)</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15 (31,3%)</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29 (60,4%)</w:t>
            </w:r>
          </w:p>
        </w:tc>
        <w:tc>
          <w:tcPr>
            <w:tcW w:w="2409" w:type="dxa"/>
          </w:tcPr>
          <w:p w:rsidR="00BC6BC0" w:rsidRPr="000A32AD" w:rsidRDefault="00BC6BC0" w:rsidP="00FE7908">
            <w:pPr>
              <w:jc w:val="center"/>
              <w:rPr>
                <w:rFonts w:ascii="Times New Roman" w:hAnsi="Times New Roman" w:cs="Times New Roman"/>
                <w:color w:val="000000" w:themeColor="text1"/>
                <w:sz w:val="28"/>
                <w:szCs w:val="28"/>
                <w:lang w:val="uk-UA"/>
              </w:rPr>
            </w:pP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 (2,4%)</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7 (16,7%)</w:t>
            </w:r>
          </w:p>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34 (81%)</w:t>
            </w:r>
          </w:p>
        </w:tc>
        <w:tc>
          <w:tcPr>
            <w:tcW w:w="1525" w:type="dxa"/>
          </w:tcPr>
          <w:p w:rsidR="00BC6BC0" w:rsidRPr="000A32AD" w:rsidRDefault="00BC6BC0" w:rsidP="00FE7908">
            <w:pPr>
              <w:jc w:val="center"/>
              <w:rPr>
                <w:rFonts w:ascii="Times New Roman" w:hAnsi="Times New Roman" w:cs="Times New Roman"/>
                <w:color w:val="000000" w:themeColor="text1"/>
                <w:sz w:val="28"/>
                <w:szCs w:val="28"/>
                <w:lang w:val="uk-UA"/>
              </w:rPr>
            </w:pPr>
          </w:p>
          <w:p w:rsidR="00BC6BC0" w:rsidRPr="000A32AD" w:rsidRDefault="00BC6BC0" w:rsidP="00FE7908">
            <w:pPr>
              <w:jc w:val="center"/>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0,059</w:t>
            </w:r>
            <w:r w:rsidRPr="000A32AD">
              <w:rPr>
                <w:rFonts w:ascii="Times New Roman" w:hAnsi="Times New Roman" w:cs="Times New Roman"/>
                <w:color w:val="000000" w:themeColor="text1"/>
                <w:sz w:val="28"/>
                <w:szCs w:val="28"/>
                <w:vertAlign w:val="superscript"/>
                <w:lang w:val="uk-UA"/>
              </w:rPr>
              <w:t>2</w:t>
            </w:r>
          </w:p>
        </w:tc>
      </w:tr>
      <w:tr w:rsidR="00BC6BC0" w:rsidRPr="000A32AD" w:rsidTr="00FE7908">
        <w:trPr>
          <w:trHeight w:val="529"/>
        </w:trPr>
        <w:tc>
          <w:tcPr>
            <w:tcW w:w="3190" w:type="dxa"/>
          </w:tcPr>
          <w:p w:rsidR="00BC6BC0" w:rsidRPr="000A32AD" w:rsidRDefault="00BC6BC0" w:rsidP="00FE7908">
            <w:pPr>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Діабетична ретинопатія</w:t>
            </w:r>
          </w:p>
        </w:tc>
        <w:tc>
          <w:tcPr>
            <w:tcW w:w="2447"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25 (52,1%)</w:t>
            </w:r>
          </w:p>
        </w:tc>
        <w:tc>
          <w:tcPr>
            <w:tcW w:w="2409"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16 (38,1%)</w:t>
            </w:r>
          </w:p>
        </w:tc>
        <w:tc>
          <w:tcPr>
            <w:tcW w:w="1525" w:type="dxa"/>
          </w:tcPr>
          <w:p w:rsidR="00BC6BC0" w:rsidRPr="000A32AD" w:rsidRDefault="00BC6BC0" w:rsidP="00FE7908">
            <w:pPr>
              <w:jc w:val="center"/>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0,264</w:t>
            </w:r>
            <w:r w:rsidRPr="000A32AD">
              <w:rPr>
                <w:rFonts w:ascii="Times New Roman" w:hAnsi="Times New Roman" w:cs="Times New Roman"/>
                <w:color w:val="000000" w:themeColor="text1"/>
                <w:sz w:val="28"/>
                <w:szCs w:val="28"/>
                <w:vertAlign w:val="superscript"/>
                <w:lang w:val="uk-UA"/>
              </w:rPr>
              <w:t>2</w:t>
            </w:r>
          </w:p>
        </w:tc>
      </w:tr>
      <w:tr w:rsidR="00BC6BC0" w:rsidRPr="000A32AD" w:rsidTr="00FE7908">
        <w:trPr>
          <w:trHeight w:val="529"/>
        </w:trPr>
        <w:tc>
          <w:tcPr>
            <w:tcW w:w="3190" w:type="dxa"/>
          </w:tcPr>
          <w:p w:rsidR="00BC6BC0" w:rsidRPr="000A32AD" w:rsidRDefault="00BC6BC0" w:rsidP="00FE7908">
            <w:pPr>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Діабетична нейропатія</w:t>
            </w:r>
          </w:p>
        </w:tc>
        <w:tc>
          <w:tcPr>
            <w:tcW w:w="2447"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41 (85,4%)</w:t>
            </w:r>
          </w:p>
        </w:tc>
        <w:tc>
          <w:tcPr>
            <w:tcW w:w="2409" w:type="dxa"/>
          </w:tcPr>
          <w:p w:rsidR="00BC6BC0" w:rsidRPr="000A32AD" w:rsidRDefault="00BC6BC0" w:rsidP="00FE7908">
            <w:pPr>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30 (71,4%)</w:t>
            </w:r>
          </w:p>
        </w:tc>
        <w:tc>
          <w:tcPr>
            <w:tcW w:w="1525" w:type="dxa"/>
          </w:tcPr>
          <w:p w:rsidR="00BC6BC0" w:rsidRPr="000A32AD" w:rsidRDefault="00BC6BC0" w:rsidP="00FE7908">
            <w:pPr>
              <w:jc w:val="center"/>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0,173</w:t>
            </w:r>
            <w:r w:rsidRPr="000A32AD">
              <w:rPr>
                <w:rFonts w:ascii="Times New Roman" w:hAnsi="Times New Roman" w:cs="Times New Roman"/>
                <w:color w:val="000000" w:themeColor="text1"/>
                <w:sz w:val="28"/>
                <w:szCs w:val="28"/>
                <w:vertAlign w:val="superscript"/>
                <w:lang w:val="uk-UA"/>
              </w:rPr>
              <w:t>2</w:t>
            </w:r>
          </w:p>
        </w:tc>
      </w:tr>
    </w:tbl>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Примітка. 1 – достовірність різниці за t-критерієм. 2 – достовірність різниці за критерієм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 3 – достовірність за критерієм Мана-Уітні.</w:t>
      </w:r>
    </w:p>
    <w:p w:rsidR="003C4A7F" w:rsidRPr="000A32AD" w:rsidRDefault="003C4A7F" w:rsidP="00BC6BC0">
      <w:pPr>
        <w:spacing w:line="360" w:lineRule="auto"/>
        <w:ind w:firstLine="709"/>
        <w:jc w:val="both"/>
        <w:rPr>
          <w:rFonts w:ascii="Times New Roman" w:hAnsi="Times New Roman" w:cs="Times New Roman"/>
          <w:color w:val="000000" w:themeColor="text1"/>
          <w:sz w:val="28"/>
          <w:szCs w:val="28"/>
          <w:lang w:val="uk-UA"/>
        </w:rPr>
      </w:pP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Досить частим ускладненням ЦД в аналізуємій вибірці пацієнтів була діабетична нефропатія. В І групі вона діагностована у 38 (79,2%) пацієнтів, в ІІ групі – у 20 (47,6%) пацієнтів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 xml:space="preserve">=8,401, р=0,004). При цьому, мікроальбумінурія </w:t>
      </w:r>
      <w:r w:rsidRPr="000A32AD">
        <w:rPr>
          <w:rFonts w:ascii="Times New Roman" w:hAnsi="Times New Roman" w:cs="Times New Roman"/>
          <w:color w:val="000000" w:themeColor="text1"/>
          <w:sz w:val="28"/>
          <w:szCs w:val="28"/>
          <w:lang w:val="uk-UA"/>
        </w:rPr>
        <w:lastRenderedPageBreak/>
        <w:t>(МАУ) спостерігалася у 17 (35,4%) хворих І групи та у 6 (14,3%) хворих ІІ групи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 xml:space="preserve">=4,205; р=0,040). </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Величина ШКФ мала ненормальний розподіл, медіана ШКФ в І групі склала 96,0 [81,0; 103,7] мл/мін/1,73 м</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 в ІІ групі – 105,0 [92,0; 116,3] мл/мін/1,73 м</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 xml:space="preserve"> (р=0,007 за критерієм Мана-Уітні). Розподіл хворих на групи залежно від величини ШКФ виявив, що в І групі пацієнтів зі зниженою ШКФ (менш 90 мл/мін/1,73 м</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vertAlign w:val="subscript"/>
          <w:lang w:val="uk-UA"/>
        </w:rPr>
        <w:t xml:space="preserve"> </w:t>
      </w:r>
      <w:r w:rsidRPr="000A32AD">
        <w:rPr>
          <w:rFonts w:ascii="Times New Roman" w:hAnsi="Times New Roman" w:cs="Times New Roman"/>
          <w:color w:val="000000" w:themeColor="text1"/>
          <w:sz w:val="28"/>
          <w:szCs w:val="28"/>
          <w:lang w:val="uk-UA"/>
        </w:rPr>
        <w:t>було 19 (39,6%), у тому числі, менш 30 мл/мін/1,73 м</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 xml:space="preserve"> – 2 (4,2%), від 30 до 60 мл/мін/1,73 м</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 xml:space="preserve"> – 2 (4,2%), від 60 до 90 мл/мін/1,73 м</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 xml:space="preserve"> – 15 (31,3%). В ІІ групі хворих зі зниженою ШКФ було 8 (19%), що було майже достовірно менше, ніж в І групі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=3,574; р=0,059), у тому числі, 1 (2,4%) пацієнт з ШКФ від 30 до 60 мл/мін/1,73 м</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 та 7 (16,7%) хворих з ШКФ від 60 до 90 мл/мін/1,73 м</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Спостерігалась тенденція до збільшення</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в І групі хворих частоти діабетичної ретинопатії – 25 (52,1%), в ІІ групі – 16 (38,1%)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=1,248; р=0,264) та діабетичної нейропатії – в І групі у 41 (85,4%) хворого, в ІІ групі – у 30 (71,4%) хворих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=1,859; р=0,173).</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Таким чином, у хворих з ознаками НДСТ спостерігається більш важкий перебіг ЦД з тенденцією до збільшення рівня </w:t>
      </w:r>
      <w:r w:rsidRPr="000A32AD">
        <w:rPr>
          <w:rFonts w:ascii="Times New Roman" w:hAnsi="Times New Roman" w:cs="Times New Roman"/>
          <w:color w:val="000000" w:themeColor="text1"/>
          <w:sz w:val="28"/>
          <w:szCs w:val="28"/>
          <w:shd w:val="clear" w:color="auto" w:fill="FFFFFF"/>
          <w:lang w:val="uk-UA"/>
        </w:rPr>
        <w:t>HbA1c</w:t>
      </w:r>
      <w:r w:rsidRPr="000A32AD">
        <w:rPr>
          <w:rFonts w:ascii="Times New Roman" w:hAnsi="Times New Roman" w:cs="Times New Roman"/>
          <w:color w:val="000000" w:themeColor="text1"/>
          <w:sz w:val="28"/>
          <w:szCs w:val="28"/>
          <w:lang w:val="uk-UA"/>
        </w:rPr>
        <w:t>, більш частим розвитком діабетичної нефропатії з МАУ та зі зниженням ШКФ, а також з тенденцію до збільшення частоти діабетичної нейропатії та ретинопатії.</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Досить часто у досліджених хворих виявлялася супутня патологія, розподіл якої між групами був не рівномірним (табл. 3.3).</w:t>
      </w:r>
    </w:p>
    <w:p w:rsidR="003C4A7F" w:rsidRPr="000A32AD" w:rsidRDefault="003C4A7F" w:rsidP="003C4A7F">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Найбільш частою супутньою патологію була АГ, яку виявлено 45 (93,7%) хворих І групи, утому числі: АГ 1 ст. – у 25 (52,1%), АГ 2 ст. – у 17 (35,4%) та АГ 3 ст. – у 3 (6,3%). В ІІ групі АГ виявлено у 22 (52,4%), у тому числі: АГ 1 ст. – у 16 (38,1%) хворих, АГ 2 ст. – у 5 (11,9%) хворих та АГ 3 ст. – у 1 (2,4%)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=21,783; р&lt;0,001).</w:t>
      </w:r>
    </w:p>
    <w:p w:rsidR="003C4A7F" w:rsidRPr="000A32AD" w:rsidRDefault="003C4A7F" w:rsidP="003C4A7F">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lastRenderedPageBreak/>
        <w:t>ІХС виявлялася майже з однаковою частотою: в І групі у 3 (6,3%) хворих; в ІІ групі – у 2 (4,8%) хворих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=0,095; р=0,758). Досить мала частота ІХС пояснюється перш за все відносно молодим віком хворих, що увійшли у дослідження. Крім цього, пацієнти з ІХС найчастіше лікувались у кардіологічному відділенні під спостереженням ендокринолога, тому не увійшли у дослідження.</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Досить часто у хворих виявлялися клінічні та/або ультразвукові ознаки хронічного холециститу, якій достовірно частіше діагностувався в І групі – у 20 (41,7%), в ІІ групі він виявлений у 6 (14,3%) хворих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=8,175; р=0,004).</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Захворювання печінки найчастіше у вигляді дифузн</w:t>
      </w:r>
      <w:r w:rsidR="00C20C62" w:rsidRPr="000A32AD">
        <w:rPr>
          <w:rFonts w:ascii="Times New Roman" w:hAnsi="Times New Roman" w:cs="Times New Roman"/>
          <w:color w:val="000000" w:themeColor="text1"/>
          <w:sz w:val="28"/>
          <w:szCs w:val="28"/>
          <w:lang w:val="uk-UA"/>
        </w:rPr>
        <w:t>ого</w:t>
      </w:r>
      <w:r w:rsidRPr="000A32AD">
        <w:rPr>
          <w:rFonts w:ascii="Times New Roman" w:hAnsi="Times New Roman" w:cs="Times New Roman"/>
          <w:color w:val="000000" w:themeColor="text1"/>
          <w:sz w:val="28"/>
          <w:szCs w:val="28"/>
          <w:lang w:val="uk-UA"/>
        </w:rPr>
        <w:t xml:space="preserve"> ураження під час УЗД виявлено у 12 (25,0%) хворих І групи, та у 7 (16,7%) хворих ІІ групи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 xml:space="preserve">=0,934; р=0,334). </w:t>
      </w:r>
    </w:p>
    <w:p w:rsidR="00BC6BC0" w:rsidRPr="000A32AD" w:rsidRDefault="00BC6BC0" w:rsidP="003C4A7F">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Захворювання підшлункової залози, найчастіше за ультразвуковими ознаками</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хронічного панкреатиту виявлено у 22 (45,8%) хворих І групи, та у 12 (28,6%) хворих ІІ групи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=2,840; р=0,092).</w:t>
      </w:r>
    </w:p>
    <w:p w:rsidR="00BC6BC0" w:rsidRPr="000A32AD" w:rsidRDefault="00BC6BC0" w:rsidP="003C4A7F">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Слід зазначити, що в цей перелік не увійшли супутні захворювання, які були критеріями віднесення хворих до І групи, тобто ті, що є фенотипічними ознаками НДСТ (див. розд. 2).</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Особливої уваги заслуговує АГ, яка у досліджених хворих виявлялася найбільш часто. Феномен сполучення АГ та ЦД відомий давно та цьому присвячено багато досліджень, відомий також взаємообтяжуючий вплив цих захворювань. Але виявилось значне переважання частоти АГ у хворих з НДСТ, що потребує додаткового аналізу.</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Для більш ретельного вивчення впливу НДСТ на розвиток АГ </w:t>
      </w:r>
      <w:r w:rsidR="00C20C62" w:rsidRPr="000A32AD">
        <w:rPr>
          <w:rFonts w:ascii="Times New Roman" w:hAnsi="Times New Roman" w:cs="Times New Roman"/>
          <w:color w:val="000000" w:themeColor="text1"/>
          <w:sz w:val="28"/>
          <w:szCs w:val="28"/>
          <w:lang w:val="uk-UA"/>
        </w:rPr>
        <w:t>у</w:t>
      </w:r>
      <w:r w:rsidRPr="000A32AD">
        <w:rPr>
          <w:rFonts w:ascii="Times New Roman" w:hAnsi="Times New Roman" w:cs="Times New Roman"/>
          <w:color w:val="000000" w:themeColor="text1"/>
          <w:sz w:val="28"/>
          <w:szCs w:val="28"/>
          <w:lang w:val="uk-UA"/>
        </w:rPr>
        <w:t xml:space="preserve"> хворих на ЦД 2 типу виконано порівняння її частоти залежно від наявності вісцеральних та/або скелетних ознак НДСТ. Тільки вісцеральні ознаки НДСТ виявлено у 31 хворого, які склали Іа групу, вісцеральні та скелетні ознаки виявлено у 17 хворих, що склали Іб групу.</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lastRenderedPageBreak/>
        <w:t>Результати частотного аналізу наведено на рис. 3.1.</w:t>
      </w:r>
    </w:p>
    <w:p w:rsidR="00CC0AB6" w:rsidRPr="000A32AD" w:rsidRDefault="00CC0AB6" w:rsidP="0013056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w:drawing>
          <wp:inline distT="0" distB="0" distL="0" distR="0" wp14:anchorId="1A1D2901" wp14:editId="6BBAC01C">
            <wp:extent cx="5391397" cy="3990109"/>
            <wp:effectExtent l="0" t="0" r="19050" b="10795"/>
            <wp:docPr id="39" name="Диаграм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Рис. 3.1</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Частота АГ залежно від типу НДСТ</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p>
    <w:p w:rsidR="00130568" w:rsidRPr="000A32AD" w:rsidRDefault="00130568" w:rsidP="00BC6BC0">
      <w:pPr>
        <w:spacing w:line="360" w:lineRule="auto"/>
        <w:ind w:firstLine="709"/>
        <w:jc w:val="both"/>
        <w:rPr>
          <w:rFonts w:ascii="Times New Roman" w:hAnsi="Times New Roman" w:cs="Times New Roman"/>
          <w:color w:val="000000" w:themeColor="text1"/>
          <w:sz w:val="28"/>
          <w:szCs w:val="28"/>
          <w:lang w:val="uk-UA"/>
        </w:rPr>
      </w:pP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АГ в обох групах зустрічалась майже з однаковою частотою, але її структура за ступенем розрізнялась. В Іа групі АГ І ст. виявлена у 19 (61,3%) хворих, АГ 2 ст. – у 9 (29,0%), АГ 3 ст. – у 1 (3,2%). В Іб групі АГ 1 ст. зустрічалась у 6 (35,3%), 2 ст. – у 8 (47,1%), 3 ст. – у 2 (11,8%)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=3,718; р=0,294). Тобто, збільшення кількості фенотипічних ознак НДСТ за рахунок скелетних аномалій призводить до розвитку більш виразної АГ.</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Також виконано аналіз частоти та виразності АГ залежно від тривалості ЦД</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окремо в І та ІІ групах (рис. 3.2 та 3.3).</w:t>
      </w:r>
    </w:p>
    <w:p w:rsidR="00130568" w:rsidRPr="000A32AD" w:rsidRDefault="00130568" w:rsidP="00BC6BC0">
      <w:pPr>
        <w:spacing w:line="360" w:lineRule="auto"/>
        <w:ind w:firstLine="709"/>
        <w:jc w:val="both"/>
        <w:rPr>
          <w:rFonts w:ascii="Times New Roman" w:hAnsi="Times New Roman" w:cs="Times New Roman"/>
          <w:color w:val="000000" w:themeColor="text1"/>
          <w:sz w:val="28"/>
          <w:szCs w:val="28"/>
          <w:lang w:val="uk-UA"/>
        </w:rPr>
      </w:pPr>
    </w:p>
    <w:p w:rsidR="00CC0AB6" w:rsidRPr="000A32AD" w:rsidRDefault="00CC0AB6" w:rsidP="00CC0AB6">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w:lastRenderedPageBreak/>
        <w:drawing>
          <wp:inline distT="0" distB="0" distL="0" distR="0" wp14:anchorId="7F17DAF7" wp14:editId="51383CD3">
            <wp:extent cx="4785756" cy="3396343"/>
            <wp:effectExtent l="0" t="0" r="15240" b="13970"/>
            <wp:docPr id="40" name="Диаграмма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Рис. 3.2. Розподіл хворих І групи залежно від наявності та ступеня АГ.</w:t>
      </w:r>
    </w:p>
    <w:p w:rsidR="00FE7908" w:rsidRPr="000A32AD" w:rsidRDefault="00FE7908" w:rsidP="00BC6BC0">
      <w:pPr>
        <w:spacing w:line="360" w:lineRule="auto"/>
        <w:ind w:firstLine="709"/>
        <w:jc w:val="both"/>
        <w:rPr>
          <w:rFonts w:ascii="Times New Roman" w:hAnsi="Times New Roman" w:cs="Times New Roman"/>
          <w:color w:val="000000" w:themeColor="text1"/>
          <w:sz w:val="28"/>
          <w:szCs w:val="28"/>
          <w:lang w:val="uk-UA"/>
        </w:rPr>
      </w:pPr>
    </w:p>
    <w:p w:rsidR="00CC0AB6" w:rsidRPr="000A32AD" w:rsidRDefault="00CC0AB6" w:rsidP="00CC0AB6">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w:drawing>
          <wp:inline distT="0" distB="0" distL="0" distR="0" wp14:anchorId="4328CDB4" wp14:editId="0F684018">
            <wp:extent cx="4702629" cy="3657600"/>
            <wp:effectExtent l="0" t="0" r="22225" b="1905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E7908" w:rsidRPr="000A32AD" w:rsidRDefault="00FE7908" w:rsidP="00BC6BC0">
      <w:pPr>
        <w:spacing w:line="360" w:lineRule="auto"/>
        <w:ind w:firstLine="709"/>
        <w:jc w:val="both"/>
        <w:rPr>
          <w:rFonts w:ascii="Times New Roman" w:hAnsi="Times New Roman" w:cs="Times New Roman"/>
          <w:color w:val="000000" w:themeColor="text1"/>
          <w:sz w:val="28"/>
          <w:szCs w:val="28"/>
          <w:lang w:val="uk-UA"/>
        </w:rPr>
      </w:pP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Рис. 3.3. Розподіл хворих ІІ групи залежно від наявності та ступеня АГ.</w:t>
      </w:r>
    </w:p>
    <w:p w:rsidR="00CC0AB6" w:rsidRPr="000A32AD" w:rsidRDefault="00CC0AB6" w:rsidP="00FE7908">
      <w:pPr>
        <w:spacing w:line="360" w:lineRule="auto"/>
        <w:ind w:firstLine="709"/>
        <w:jc w:val="both"/>
        <w:rPr>
          <w:rFonts w:ascii="Times New Roman" w:hAnsi="Times New Roman" w:cs="Times New Roman"/>
          <w:color w:val="000000" w:themeColor="text1"/>
          <w:sz w:val="28"/>
          <w:szCs w:val="28"/>
          <w:lang w:val="uk-UA"/>
        </w:rPr>
      </w:pPr>
    </w:p>
    <w:p w:rsidR="00130568" w:rsidRPr="000A32AD" w:rsidRDefault="0013056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За результатами аналізу наявності та виразності АГ залежно від тривалості ЦД простежується чітка закономірність – у хворих І групи з наявністю НДСТ чіткій залежності немає – частота АГ різного ступеня у хворих з тривалістю ЦД до 5 років та тривалістю діабету від 5 до 10 років відрізняється в межах 10% (рис. 3.2). При порівняльному аналізу достовірних відмінностей залежно від тривалості ЦД не виявлено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=1,603; р=0,659).</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У хворих ІІ групою без фенотипічних ознак НДСТ, навпаки,</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простежується чітка залежність від тривалості ЦД – у хворих з тривалістю діабету 5 до 10 років значно зростає частота АГ та частота АГ 2 ст. та 3 ст. у порівнянні з пацієнтами, що хворіють менш 5 років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=17,961; р&lt;0,001).</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Це підтверджується і результатами кореляційного аналізу: в І групі виявлена не достовірна дуже слабка позитивна кореляція на рівні </w:t>
      </w:r>
      <w:r w:rsidRPr="000A32AD">
        <w:rPr>
          <w:rFonts w:ascii="Times New Roman" w:hAnsi="Times New Roman" w:cs="Times New Roman"/>
          <w:i/>
          <w:color w:val="000000" w:themeColor="text1"/>
          <w:sz w:val="28"/>
          <w:szCs w:val="28"/>
          <w:lang w:val="en-US"/>
        </w:rPr>
        <w:t>r</w:t>
      </w:r>
      <w:r w:rsidRPr="000A32AD">
        <w:rPr>
          <w:rFonts w:ascii="Times New Roman" w:hAnsi="Times New Roman" w:cs="Times New Roman"/>
          <w:i/>
          <w:color w:val="000000" w:themeColor="text1"/>
          <w:sz w:val="28"/>
          <w:szCs w:val="28"/>
          <w:vertAlign w:val="subscript"/>
          <w:lang w:val="en-US"/>
        </w:rPr>
        <w:t>S</w:t>
      </w:r>
      <w:r w:rsidRPr="000A32AD">
        <w:rPr>
          <w:rFonts w:ascii="Times New Roman" w:hAnsi="Times New Roman" w:cs="Times New Roman"/>
          <w:color w:val="000000" w:themeColor="text1"/>
          <w:sz w:val="28"/>
          <w:szCs w:val="28"/>
        </w:rPr>
        <w:t xml:space="preserve"> =0,</w:t>
      </w:r>
      <w:r w:rsidRPr="000A32AD">
        <w:rPr>
          <w:rFonts w:ascii="Times New Roman" w:hAnsi="Times New Roman" w:cs="Times New Roman"/>
          <w:color w:val="000000" w:themeColor="text1"/>
          <w:sz w:val="28"/>
          <w:szCs w:val="28"/>
          <w:lang w:val="uk-UA"/>
        </w:rPr>
        <w:t>091</w:t>
      </w:r>
      <w:r w:rsidRPr="000A32AD">
        <w:rPr>
          <w:rFonts w:ascii="Times New Roman" w:hAnsi="Times New Roman" w:cs="Times New Roman"/>
          <w:color w:val="000000" w:themeColor="text1"/>
          <w:sz w:val="28"/>
          <w:szCs w:val="28"/>
        </w:rPr>
        <w:t xml:space="preserve"> (</w:t>
      </w:r>
      <w:r w:rsidRPr="000A32AD">
        <w:rPr>
          <w:rFonts w:ascii="Times New Roman" w:hAnsi="Times New Roman" w:cs="Times New Roman"/>
          <w:color w:val="000000" w:themeColor="text1"/>
          <w:sz w:val="28"/>
          <w:szCs w:val="28"/>
          <w:lang w:val="en-US"/>
        </w:rPr>
        <w:t>p</w:t>
      </w:r>
      <w:r w:rsidRPr="000A32AD">
        <w:rPr>
          <w:rFonts w:ascii="Times New Roman" w:hAnsi="Times New Roman" w:cs="Times New Roman"/>
          <w:color w:val="000000" w:themeColor="text1"/>
          <w:sz w:val="28"/>
          <w:szCs w:val="28"/>
        </w:rPr>
        <w:t>=0,</w:t>
      </w:r>
      <w:r w:rsidRPr="000A32AD">
        <w:rPr>
          <w:rFonts w:ascii="Times New Roman" w:hAnsi="Times New Roman" w:cs="Times New Roman"/>
          <w:color w:val="000000" w:themeColor="text1"/>
          <w:sz w:val="28"/>
          <w:szCs w:val="28"/>
          <w:lang w:val="uk-UA"/>
        </w:rPr>
        <w:t>538</w:t>
      </w:r>
      <w:r w:rsidRPr="000A32AD">
        <w:rPr>
          <w:rFonts w:ascii="Times New Roman" w:hAnsi="Times New Roman" w:cs="Times New Roman"/>
          <w:color w:val="000000" w:themeColor="text1"/>
          <w:sz w:val="28"/>
          <w:szCs w:val="28"/>
        </w:rPr>
        <w:t>)</w:t>
      </w:r>
      <w:r w:rsidRPr="000A32AD">
        <w:rPr>
          <w:rFonts w:ascii="Times New Roman" w:hAnsi="Times New Roman" w:cs="Times New Roman"/>
          <w:color w:val="000000" w:themeColor="text1"/>
          <w:sz w:val="28"/>
          <w:szCs w:val="28"/>
          <w:lang w:val="uk-UA"/>
        </w:rPr>
        <w:t>, в ІІ групі – достовірна сильна позитивна кореляція на рівні</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i/>
          <w:color w:val="000000" w:themeColor="text1"/>
          <w:sz w:val="28"/>
          <w:szCs w:val="28"/>
          <w:lang w:val="en-US"/>
        </w:rPr>
        <w:t>r</w:t>
      </w:r>
      <w:r w:rsidRPr="000A32AD">
        <w:rPr>
          <w:rFonts w:ascii="Times New Roman" w:hAnsi="Times New Roman" w:cs="Times New Roman"/>
          <w:i/>
          <w:color w:val="000000" w:themeColor="text1"/>
          <w:sz w:val="28"/>
          <w:szCs w:val="28"/>
          <w:vertAlign w:val="subscript"/>
          <w:lang w:val="en-US"/>
        </w:rPr>
        <w:t>S</w:t>
      </w:r>
      <w:r w:rsidRPr="000A32AD">
        <w:rPr>
          <w:rFonts w:ascii="Times New Roman" w:hAnsi="Times New Roman" w:cs="Times New Roman"/>
          <w:color w:val="000000" w:themeColor="text1"/>
          <w:sz w:val="28"/>
          <w:szCs w:val="28"/>
        </w:rPr>
        <w:t xml:space="preserve"> =0,522 </w:t>
      </w:r>
      <w:r w:rsidRPr="000A32AD">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lang w:val="en-US"/>
        </w:rPr>
        <w:t>p</w:t>
      </w:r>
      <w:r w:rsidRPr="000A32AD">
        <w:rPr>
          <w:rFonts w:ascii="Times New Roman" w:hAnsi="Times New Roman" w:cs="Times New Roman"/>
          <w:color w:val="000000" w:themeColor="text1"/>
          <w:sz w:val="28"/>
          <w:szCs w:val="28"/>
        </w:rPr>
        <w:t>&lt;0,001</w:t>
      </w:r>
      <w:r w:rsidRPr="000A32AD">
        <w:rPr>
          <w:rFonts w:ascii="Times New Roman" w:hAnsi="Times New Roman" w:cs="Times New Roman"/>
          <w:color w:val="000000" w:themeColor="text1"/>
          <w:sz w:val="28"/>
          <w:szCs w:val="28"/>
          <w:lang w:val="uk-UA"/>
        </w:rPr>
        <w:t>), що відображено на рис. 3.4</w:t>
      </w:r>
      <w:r w:rsidR="00CC0AB6" w:rsidRPr="000A32AD">
        <w:rPr>
          <w:rFonts w:ascii="Times New Roman" w:hAnsi="Times New Roman" w:cs="Times New Roman"/>
          <w:color w:val="000000" w:themeColor="text1"/>
          <w:sz w:val="28"/>
          <w:szCs w:val="28"/>
          <w:lang w:val="uk-UA"/>
        </w:rPr>
        <w:t xml:space="preserve"> та 3.5</w:t>
      </w:r>
      <w:r w:rsidRPr="000A32AD">
        <w:rPr>
          <w:rFonts w:ascii="Times New Roman" w:hAnsi="Times New Roman" w:cs="Times New Roman"/>
          <w:color w:val="000000" w:themeColor="text1"/>
          <w:sz w:val="28"/>
          <w:szCs w:val="28"/>
          <w:lang w:val="uk-UA"/>
        </w:rPr>
        <w:t>.</w:t>
      </w:r>
    </w:p>
    <w:p w:rsidR="00CC0AB6" w:rsidRPr="000A32AD" w:rsidRDefault="00CC0AB6" w:rsidP="00CC0AB6">
      <w:pPr>
        <w:spacing w:line="360" w:lineRule="auto"/>
        <w:ind w:firstLine="709"/>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w:drawing>
          <wp:inline distT="0" distB="0" distL="0" distR="0" wp14:anchorId="6B50ED47" wp14:editId="1AABA8FE">
            <wp:extent cx="4557408" cy="2797791"/>
            <wp:effectExtent l="0" t="0" r="0" b="317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619229" cy="2835743"/>
                    </a:xfrm>
                    <a:prstGeom prst="rect">
                      <a:avLst/>
                    </a:prstGeom>
                  </pic:spPr>
                </pic:pic>
              </a:graphicData>
            </a:graphic>
          </wp:inline>
        </w:drawing>
      </w:r>
    </w:p>
    <w:p w:rsidR="00CC0AB6" w:rsidRPr="000A32AD" w:rsidRDefault="00CC0AB6"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Рис. 3.4. Діаграма розсіювання залежності ступеню АГ від тривалості ЦД 2 типу (</w:t>
      </w:r>
      <w:r w:rsidRPr="000A32AD">
        <w:rPr>
          <w:rFonts w:ascii="Times New Roman" w:hAnsi="Times New Roman" w:cs="Times New Roman"/>
          <w:i/>
          <w:color w:val="000000" w:themeColor="text1"/>
          <w:sz w:val="28"/>
          <w:szCs w:val="28"/>
          <w:lang w:val="en-US"/>
        </w:rPr>
        <w:t>r</w:t>
      </w:r>
      <w:r w:rsidRPr="000A32AD">
        <w:rPr>
          <w:rFonts w:ascii="Times New Roman" w:hAnsi="Times New Roman" w:cs="Times New Roman"/>
          <w:i/>
          <w:color w:val="000000" w:themeColor="text1"/>
          <w:sz w:val="28"/>
          <w:szCs w:val="28"/>
          <w:vertAlign w:val="subscript"/>
          <w:lang w:val="en-US"/>
        </w:rPr>
        <w:t>S</w:t>
      </w:r>
      <w:r w:rsidRPr="000A32AD">
        <w:rPr>
          <w:rFonts w:ascii="Times New Roman" w:hAnsi="Times New Roman" w:cs="Times New Roman"/>
          <w:color w:val="000000" w:themeColor="text1"/>
          <w:sz w:val="28"/>
          <w:szCs w:val="28"/>
          <w:lang w:val="uk-UA"/>
        </w:rPr>
        <w:t xml:space="preserve"> =0,091).</w:t>
      </w:r>
    </w:p>
    <w:p w:rsidR="00CC0AB6" w:rsidRPr="000A32AD" w:rsidRDefault="00CC0AB6" w:rsidP="00CC0AB6">
      <w:pPr>
        <w:tabs>
          <w:tab w:val="left" w:pos="4785"/>
        </w:tabs>
        <w:spacing w:line="360" w:lineRule="auto"/>
        <w:ind w:firstLine="1701"/>
        <w:rPr>
          <w:rFonts w:ascii="Times New Roman" w:hAnsi="Times New Roman" w:cs="Times New Roman"/>
          <w:color w:val="000000" w:themeColor="text1"/>
          <w:sz w:val="28"/>
          <w:szCs w:val="28"/>
        </w:rPr>
      </w:pPr>
      <w:r w:rsidRPr="000A32AD">
        <w:rPr>
          <w:rFonts w:ascii="Times New Roman" w:hAnsi="Times New Roman" w:cs="Times New Roman"/>
          <w:noProof/>
          <w:color w:val="000000" w:themeColor="text1"/>
          <w:sz w:val="28"/>
          <w:szCs w:val="28"/>
        </w:rPr>
        <w:lastRenderedPageBreak/>
        <w:drawing>
          <wp:inline distT="0" distB="0" distL="0" distR="0" wp14:anchorId="05BB9180" wp14:editId="07C98923">
            <wp:extent cx="3405117" cy="2819751"/>
            <wp:effectExtent l="0" t="0" r="508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3414466" cy="2827493"/>
                    </a:xfrm>
                    <a:prstGeom prst="rect">
                      <a:avLst/>
                    </a:prstGeom>
                  </pic:spPr>
                </pic:pic>
              </a:graphicData>
            </a:graphic>
          </wp:inline>
        </w:drawing>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Рис. 3.</w:t>
      </w:r>
      <w:r w:rsidR="00CC0AB6" w:rsidRPr="000A32AD">
        <w:rPr>
          <w:rFonts w:ascii="Times New Roman" w:hAnsi="Times New Roman" w:cs="Times New Roman"/>
          <w:color w:val="000000" w:themeColor="text1"/>
          <w:sz w:val="28"/>
          <w:szCs w:val="28"/>
          <w:lang w:val="uk-UA"/>
        </w:rPr>
        <w:t>5</w:t>
      </w:r>
      <w:r w:rsidRPr="000A32AD">
        <w:rPr>
          <w:rFonts w:ascii="Times New Roman" w:hAnsi="Times New Roman" w:cs="Times New Roman"/>
          <w:color w:val="000000" w:themeColor="text1"/>
          <w:sz w:val="28"/>
          <w:szCs w:val="28"/>
          <w:lang w:val="uk-UA"/>
        </w:rPr>
        <w:t>. Діаграма розсіювання залежності ступеню АГ від тривалості ЦД 2 типу</w:t>
      </w:r>
      <w:r w:rsidR="00CC0AB6" w:rsidRPr="000A32AD">
        <w:rPr>
          <w:rFonts w:ascii="Times New Roman" w:hAnsi="Times New Roman" w:cs="Times New Roman"/>
          <w:color w:val="000000" w:themeColor="text1"/>
          <w:sz w:val="28"/>
          <w:szCs w:val="28"/>
          <w:lang w:val="uk-UA"/>
        </w:rPr>
        <w:t xml:space="preserve"> </w:t>
      </w:r>
      <w:r w:rsidR="00CC0AB6" w:rsidRPr="000A32AD">
        <w:rPr>
          <w:rFonts w:ascii="Times New Roman" w:hAnsi="Times New Roman" w:cs="Times New Roman"/>
          <w:i/>
          <w:color w:val="000000" w:themeColor="text1"/>
          <w:sz w:val="28"/>
          <w:szCs w:val="28"/>
          <w:lang w:val="en-US"/>
        </w:rPr>
        <w:t>r</w:t>
      </w:r>
      <w:r w:rsidR="00CC0AB6" w:rsidRPr="000A32AD">
        <w:rPr>
          <w:rFonts w:ascii="Times New Roman" w:hAnsi="Times New Roman" w:cs="Times New Roman"/>
          <w:i/>
          <w:color w:val="000000" w:themeColor="text1"/>
          <w:sz w:val="28"/>
          <w:szCs w:val="28"/>
          <w:vertAlign w:val="subscript"/>
          <w:lang w:val="en-US"/>
        </w:rPr>
        <w:t>S</w:t>
      </w:r>
      <w:r w:rsidR="00CC0AB6" w:rsidRPr="000A32AD">
        <w:rPr>
          <w:rFonts w:ascii="Times New Roman" w:hAnsi="Times New Roman" w:cs="Times New Roman"/>
          <w:color w:val="000000" w:themeColor="text1"/>
          <w:sz w:val="28"/>
          <w:szCs w:val="28"/>
        </w:rPr>
        <w:t xml:space="preserve"> =0,522</w:t>
      </w:r>
      <w:r w:rsidRPr="000A32AD">
        <w:rPr>
          <w:rFonts w:ascii="Times New Roman" w:hAnsi="Times New Roman" w:cs="Times New Roman"/>
          <w:color w:val="000000" w:themeColor="text1"/>
          <w:sz w:val="28"/>
          <w:szCs w:val="28"/>
          <w:lang w:val="uk-UA"/>
        </w:rPr>
        <w:t>.</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p>
    <w:p w:rsidR="004D5BA6" w:rsidRPr="000A32AD" w:rsidRDefault="00FE7908" w:rsidP="00A13260">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Такі закономірності розподілу АГ від тривалості ЦД 2 типу свідчать, що відома закономірність збільшення частоти та виразності АГ зі збільшенням тривалості ЦД, у хворих з ЦД 2 типу на фоні НДСТ відсутня. Слід зазначити, що перебіг ЦД 2 типу у хворих, що увійшли у дослідження легким або середнього ступеня важкості та була відсутня супутня важка серцево-судинна патологія, а ожиріння, відомий фактор ризику АГ,</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в І групі зустрічалась рідше. Результати цього аналізу, а також більш висока частота АГ у хворих на ЦД 2 типу на фоні НДСТ є свідченням самостійного значення НДСТ у розвитку АГ в цій вибірці хворих.</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Таким чином, узагальнюючи результати аналізу загально-клінічних даних, особливостей перебігу ЦД 2 типу та супутньої патології можна стверджувати, що у хворих з наявністю ознак НДСТ спостерігається меншій вік, навіть у межах вікової групи 35–45 років, менша вага, з тенденцією до зменшення ІМТ та зменшенням кількості хворих з ожирінням, зростає частота</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діабетичної нефропатії, ретинопатії та нейропатії, та частота супутньої патології, особливо </w:t>
      </w:r>
      <w:r w:rsidRPr="000A32AD">
        <w:rPr>
          <w:rFonts w:ascii="Times New Roman" w:hAnsi="Times New Roman" w:cs="Times New Roman"/>
          <w:color w:val="000000" w:themeColor="text1"/>
          <w:sz w:val="28"/>
          <w:szCs w:val="28"/>
          <w:lang w:val="uk-UA"/>
        </w:rPr>
        <w:lastRenderedPageBreak/>
        <w:t>АГ. Розвиток АГ у хворих на ЦД 2 типу у сполученні з НДСТ відбувається раніше, та майже не залежить від тривалості діабету, причому більш виразна АГ спостерігається у хворих при наявності вісцеральних та скелетних ознак НДСТ.</w:t>
      </w:r>
    </w:p>
    <w:p w:rsidR="00CC0AB6" w:rsidRDefault="00CC0AB6" w:rsidP="00FE7908">
      <w:pPr>
        <w:spacing w:line="360" w:lineRule="auto"/>
        <w:ind w:firstLine="709"/>
        <w:jc w:val="both"/>
        <w:rPr>
          <w:rFonts w:ascii="Times New Roman" w:hAnsi="Times New Roman" w:cs="Times New Roman"/>
          <w:color w:val="000000" w:themeColor="text1"/>
          <w:sz w:val="28"/>
          <w:szCs w:val="28"/>
          <w:lang w:val="uk-UA"/>
        </w:rPr>
      </w:pPr>
    </w:p>
    <w:p w:rsidR="004008ED" w:rsidRPr="000A32AD" w:rsidRDefault="004008ED" w:rsidP="00FE7908">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Результати, викладені в даному розділі, опубліковані в наступних наукових працях автора [71, 81].</w:t>
      </w:r>
    </w:p>
    <w:p w:rsidR="00BC6BC0"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br w:type="page"/>
      </w:r>
    </w:p>
    <w:p w:rsidR="00FE7908" w:rsidRPr="000A32AD" w:rsidRDefault="00FE7908" w:rsidP="00FE7908">
      <w:pPr>
        <w:spacing w:line="360" w:lineRule="auto"/>
        <w:jc w:val="center"/>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lastRenderedPageBreak/>
        <w:t>Розділ 4</w:t>
      </w:r>
    </w:p>
    <w:p w:rsidR="002724CB" w:rsidRPr="000A32AD" w:rsidRDefault="00D02A58" w:rsidP="00F74682">
      <w:pPr>
        <w:spacing w:line="360" w:lineRule="auto"/>
        <w:jc w:val="center"/>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t xml:space="preserve">ЗНАЧЕННЯ </w:t>
      </w:r>
      <w:r w:rsidR="001805FC" w:rsidRPr="000A32AD">
        <w:rPr>
          <w:rFonts w:ascii="Times New Roman" w:hAnsi="Times New Roman" w:cs="Times New Roman"/>
          <w:b/>
          <w:color w:val="000000" w:themeColor="text1"/>
          <w:sz w:val="28"/>
          <w:szCs w:val="28"/>
          <w:lang w:val="uk-UA"/>
        </w:rPr>
        <w:t xml:space="preserve">ОСНОВНОГО ФАКТОРУ РОСТУ ФІБРОБЛАСТІВ </w:t>
      </w:r>
      <w:r w:rsidRPr="000A32AD">
        <w:rPr>
          <w:rFonts w:ascii="Times New Roman" w:hAnsi="Times New Roman" w:cs="Times New Roman"/>
          <w:b/>
          <w:color w:val="000000" w:themeColor="text1"/>
          <w:sz w:val="28"/>
          <w:szCs w:val="28"/>
          <w:lang w:val="uk-UA"/>
        </w:rPr>
        <w:t xml:space="preserve">ТА </w:t>
      </w:r>
      <w:r w:rsidR="002724CB" w:rsidRPr="000A32AD">
        <w:rPr>
          <w:rFonts w:ascii="Times New Roman" w:hAnsi="Times New Roman" w:cs="Times New Roman"/>
          <w:b/>
          <w:color w:val="000000" w:themeColor="text1"/>
          <w:sz w:val="28"/>
          <w:szCs w:val="28"/>
          <w:lang w:val="uk-UA"/>
        </w:rPr>
        <w:t xml:space="preserve">ПРОЯВІВ </w:t>
      </w:r>
      <w:r w:rsidRPr="000A32AD">
        <w:rPr>
          <w:rFonts w:ascii="Times New Roman" w:hAnsi="Times New Roman" w:cs="Times New Roman"/>
          <w:b/>
          <w:color w:val="000000" w:themeColor="text1"/>
          <w:sz w:val="28"/>
          <w:szCs w:val="28"/>
          <w:lang w:val="uk-UA"/>
        </w:rPr>
        <w:t>НЕДИФЕРЕНЦІЙОВАНОЇ ДИСПЛАЗІЇ СПОЛУЧНОЇ ТКАНИНИ У ПР</w:t>
      </w:r>
      <w:r w:rsidR="002724CB" w:rsidRPr="000A32AD">
        <w:rPr>
          <w:rFonts w:ascii="Times New Roman" w:hAnsi="Times New Roman" w:cs="Times New Roman"/>
          <w:b/>
          <w:color w:val="000000" w:themeColor="text1"/>
          <w:sz w:val="28"/>
          <w:szCs w:val="28"/>
          <w:lang w:val="uk-UA"/>
        </w:rPr>
        <w:t>О</w:t>
      </w:r>
      <w:r w:rsidRPr="000A32AD">
        <w:rPr>
          <w:rFonts w:ascii="Times New Roman" w:hAnsi="Times New Roman" w:cs="Times New Roman"/>
          <w:b/>
          <w:color w:val="000000" w:themeColor="text1"/>
          <w:sz w:val="28"/>
          <w:szCs w:val="28"/>
          <w:lang w:val="uk-UA"/>
        </w:rPr>
        <w:t xml:space="preserve">ГНОЗУВАННІ ТА РОЗВИТКУ АРТЕРІАЛЬНОЮ ГІПЕРТЕНЗІЄЮ У ХВОРИХ НА </w:t>
      </w:r>
      <w:r w:rsidR="001805FC" w:rsidRPr="000A32AD">
        <w:rPr>
          <w:rFonts w:ascii="Times New Roman" w:hAnsi="Times New Roman" w:cs="Times New Roman"/>
          <w:b/>
          <w:color w:val="000000" w:themeColor="text1"/>
          <w:sz w:val="28"/>
          <w:szCs w:val="28"/>
          <w:lang w:val="uk-UA"/>
        </w:rPr>
        <w:t xml:space="preserve">ЦУКРОВИЙ ДІАБЕТ </w:t>
      </w:r>
    </w:p>
    <w:p w:rsidR="00FE7908" w:rsidRPr="000A32AD" w:rsidRDefault="00044231" w:rsidP="00FE7908">
      <w:pPr>
        <w:spacing w:line="360" w:lineRule="auto"/>
        <w:ind w:firstLine="709"/>
        <w:jc w:val="both"/>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t>4.1. Аналіз вмісту основного фактору росту фібробластів в крові хворих на цукровий діабет з артеріальною гіпертензією залежно від наявності недиференційованої дисплазії сполучної тканини</w:t>
      </w:r>
      <w:r w:rsidR="00D02A58" w:rsidRPr="000A32AD">
        <w:rPr>
          <w:rFonts w:ascii="Times New Roman" w:hAnsi="Times New Roman" w:cs="Times New Roman"/>
          <w:b/>
          <w:color w:val="000000" w:themeColor="text1"/>
          <w:sz w:val="28"/>
          <w:szCs w:val="28"/>
          <w:lang w:val="uk-UA"/>
        </w:rPr>
        <w:t xml:space="preserve"> </w:t>
      </w:r>
      <w:r w:rsidR="00F90CA1" w:rsidRPr="000A32AD">
        <w:rPr>
          <w:rFonts w:ascii="Times New Roman" w:hAnsi="Times New Roman" w:cs="Times New Roman"/>
          <w:b/>
          <w:color w:val="000000" w:themeColor="text1"/>
          <w:sz w:val="28"/>
          <w:szCs w:val="28"/>
          <w:lang w:val="uk-UA"/>
        </w:rPr>
        <w:t>.</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За даними різноманітних експериментальних та клінічних досліджень основний фактор росту фібробласті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 xml:space="preserve"> є надзвичайно важливим цитокіном, що бере участь в регуляції функцій клітин фібропластичного ряду – основного клітинного елементу сполучної тканини. З іншого боку, ці клітини є і його основним продуцентом. Сполучна тка</w:t>
      </w:r>
      <w:r w:rsidR="005E6419">
        <w:rPr>
          <w:rFonts w:ascii="Times New Roman" w:hAnsi="Times New Roman" w:cs="Times New Roman"/>
          <w:color w:val="000000" w:themeColor="text1"/>
          <w:sz w:val="28"/>
          <w:szCs w:val="28"/>
          <w:lang w:val="uk-UA"/>
        </w:rPr>
        <w:t>нина, яка містить функціонально-</w:t>
      </w:r>
      <w:r w:rsidRPr="000A32AD">
        <w:rPr>
          <w:rFonts w:ascii="Times New Roman" w:hAnsi="Times New Roman" w:cs="Times New Roman"/>
          <w:color w:val="000000" w:themeColor="text1"/>
          <w:sz w:val="28"/>
          <w:szCs w:val="28"/>
          <w:lang w:val="uk-UA"/>
        </w:rPr>
        <w:t>активні клітини, фібрилярні структури та основну сполуку, є невід’ємним компонентом майже всіх тканин організму. Тому фактори росту, які синтезуються клітинами фібропластичного ряду</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можуть бути маркерами різноманітної патології. Їх інформативність і є одним із завдань багатьох експериментальних та клінічних досліджень, але їх результати</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досить не однозначні. Зокрема, наведені в публікаціях дані про рівень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2 в крові дуже відрізняються, що й спонукало нас до вивчення цього цитокіну у хворих на ЦД 2 типу у віковій групі від 35 до 45 років та з тривалістю діабету менш 10 років при відсутності важких ускладнень.</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Перш за все проаналізовано вміст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 xml:space="preserve"> в плазмі крові практично здорових людей - донори віком 35-45 років, в середньому (36,3±3,1) р.</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Встановлено, що вміст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 xml:space="preserve"> в крові здор</w:t>
      </w:r>
      <w:r w:rsidR="0069318E">
        <w:rPr>
          <w:rFonts w:ascii="Times New Roman" w:hAnsi="Times New Roman" w:cs="Times New Roman"/>
          <w:color w:val="000000" w:themeColor="text1"/>
          <w:sz w:val="28"/>
          <w:szCs w:val="28"/>
          <w:lang w:val="uk-UA"/>
        </w:rPr>
        <w:t>ових донорів у середньому скла</w:t>
      </w:r>
      <w:r w:rsidRPr="000A32AD">
        <w:rPr>
          <w:rFonts w:ascii="Times New Roman" w:hAnsi="Times New Roman" w:cs="Times New Roman"/>
          <w:color w:val="000000" w:themeColor="text1"/>
          <w:sz w:val="28"/>
          <w:szCs w:val="28"/>
          <w:lang w:val="uk-UA"/>
        </w:rPr>
        <w:t>в (5,75±5,7) пг/мл, але був досить варіабельним- від 0,8 пг/мл до 19,6 пг/мл. Перевірка даних за критерієм Колмогорова-Смирнова з поправкою</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Лильефорса, встановлено, що вони мали не нормальний розподіл, тому у подальшому аналізу </w:t>
      </w:r>
      <w:r w:rsidRPr="000A32AD">
        <w:rPr>
          <w:rFonts w:ascii="Times New Roman" w:hAnsi="Times New Roman" w:cs="Times New Roman"/>
          <w:color w:val="000000" w:themeColor="text1"/>
          <w:sz w:val="28"/>
          <w:szCs w:val="28"/>
          <w:lang w:val="uk-UA"/>
        </w:rPr>
        <w:lastRenderedPageBreak/>
        <w:t xml:space="preserve">були використані непараметричні методи оцінки, а при опису результатів використана медіана [25-й та 75-й квартіль]: </w:t>
      </w:r>
      <w:r w:rsidRPr="000A32AD">
        <w:rPr>
          <w:rFonts w:ascii="Times New Roman" w:hAnsi="Times New Roman" w:cs="Times New Roman"/>
          <w:color w:val="000000" w:themeColor="text1"/>
          <w:sz w:val="28"/>
          <w:szCs w:val="28"/>
        </w:rPr>
        <w:t xml:space="preserve">3,6 [1,9; 9,0] пг/мл. </w:t>
      </w:r>
      <w:r w:rsidRPr="000A32AD">
        <w:rPr>
          <w:rFonts w:ascii="Times New Roman" w:hAnsi="Times New Roman" w:cs="Times New Roman"/>
          <w:color w:val="000000" w:themeColor="text1"/>
          <w:sz w:val="28"/>
          <w:szCs w:val="28"/>
          <w:lang w:val="uk-UA"/>
        </w:rPr>
        <w:t>Більш наглядно розкид індивідуальних значень наведено на рис. 4.1.</w:t>
      </w:r>
    </w:p>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w:drawing>
          <wp:inline distT="0" distB="0" distL="0" distR="0" wp14:anchorId="2F2A8822" wp14:editId="0DB558B2">
            <wp:extent cx="4833840" cy="3873274"/>
            <wp:effectExtent l="0" t="0" r="508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842458" cy="3880180"/>
                    </a:xfrm>
                    <a:prstGeom prst="rect">
                      <a:avLst/>
                    </a:prstGeom>
                  </pic:spPr>
                </pic:pic>
              </a:graphicData>
            </a:graphic>
          </wp:inline>
        </w:drawing>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Рис. 4.1. Розподіл індивідуальних значень концентрації</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Тобто більшість індивідуальних значень знаходиться в межах 1,9 пг/мл – 9,0 пг/мл. Наявність викидів значень більш 10 пг/мл можливо є проявом прихованої патології, яка ще не реалізувалася клінічно-значимими проявами.</w:t>
      </w:r>
    </w:p>
    <w:p w:rsidR="0046005F" w:rsidRDefault="00FE7908" w:rsidP="0046005F">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Аналіз вмісту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 xml:space="preserve"> в крові хворих на ЦД 2 типу виявив певні зако</w:t>
      </w:r>
      <w:r w:rsidRPr="000A32AD">
        <w:rPr>
          <w:rFonts w:ascii="Times New Roman" w:hAnsi="Times New Roman" w:cs="Times New Roman"/>
          <w:color w:val="000000" w:themeColor="text1"/>
          <w:sz w:val="28"/>
          <w:szCs w:val="28"/>
          <w:lang w:val="uk-UA"/>
        </w:rPr>
        <w:softHyphen/>
        <w:t>но</w:t>
      </w:r>
      <w:r w:rsidRPr="000A32AD">
        <w:rPr>
          <w:rFonts w:ascii="Times New Roman" w:hAnsi="Times New Roman" w:cs="Times New Roman"/>
          <w:color w:val="000000" w:themeColor="text1"/>
          <w:sz w:val="28"/>
          <w:szCs w:val="28"/>
          <w:lang w:val="uk-UA"/>
        </w:rPr>
        <w:softHyphen/>
        <w:t xml:space="preserve">мірності (табл. 4.1, рис. 4.2). Вміст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2 у всій виборці хворих, що увійшли у дослідження, (</w:t>
      </w:r>
      <w:r w:rsidRPr="000A32AD">
        <w:rPr>
          <w:rFonts w:ascii="Times New Roman" w:hAnsi="Times New Roman" w:cs="Times New Roman"/>
          <w:color w:val="000000" w:themeColor="text1"/>
          <w:sz w:val="28"/>
          <w:szCs w:val="28"/>
          <w:lang w:val="en-US"/>
        </w:rPr>
        <w:t>n</w:t>
      </w:r>
      <w:r w:rsidRPr="000A32AD">
        <w:rPr>
          <w:rFonts w:ascii="Times New Roman" w:hAnsi="Times New Roman" w:cs="Times New Roman"/>
          <w:color w:val="000000" w:themeColor="text1"/>
          <w:sz w:val="28"/>
          <w:szCs w:val="28"/>
          <w:lang w:val="uk-UA"/>
        </w:rPr>
        <w:t>=90) у середньому складав (28,0±11,9) пг/мл або у вигляді медіани – 28,1 [18,7; 34,2] пг/мл з досить великим розкидом індивідуальних значень – від 7,4 пг/мл до 63,2 пг/мл (табл. 4.1). При цьому перевірка на нор</w:t>
      </w:r>
      <w:r w:rsidRPr="000A32AD">
        <w:rPr>
          <w:rFonts w:ascii="Times New Roman" w:hAnsi="Times New Roman" w:cs="Times New Roman"/>
          <w:color w:val="000000" w:themeColor="text1"/>
          <w:sz w:val="28"/>
          <w:szCs w:val="28"/>
          <w:lang w:val="uk-UA"/>
        </w:rPr>
        <w:softHyphen/>
        <w:t>мальність за критерієм Колмагорова-Смирнова не виявила достовірної різни</w:t>
      </w:r>
      <w:r w:rsidRPr="000A32AD">
        <w:rPr>
          <w:rFonts w:ascii="Times New Roman" w:hAnsi="Times New Roman" w:cs="Times New Roman"/>
          <w:color w:val="000000" w:themeColor="text1"/>
          <w:sz w:val="28"/>
          <w:szCs w:val="28"/>
          <w:lang w:val="uk-UA"/>
        </w:rPr>
        <w:softHyphen/>
        <w:t>ці з нормальним розподілом (р=0,343) (рис. 4.2), але у зв’язку з ненор</w:t>
      </w:r>
      <w:r w:rsidRPr="000A32AD">
        <w:rPr>
          <w:rFonts w:ascii="Times New Roman" w:hAnsi="Times New Roman" w:cs="Times New Roman"/>
          <w:color w:val="000000" w:themeColor="text1"/>
          <w:sz w:val="28"/>
          <w:szCs w:val="28"/>
          <w:lang w:val="uk-UA"/>
        </w:rPr>
        <w:softHyphen/>
        <w:t>маль</w:t>
      </w:r>
      <w:r w:rsidRPr="000A32AD">
        <w:rPr>
          <w:rFonts w:ascii="Times New Roman" w:hAnsi="Times New Roman" w:cs="Times New Roman"/>
          <w:color w:val="000000" w:themeColor="text1"/>
          <w:sz w:val="28"/>
          <w:szCs w:val="28"/>
          <w:lang w:val="uk-UA"/>
        </w:rPr>
        <w:softHyphen/>
        <w:t xml:space="preserve">ним </w:t>
      </w:r>
      <w:r w:rsidRPr="000A32AD">
        <w:rPr>
          <w:rFonts w:ascii="Times New Roman" w:hAnsi="Times New Roman" w:cs="Times New Roman"/>
          <w:color w:val="000000" w:themeColor="text1"/>
          <w:sz w:val="28"/>
          <w:szCs w:val="28"/>
          <w:lang w:val="uk-UA"/>
        </w:rPr>
        <w:lastRenderedPageBreak/>
        <w:t>розподілом в групі контролю у подальшому для порівняння засто</w:t>
      </w:r>
      <w:r w:rsidR="0046005F">
        <w:rPr>
          <w:rFonts w:ascii="Times New Roman" w:hAnsi="Times New Roman" w:cs="Times New Roman"/>
          <w:color w:val="000000" w:themeColor="text1"/>
          <w:sz w:val="28"/>
          <w:szCs w:val="28"/>
          <w:lang w:val="uk-UA"/>
        </w:rPr>
        <w:t>совано непараметричні критерії.</w:t>
      </w:r>
    </w:p>
    <w:p w:rsidR="00FE7908" w:rsidRPr="000A32AD" w:rsidRDefault="00FE7908" w:rsidP="00FE7908">
      <w:pPr>
        <w:keepNext/>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Таблиця 4.1 – Вміст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 xml:space="preserve"> в крові </w:t>
      </w:r>
      <w:r w:rsidR="001805FC" w:rsidRPr="000A32AD">
        <w:rPr>
          <w:rFonts w:ascii="Times New Roman" w:hAnsi="Times New Roman" w:cs="Times New Roman"/>
          <w:color w:val="000000" w:themeColor="text1"/>
          <w:sz w:val="28"/>
          <w:szCs w:val="28"/>
          <w:lang w:val="uk-UA"/>
        </w:rPr>
        <w:t xml:space="preserve">обстежених </w:t>
      </w:r>
      <w:r w:rsidRPr="000A32AD">
        <w:rPr>
          <w:rFonts w:ascii="Times New Roman" w:hAnsi="Times New Roman" w:cs="Times New Roman"/>
          <w:color w:val="000000" w:themeColor="text1"/>
          <w:sz w:val="28"/>
          <w:szCs w:val="28"/>
          <w:lang w:val="uk-UA"/>
        </w:rPr>
        <w:t>хворих та в контролі (пг/мл)</w:t>
      </w:r>
    </w:p>
    <w:tbl>
      <w:tblPr>
        <w:tblStyle w:val="afa"/>
        <w:tblW w:w="0" w:type="auto"/>
        <w:tblLook w:val="04A0" w:firstRow="1" w:lastRow="0" w:firstColumn="1" w:lastColumn="0" w:noHBand="0" w:noVBand="1"/>
      </w:tblPr>
      <w:tblGrid>
        <w:gridCol w:w="2660"/>
        <w:gridCol w:w="4146"/>
        <w:gridCol w:w="1382"/>
        <w:gridCol w:w="1383"/>
      </w:tblGrid>
      <w:tr w:rsidR="00FE7908" w:rsidRPr="000A32AD" w:rsidTr="00FE7908">
        <w:tc>
          <w:tcPr>
            <w:tcW w:w="2660" w:type="dxa"/>
          </w:tcPr>
          <w:p w:rsidR="00FE7908" w:rsidRPr="000A32AD" w:rsidRDefault="00FE7908" w:rsidP="00FE7908">
            <w:pPr>
              <w:spacing w:line="360" w:lineRule="auto"/>
              <w:ind w:left="708" w:hanging="708"/>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Група</w:t>
            </w:r>
          </w:p>
        </w:tc>
        <w:tc>
          <w:tcPr>
            <w:tcW w:w="4146" w:type="dxa"/>
          </w:tcPr>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Me [Q</w:t>
            </w:r>
            <w:r w:rsidRPr="000A32AD">
              <w:rPr>
                <w:rFonts w:ascii="Times New Roman" w:hAnsi="Times New Roman" w:cs="Times New Roman"/>
                <w:color w:val="000000" w:themeColor="text1"/>
                <w:sz w:val="28"/>
                <w:szCs w:val="28"/>
                <w:lang w:val="uk-UA"/>
              </w:rPr>
              <w:softHyphen/>
            </w:r>
            <w:r w:rsidRPr="000A32AD">
              <w:rPr>
                <w:rFonts w:ascii="Times New Roman" w:hAnsi="Times New Roman" w:cs="Times New Roman"/>
                <w:color w:val="000000" w:themeColor="text1"/>
                <w:sz w:val="28"/>
                <w:szCs w:val="28"/>
                <w:vertAlign w:val="subscript"/>
                <w:lang w:val="uk-UA"/>
              </w:rPr>
              <w:t>25</w:t>
            </w:r>
            <w:r w:rsidRPr="000A32AD">
              <w:rPr>
                <w:rFonts w:ascii="Times New Roman" w:hAnsi="Times New Roman" w:cs="Times New Roman"/>
                <w:color w:val="000000" w:themeColor="text1"/>
                <w:sz w:val="28"/>
                <w:szCs w:val="28"/>
                <w:lang w:val="uk-UA"/>
              </w:rPr>
              <w:t>; Q</w:t>
            </w:r>
            <w:r w:rsidRPr="000A32AD">
              <w:rPr>
                <w:rFonts w:ascii="Times New Roman" w:hAnsi="Times New Roman" w:cs="Times New Roman"/>
                <w:color w:val="000000" w:themeColor="text1"/>
                <w:sz w:val="28"/>
                <w:szCs w:val="28"/>
                <w:vertAlign w:val="subscript"/>
                <w:lang w:val="uk-UA"/>
              </w:rPr>
              <w:t>75</w:t>
            </w:r>
            <w:r w:rsidRPr="000A32AD">
              <w:rPr>
                <w:rFonts w:ascii="Times New Roman" w:hAnsi="Times New Roman" w:cs="Times New Roman"/>
                <w:color w:val="000000" w:themeColor="text1"/>
                <w:sz w:val="28"/>
                <w:szCs w:val="28"/>
                <w:lang w:val="uk-UA"/>
              </w:rPr>
              <w:t>]</w:t>
            </w:r>
          </w:p>
        </w:tc>
        <w:tc>
          <w:tcPr>
            <w:tcW w:w="1382" w:type="dxa"/>
          </w:tcPr>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Min</w:t>
            </w:r>
          </w:p>
        </w:tc>
        <w:tc>
          <w:tcPr>
            <w:tcW w:w="1383" w:type="dxa"/>
          </w:tcPr>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Max</w:t>
            </w:r>
          </w:p>
        </w:tc>
      </w:tr>
      <w:tr w:rsidR="00FE7908" w:rsidRPr="000A32AD" w:rsidTr="00FE7908">
        <w:tc>
          <w:tcPr>
            <w:tcW w:w="2660" w:type="dxa"/>
          </w:tcPr>
          <w:p w:rsidR="00FE7908" w:rsidRPr="000A32AD" w:rsidRDefault="00FE7908" w:rsidP="00FE7908">
            <w:pPr>
              <w:spacing w:line="360" w:lineRule="auto"/>
              <w:ind w:left="708" w:hanging="708"/>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Всі хворі (n=90)</w:t>
            </w:r>
          </w:p>
        </w:tc>
        <w:tc>
          <w:tcPr>
            <w:tcW w:w="4146" w:type="dxa"/>
          </w:tcPr>
          <w:p w:rsidR="00FE7908" w:rsidRPr="000A32AD" w:rsidRDefault="00FE7908" w:rsidP="00FE7908">
            <w:pPr>
              <w:spacing w:line="360" w:lineRule="auto"/>
              <w:jc w:val="center"/>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28,1 [18,7; 34,2]</w:t>
            </w:r>
            <w:r w:rsidRPr="000A32AD">
              <w:rPr>
                <w:rFonts w:ascii="Times New Roman" w:hAnsi="Times New Roman" w:cs="Times New Roman"/>
                <w:color w:val="000000" w:themeColor="text1"/>
                <w:sz w:val="28"/>
                <w:szCs w:val="28"/>
                <w:vertAlign w:val="superscript"/>
                <w:lang w:val="uk-UA"/>
              </w:rPr>
              <w:t>1</w:t>
            </w:r>
          </w:p>
        </w:tc>
        <w:tc>
          <w:tcPr>
            <w:tcW w:w="1382" w:type="dxa"/>
          </w:tcPr>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7,4</w:t>
            </w:r>
          </w:p>
        </w:tc>
        <w:tc>
          <w:tcPr>
            <w:tcW w:w="1383" w:type="dxa"/>
          </w:tcPr>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63,2</w:t>
            </w:r>
          </w:p>
        </w:tc>
      </w:tr>
      <w:tr w:rsidR="00FE7908" w:rsidRPr="000A32AD" w:rsidTr="00FE7908">
        <w:tc>
          <w:tcPr>
            <w:tcW w:w="2660" w:type="dxa"/>
          </w:tcPr>
          <w:p w:rsidR="00FE7908" w:rsidRPr="000A32AD" w:rsidRDefault="00FE7908" w:rsidP="00FE7908">
            <w:pPr>
              <w:spacing w:line="360" w:lineRule="auto"/>
              <w:ind w:left="708" w:hanging="708"/>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І група (n=48)</w:t>
            </w:r>
          </w:p>
        </w:tc>
        <w:tc>
          <w:tcPr>
            <w:tcW w:w="4146" w:type="dxa"/>
          </w:tcPr>
          <w:p w:rsidR="00FE7908" w:rsidRPr="000A32AD" w:rsidRDefault="00FE7908" w:rsidP="00FE7908">
            <w:pPr>
              <w:spacing w:line="360" w:lineRule="auto"/>
              <w:jc w:val="center"/>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30,8 [21,6; 39,9]</w:t>
            </w:r>
            <w:r w:rsidRPr="000A32AD">
              <w:rPr>
                <w:rFonts w:ascii="Times New Roman" w:hAnsi="Times New Roman" w:cs="Times New Roman"/>
                <w:color w:val="000000" w:themeColor="text1"/>
                <w:sz w:val="28"/>
                <w:szCs w:val="28"/>
                <w:vertAlign w:val="superscript"/>
                <w:lang w:val="uk-UA"/>
              </w:rPr>
              <w:t>1,2</w:t>
            </w:r>
          </w:p>
        </w:tc>
        <w:tc>
          <w:tcPr>
            <w:tcW w:w="1382" w:type="dxa"/>
          </w:tcPr>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12,8</w:t>
            </w:r>
          </w:p>
        </w:tc>
        <w:tc>
          <w:tcPr>
            <w:tcW w:w="1383" w:type="dxa"/>
          </w:tcPr>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63,2</w:t>
            </w:r>
          </w:p>
        </w:tc>
      </w:tr>
      <w:tr w:rsidR="00FE7908" w:rsidRPr="000A32AD" w:rsidTr="00FE7908">
        <w:tc>
          <w:tcPr>
            <w:tcW w:w="2660" w:type="dxa"/>
          </w:tcPr>
          <w:p w:rsidR="00FE7908" w:rsidRPr="000A32AD" w:rsidRDefault="00FE7908" w:rsidP="00FE7908">
            <w:pPr>
              <w:spacing w:line="360" w:lineRule="auto"/>
              <w:ind w:left="708" w:hanging="708"/>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Іа група (n=31)</w:t>
            </w:r>
          </w:p>
        </w:tc>
        <w:tc>
          <w:tcPr>
            <w:tcW w:w="4146" w:type="dxa"/>
          </w:tcPr>
          <w:p w:rsidR="00FE7908" w:rsidRPr="000A32AD" w:rsidRDefault="00FE7908" w:rsidP="00FE7908">
            <w:pPr>
              <w:spacing w:line="360" w:lineRule="auto"/>
              <w:jc w:val="center"/>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30,3 [22,6; 39,7]</w:t>
            </w:r>
            <w:r w:rsidRPr="000A32AD">
              <w:rPr>
                <w:rFonts w:ascii="Times New Roman" w:hAnsi="Times New Roman" w:cs="Times New Roman"/>
                <w:color w:val="000000" w:themeColor="text1"/>
                <w:sz w:val="28"/>
                <w:szCs w:val="28"/>
                <w:vertAlign w:val="superscript"/>
                <w:lang w:val="uk-UA"/>
              </w:rPr>
              <w:t>1,2</w:t>
            </w:r>
          </w:p>
        </w:tc>
        <w:tc>
          <w:tcPr>
            <w:tcW w:w="1382" w:type="dxa"/>
          </w:tcPr>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12,8</w:t>
            </w:r>
          </w:p>
        </w:tc>
        <w:tc>
          <w:tcPr>
            <w:tcW w:w="1383" w:type="dxa"/>
          </w:tcPr>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56,2</w:t>
            </w:r>
          </w:p>
        </w:tc>
      </w:tr>
      <w:tr w:rsidR="00FE7908" w:rsidRPr="000A32AD" w:rsidTr="00FE7908">
        <w:tc>
          <w:tcPr>
            <w:tcW w:w="2660" w:type="dxa"/>
          </w:tcPr>
          <w:p w:rsidR="00FE7908" w:rsidRPr="000A32AD" w:rsidRDefault="00FE7908" w:rsidP="00FE7908">
            <w:pPr>
              <w:spacing w:line="360" w:lineRule="auto"/>
              <w:ind w:left="708" w:hanging="708"/>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Іб група (n=17)</w:t>
            </w:r>
          </w:p>
        </w:tc>
        <w:tc>
          <w:tcPr>
            <w:tcW w:w="4146" w:type="dxa"/>
          </w:tcPr>
          <w:p w:rsidR="00FE7908" w:rsidRPr="000A32AD" w:rsidRDefault="00FE7908" w:rsidP="00FE7908">
            <w:pPr>
              <w:spacing w:line="360" w:lineRule="auto"/>
              <w:jc w:val="center"/>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31,4 [20,5; 47,6]</w:t>
            </w:r>
            <w:r w:rsidRPr="000A32AD">
              <w:rPr>
                <w:rFonts w:ascii="Times New Roman" w:hAnsi="Times New Roman" w:cs="Times New Roman"/>
                <w:color w:val="000000" w:themeColor="text1"/>
                <w:sz w:val="28"/>
                <w:szCs w:val="28"/>
                <w:vertAlign w:val="superscript"/>
                <w:lang w:val="uk-UA"/>
              </w:rPr>
              <w:t>1,2</w:t>
            </w:r>
          </w:p>
        </w:tc>
        <w:tc>
          <w:tcPr>
            <w:tcW w:w="1382" w:type="dxa"/>
          </w:tcPr>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16,2</w:t>
            </w:r>
          </w:p>
        </w:tc>
        <w:tc>
          <w:tcPr>
            <w:tcW w:w="1383" w:type="dxa"/>
          </w:tcPr>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63,2</w:t>
            </w:r>
          </w:p>
        </w:tc>
      </w:tr>
      <w:tr w:rsidR="00FE7908" w:rsidRPr="000A32AD" w:rsidTr="00FE7908">
        <w:tc>
          <w:tcPr>
            <w:tcW w:w="2660" w:type="dxa"/>
          </w:tcPr>
          <w:p w:rsidR="00FE7908" w:rsidRPr="000A32AD" w:rsidRDefault="00FE7908" w:rsidP="00FE7908">
            <w:pPr>
              <w:spacing w:line="360" w:lineRule="auto"/>
              <w:ind w:left="708" w:hanging="708"/>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ІІ група (n=42)</w:t>
            </w:r>
          </w:p>
        </w:tc>
        <w:tc>
          <w:tcPr>
            <w:tcW w:w="4146" w:type="dxa"/>
          </w:tcPr>
          <w:p w:rsidR="00FE7908" w:rsidRPr="000A32AD" w:rsidRDefault="00FE7908" w:rsidP="00FE7908">
            <w:pPr>
              <w:spacing w:line="360" w:lineRule="auto"/>
              <w:jc w:val="center"/>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22,1 [16,2; 29,3]</w:t>
            </w:r>
            <w:r w:rsidRPr="000A32AD">
              <w:rPr>
                <w:rFonts w:ascii="Times New Roman" w:hAnsi="Times New Roman" w:cs="Times New Roman"/>
                <w:color w:val="000000" w:themeColor="text1"/>
                <w:sz w:val="28"/>
                <w:szCs w:val="28"/>
                <w:vertAlign w:val="superscript"/>
                <w:lang w:val="uk-UA"/>
              </w:rPr>
              <w:t>1</w:t>
            </w:r>
          </w:p>
        </w:tc>
        <w:tc>
          <w:tcPr>
            <w:tcW w:w="1382" w:type="dxa"/>
          </w:tcPr>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7,7</w:t>
            </w:r>
          </w:p>
        </w:tc>
        <w:tc>
          <w:tcPr>
            <w:tcW w:w="1383" w:type="dxa"/>
          </w:tcPr>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41,2</w:t>
            </w:r>
          </w:p>
        </w:tc>
      </w:tr>
      <w:tr w:rsidR="00FE7908" w:rsidRPr="000A32AD" w:rsidTr="00FE7908">
        <w:tc>
          <w:tcPr>
            <w:tcW w:w="2660" w:type="dxa"/>
          </w:tcPr>
          <w:p w:rsidR="00FE7908" w:rsidRPr="000A32AD" w:rsidRDefault="00FE7908" w:rsidP="00FE7908">
            <w:pPr>
              <w:spacing w:line="360" w:lineRule="auto"/>
              <w:ind w:left="708" w:hanging="708"/>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Контроль (n=20)</w:t>
            </w:r>
          </w:p>
        </w:tc>
        <w:tc>
          <w:tcPr>
            <w:tcW w:w="4146" w:type="dxa"/>
          </w:tcPr>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3,6 [1,9; 9,0]</w:t>
            </w:r>
          </w:p>
        </w:tc>
        <w:tc>
          <w:tcPr>
            <w:tcW w:w="1382" w:type="dxa"/>
          </w:tcPr>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0,8</w:t>
            </w:r>
          </w:p>
        </w:tc>
        <w:tc>
          <w:tcPr>
            <w:tcW w:w="1383" w:type="dxa"/>
          </w:tcPr>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19,6</w:t>
            </w:r>
          </w:p>
        </w:tc>
      </w:tr>
    </w:tbl>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Примітка. 1 – відмінності достовірні у порівнянні з контролем (р</w:t>
      </w:r>
      <w:r w:rsidRPr="000A32AD">
        <w:rPr>
          <w:rFonts w:ascii="Times New Roman" w:hAnsi="Times New Roman" w:cs="Times New Roman"/>
          <w:color w:val="000000" w:themeColor="text1"/>
          <w:sz w:val="28"/>
          <w:szCs w:val="28"/>
        </w:rPr>
        <w:t>&lt;</w:t>
      </w:r>
      <w:r w:rsidRPr="000A32AD">
        <w:rPr>
          <w:rFonts w:ascii="Times New Roman" w:hAnsi="Times New Roman" w:cs="Times New Roman"/>
          <w:color w:val="000000" w:themeColor="text1"/>
          <w:sz w:val="28"/>
          <w:szCs w:val="28"/>
          <w:lang w:val="uk-UA"/>
        </w:rPr>
        <w:t>0,05 за критерієм Мана-Уітні). 2 – відмінності достовірні у порівнянні з ІІ групою (р</w:t>
      </w:r>
      <w:r w:rsidRPr="000A32AD">
        <w:rPr>
          <w:rFonts w:ascii="Times New Roman" w:hAnsi="Times New Roman" w:cs="Times New Roman"/>
          <w:color w:val="000000" w:themeColor="text1"/>
          <w:sz w:val="28"/>
          <w:szCs w:val="28"/>
        </w:rPr>
        <w:t>&lt;</w:t>
      </w:r>
      <w:r w:rsidRPr="000A32AD">
        <w:rPr>
          <w:rFonts w:ascii="Times New Roman" w:hAnsi="Times New Roman" w:cs="Times New Roman"/>
          <w:color w:val="000000" w:themeColor="text1"/>
          <w:sz w:val="28"/>
          <w:szCs w:val="28"/>
          <w:lang w:val="uk-UA"/>
        </w:rPr>
        <w:t>0,05 за критерієм Мана-Уітні)</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w:drawing>
          <wp:inline distT="0" distB="0" distL="0" distR="0" wp14:anchorId="2B7B87B9" wp14:editId="3D1299ED">
            <wp:extent cx="5463940" cy="3515096"/>
            <wp:effectExtent l="0" t="0" r="3810"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480582" cy="3525803"/>
                    </a:xfrm>
                    <a:prstGeom prst="rect">
                      <a:avLst/>
                    </a:prstGeom>
                  </pic:spPr>
                </pic:pic>
              </a:graphicData>
            </a:graphic>
          </wp:inline>
        </w:drawing>
      </w:r>
    </w:p>
    <w:p w:rsidR="00FE7908" w:rsidRPr="000A32AD" w:rsidRDefault="00FE7908" w:rsidP="00F74682">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Рис. 4.2. Розподіл індивідуальних значень концентрації</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 xml:space="preserve"> у </w:t>
      </w:r>
      <w:r w:rsidR="001805FC" w:rsidRPr="000A32AD">
        <w:rPr>
          <w:rFonts w:ascii="Times New Roman" w:hAnsi="Times New Roman" w:cs="Times New Roman"/>
          <w:color w:val="000000" w:themeColor="text1"/>
          <w:sz w:val="28"/>
          <w:szCs w:val="28"/>
          <w:lang w:val="uk-UA"/>
        </w:rPr>
        <w:t xml:space="preserve">обстежених </w:t>
      </w:r>
      <w:r w:rsidRPr="000A32AD">
        <w:rPr>
          <w:rFonts w:ascii="Times New Roman" w:hAnsi="Times New Roman" w:cs="Times New Roman"/>
          <w:color w:val="000000" w:themeColor="text1"/>
          <w:sz w:val="28"/>
          <w:szCs w:val="28"/>
          <w:lang w:val="uk-UA"/>
        </w:rPr>
        <w:t>хворих.</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lastRenderedPageBreak/>
        <w:t xml:space="preserve">У хворих І групи (ЦД 2 типу та НДСТ) медіана вмісту </w:t>
      </w:r>
      <w:r w:rsidRPr="000A32AD">
        <w:rPr>
          <w:rFonts w:ascii="Times New Roman" w:hAnsi="Times New Roman" w:cs="Times New Roman"/>
          <w:color w:val="000000" w:themeColor="text1"/>
          <w:sz w:val="28"/>
          <w:szCs w:val="28"/>
          <w:lang w:val="en-US"/>
        </w:rPr>
        <w:t>FGF</w:t>
      </w:r>
      <w:r w:rsidR="00416BF5">
        <w:rPr>
          <w:rFonts w:ascii="Times New Roman" w:hAnsi="Times New Roman" w:cs="Times New Roman"/>
          <w:color w:val="000000" w:themeColor="text1"/>
          <w:sz w:val="28"/>
          <w:szCs w:val="28"/>
          <w:lang w:val="uk-UA"/>
        </w:rPr>
        <w:t>2 скл</w:t>
      </w:r>
      <w:r w:rsidRPr="000A32AD">
        <w:rPr>
          <w:rFonts w:ascii="Times New Roman" w:hAnsi="Times New Roman" w:cs="Times New Roman"/>
          <w:color w:val="000000" w:themeColor="text1"/>
          <w:sz w:val="28"/>
          <w:szCs w:val="28"/>
          <w:lang w:val="uk-UA"/>
        </w:rPr>
        <w:t>ала 30,8 [21,6; 39,9] пг/мл – від 12,8 пг/мл, до 63,2 пг/мл. При цьому спостерігається тенденція до зростання в Іб групі (НДСТ з вісцеральними та скелетними ознаками) – 31,4 [20,5; 47,6] пг/мл (від 16,2 пг/мл до 63,2 пг/мл) у порівнянні з Іа групою (НДСТ тільки з вісцеральними ознаками) –30,3 [22,6; 39,7] пг/мл (від 12,8 пг/мл до 56,2 пг/мл</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lang w:val="en-US"/>
        </w:rPr>
        <w:t>p</w:t>
      </w:r>
      <w:r w:rsidRPr="000A32AD">
        <w:rPr>
          <w:rFonts w:ascii="Times New Roman" w:hAnsi="Times New Roman" w:cs="Times New Roman"/>
          <w:color w:val="000000" w:themeColor="text1"/>
          <w:sz w:val="28"/>
          <w:szCs w:val="28"/>
        </w:rPr>
        <w:t>&gt;</w:t>
      </w:r>
      <w:r w:rsidRPr="000A32AD">
        <w:rPr>
          <w:rFonts w:ascii="Times New Roman" w:hAnsi="Times New Roman" w:cs="Times New Roman"/>
          <w:color w:val="000000" w:themeColor="text1"/>
          <w:sz w:val="28"/>
          <w:szCs w:val="28"/>
          <w:lang w:val="uk-UA"/>
        </w:rPr>
        <w:t xml:space="preserve">0,05 за критерієм Мана-Уітні). </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Вміст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2 в І групі (як в Іа та і в Іб) був достовірно більшим, ніж в ІІ групі (хворі на ЦД 2 типу без ознак ДТСТ) – 22,1 [16,2; 29,3] пг/мл (від 7,7 пг/мл до 41,2 пг/мл.</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Тобто, при ЦД 2 типу спостерігається збільшення вмісту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2, у випадках сполучення ЦД з НДСТ це збільшення ще більш виразне та більш, ніж у хворих без ознак НДСТ. Однак варто відмітити, що в окремих випадках індивідуальні значення майже не відрізнялись від контролю, а в окремих в рази перевищували середні значення по групі, що можу бути пов’язано з дією додаткових факторів.</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lang w:val="uk-UA"/>
        </w:rPr>
        <w:t xml:space="preserve">Перш за все був проведений кореляційний аналіз рівня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 xml:space="preserve">2 в крові окремо в І та ІІ групі хворих (параметричним методом Пірсона), в результаті якого виявлені значні відмінності сили кореляційних зв’язків між групами (рис. 4.3). Аналіз проводився зі всіма доступними якісними та кількісними показниками, але далі наводяться тільки ті показники, які виявились достовірними хоча в одній групі: тривалість ЦД, вміст </w:t>
      </w:r>
      <w:r w:rsidRPr="000A32AD">
        <w:rPr>
          <w:rFonts w:ascii="Times New Roman" w:hAnsi="Times New Roman" w:cs="Times New Roman"/>
          <w:color w:val="000000" w:themeColor="text1"/>
          <w:sz w:val="28"/>
          <w:szCs w:val="28"/>
          <w:shd w:val="clear" w:color="auto" w:fill="FFFFFF"/>
        </w:rPr>
        <w:t>HbA</w:t>
      </w:r>
      <w:r w:rsidRPr="000A32AD">
        <w:rPr>
          <w:rFonts w:ascii="Times New Roman" w:hAnsi="Times New Roman" w:cs="Times New Roman"/>
          <w:color w:val="000000" w:themeColor="text1"/>
          <w:sz w:val="28"/>
          <w:szCs w:val="28"/>
          <w:shd w:val="clear" w:color="auto" w:fill="FFFFFF"/>
          <w:lang w:val="uk-UA"/>
        </w:rPr>
        <w:t>1</w:t>
      </w:r>
      <w:r w:rsidRPr="000A32AD">
        <w:rPr>
          <w:rFonts w:ascii="Times New Roman" w:hAnsi="Times New Roman" w:cs="Times New Roman"/>
          <w:color w:val="000000" w:themeColor="text1"/>
          <w:sz w:val="28"/>
          <w:szCs w:val="28"/>
          <w:shd w:val="clear" w:color="auto" w:fill="FFFFFF"/>
        </w:rPr>
        <w:t>c</w:t>
      </w:r>
      <w:r w:rsidRPr="000A32AD">
        <w:rPr>
          <w:rFonts w:ascii="Times New Roman" w:hAnsi="Times New Roman" w:cs="Times New Roman"/>
          <w:color w:val="000000" w:themeColor="text1"/>
          <w:sz w:val="28"/>
          <w:szCs w:val="28"/>
          <w:shd w:val="clear" w:color="auto" w:fill="FFFFFF"/>
          <w:lang w:val="uk-UA"/>
        </w:rPr>
        <w:t xml:space="preserve"> в %, наявність та виразність АГ, наявність діабетичної нефропатії, величина ШКФ, наявність діабетичної нефропатії. Ці показники було обрано у зв’язку з підтвердженою роллю в їх патогенезі порушень метаболізму сполучної тканини (табл. 4.2).</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shd w:val="clear" w:color="auto" w:fill="FFFFFF"/>
          <w:lang w:val="uk-UA"/>
        </w:rPr>
      </w:pP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shd w:val="clear" w:color="auto" w:fill="FFFFFF"/>
          <w:lang w:val="uk-UA"/>
        </w:rPr>
      </w:pP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shd w:val="clear" w:color="auto" w:fill="FFFFFF"/>
          <w:lang w:val="uk-UA"/>
        </w:rPr>
      </w:pP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lastRenderedPageBreak/>
        <w:t xml:space="preserve">Таблиця 4.2 – Результати кореляційного аналізу вмісту </w:t>
      </w:r>
      <w:r w:rsidRPr="000A32AD">
        <w:rPr>
          <w:rFonts w:ascii="Times New Roman" w:hAnsi="Times New Roman" w:cs="Times New Roman"/>
          <w:color w:val="000000" w:themeColor="text1"/>
          <w:sz w:val="28"/>
          <w:szCs w:val="28"/>
          <w:shd w:val="clear" w:color="auto" w:fill="FFFFFF"/>
          <w:lang w:val="en-US"/>
        </w:rPr>
        <w:t>FGF2</w:t>
      </w:r>
      <w:r w:rsidRPr="000A32AD">
        <w:rPr>
          <w:rFonts w:ascii="Times New Roman" w:hAnsi="Times New Roman" w:cs="Times New Roman"/>
          <w:color w:val="000000" w:themeColor="text1"/>
          <w:sz w:val="28"/>
          <w:szCs w:val="28"/>
          <w:shd w:val="clear" w:color="auto" w:fill="FFFFFF"/>
          <w:lang w:val="uk-UA"/>
        </w:rPr>
        <w:t xml:space="preserve"> з іншими показниками</w:t>
      </w:r>
    </w:p>
    <w:tbl>
      <w:tblPr>
        <w:tblStyle w:val="afa"/>
        <w:tblW w:w="0" w:type="auto"/>
        <w:tblLook w:val="04A0" w:firstRow="1" w:lastRow="0" w:firstColumn="1" w:lastColumn="0" w:noHBand="0" w:noVBand="1"/>
      </w:tblPr>
      <w:tblGrid>
        <w:gridCol w:w="3085"/>
        <w:gridCol w:w="1621"/>
        <w:gridCol w:w="1622"/>
        <w:gridCol w:w="1621"/>
        <w:gridCol w:w="1622"/>
      </w:tblGrid>
      <w:tr w:rsidR="00FE7908" w:rsidRPr="000A32AD" w:rsidTr="00FE7908">
        <w:tc>
          <w:tcPr>
            <w:tcW w:w="3085" w:type="dxa"/>
            <w:vMerge w:val="restart"/>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Показник</w:t>
            </w:r>
          </w:p>
        </w:tc>
        <w:tc>
          <w:tcPr>
            <w:tcW w:w="3243" w:type="dxa"/>
            <w:gridSpan w:val="2"/>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І група</w:t>
            </w:r>
            <w:r w:rsidR="001805FC" w:rsidRPr="000A32AD">
              <w:rPr>
                <w:rFonts w:ascii="Times New Roman" w:hAnsi="Times New Roman" w:cs="Times New Roman"/>
                <w:color w:val="000000" w:themeColor="text1"/>
                <w:sz w:val="28"/>
                <w:szCs w:val="28"/>
                <w:shd w:val="clear" w:color="auto" w:fill="FFFFFF"/>
                <w:lang w:val="uk-UA"/>
              </w:rPr>
              <w:t xml:space="preserve"> </w:t>
            </w:r>
            <w:r w:rsidR="001805FC" w:rsidRPr="000A32AD">
              <w:rPr>
                <w:rFonts w:ascii="Times New Roman" w:hAnsi="Times New Roman" w:cs="Times New Roman"/>
                <w:color w:val="000000" w:themeColor="text1"/>
                <w:sz w:val="28"/>
                <w:szCs w:val="28"/>
                <w:lang w:val="uk-UA"/>
              </w:rPr>
              <w:t>(n=48)</w:t>
            </w:r>
          </w:p>
        </w:tc>
        <w:tc>
          <w:tcPr>
            <w:tcW w:w="3243" w:type="dxa"/>
            <w:gridSpan w:val="2"/>
          </w:tcPr>
          <w:p w:rsidR="00FE7908" w:rsidRPr="000A32AD" w:rsidRDefault="00FE7908" w:rsidP="001805FC">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ІІ група</w:t>
            </w:r>
            <w:r w:rsidR="001805FC" w:rsidRPr="000A32AD">
              <w:rPr>
                <w:rFonts w:ascii="Times New Roman" w:hAnsi="Times New Roman" w:cs="Times New Roman"/>
                <w:color w:val="000000" w:themeColor="text1"/>
                <w:sz w:val="28"/>
                <w:szCs w:val="28"/>
                <w:shd w:val="clear" w:color="auto" w:fill="FFFFFF"/>
                <w:lang w:val="uk-UA"/>
              </w:rPr>
              <w:t xml:space="preserve"> </w:t>
            </w:r>
            <w:r w:rsidR="001805FC" w:rsidRPr="000A32AD">
              <w:rPr>
                <w:rFonts w:ascii="Times New Roman" w:hAnsi="Times New Roman" w:cs="Times New Roman"/>
                <w:color w:val="000000" w:themeColor="text1"/>
                <w:sz w:val="28"/>
                <w:szCs w:val="28"/>
                <w:lang w:val="uk-UA"/>
              </w:rPr>
              <w:t>(n=42)</w:t>
            </w:r>
          </w:p>
        </w:tc>
      </w:tr>
      <w:tr w:rsidR="00FE7908" w:rsidRPr="000A32AD" w:rsidTr="00FE7908">
        <w:tc>
          <w:tcPr>
            <w:tcW w:w="3085" w:type="dxa"/>
            <w:vMerge/>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p>
        </w:tc>
        <w:tc>
          <w:tcPr>
            <w:tcW w:w="1621" w:type="dxa"/>
          </w:tcPr>
          <w:p w:rsidR="00FE7908" w:rsidRPr="000A32AD" w:rsidRDefault="00FE7908" w:rsidP="00FE7908">
            <w:pPr>
              <w:spacing w:line="360" w:lineRule="auto"/>
              <w:jc w:val="center"/>
              <w:rPr>
                <w:rFonts w:ascii="Times New Roman" w:hAnsi="Times New Roman" w:cs="Times New Roman"/>
                <w:i/>
                <w:color w:val="000000" w:themeColor="text1"/>
                <w:sz w:val="28"/>
                <w:szCs w:val="28"/>
                <w:shd w:val="clear" w:color="auto" w:fill="FFFFFF"/>
                <w:lang w:val="uk-UA"/>
              </w:rPr>
            </w:pPr>
            <w:r w:rsidRPr="000A32AD">
              <w:rPr>
                <w:rFonts w:ascii="Times New Roman" w:hAnsi="Times New Roman" w:cs="Times New Roman"/>
                <w:i/>
                <w:color w:val="000000" w:themeColor="text1"/>
                <w:sz w:val="28"/>
                <w:szCs w:val="28"/>
                <w:shd w:val="clear" w:color="auto" w:fill="FFFFFF"/>
                <w:lang w:val="uk-UA"/>
              </w:rPr>
              <w:t>r</w:t>
            </w:r>
          </w:p>
        </w:tc>
        <w:tc>
          <w:tcPr>
            <w:tcW w:w="1622"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p</w:t>
            </w:r>
          </w:p>
        </w:tc>
        <w:tc>
          <w:tcPr>
            <w:tcW w:w="1621" w:type="dxa"/>
          </w:tcPr>
          <w:p w:rsidR="00FE7908" w:rsidRPr="000A32AD" w:rsidRDefault="00FE7908" w:rsidP="00FE7908">
            <w:pPr>
              <w:spacing w:line="360" w:lineRule="auto"/>
              <w:jc w:val="center"/>
              <w:rPr>
                <w:rFonts w:ascii="Times New Roman" w:hAnsi="Times New Roman" w:cs="Times New Roman"/>
                <w:i/>
                <w:color w:val="000000" w:themeColor="text1"/>
                <w:sz w:val="28"/>
                <w:szCs w:val="28"/>
                <w:shd w:val="clear" w:color="auto" w:fill="FFFFFF"/>
                <w:lang w:val="uk-UA"/>
              </w:rPr>
            </w:pPr>
            <w:r w:rsidRPr="000A32AD">
              <w:rPr>
                <w:rFonts w:ascii="Times New Roman" w:hAnsi="Times New Roman" w:cs="Times New Roman"/>
                <w:i/>
                <w:color w:val="000000" w:themeColor="text1"/>
                <w:sz w:val="28"/>
                <w:szCs w:val="28"/>
                <w:shd w:val="clear" w:color="auto" w:fill="FFFFFF"/>
                <w:lang w:val="uk-UA"/>
              </w:rPr>
              <w:t>r</w:t>
            </w:r>
          </w:p>
        </w:tc>
        <w:tc>
          <w:tcPr>
            <w:tcW w:w="1622"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p</w:t>
            </w:r>
          </w:p>
        </w:tc>
      </w:tr>
      <w:tr w:rsidR="00FE7908" w:rsidRPr="000A32AD" w:rsidTr="00FE7908">
        <w:tc>
          <w:tcPr>
            <w:tcW w:w="3085" w:type="dxa"/>
          </w:tcPr>
          <w:p w:rsidR="00FE7908" w:rsidRPr="000A32AD" w:rsidRDefault="00FE7908" w:rsidP="00FE7908">
            <w:pPr>
              <w:spacing w:line="360" w:lineRule="auto"/>
              <w:jc w:val="both"/>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Вік, років</w:t>
            </w:r>
          </w:p>
        </w:tc>
        <w:tc>
          <w:tcPr>
            <w:tcW w:w="1621"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0,013</w:t>
            </w:r>
          </w:p>
        </w:tc>
        <w:tc>
          <w:tcPr>
            <w:tcW w:w="1622"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0,227</w:t>
            </w:r>
          </w:p>
        </w:tc>
        <w:tc>
          <w:tcPr>
            <w:tcW w:w="1621"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0,568</w:t>
            </w:r>
          </w:p>
        </w:tc>
        <w:tc>
          <w:tcPr>
            <w:tcW w:w="1622"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&lt;0,001</w:t>
            </w:r>
          </w:p>
        </w:tc>
      </w:tr>
      <w:tr w:rsidR="00FE7908" w:rsidRPr="000A32AD" w:rsidTr="00FE7908">
        <w:tc>
          <w:tcPr>
            <w:tcW w:w="3085" w:type="dxa"/>
          </w:tcPr>
          <w:p w:rsidR="00FE7908" w:rsidRPr="000A32AD" w:rsidRDefault="00FE7908" w:rsidP="00FE7908">
            <w:pPr>
              <w:spacing w:line="360" w:lineRule="auto"/>
              <w:jc w:val="both"/>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Тривалість ЦД, р.</w:t>
            </w:r>
          </w:p>
        </w:tc>
        <w:tc>
          <w:tcPr>
            <w:tcW w:w="1621"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0,023</w:t>
            </w:r>
          </w:p>
        </w:tc>
        <w:tc>
          <w:tcPr>
            <w:tcW w:w="1622"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0,877</w:t>
            </w:r>
          </w:p>
        </w:tc>
        <w:tc>
          <w:tcPr>
            <w:tcW w:w="1621"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0,359</w:t>
            </w:r>
          </w:p>
        </w:tc>
        <w:tc>
          <w:tcPr>
            <w:tcW w:w="1622"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0,020</w:t>
            </w:r>
          </w:p>
        </w:tc>
      </w:tr>
      <w:tr w:rsidR="00FE7908" w:rsidRPr="000A32AD" w:rsidTr="00FE7908">
        <w:tc>
          <w:tcPr>
            <w:tcW w:w="3085" w:type="dxa"/>
          </w:tcPr>
          <w:p w:rsidR="00FE7908" w:rsidRPr="000A32AD" w:rsidRDefault="00FE7908" w:rsidP="00FE7908">
            <w:pPr>
              <w:spacing w:line="360" w:lineRule="auto"/>
              <w:jc w:val="both"/>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АГ (0 – немає, 1-3 ст.)</w:t>
            </w:r>
          </w:p>
        </w:tc>
        <w:tc>
          <w:tcPr>
            <w:tcW w:w="1621"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0,564</w:t>
            </w:r>
          </w:p>
        </w:tc>
        <w:tc>
          <w:tcPr>
            <w:tcW w:w="1622"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0,001</w:t>
            </w:r>
          </w:p>
        </w:tc>
        <w:tc>
          <w:tcPr>
            <w:tcW w:w="1621"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0,413</w:t>
            </w:r>
          </w:p>
        </w:tc>
        <w:tc>
          <w:tcPr>
            <w:tcW w:w="1622"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0,006</w:t>
            </w:r>
          </w:p>
        </w:tc>
      </w:tr>
      <w:tr w:rsidR="00FE7908" w:rsidRPr="000A32AD" w:rsidTr="00FE7908">
        <w:tc>
          <w:tcPr>
            <w:tcW w:w="3085" w:type="dxa"/>
          </w:tcPr>
          <w:p w:rsidR="00FE7908" w:rsidRPr="000A32AD" w:rsidRDefault="00FE7908" w:rsidP="00FE7908">
            <w:pPr>
              <w:spacing w:line="360" w:lineRule="auto"/>
              <w:jc w:val="both"/>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Діабетична нефропатія</w:t>
            </w:r>
          </w:p>
        </w:tc>
        <w:tc>
          <w:tcPr>
            <w:tcW w:w="1621"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0,206</w:t>
            </w:r>
          </w:p>
        </w:tc>
        <w:tc>
          <w:tcPr>
            <w:tcW w:w="1622"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0,159</w:t>
            </w:r>
          </w:p>
        </w:tc>
        <w:tc>
          <w:tcPr>
            <w:tcW w:w="1621"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0,372</w:t>
            </w:r>
          </w:p>
        </w:tc>
        <w:tc>
          <w:tcPr>
            <w:tcW w:w="1622"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0,015</w:t>
            </w:r>
          </w:p>
        </w:tc>
      </w:tr>
      <w:tr w:rsidR="00FE7908" w:rsidRPr="000A32AD" w:rsidTr="00FE7908">
        <w:tc>
          <w:tcPr>
            <w:tcW w:w="3085" w:type="dxa"/>
          </w:tcPr>
          <w:p w:rsidR="00FE7908" w:rsidRPr="000A32AD" w:rsidRDefault="00FE7908" w:rsidP="00FE7908">
            <w:pPr>
              <w:spacing w:line="360" w:lineRule="auto"/>
              <w:jc w:val="both"/>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ШКФ</w:t>
            </w:r>
          </w:p>
        </w:tc>
        <w:tc>
          <w:tcPr>
            <w:tcW w:w="1621"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-0,492</w:t>
            </w:r>
          </w:p>
        </w:tc>
        <w:tc>
          <w:tcPr>
            <w:tcW w:w="1622"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0,001</w:t>
            </w:r>
          </w:p>
        </w:tc>
        <w:tc>
          <w:tcPr>
            <w:tcW w:w="1621"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-0,183</w:t>
            </w:r>
          </w:p>
        </w:tc>
        <w:tc>
          <w:tcPr>
            <w:tcW w:w="1622" w:type="dxa"/>
          </w:tcPr>
          <w:p w:rsidR="00FE7908" w:rsidRPr="000A32AD" w:rsidRDefault="00FE7908" w:rsidP="00FE7908">
            <w:pPr>
              <w:spacing w:line="360" w:lineRule="auto"/>
              <w:jc w:val="center"/>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0,393</w:t>
            </w:r>
          </w:p>
        </w:tc>
      </w:tr>
    </w:tbl>
    <w:p w:rsidR="00FE7908" w:rsidRPr="000A32AD" w:rsidRDefault="00FE7908" w:rsidP="00FE7908">
      <w:pPr>
        <w:spacing w:line="360" w:lineRule="auto"/>
        <w:jc w:val="both"/>
        <w:rPr>
          <w:rFonts w:ascii="Times New Roman" w:hAnsi="Times New Roman" w:cs="Times New Roman"/>
          <w:color w:val="000000" w:themeColor="text1"/>
          <w:sz w:val="28"/>
          <w:szCs w:val="28"/>
          <w:shd w:val="clear" w:color="auto" w:fill="FFFFFF"/>
          <w:lang w:val="uk-UA"/>
        </w:rPr>
      </w:pP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 результаті кореляційного аналізу вмісту FGF2 з іншими показниками виявлені цікаві відмінності. В І групі кореляція FGF2 з віком та тривалістю цукрового діабету була відсутня – r=0,107 та r=0,059 відповідно (р&gt;0,05). В ІІ групі навпаки виявлено достовірну сильну позитивну кореляцію FGF2 з віком (r=0,649, р&lt;0,001) та з тривалістю ЦД (r=0,357, р=0,02). Ці закономірності відображено на рис. 4.3 та 4.4.</w:t>
      </w:r>
    </w:p>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w:drawing>
          <wp:inline distT="0" distB="0" distL="0" distR="0" wp14:anchorId="5182B7E6" wp14:editId="1ED5C13B">
            <wp:extent cx="4592832" cy="3002192"/>
            <wp:effectExtent l="0" t="0" r="0" b="825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4615960" cy="3017310"/>
                    </a:xfrm>
                    <a:prstGeom prst="rect">
                      <a:avLst/>
                    </a:prstGeom>
                  </pic:spPr>
                </pic:pic>
              </a:graphicData>
            </a:graphic>
          </wp:inline>
        </w:drawing>
      </w:r>
    </w:p>
    <w:p w:rsidR="00FE7908" w:rsidRPr="000A32AD" w:rsidRDefault="00FE7908" w:rsidP="00FE7908">
      <w:pPr>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Рис. 4.3. Діаграма розсіяння залежності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 xml:space="preserve">2 від віку та тривалості </w:t>
      </w:r>
      <w:r w:rsidR="001805FC" w:rsidRPr="000A32AD">
        <w:rPr>
          <w:rFonts w:ascii="Times New Roman" w:hAnsi="Times New Roman" w:cs="Times New Roman"/>
          <w:color w:val="000000" w:themeColor="text1"/>
          <w:sz w:val="28"/>
          <w:szCs w:val="28"/>
          <w:lang w:val="uk-UA"/>
        </w:rPr>
        <w:t xml:space="preserve">цукрового діабету </w:t>
      </w:r>
      <w:r w:rsidRPr="000A32AD">
        <w:rPr>
          <w:rFonts w:ascii="Times New Roman" w:hAnsi="Times New Roman" w:cs="Times New Roman"/>
          <w:color w:val="000000" w:themeColor="text1"/>
          <w:sz w:val="28"/>
          <w:szCs w:val="28"/>
          <w:lang w:val="uk-UA"/>
        </w:rPr>
        <w:t xml:space="preserve"> в І групі хворих.</w:t>
      </w:r>
    </w:p>
    <w:p w:rsidR="00FE7908" w:rsidRPr="000A32AD" w:rsidRDefault="00FE7908" w:rsidP="00FE7908">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w:lastRenderedPageBreak/>
        <w:drawing>
          <wp:inline distT="0" distB="0" distL="0" distR="0" wp14:anchorId="5300C824" wp14:editId="600AF706">
            <wp:extent cx="4489775" cy="3039396"/>
            <wp:effectExtent l="0" t="0" r="6350" b="889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4504497" cy="3049362"/>
                    </a:xfrm>
                    <a:prstGeom prst="rect">
                      <a:avLst/>
                    </a:prstGeom>
                  </pic:spPr>
                </pic:pic>
              </a:graphicData>
            </a:graphic>
          </wp:inline>
        </w:drawing>
      </w:r>
    </w:p>
    <w:p w:rsidR="00FE7908" w:rsidRPr="000A32AD" w:rsidRDefault="00FE7908" w:rsidP="00FE7908">
      <w:pPr>
        <w:ind w:firstLine="709"/>
        <w:jc w:val="both"/>
        <w:rPr>
          <w:rFonts w:ascii="Times New Roman" w:hAnsi="Times New Roman" w:cs="Times New Roman"/>
          <w:color w:val="000000" w:themeColor="text1"/>
          <w:sz w:val="28"/>
          <w:szCs w:val="28"/>
          <w:lang w:val="uk-UA"/>
        </w:rPr>
      </w:pPr>
    </w:p>
    <w:p w:rsidR="00FE7908" w:rsidRPr="000A32AD" w:rsidRDefault="00FE7908" w:rsidP="00FE7908">
      <w:pPr>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Рис. 4.4. Діаграма розсіяння залежності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 xml:space="preserve">2 від віку та тривалості </w:t>
      </w:r>
      <w:r w:rsidR="001805FC" w:rsidRPr="000A32AD">
        <w:rPr>
          <w:rFonts w:ascii="Times New Roman" w:hAnsi="Times New Roman" w:cs="Times New Roman"/>
          <w:color w:val="000000" w:themeColor="text1"/>
          <w:sz w:val="28"/>
          <w:szCs w:val="28"/>
          <w:lang w:val="uk-UA"/>
        </w:rPr>
        <w:t xml:space="preserve">цукрового діабету </w:t>
      </w:r>
      <w:r w:rsidRPr="000A32AD">
        <w:rPr>
          <w:rFonts w:ascii="Times New Roman" w:hAnsi="Times New Roman" w:cs="Times New Roman"/>
          <w:color w:val="000000" w:themeColor="text1"/>
          <w:sz w:val="28"/>
          <w:szCs w:val="28"/>
          <w:lang w:val="uk-UA"/>
        </w:rPr>
        <w:t xml:space="preserve"> в ІІ групі хворих.</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На наш погляд, це свідчить про те, що при ізольованому ЦД 2 типу вміст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 xml:space="preserve"> зростає протягом захворювання, у той час як при наявності НДСТ у хворих на ЦД 2 типу цієї залежності немає. Найбільш ймовірно це пов’язано</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з початково збільшеними значеннями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 xml:space="preserve">2. </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Наявність зв’язку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2 з віком при ЦД 2 типу характеризує загальну тенденцію до зростання цього показника зі збільшенням віку. У хворих на ЦД 2 типу та НДСТ цієї залежності також немає, що, ймовірно,</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пов’язано з розвитком субклінічних порушень метаболізму сполучної тканини у більш ранньому віці. </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lang w:val="uk-UA"/>
        </w:rPr>
        <w:t xml:space="preserve">Іншою цікавою закономірністю є наявність статистично достовірного кореляційного зв’язку вмісту </w:t>
      </w:r>
      <w:r w:rsidRPr="000A32AD">
        <w:rPr>
          <w:rFonts w:ascii="Times New Roman" w:hAnsi="Times New Roman" w:cs="Times New Roman"/>
          <w:color w:val="000000" w:themeColor="text1"/>
          <w:sz w:val="28"/>
          <w:szCs w:val="28"/>
          <w:shd w:val="clear" w:color="auto" w:fill="FFFFFF"/>
          <w:lang w:val="en-US"/>
        </w:rPr>
        <w:t>FGF</w:t>
      </w:r>
      <w:r w:rsidRPr="000A32AD">
        <w:rPr>
          <w:rFonts w:ascii="Times New Roman" w:hAnsi="Times New Roman" w:cs="Times New Roman"/>
          <w:color w:val="000000" w:themeColor="text1"/>
          <w:sz w:val="28"/>
          <w:szCs w:val="28"/>
          <w:shd w:val="clear" w:color="auto" w:fill="FFFFFF"/>
          <w:lang w:val="uk-UA"/>
        </w:rPr>
        <w:t xml:space="preserve">2 крові хворих на ЦД з наявністю та виразністю АГ в обох групах – </w:t>
      </w:r>
      <w:r w:rsidRPr="000A32AD">
        <w:rPr>
          <w:rFonts w:ascii="Times New Roman" w:hAnsi="Times New Roman" w:cs="Times New Roman"/>
          <w:i/>
          <w:color w:val="000000" w:themeColor="text1"/>
          <w:sz w:val="28"/>
          <w:szCs w:val="28"/>
          <w:shd w:val="clear" w:color="auto" w:fill="FFFFFF"/>
          <w:lang w:val="en-US"/>
        </w:rPr>
        <w:t>r</w:t>
      </w:r>
      <w:r w:rsidRPr="000A32AD">
        <w:rPr>
          <w:rFonts w:ascii="Times New Roman" w:hAnsi="Times New Roman" w:cs="Times New Roman"/>
          <w:color w:val="000000" w:themeColor="text1"/>
          <w:sz w:val="28"/>
          <w:szCs w:val="28"/>
          <w:shd w:val="clear" w:color="auto" w:fill="FFFFFF"/>
          <w:lang w:val="uk-UA"/>
        </w:rPr>
        <w:t xml:space="preserve">=0,564 (р=0,001) та </w:t>
      </w:r>
      <w:r w:rsidRPr="000A32AD">
        <w:rPr>
          <w:rFonts w:ascii="Times New Roman" w:hAnsi="Times New Roman" w:cs="Times New Roman"/>
          <w:i/>
          <w:color w:val="000000" w:themeColor="text1"/>
          <w:sz w:val="28"/>
          <w:szCs w:val="28"/>
          <w:shd w:val="clear" w:color="auto" w:fill="FFFFFF"/>
          <w:lang w:val="en-US"/>
        </w:rPr>
        <w:t>r</w:t>
      </w:r>
      <w:r w:rsidRPr="000A32AD">
        <w:rPr>
          <w:rFonts w:ascii="Times New Roman" w:hAnsi="Times New Roman" w:cs="Times New Roman"/>
          <w:color w:val="000000" w:themeColor="text1"/>
          <w:sz w:val="28"/>
          <w:szCs w:val="28"/>
          <w:shd w:val="clear" w:color="auto" w:fill="FFFFFF"/>
          <w:lang w:val="uk-UA"/>
        </w:rPr>
        <w:t xml:space="preserve">=0,413 (р=0,006) відповідно в І та в ІІ групі. </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 xml:space="preserve">Також у хворих з наявністю НДСТ (І група) виявлено достовірну негативну кореляцію з величиною ШКФ – </w:t>
      </w:r>
      <w:r w:rsidRPr="000A32AD">
        <w:rPr>
          <w:rFonts w:ascii="Times New Roman" w:hAnsi="Times New Roman" w:cs="Times New Roman"/>
          <w:i/>
          <w:color w:val="000000" w:themeColor="text1"/>
          <w:sz w:val="28"/>
          <w:szCs w:val="28"/>
          <w:shd w:val="clear" w:color="auto" w:fill="FFFFFF"/>
          <w:lang w:val="en-US"/>
        </w:rPr>
        <w:t>r</w:t>
      </w:r>
      <w:r w:rsidRPr="000A32AD">
        <w:rPr>
          <w:rFonts w:ascii="Times New Roman" w:hAnsi="Times New Roman" w:cs="Times New Roman"/>
          <w:color w:val="000000" w:themeColor="text1"/>
          <w:sz w:val="28"/>
          <w:szCs w:val="28"/>
          <w:shd w:val="clear" w:color="auto" w:fill="FFFFFF"/>
          <w:lang w:val="uk-UA"/>
        </w:rPr>
        <w:t xml:space="preserve">=-0,492 (р=0,001) але не достовірну позитивну кореляцію з наявністю діабетичної нефропатії – </w:t>
      </w:r>
      <w:r w:rsidRPr="000A32AD">
        <w:rPr>
          <w:rFonts w:ascii="Times New Roman" w:hAnsi="Times New Roman" w:cs="Times New Roman"/>
          <w:i/>
          <w:color w:val="000000" w:themeColor="text1"/>
          <w:sz w:val="28"/>
          <w:szCs w:val="28"/>
          <w:shd w:val="clear" w:color="auto" w:fill="FFFFFF"/>
          <w:lang w:val="en-US"/>
        </w:rPr>
        <w:t>r</w:t>
      </w:r>
      <w:r w:rsidRPr="000A32AD">
        <w:rPr>
          <w:rFonts w:ascii="Times New Roman" w:hAnsi="Times New Roman" w:cs="Times New Roman"/>
          <w:color w:val="000000" w:themeColor="text1"/>
          <w:sz w:val="28"/>
          <w:szCs w:val="28"/>
          <w:shd w:val="clear" w:color="auto" w:fill="FFFFFF"/>
          <w:lang w:val="uk-UA"/>
        </w:rPr>
        <w:t xml:space="preserve">=0,206 (р=0,159). У </w:t>
      </w:r>
      <w:r w:rsidRPr="000A32AD">
        <w:rPr>
          <w:rFonts w:ascii="Times New Roman" w:hAnsi="Times New Roman" w:cs="Times New Roman"/>
          <w:color w:val="000000" w:themeColor="text1"/>
          <w:sz w:val="28"/>
          <w:szCs w:val="28"/>
          <w:shd w:val="clear" w:color="auto" w:fill="FFFFFF"/>
          <w:lang w:val="uk-UA"/>
        </w:rPr>
        <w:lastRenderedPageBreak/>
        <w:t xml:space="preserve">пацієнтів ІІ групи (без наявності ознак НДСТ) кореляція з наявністю діабетичної нефропатії була достовірною позитивною – </w:t>
      </w:r>
      <w:r w:rsidRPr="000A32AD">
        <w:rPr>
          <w:rFonts w:ascii="Times New Roman" w:hAnsi="Times New Roman" w:cs="Times New Roman"/>
          <w:i/>
          <w:color w:val="000000" w:themeColor="text1"/>
          <w:sz w:val="28"/>
          <w:szCs w:val="28"/>
          <w:shd w:val="clear" w:color="auto" w:fill="FFFFFF"/>
          <w:lang w:val="en-US"/>
        </w:rPr>
        <w:t>r</w:t>
      </w:r>
      <w:r w:rsidRPr="000A32AD">
        <w:rPr>
          <w:rFonts w:ascii="Times New Roman" w:hAnsi="Times New Roman" w:cs="Times New Roman"/>
          <w:color w:val="000000" w:themeColor="text1"/>
          <w:sz w:val="28"/>
          <w:szCs w:val="28"/>
          <w:shd w:val="clear" w:color="auto" w:fill="FFFFFF"/>
          <w:lang w:val="uk-UA"/>
        </w:rPr>
        <w:t xml:space="preserve">=0,372 (р=0,015), з ШКФ недостовірною слабкою негативною – </w:t>
      </w:r>
      <w:r w:rsidRPr="000A32AD">
        <w:rPr>
          <w:rFonts w:ascii="Times New Roman" w:hAnsi="Times New Roman" w:cs="Times New Roman"/>
          <w:i/>
          <w:color w:val="000000" w:themeColor="text1"/>
          <w:sz w:val="28"/>
          <w:szCs w:val="28"/>
          <w:shd w:val="clear" w:color="auto" w:fill="FFFFFF"/>
          <w:lang w:val="en-US"/>
        </w:rPr>
        <w:t>r</w:t>
      </w:r>
      <w:r w:rsidRPr="000A32AD">
        <w:rPr>
          <w:rFonts w:ascii="Times New Roman" w:hAnsi="Times New Roman" w:cs="Times New Roman"/>
          <w:color w:val="000000" w:themeColor="text1"/>
          <w:sz w:val="28"/>
          <w:szCs w:val="28"/>
          <w:shd w:val="clear" w:color="auto" w:fill="FFFFFF"/>
          <w:lang w:val="uk-UA"/>
        </w:rPr>
        <w:t>=-0,183 (р=0,393).</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shd w:val="clear" w:color="auto" w:fill="FFFFFF"/>
          <w:lang w:val="uk-UA"/>
        </w:rPr>
        <w:t xml:space="preserve">Слід відмітити, що наявність та виразність АГ з ознаками ниркової патології мали кореляції між собою: в І групі – достовірна сильна негативна кореляція з величиною ШКФ – </w:t>
      </w:r>
      <w:r w:rsidRPr="000A32AD">
        <w:rPr>
          <w:rFonts w:ascii="Times New Roman" w:hAnsi="Times New Roman" w:cs="Times New Roman"/>
          <w:i/>
          <w:color w:val="000000" w:themeColor="text1"/>
          <w:sz w:val="28"/>
          <w:szCs w:val="28"/>
          <w:shd w:val="clear" w:color="auto" w:fill="FFFFFF"/>
          <w:lang w:val="en-US"/>
        </w:rPr>
        <w:t>r</w:t>
      </w:r>
      <w:r w:rsidRPr="000A32AD">
        <w:rPr>
          <w:rFonts w:ascii="Times New Roman" w:hAnsi="Times New Roman" w:cs="Times New Roman"/>
          <w:color w:val="000000" w:themeColor="text1"/>
          <w:sz w:val="28"/>
          <w:szCs w:val="28"/>
          <w:shd w:val="clear" w:color="auto" w:fill="FFFFFF"/>
          <w:lang w:val="uk-UA"/>
        </w:rPr>
        <w:t>=</w:t>
      </w:r>
      <w:r w:rsidRPr="000A32AD">
        <w:rPr>
          <w:rFonts w:ascii="Times New Roman" w:hAnsi="Times New Roman" w:cs="Times New Roman"/>
          <w:color w:val="000000" w:themeColor="text1"/>
          <w:sz w:val="28"/>
          <w:szCs w:val="28"/>
          <w:shd w:val="clear" w:color="auto" w:fill="FFFFFF"/>
          <w:lang w:val="uk-UA"/>
        </w:rPr>
        <w:noBreakHyphen/>
        <w:t xml:space="preserve">0,725 (р=&lt;0,001) та достовірна помітна позитивна кореляція з наявністю та виразністю діабетичної нефропатії – </w:t>
      </w:r>
      <w:r w:rsidRPr="000A32AD">
        <w:rPr>
          <w:rFonts w:ascii="Times New Roman" w:hAnsi="Times New Roman" w:cs="Times New Roman"/>
          <w:i/>
          <w:color w:val="000000" w:themeColor="text1"/>
          <w:sz w:val="28"/>
          <w:szCs w:val="28"/>
          <w:shd w:val="clear" w:color="auto" w:fill="FFFFFF"/>
          <w:lang w:val="en-US"/>
        </w:rPr>
        <w:t>r</w:t>
      </w:r>
      <w:r w:rsidRPr="000A32AD">
        <w:rPr>
          <w:rFonts w:ascii="Times New Roman" w:hAnsi="Times New Roman" w:cs="Times New Roman"/>
          <w:color w:val="000000" w:themeColor="text1"/>
          <w:sz w:val="28"/>
          <w:szCs w:val="28"/>
          <w:shd w:val="clear" w:color="auto" w:fill="FFFFFF"/>
          <w:lang w:val="uk-UA"/>
        </w:rPr>
        <w:t>=0,451 (р=0,001). В ІІ групі</w:t>
      </w:r>
      <w:r w:rsidR="00F17BD2" w:rsidRPr="000A32AD">
        <w:rPr>
          <w:rFonts w:ascii="Times New Roman" w:hAnsi="Times New Roman" w:cs="Times New Roman"/>
          <w:color w:val="000000" w:themeColor="text1"/>
          <w:sz w:val="28"/>
          <w:szCs w:val="28"/>
          <w:shd w:val="clear" w:color="auto" w:fill="FFFFFF"/>
          <w:lang w:val="uk-UA"/>
        </w:rPr>
        <w:t xml:space="preserve"> </w:t>
      </w:r>
      <w:r w:rsidRPr="000A32AD">
        <w:rPr>
          <w:rFonts w:ascii="Times New Roman" w:hAnsi="Times New Roman" w:cs="Times New Roman"/>
          <w:color w:val="000000" w:themeColor="text1"/>
          <w:sz w:val="28"/>
          <w:szCs w:val="28"/>
          <w:shd w:val="clear" w:color="auto" w:fill="FFFFFF"/>
          <w:lang w:val="uk-UA"/>
        </w:rPr>
        <w:t xml:space="preserve">менш – негативна кореляція з величиною ШКФ – </w:t>
      </w:r>
      <w:r w:rsidRPr="000A32AD">
        <w:rPr>
          <w:rFonts w:ascii="Times New Roman" w:hAnsi="Times New Roman" w:cs="Times New Roman"/>
          <w:i/>
          <w:color w:val="000000" w:themeColor="text1"/>
          <w:sz w:val="28"/>
          <w:szCs w:val="28"/>
          <w:shd w:val="clear" w:color="auto" w:fill="FFFFFF"/>
          <w:lang w:val="en-US"/>
        </w:rPr>
        <w:t>r</w:t>
      </w:r>
      <w:r w:rsidRPr="000A32AD">
        <w:rPr>
          <w:rFonts w:ascii="Times New Roman" w:hAnsi="Times New Roman" w:cs="Times New Roman"/>
          <w:color w:val="000000" w:themeColor="text1"/>
          <w:sz w:val="28"/>
          <w:szCs w:val="28"/>
          <w:shd w:val="clear" w:color="auto" w:fill="FFFFFF"/>
          <w:lang w:val="uk-UA"/>
        </w:rPr>
        <w:t xml:space="preserve">=-0,393 (р=0,010) та достовірна позитивна кореляція з наявністю та виразністю діабетичної нефропатії – </w:t>
      </w:r>
      <w:r w:rsidRPr="000A32AD">
        <w:rPr>
          <w:rFonts w:ascii="Times New Roman" w:hAnsi="Times New Roman" w:cs="Times New Roman"/>
          <w:i/>
          <w:color w:val="000000" w:themeColor="text1"/>
          <w:sz w:val="28"/>
          <w:szCs w:val="28"/>
          <w:shd w:val="clear" w:color="auto" w:fill="FFFFFF"/>
          <w:lang w:val="en-US"/>
        </w:rPr>
        <w:t>r</w:t>
      </w:r>
      <w:r w:rsidRPr="000A32AD">
        <w:rPr>
          <w:rFonts w:ascii="Times New Roman" w:hAnsi="Times New Roman" w:cs="Times New Roman"/>
          <w:color w:val="000000" w:themeColor="text1"/>
          <w:sz w:val="28"/>
          <w:szCs w:val="28"/>
          <w:shd w:val="clear" w:color="auto" w:fill="FFFFFF"/>
          <w:lang w:val="uk-UA"/>
        </w:rPr>
        <w:t>=0,506 (р=001).</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shd w:val="clear" w:color="auto" w:fill="FFFFFF"/>
          <w:lang w:val="uk-UA"/>
        </w:rPr>
        <w:t xml:space="preserve">З урахуванням вищевикладеного, можна стверджувати, що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 xml:space="preserve"> грає суттєву роль у виникненні АГ у хворих на ЦК 2 типу, особливо при наявності клінічних ознак НДСТ. В патогенезі АГ при ЦД 2 типу суттєву роль також має діабетична нефропатія. У свою чергу, у розвитку діабетичної нефропатії також бере участь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Виявлені зв’язки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 xml:space="preserve">2 та клінічних ознак НДСТ свідчать про можливість їх застосування в якості предикторів розвитку АГ у хворих на ЦД 2 типу. Але для вивчення цієї можливості необхідно динамічне спостереження тривалий період починаючи з дебюту ЦД. Також слід враховувати і досить високу собівартість імуноферментного аналізу вмісту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2, що свідчить про обмеження цього показника для клінічного застосування.</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З іншого боку, вміст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2 тісно пов’язаний з НДСТ, тому перевірено можливість застосування клінічних ознак НДСТ для прогнозування розвитку АГ у хворих на ЦД 2 типу.</w:t>
      </w:r>
    </w:p>
    <w:p w:rsidR="00FD40FB" w:rsidRPr="000A32AD" w:rsidRDefault="00FD40FB" w:rsidP="00FE7908">
      <w:pPr>
        <w:spacing w:line="360" w:lineRule="auto"/>
        <w:ind w:firstLine="709"/>
        <w:jc w:val="both"/>
        <w:rPr>
          <w:rFonts w:ascii="Times New Roman" w:hAnsi="Times New Roman" w:cs="Times New Roman"/>
          <w:color w:val="000000" w:themeColor="text1"/>
          <w:sz w:val="28"/>
          <w:szCs w:val="28"/>
          <w:lang w:val="uk-UA"/>
        </w:rPr>
      </w:pPr>
    </w:p>
    <w:p w:rsidR="00FD40FB" w:rsidRPr="000A32AD" w:rsidRDefault="00FD40FB" w:rsidP="00FE7908">
      <w:pPr>
        <w:spacing w:line="360" w:lineRule="auto"/>
        <w:ind w:firstLine="709"/>
        <w:jc w:val="both"/>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t>4.2. Значення фенотипічних проявів НДСТ в прогнозуванні розвитку артеріальної гіпертензії у хворих на цукровий діабет 2 типу.</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З цією метою був виконаний аналіз виписних епікризів після попереднього стаціонарного лікування (від двох до 5 років тому) у хворих з </w:t>
      </w:r>
      <w:r w:rsidRPr="000A32AD">
        <w:rPr>
          <w:rFonts w:ascii="Times New Roman" w:hAnsi="Times New Roman" w:cs="Times New Roman"/>
          <w:color w:val="000000" w:themeColor="text1"/>
          <w:sz w:val="28"/>
          <w:szCs w:val="28"/>
          <w:lang w:val="uk-UA"/>
        </w:rPr>
        <w:lastRenderedPageBreak/>
        <w:t xml:space="preserve">тривалістю ЦД 2 типу не менш 2 років. Таки епікризи були доступні у 78 хворих. </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Для аналізу можливості застосування ознак НДСТ в якості предикторів розвитку АГ застосовано метод бінарної логістичної регресії (БЛР). Хворі, що були включені в даний аналіз були розподілені на дві групи: </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І група – хворі на ЦД 2 типу, у яких АГ не діагностувалась при попередніх госпіталізаціях та не виявилась під час останньої госпіталізації, а також хворі, у яких ступінь АГ під час попередньої та останньої госпіталізації не розрізнявся – 38 пацієнтів;</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ІІ група – хворі на ЦД 2 типу, у яких АГ не діагностували під час попередньої госпіталізації, але під час останньої госпіталізації у них біло виявлено АГ, а також хворі, у яких ступінь АГ під час останньої госпіталізації збільшився у порівнянні з попередньою – 40 пацієнтів.</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Групи кодовані у вигляді порядкової шкали: І група – «0»; ІІ група – «1».</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 логістичних аналіз були введені два показника:</w:t>
      </w:r>
    </w:p>
    <w:p w:rsidR="00FE7908" w:rsidRPr="000A32AD" w:rsidRDefault="00FE7908" w:rsidP="00FE7908">
      <w:pPr>
        <w:pStyle w:val="a3"/>
        <w:numPr>
          <w:ilvl w:val="0"/>
          <w:numId w:val="26"/>
        </w:numPr>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наявність ознак НДСТ, кодовано у вигляді суми окремих вісцеральних та/або скелетних ознак – х</w:t>
      </w:r>
      <w:r w:rsidRPr="000A32AD">
        <w:rPr>
          <w:rFonts w:ascii="Times New Roman" w:hAnsi="Times New Roman" w:cs="Times New Roman"/>
          <w:color w:val="000000" w:themeColor="text1"/>
          <w:vertAlign w:val="subscript"/>
          <w:lang w:val="uk-UA"/>
        </w:rPr>
        <w:t>1</w:t>
      </w:r>
      <w:r w:rsidRPr="000A32AD">
        <w:rPr>
          <w:rFonts w:ascii="Times New Roman" w:hAnsi="Times New Roman" w:cs="Times New Roman"/>
          <w:color w:val="000000" w:themeColor="text1"/>
          <w:lang w:val="uk-UA"/>
        </w:rPr>
        <w:t xml:space="preserve"> . </w:t>
      </w:r>
    </w:p>
    <w:p w:rsidR="00FE7908" w:rsidRPr="000A32AD" w:rsidRDefault="00FE7908" w:rsidP="00FE7908">
      <w:pPr>
        <w:pStyle w:val="a3"/>
        <w:numPr>
          <w:ilvl w:val="0"/>
          <w:numId w:val="26"/>
        </w:numPr>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тривалість ЦД 2 типу в роках – х</w:t>
      </w:r>
      <w:r w:rsidRPr="000A32AD">
        <w:rPr>
          <w:rFonts w:ascii="Times New Roman" w:hAnsi="Times New Roman" w:cs="Times New Roman"/>
          <w:color w:val="000000" w:themeColor="text1"/>
          <w:vertAlign w:val="subscript"/>
          <w:lang w:val="uk-UA"/>
        </w:rPr>
        <w:t>2</w:t>
      </w:r>
      <w:r w:rsidRPr="000A32AD">
        <w:rPr>
          <w:rFonts w:ascii="Times New Roman" w:hAnsi="Times New Roman" w:cs="Times New Roman"/>
          <w:color w:val="000000" w:themeColor="text1"/>
          <w:lang w:val="uk-UA"/>
        </w:rPr>
        <w:t>. Цей показник введено у зв’язку з відомим впливом тривалості діабету у хворих на ЦД 2 типу не залежно від інших показників, що підтверджено і нашому дослідженні (див. розд. 3)</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За результатами аналізу із застосування БЛР отримано наступні результати (табл. 4.3).</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Всі коефіцієнти регресії показників, що увійшли у рівняння, є достовірними, про що свідчить величина значущості – &lt;0,05 за всіма показниками та константою, при цьому коефіцієнт регресії НДСТ має дуже високу значущість &lt;0,001 та значно більшій, ніж у тривалості ЦД. Це свідчить </w:t>
      </w:r>
      <w:r w:rsidRPr="000A32AD">
        <w:rPr>
          <w:rFonts w:ascii="Times New Roman" w:hAnsi="Times New Roman" w:cs="Times New Roman"/>
          <w:color w:val="000000" w:themeColor="text1"/>
          <w:sz w:val="28"/>
          <w:szCs w:val="28"/>
          <w:lang w:val="uk-UA"/>
        </w:rPr>
        <w:lastRenderedPageBreak/>
        <w:t xml:space="preserve">про досить високу прогностичну значущість НДСТ в прогнозуванні розвитку АГ. </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p>
    <w:p w:rsidR="00FE7908" w:rsidRPr="000A32AD" w:rsidRDefault="00FE7908" w:rsidP="00FE7908">
      <w:pPr>
        <w:pStyle w:val="27"/>
        <w:keepNext/>
        <w:spacing w:after="0"/>
        <w:ind w:firstLine="709"/>
        <w:jc w:val="both"/>
        <w:rPr>
          <w:b/>
          <w:color w:val="000000" w:themeColor="text1"/>
          <w:sz w:val="28"/>
          <w:szCs w:val="28"/>
          <w:lang w:val="uk-UA"/>
        </w:rPr>
      </w:pPr>
      <w:r w:rsidRPr="000A32AD">
        <w:rPr>
          <w:color w:val="000000" w:themeColor="text1"/>
          <w:sz w:val="28"/>
          <w:szCs w:val="28"/>
          <w:lang w:val="uk-UA"/>
        </w:rPr>
        <w:t>Таблиця 4.3 – Результати регресійного аналізу розвитку або прогресування АГ у хворих на ЦД 2 типу</w:t>
      </w:r>
    </w:p>
    <w:p w:rsidR="00FE7908" w:rsidRPr="000A32AD" w:rsidRDefault="00FE7908" w:rsidP="00FE7908">
      <w:pPr>
        <w:pStyle w:val="27"/>
        <w:keepNext/>
        <w:widowControl w:val="0"/>
        <w:shd w:val="clear" w:color="auto" w:fill="auto"/>
        <w:spacing w:after="0" w:line="240" w:lineRule="auto"/>
        <w:ind w:firstLine="709"/>
        <w:jc w:val="both"/>
        <w:rPr>
          <w:color w:val="000000" w:themeColor="text1"/>
          <w:sz w:val="28"/>
          <w:szCs w:val="28"/>
          <w:lang w:val="uk-UA"/>
        </w:rPr>
      </w:pPr>
    </w:p>
    <w:tbl>
      <w:tblPr>
        <w:tblW w:w="9381"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577"/>
        <w:gridCol w:w="1417"/>
        <w:gridCol w:w="1701"/>
        <w:gridCol w:w="1701"/>
        <w:gridCol w:w="1985"/>
      </w:tblGrid>
      <w:tr w:rsidR="00FE7908" w:rsidRPr="000A32AD" w:rsidTr="00FE7908">
        <w:trPr>
          <w:cantSplit/>
          <w:trHeight w:val="934"/>
        </w:trPr>
        <w:tc>
          <w:tcPr>
            <w:tcW w:w="2577" w:type="dxa"/>
            <w:shd w:val="clear" w:color="auto" w:fill="FFFFFF"/>
            <w:vAlign w:val="center"/>
          </w:tcPr>
          <w:p w:rsidR="00FE7908" w:rsidRPr="000A32AD" w:rsidRDefault="00FE7908" w:rsidP="00FE7908">
            <w:pPr>
              <w:autoSpaceDE w:val="0"/>
              <w:autoSpaceDN w:val="0"/>
              <w:adjustRightInd w:val="0"/>
              <w:jc w:val="center"/>
              <w:rPr>
                <w:rFonts w:ascii="Times New Roman" w:hAnsi="Times New Roman" w:cs="Times New Roman"/>
                <w:color w:val="000000" w:themeColor="text1"/>
                <w:sz w:val="28"/>
                <w:szCs w:val="28"/>
                <w:lang w:val="uk-UA" w:eastAsia="en-US"/>
              </w:rPr>
            </w:pPr>
            <w:r w:rsidRPr="000A32AD">
              <w:rPr>
                <w:rFonts w:ascii="Times New Roman" w:hAnsi="Times New Roman" w:cs="Times New Roman"/>
                <w:color w:val="000000" w:themeColor="text1"/>
                <w:sz w:val="28"/>
                <w:szCs w:val="28"/>
                <w:lang w:val="uk-UA" w:eastAsia="en-US"/>
              </w:rPr>
              <w:t>Показник</w:t>
            </w:r>
          </w:p>
        </w:tc>
        <w:tc>
          <w:tcPr>
            <w:tcW w:w="1417" w:type="dxa"/>
            <w:shd w:val="clear" w:color="auto" w:fill="FFFFFF"/>
            <w:vAlign w:val="center"/>
          </w:tcPr>
          <w:p w:rsidR="00FE7908" w:rsidRPr="000A32AD" w:rsidRDefault="00FE7908" w:rsidP="00FE7908">
            <w:pPr>
              <w:autoSpaceDE w:val="0"/>
              <w:autoSpaceDN w:val="0"/>
              <w:adjustRightInd w:val="0"/>
              <w:spacing w:line="280" w:lineRule="exact"/>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w:t>
            </w:r>
          </w:p>
        </w:tc>
        <w:tc>
          <w:tcPr>
            <w:tcW w:w="1701" w:type="dxa"/>
            <w:shd w:val="clear" w:color="auto" w:fill="FFFFFF"/>
            <w:vAlign w:val="center"/>
          </w:tcPr>
          <w:p w:rsidR="00FE7908" w:rsidRPr="000A32AD" w:rsidRDefault="00FE7908" w:rsidP="00FE7908">
            <w:pPr>
              <w:autoSpaceDE w:val="0"/>
              <w:autoSpaceDN w:val="0"/>
              <w:adjustRightInd w:val="0"/>
              <w:spacing w:line="280" w:lineRule="exact"/>
              <w:jc w:val="center"/>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S.E.</w:t>
            </w:r>
          </w:p>
        </w:tc>
        <w:tc>
          <w:tcPr>
            <w:tcW w:w="1701" w:type="dxa"/>
            <w:shd w:val="clear" w:color="auto" w:fill="FFFFFF"/>
            <w:vAlign w:val="center"/>
          </w:tcPr>
          <w:p w:rsidR="00FE7908" w:rsidRPr="000A32AD" w:rsidRDefault="00FE7908" w:rsidP="00FE7908">
            <w:pPr>
              <w:autoSpaceDE w:val="0"/>
              <w:autoSpaceDN w:val="0"/>
              <w:adjustRightInd w:val="0"/>
              <w:spacing w:line="280" w:lineRule="exact"/>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Статистика</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Вальда</w:t>
            </w:r>
          </w:p>
        </w:tc>
        <w:tc>
          <w:tcPr>
            <w:tcW w:w="1985" w:type="dxa"/>
            <w:shd w:val="clear" w:color="auto" w:fill="FFFFFF"/>
            <w:vAlign w:val="center"/>
          </w:tcPr>
          <w:p w:rsidR="00FE7908" w:rsidRPr="000A32AD" w:rsidRDefault="00FE7908" w:rsidP="00FE7908">
            <w:pPr>
              <w:autoSpaceDE w:val="0"/>
              <w:autoSpaceDN w:val="0"/>
              <w:adjustRightInd w:val="0"/>
              <w:spacing w:line="280" w:lineRule="exact"/>
              <w:jc w:val="center"/>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en-US"/>
              </w:rPr>
              <w:t>Sign. (p)</w:t>
            </w:r>
          </w:p>
        </w:tc>
      </w:tr>
      <w:tr w:rsidR="00FE7908" w:rsidRPr="000A32AD" w:rsidTr="00FE7908">
        <w:trPr>
          <w:cantSplit/>
          <w:trHeight w:val="515"/>
        </w:trPr>
        <w:tc>
          <w:tcPr>
            <w:tcW w:w="2577" w:type="dxa"/>
            <w:shd w:val="clear" w:color="auto" w:fill="FFFFFF"/>
          </w:tcPr>
          <w:p w:rsidR="00FE7908" w:rsidRPr="000A32AD" w:rsidRDefault="00FE7908" w:rsidP="00FE7908">
            <w:pPr>
              <w:autoSpaceDE w:val="0"/>
              <w:autoSpaceDN w:val="0"/>
              <w:adjustRightInd w:val="0"/>
              <w:spacing w:line="320" w:lineRule="atLeast"/>
              <w:ind w:left="876" w:hanging="715"/>
              <w:rPr>
                <w:rFonts w:ascii="Times New Roman" w:hAnsi="Times New Roman" w:cs="Times New Roman"/>
                <w:color w:val="000000" w:themeColor="text1"/>
                <w:sz w:val="28"/>
                <w:szCs w:val="28"/>
                <w:lang w:val="uk-UA" w:eastAsia="en-US"/>
              </w:rPr>
            </w:pPr>
            <w:r w:rsidRPr="000A32AD">
              <w:rPr>
                <w:rFonts w:ascii="Times New Roman" w:hAnsi="Times New Roman" w:cs="Times New Roman"/>
                <w:color w:val="000000" w:themeColor="text1"/>
                <w:sz w:val="28"/>
                <w:szCs w:val="28"/>
                <w:lang w:val="uk-UA" w:eastAsia="en-US"/>
              </w:rPr>
              <w:t>x</w:t>
            </w:r>
            <w:r w:rsidRPr="000A32AD">
              <w:rPr>
                <w:rFonts w:ascii="Times New Roman" w:hAnsi="Times New Roman" w:cs="Times New Roman"/>
                <w:color w:val="000000" w:themeColor="text1"/>
                <w:sz w:val="28"/>
                <w:szCs w:val="28"/>
                <w:vertAlign w:val="subscript"/>
                <w:lang w:val="uk-UA" w:eastAsia="en-US"/>
              </w:rPr>
              <w:t>1</w:t>
            </w:r>
            <w:r w:rsidRPr="000A32AD">
              <w:rPr>
                <w:rFonts w:ascii="Times New Roman" w:hAnsi="Times New Roman" w:cs="Times New Roman"/>
                <w:color w:val="000000" w:themeColor="text1"/>
                <w:sz w:val="28"/>
                <w:szCs w:val="28"/>
                <w:lang w:val="uk-UA" w:eastAsia="en-US"/>
              </w:rPr>
              <w:t xml:space="preserve"> </w:t>
            </w:r>
          </w:p>
        </w:tc>
        <w:tc>
          <w:tcPr>
            <w:tcW w:w="1417" w:type="dxa"/>
            <w:shd w:val="clear" w:color="auto" w:fill="FFFFFF"/>
            <w:vAlign w:val="center"/>
          </w:tcPr>
          <w:p w:rsidR="00FE7908" w:rsidRPr="000A32AD" w:rsidRDefault="00FE7908" w:rsidP="00FE7908">
            <w:pPr>
              <w:autoSpaceDE w:val="0"/>
              <w:autoSpaceDN w:val="0"/>
              <w:adjustRightInd w:val="0"/>
              <w:spacing w:line="320" w:lineRule="atLeast"/>
              <w:jc w:val="center"/>
              <w:rPr>
                <w:rFonts w:ascii="Times New Roman" w:hAnsi="Times New Roman" w:cs="Times New Roman"/>
                <w:color w:val="000000" w:themeColor="text1"/>
                <w:sz w:val="28"/>
                <w:szCs w:val="28"/>
                <w:lang w:val="en-US" w:eastAsia="en-US"/>
              </w:rPr>
            </w:pPr>
            <w:r w:rsidRPr="000A32AD">
              <w:rPr>
                <w:rFonts w:ascii="Times New Roman" w:hAnsi="Times New Roman" w:cs="Times New Roman"/>
                <w:color w:val="000000" w:themeColor="text1"/>
                <w:sz w:val="28"/>
                <w:szCs w:val="28"/>
                <w:lang w:val="en-US" w:eastAsia="en-US"/>
              </w:rPr>
              <w:t>2</w:t>
            </w:r>
            <w:r w:rsidRPr="000A32AD">
              <w:rPr>
                <w:rFonts w:ascii="Times New Roman" w:hAnsi="Times New Roman" w:cs="Times New Roman"/>
                <w:color w:val="000000" w:themeColor="text1"/>
                <w:sz w:val="28"/>
                <w:szCs w:val="28"/>
                <w:lang w:val="uk-UA" w:eastAsia="en-US"/>
              </w:rPr>
              <w:t>,</w:t>
            </w:r>
            <w:r w:rsidRPr="000A32AD">
              <w:rPr>
                <w:rFonts w:ascii="Times New Roman" w:hAnsi="Times New Roman" w:cs="Times New Roman"/>
                <w:color w:val="000000" w:themeColor="text1"/>
                <w:sz w:val="28"/>
                <w:szCs w:val="28"/>
                <w:lang w:val="en-US" w:eastAsia="en-US"/>
              </w:rPr>
              <w:t>970</w:t>
            </w:r>
          </w:p>
        </w:tc>
        <w:tc>
          <w:tcPr>
            <w:tcW w:w="1701" w:type="dxa"/>
            <w:shd w:val="clear" w:color="auto" w:fill="FFFFFF"/>
            <w:vAlign w:val="center"/>
          </w:tcPr>
          <w:p w:rsidR="00FE7908" w:rsidRPr="000A32AD" w:rsidRDefault="00FE7908" w:rsidP="00FE7908">
            <w:pPr>
              <w:autoSpaceDE w:val="0"/>
              <w:autoSpaceDN w:val="0"/>
              <w:adjustRightInd w:val="0"/>
              <w:spacing w:line="320" w:lineRule="atLeast"/>
              <w:jc w:val="center"/>
              <w:rPr>
                <w:rFonts w:ascii="Times New Roman" w:hAnsi="Times New Roman" w:cs="Times New Roman"/>
                <w:color w:val="000000" w:themeColor="text1"/>
                <w:sz w:val="28"/>
                <w:szCs w:val="28"/>
                <w:lang w:val="en-US" w:eastAsia="en-US"/>
              </w:rPr>
            </w:pPr>
            <w:r w:rsidRPr="000A32AD">
              <w:rPr>
                <w:rFonts w:ascii="Times New Roman" w:hAnsi="Times New Roman" w:cs="Times New Roman"/>
                <w:color w:val="000000" w:themeColor="text1"/>
                <w:sz w:val="28"/>
                <w:szCs w:val="28"/>
                <w:lang w:val="en-US" w:eastAsia="en-US"/>
              </w:rPr>
              <w:t>0,689</w:t>
            </w:r>
          </w:p>
        </w:tc>
        <w:tc>
          <w:tcPr>
            <w:tcW w:w="1701" w:type="dxa"/>
            <w:shd w:val="clear" w:color="auto" w:fill="FFFFFF"/>
            <w:vAlign w:val="center"/>
          </w:tcPr>
          <w:p w:rsidR="00FE7908" w:rsidRPr="000A32AD" w:rsidRDefault="00FE7908" w:rsidP="00FE7908">
            <w:pPr>
              <w:autoSpaceDE w:val="0"/>
              <w:autoSpaceDN w:val="0"/>
              <w:adjustRightInd w:val="0"/>
              <w:spacing w:line="320" w:lineRule="atLeast"/>
              <w:jc w:val="center"/>
              <w:rPr>
                <w:rFonts w:ascii="Times New Roman" w:hAnsi="Times New Roman" w:cs="Times New Roman"/>
                <w:color w:val="000000" w:themeColor="text1"/>
                <w:sz w:val="28"/>
                <w:szCs w:val="28"/>
                <w:lang w:val="en-US" w:eastAsia="en-US"/>
              </w:rPr>
            </w:pPr>
            <w:r w:rsidRPr="000A32AD">
              <w:rPr>
                <w:rFonts w:ascii="Times New Roman" w:hAnsi="Times New Roman" w:cs="Times New Roman"/>
                <w:color w:val="000000" w:themeColor="text1"/>
                <w:sz w:val="28"/>
                <w:szCs w:val="28"/>
                <w:lang w:val="en-US" w:eastAsia="en-US"/>
              </w:rPr>
              <w:t>18,578</w:t>
            </w:r>
          </w:p>
        </w:tc>
        <w:tc>
          <w:tcPr>
            <w:tcW w:w="1985" w:type="dxa"/>
            <w:shd w:val="clear" w:color="auto" w:fill="FFFFFF"/>
            <w:vAlign w:val="center"/>
          </w:tcPr>
          <w:p w:rsidR="00FE7908" w:rsidRPr="000A32AD" w:rsidRDefault="00FE7908" w:rsidP="00FE7908">
            <w:pPr>
              <w:autoSpaceDE w:val="0"/>
              <w:autoSpaceDN w:val="0"/>
              <w:adjustRightInd w:val="0"/>
              <w:spacing w:line="320" w:lineRule="atLeast"/>
              <w:jc w:val="center"/>
              <w:rPr>
                <w:rFonts w:ascii="Times New Roman" w:hAnsi="Times New Roman" w:cs="Times New Roman"/>
                <w:color w:val="000000" w:themeColor="text1"/>
                <w:sz w:val="28"/>
                <w:szCs w:val="28"/>
                <w:lang w:val="en-US" w:eastAsia="en-US"/>
              </w:rPr>
            </w:pPr>
            <w:r w:rsidRPr="000A32AD">
              <w:rPr>
                <w:rFonts w:ascii="Times New Roman" w:hAnsi="Times New Roman" w:cs="Times New Roman"/>
                <w:color w:val="000000" w:themeColor="text1"/>
                <w:sz w:val="28"/>
                <w:szCs w:val="28"/>
                <w:lang w:val="en-US" w:eastAsia="en-US"/>
              </w:rPr>
              <w:t>0,000</w:t>
            </w:r>
          </w:p>
        </w:tc>
      </w:tr>
      <w:tr w:rsidR="00FE7908" w:rsidRPr="000A32AD" w:rsidTr="00FE7908">
        <w:trPr>
          <w:cantSplit/>
          <w:trHeight w:val="523"/>
        </w:trPr>
        <w:tc>
          <w:tcPr>
            <w:tcW w:w="2577" w:type="dxa"/>
            <w:shd w:val="clear" w:color="auto" w:fill="FFFFFF"/>
          </w:tcPr>
          <w:p w:rsidR="00FE7908" w:rsidRPr="000A32AD" w:rsidRDefault="00FE7908" w:rsidP="00FE7908">
            <w:pPr>
              <w:autoSpaceDE w:val="0"/>
              <w:autoSpaceDN w:val="0"/>
              <w:adjustRightInd w:val="0"/>
              <w:spacing w:line="320" w:lineRule="atLeast"/>
              <w:ind w:left="876" w:hanging="715"/>
              <w:rPr>
                <w:rFonts w:ascii="Times New Roman" w:hAnsi="Times New Roman" w:cs="Times New Roman"/>
                <w:color w:val="000000" w:themeColor="text1"/>
                <w:sz w:val="28"/>
                <w:szCs w:val="28"/>
                <w:lang w:val="uk-UA" w:eastAsia="en-US"/>
              </w:rPr>
            </w:pPr>
            <w:r w:rsidRPr="000A32AD">
              <w:rPr>
                <w:rFonts w:ascii="Times New Roman" w:hAnsi="Times New Roman" w:cs="Times New Roman"/>
                <w:color w:val="000000" w:themeColor="text1"/>
                <w:sz w:val="28"/>
                <w:szCs w:val="28"/>
                <w:lang w:val="uk-UA" w:eastAsia="en-US"/>
              </w:rPr>
              <w:t>x</w:t>
            </w:r>
            <w:r w:rsidRPr="000A32AD">
              <w:rPr>
                <w:rFonts w:ascii="Times New Roman" w:hAnsi="Times New Roman" w:cs="Times New Roman"/>
                <w:color w:val="000000" w:themeColor="text1"/>
                <w:sz w:val="28"/>
                <w:szCs w:val="28"/>
                <w:vertAlign w:val="subscript"/>
                <w:lang w:val="uk-UA" w:eastAsia="en-US"/>
              </w:rPr>
              <w:t>2</w:t>
            </w:r>
            <w:r w:rsidRPr="000A32AD">
              <w:rPr>
                <w:rFonts w:ascii="Times New Roman" w:hAnsi="Times New Roman" w:cs="Times New Roman"/>
                <w:color w:val="000000" w:themeColor="text1"/>
                <w:sz w:val="28"/>
                <w:szCs w:val="28"/>
                <w:lang w:val="uk-UA" w:eastAsia="en-US"/>
              </w:rPr>
              <w:t xml:space="preserve"> </w:t>
            </w:r>
          </w:p>
        </w:tc>
        <w:tc>
          <w:tcPr>
            <w:tcW w:w="1417" w:type="dxa"/>
            <w:shd w:val="clear" w:color="auto" w:fill="FFFFFF"/>
            <w:vAlign w:val="center"/>
          </w:tcPr>
          <w:p w:rsidR="00FE7908" w:rsidRPr="000A32AD" w:rsidRDefault="00FE7908" w:rsidP="00FE7908">
            <w:pPr>
              <w:autoSpaceDE w:val="0"/>
              <w:autoSpaceDN w:val="0"/>
              <w:adjustRightInd w:val="0"/>
              <w:spacing w:line="320" w:lineRule="atLeast"/>
              <w:jc w:val="center"/>
              <w:rPr>
                <w:rFonts w:ascii="Times New Roman" w:hAnsi="Times New Roman" w:cs="Times New Roman"/>
                <w:color w:val="000000" w:themeColor="text1"/>
                <w:sz w:val="28"/>
                <w:szCs w:val="28"/>
                <w:lang w:val="en-US" w:eastAsia="en-US"/>
              </w:rPr>
            </w:pPr>
            <w:r w:rsidRPr="000A32AD">
              <w:rPr>
                <w:rFonts w:ascii="Times New Roman" w:hAnsi="Times New Roman" w:cs="Times New Roman"/>
                <w:color w:val="000000" w:themeColor="text1"/>
                <w:sz w:val="28"/>
                <w:szCs w:val="28"/>
                <w:lang w:val="en-US" w:eastAsia="en-US"/>
              </w:rPr>
              <w:t>0</w:t>
            </w:r>
            <w:r w:rsidRPr="000A32AD">
              <w:rPr>
                <w:rFonts w:ascii="Times New Roman" w:hAnsi="Times New Roman" w:cs="Times New Roman"/>
                <w:color w:val="000000" w:themeColor="text1"/>
                <w:sz w:val="28"/>
                <w:szCs w:val="28"/>
                <w:lang w:val="uk-UA" w:eastAsia="en-US"/>
              </w:rPr>
              <w:t>,</w:t>
            </w:r>
            <w:r w:rsidRPr="000A32AD">
              <w:rPr>
                <w:rFonts w:ascii="Times New Roman" w:hAnsi="Times New Roman" w:cs="Times New Roman"/>
                <w:color w:val="000000" w:themeColor="text1"/>
                <w:sz w:val="28"/>
                <w:szCs w:val="28"/>
                <w:lang w:val="en-US" w:eastAsia="en-US"/>
              </w:rPr>
              <w:t>470</w:t>
            </w:r>
          </w:p>
        </w:tc>
        <w:tc>
          <w:tcPr>
            <w:tcW w:w="1701" w:type="dxa"/>
            <w:shd w:val="clear" w:color="auto" w:fill="FFFFFF"/>
            <w:vAlign w:val="center"/>
          </w:tcPr>
          <w:p w:rsidR="00FE7908" w:rsidRPr="000A32AD" w:rsidRDefault="00FE7908" w:rsidP="00FE7908">
            <w:pPr>
              <w:autoSpaceDE w:val="0"/>
              <w:autoSpaceDN w:val="0"/>
              <w:adjustRightInd w:val="0"/>
              <w:spacing w:line="320" w:lineRule="atLeast"/>
              <w:jc w:val="center"/>
              <w:rPr>
                <w:rFonts w:ascii="Times New Roman" w:hAnsi="Times New Roman" w:cs="Times New Roman"/>
                <w:color w:val="000000" w:themeColor="text1"/>
                <w:sz w:val="28"/>
                <w:szCs w:val="28"/>
                <w:lang w:val="en-US" w:eastAsia="en-US"/>
              </w:rPr>
            </w:pPr>
            <w:r w:rsidRPr="000A32AD">
              <w:rPr>
                <w:rFonts w:ascii="Times New Roman" w:hAnsi="Times New Roman" w:cs="Times New Roman"/>
                <w:color w:val="000000" w:themeColor="text1"/>
                <w:sz w:val="28"/>
                <w:szCs w:val="28"/>
                <w:lang w:val="en-US" w:eastAsia="en-US"/>
              </w:rPr>
              <w:t>0,204</w:t>
            </w:r>
          </w:p>
        </w:tc>
        <w:tc>
          <w:tcPr>
            <w:tcW w:w="1701" w:type="dxa"/>
            <w:shd w:val="clear" w:color="auto" w:fill="FFFFFF"/>
            <w:vAlign w:val="center"/>
          </w:tcPr>
          <w:p w:rsidR="00FE7908" w:rsidRPr="000A32AD" w:rsidRDefault="00FE7908" w:rsidP="00FE7908">
            <w:pPr>
              <w:autoSpaceDE w:val="0"/>
              <w:autoSpaceDN w:val="0"/>
              <w:adjustRightInd w:val="0"/>
              <w:spacing w:line="320" w:lineRule="atLeast"/>
              <w:jc w:val="center"/>
              <w:rPr>
                <w:rFonts w:ascii="Times New Roman" w:hAnsi="Times New Roman" w:cs="Times New Roman"/>
                <w:color w:val="000000" w:themeColor="text1"/>
                <w:sz w:val="28"/>
                <w:szCs w:val="28"/>
                <w:lang w:val="en-US" w:eastAsia="en-US"/>
              </w:rPr>
            </w:pPr>
            <w:r w:rsidRPr="000A32AD">
              <w:rPr>
                <w:rFonts w:ascii="Times New Roman" w:hAnsi="Times New Roman" w:cs="Times New Roman"/>
                <w:color w:val="000000" w:themeColor="text1"/>
                <w:sz w:val="28"/>
                <w:szCs w:val="28"/>
                <w:lang w:val="en-US" w:eastAsia="en-US"/>
              </w:rPr>
              <w:t>5,320</w:t>
            </w:r>
          </w:p>
        </w:tc>
        <w:tc>
          <w:tcPr>
            <w:tcW w:w="1985" w:type="dxa"/>
            <w:shd w:val="clear" w:color="auto" w:fill="FFFFFF"/>
            <w:vAlign w:val="center"/>
          </w:tcPr>
          <w:p w:rsidR="00FE7908" w:rsidRPr="000A32AD" w:rsidRDefault="00FE7908" w:rsidP="00FE7908">
            <w:pPr>
              <w:autoSpaceDE w:val="0"/>
              <w:autoSpaceDN w:val="0"/>
              <w:adjustRightInd w:val="0"/>
              <w:spacing w:line="320" w:lineRule="atLeast"/>
              <w:jc w:val="center"/>
              <w:rPr>
                <w:rFonts w:ascii="Times New Roman" w:hAnsi="Times New Roman" w:cs="Times New Roman"/>
                <w:color w:val="000000" w:themeColor="text1"/>
                <w:sz w:val="28"/>
                <w:szCs w:val="28"/>
                <w:lang w:val="en-US" w:eastAsia="en-US"/>
              </w:rPr>
            </w:pPr>
            <w:r w:rsidRPr="000A32AD">
              <w:rPr>
                <w:rFonts w:ascii="Times New Roman" w:hAnsi="Times New Roman" w:cs="Times New Roman"/>
                <w:color w:val="000000" w:themeColor="text1"/>
                <w:sz w:val="28"/>
                <w:szCs w:val="28"/>
                <w:lang w:val="en-US" w:eastAsia="en-US"/>
              </w:rPr>
              <w:t>0,021</w:t>
            </w:r>
          </w:p>
        </w:tc>
      </w:tr>
      <w:tr w:rsidR="00FE7908" w:rsidRPr="000A32AD" w:rsidTr="00FE7908">
        <w:trPr>
          <w:cantSplit/>
          <w:trHeight w:val="567"/>
        </w:trPr>
        <w:tc>
          <w:tcPr>
            <w:tcW w:w="2577" w:type="dxa"/>
            <w:shd w:val="clear" w:color="auto" w:fill="FFFFFF"/>
          </w:tcPr>
          <w:p w:rsidR="00FE7908" w:rsidRPr="000A32AD" w:rsidRDefault="00FE7908" w:rsidP="00FE7908">
            <w:pPr>
              <w:autoSpaceDE w:val="0"/>
              <w:autoSpaceDN w:val="0"/>
              <w:adjustRightInd w:val="0"/>
              <w:spacing w:line="320" w:lineRule="atLeast"/>
              <w:ind w:left="876" w:hanging="567"/>
              <w:rPr>
                <w:rFonts w:ascii="Times New Roman" w:hAnsi="Times New Roman" w:cs="Times New Roman"/>
                <w:color w:val="000000" w:themeColor="text1"/>
                <w:sz w:val="28"/>
                <w:szCs w:val="28"/>
                <w:lang w:val="en-US" w:eastAsia="en-US"/>
              </w:rPr>
            </w:pPr>
            <w:r w:rsidRPr="000A32AD">
              <w:rPr>
                <w:rFonts w:ascii="Times New Roman" w:hAnsi="Times New Roman" w:cs="Times New Roman"/>
                <w:color w:val="000000" w:themeColor="text1"/>
                <w:sz w:val="28"/>
                <w:szCs w:val="28"/>
                <w:lang w:val="en-US" w:eastAsia="en-US"/>
              </w:rPr>
              <w:t>Constant</w:t>
            </w:r>
          </w:p>
        </w:tc>
        <w:tc>
          <w:tcPr>
            <w:tcW w:w="1417" w:type="dxa"/>
            <w:shd w:val="clear" w:color="auto" w:fill="FFFFFF"/>
            <w:vAlign w:val="center"/>
          </w:tcPr>
          <w:p w:rsidR="00FE7908" w:rsidRPr="000A32AD" w:rsidRDefault="00FE7908" w:rsidP="00FE7908">
            <w:pPr>
              <w:autoSpaceDE w:val="0"/>
              <w:autoSpaceDN w:val="0"/>
              <w:adjustRightInd w:val="0"/>
              <w:spacing w:line="320" w:lineRule="atLeast"/>
              <w:jc w:val="center"/>
              <w:rPr>
                <w:rFonts w:ascii="Times New Roman" w:hAnsi="Times New Roman" w:cs="Times New Roman"/>
                <w:color w:val="000000" w:themeColor="text1"/>
                <w:sz w:val="28"/>
                <w:szCs w:val="28"/>
                <w:lang w:val="en-US" w:eastAsia="en-US"/>
              </w:rPr>
            </w:pPr>
            <w:r w:rsidRPr="000A32AD">
              <w:rPr>
                <w:rFonts w:ascii="Times New Roman" w:hAnsi="Times New Roman" w:cs="Times New Roman"/>
                <w:color w:val="000000" w:themeColor="text1"/>
                <w:sz w:val="28"/>
                <w:szCs w:val="28"/>
                <w:lang w:val="en-US" w:eastAsia="en-US"/>
              </w:rPr>
              <w:t>-4,520</w:t>
            </w:r>
          </w:p>
        </w:tc>
        <w:tc>
          <w:tcPr>
            <w:tcW w:w="1701" w:type="dxa"/>
            <w:shd w:val="clear" w:color="auto" w:fill="FFFFFF"/>
            <w:vAlign w:val="center"/>
          </w:tcPr>
          <w:p w:rsidR="00FE7908" w:rsidRPr="000A32AD" w:rsidRDefault="00FE7908" w:rsidP="00FE7908">
            <w:pPr>
              <w:autoSpaceDE w:val="0"/>
              <w:autoSpaceDN w:val="0"/>
              <w:adjustRightInd w:val="0"/>
              <w:spacing w:line="320" w:lineRule="atLeast"/>
              <w:jc w:val="center"/>
              <w:rPr>
                <w:rFonts w:ascii="Times New Roman" w:hAnsi="Times New Roman" w:cs="Times New Roman"/>
                <w:color w:val="000000" w:themeColor="text1"/>
                <w:sz w:val="28"/>
                <w:szCs w:val="28"/>
                <w:lang w:val="en-US" w:eastAsia="en-US"/>
              </w:rPr>
            </w:pPr>
            <w:r w:rsidRPr="000A32AD">
              <w:rPr>
                <w:rFonts w:ascii="Times New Roman" w:hAnsi="Times New Roman" w:cs="Times New Roman"/>
                <w:color w:val="000000" w:themeColor="text1"/>
                <w:sz w:val="28"/>
                <w:szCs w:val="28"/>
                <w:lang w:val="en-US" w:eastAsia="en-US"/>
              </w:rPr>
              <w:t>1,367</w:t>
            </w:r>
          </w:p>
        </w:tc>
        <w:tc>
          <w:tcPr>
            <w:tcW w:w="1701" w:type="dxa"/>
            <w:shd w:val="clear" w:color="auto" w:fill="FFFFFF"/>
            <w:vAlign w:val="center"/>
          </w:tcPr>
          <w:p w:rsidR="00FE7908" w:rsidRPr="000A32AD" w:rsidRDefault="00FE7908" w:rsidP="00FE7908">
            <w:pPr>
              <w:autoSpaceDE w:val="0"/>
              <w:autoSpaceDN w:val="0"/>
              <w:adjustRightInd w:val="0"/>
              <w:spacing w:line="320" w:lineRule="atLeast"/>
              <w:jc w:val="center"/>
              <w:rPr>
                <w:rFonts w:ascii="Times New Roman" w:hAnsi="Times New Roman" w:cs="Times New Roman"/>
                <w:color w:val="000000" w:themeColor="text1"/>
                <w:sz w:val="28"/>
                <w:szCs w:val="28"/>
                <w:lang w:val="en-US" w:eastAsia="en-US"/>
              </w:rPr>
            </w:pPr>
            <w:r w:rsidRPr="000A32AD">
              <w:rPr>
                <w:rFonts w:ascii="Times New Roman" w:hAnsi="Times New Roman" w:cs="Times New Roman"/>
                <w:color w:val="000000" w:themeColor="text1"/>
                <w:sz w:val="28"/>
                <w:szCs w:val="28"/>
                <w:lang w:val="en-US" w:eastAsia="en-US"/>
              </w:rPr>
              <w:t>10,927</w:t>
            </w:r>
          </w:p>
        </w:tc>
        <w:tc>
          <w:tcPr>
            <w:tcW w:w="1985" w:type="dxa"/>
            <w:shd w:val="clear" w:color="auto" w:fill="FFFFFF"/>
            <w:vAlign w:val="center"/>
          </w:tcPr>
          <w:p w:rsidR="00FE7908" w:rsidRPr="000A32AD" w:rsidRDefault="00FE7908" w:rsidP="00FE7908">
            <w:pPr>
              <w:autoSpaceDE w:val="0"/>
              <w:autoSpaceDN w:val="0"/>
              <w:adjustRightInd w:val="0"/>
              <w:spacing w:line="320" w:lineRule="atLeast"/>
              <w:jc w:val="center"/>
              <w:rPr>
                <w:rFonts w:ascii="Times New Roman" w:hAnsi="Times New Roman" w:cs="Times New Roman"/>
                <w:color w:val="000000" w:themeColor="text1"/>
                <w:sz w:val="28"/>
                <w:szCs w:val="28"/>
                <w:lang w:val="en-US" w:eastAsia="en-US"/>
              </w:rPr>
            </w:pPr>
            <w:r w:rsidRPr="000A32AD">
              <w:rPr>
                <w:rFonts w:ascii="Times New Roman" w:hAnsi="Times New Roman" w:cs="Times New Roman"/>
                <w:color w:val="000000" w:themeColor="text1"/>
                <w:sz w:val="28"/>
                <w:szCs w:val="28"/>
                <w:lang w:val="en-US" w:eastAsia="en-US"/>
              </w:rPr>
              <w:t>0,001</w:t>
            </w:r>
          </w:p>
        </w:tc>
      </w:tr>
    </w:tbl>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Примітки.</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х</w:t>
      </w:r>
      <w:r w:rsidRPr="000A32AD">
        <w:rPr>
          <w:rFonts w:ascii="Times New Roman" w:hAnsi="Times New Roman" w:cs="Times New Roman"/>
          <w:color w:val="000000" w:themeColor="text1"/>
          <w:sz w:val="28"/>
          <w:szCs w:val="28"/>
          <w:vertAlign w:val="subscript"/>
          <w:lang w:val="uk-UA"/>
        </w:rPr>
        <w:t>1</w:t>
      </w:r>
      <w:r w:rsidRPr="000A32AD">
        <w:rPr>
          <w:rFonts w:ascii="Times New Roman" w:hAnsi="Times New Roman" w:cs="Times New Roman"/>
          <w:color w:val="000000" w:themeColor="text1"/>
          <w:sz w:val="28"/>
          <w:szCs w:val="28"/>
          <w:lang w:val="uk-UA"/>
        </w:rPr>
        <w:t xml:space="preserve"> – ознаки НДСТ; х</w:t>
      </w:r>
      <w:r w:rsidRPr="000A32AD">
        <w:rPr>
          <w:rFonts w:ascii="Times New Roman" w:hAnsi="Times New Roman" w:cs="Times New Roman"/>
          <w:color w:val="000000" w:themeColor="text1"/>
          <w:sz w:val="28"/>
          <w:szCs w:val="28"/>
          <w:vertAlign w:val="subscript"/>
          <w:lang w:val="uk-UA"/>
        </w:rPr>
        <w:t>2</w:t>
      </w:r>
      <w:r w:rsidRPr="000A32AD">
        <w:rPr>
          <w:rFonts w:ascii="Times New Roman" w:hAnsi="Times New Roman" w:cs="Times New Roman"/>
          <w:color w:val="000000" w:themeColor="text1"/>
          <w:sz w:val="28"/>
          <w:szCs w:val="28"/>
          <w:lang w:val="uk-UA"/>
        </w:rPr>
        <w:t xml:space="preserve"> – тривалість ЦД 2 типу; В – коефіцієнт регресії В; </w:t>
      </w:r>
      <w:r w:rsidRPr="000A32AD">
        <w:rPr>
          <w:rFonts w:ascii="Times New Roman" w:hAnsi="Times New Roman" w:cs="Times New Roman"/>
          <w:color w:val="000000" w:themeColor="text1"/>
          <w:sz w:val="28"/>
          <w:szCs w:val="28"/>
          <w:lang w:val="en-US"/>
        </w:rPr>
        <w:t>S</w:t>
      </w:r>
      <w:r w:rsidRPr="000A32AD">
        <w:rPr>
          <w:rFonts w:ascii="Times New Roman" w:hAnsi="Times New Roman" w:cs="Times New Roman"/>
          <w:color w:val="000000" w:themeColor="text1"/>
          <w:sz w:val="28"/>
          <w:szCs w:val="28"/>
        </w:rPr>
        <w:t>.</w:t>
      </w:r>
      <w:r w:rsidRPr="000A32AD">
        <w:rPr>
          <w:rFonts w:ascii="Times New Roman" w:hAnsi="Times New Roman" w:cs="Times New Roman"/>
          <w:color w:val="000000" w:themeColor="text1"/>
          <w:sz w:val="28"/>
          <w:szCs w:val="28"/>
          <w:lang w:val="en-US"/>
        </w:rPr>
        <w:t>E</w:t>
      </w:r>
      <w:r w:rsidRPr="000A32AD">
        <w:rPr>
          <w:rFonts w:ascii="Times New Roman" w:hAnsi="Times New Roman" w:cs="Times New Roman"/>
          <w:color w:val="000000" w:themeColor="text1"/>
          <w:sz w:val="28"/>
          <w:szCs w:val="28"/>
        </w:rPr>
        <w:t>.</w:t>
      </w:r>
      <w:r w:rsidRPr="000A32AD">
        <w:rPr>
          <w:rFonts w:ascii="Times New Roman" w:hAnsi="Times New Roman" w:cs="Times New Roman"/>
          <w:color w:val="000000" w:themeColor="text1"/>
          <w:sz w:val="28"/>
          <w:szCs w:val="28"/>
          <w:lang w:val="uk-UA"/>
        </w:rPr>
        <w:t xml:space="preserve"> – стандартна помилка коефіцієнту регресії; р – рівень значимості коефіцієнта регресії.</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Отримані дані дозволяють розрахувати величину </w:t>
      </w:r>
      <w:r w:rsidRPr="000A32AD">
        <w:rPr>
          <w:rFonts w:ascii="Times New Roman" w:hAnsi="Times New Roman" w:cs="Times New Roman"/>
          <w:color w:val="000000" w:themeColor="text1"/>
          <w:sz w:val="28"/>
          <w:szCs w:val="28"/>
          <w:lang w:val="en-US"/>
        </w:rPr>
        <w:t>z</w:t>
      </w:r>
      <w:r w:rsidRPr="000A32AD">
        <w:rPr>
          <w:rFonts w:ascii="Times New Roman" w:hAnsi="Times New Roman" w:cs="Times New Roman"/>
          <w:color w:val="000000" w:themeColor="text1"/>
          <w:sz w:val="28"/>
          <w:szCs w:val="28"/>
          <w:lang w:val="uk-UA"/>
        </w:rPr>
        <w:t>, яка в цьому аналізу становить:</w:t>
      </w:r>
    </w:p>
    <w:p w:rsidR="00FE7908" w:rsidRPr="000A32AD" w:rsidRDefault="00FE7908" w:rsidP="00FE7908">
      <w:pPr>
        <w:spacing w:line="360" w:lineRule="auto"/>
        <w:ind w:left="707" w:firstLine="709"/>
        <w:jc w:val="right"/>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en-US"/>
        </w:rPr>
        <w:t>z</w:t>
      </w:r>
      <w:r w:rsidRPr="000A32AD">
        <w:rPr>
          <w:rFonts w:ascii="Times New Roman" w:hAnsi="Times New Roman" w:cs="Times New Roman"/>
          <w:color w:val="000000" w:themeColor="text1"/>
          <w:sz w:val="28"/>
          <w:szCs w:val="28"/>
        </w:rPr>
        <w:t xml:space="preserve"> = </w:t>
      </w:r>
      <w:r w:rsidRPr="000A32AD">
        <w:rPr>
          <w:rFonts w:ascii="Times New Roman" w:hAnsi="Times New Roman" w:cs="Times New Roman"/>
          <w:color w:val="000000" w:themeColor="text1"/>
          <w:sz w:val="28"/>
          <w:szCs w:val="28"/>
          <w:lang w:val="en-US"/>
        </w:rPr>
        <w:t>x</w:t>
      </w:r>
      <w:r w:rsidRPr="000A32AD">
        <w:rPr>
          <w:rFonts w:ascii="Times New Roman" w:hAnsi="Times New Roman" w:cs="Times New Roman"/>
          <w:color w:val="000000" w:themeColor="text1"/>
          <w:sz w:val="28"/>
          <w:szCs w:val="28"/>
          <w:vertAlign w:val="subscript"/>
        </w:rPr>
        <w:t>1</w:t>
      </w:r>
      <w:r w:rsidRPr="000A32AD">
        <w:rPr>
          <w:rFonts w:ascii="Times New Roman" w:hAnsi="Times New Roman" w:cs="Times New Roman"/>
          <w:color w:val="000000" w:themeColor="text1"/>
          <w:sz w:val="28"/>
          <w:szCs w:val="28"/>
        </w:rPr>
        <w:t xml:space="preserve"> · 2,970 + </w:t>
      </w:r>
      <w:r w:rsidRPr="000A32AD">
        <w:rPr>
          <w:rFonts w:ascii="Times New Roman" w:hAnsi="Times New Roman" w:cs="Times New Roman"/>
          <w:color w:val="000000" w:themeColor="text1"/>
          <w:sz w:val="28"/>
          <w:szCs w:val="28"/>
          <w:lang w:val="en-US"/>
        </w:rPr>
        <w:t>x</w:t>
      </w:r>
      <w:r w:rsidRPr="000A32AD">
        <w:rPr>
          <w:rFonts w:ascii="Times New Roman" w:hAnsi="Times New Roman" w:cs="Times New Roman"/>
          <w:color w:val="000000" w:themeColor="text1"/>
          <w:sz w:val="28"/>
          <w:szCs w:val="28"/>
          <w:vertAlign w:val="subscript"/>
        </w:rPr>
        <w:t>2</w:t>
      </w:r>
      <w:r w:rsidRPr="000A32AD">
        <w:rPr>
          <w:rFonts w:ascii="Times New Roman" w:hAnsi="Times New Roman" w:cs="Times New Roman"/>
          <w:color w:val="000000" w:themeColor="text1"/>
          <w:sz w:val="28"/>
          <w:szCs w:val="28"/>
        </w:rPr>
        <w:t xml:space="preserve"> · 0,470 + (-4,520)</w:t>
      </w:r>
      <w:r w:rsidRPr="000A32AD">
        <w:rPr>
          <w:rFonts w:ascii="Times New Roman" w:hAnsi="Times New Roman" w:cs="Times New Roman"/>
          <w:color w:val="000000" w:themeColor="text1"/>
          <w:sz w:val="28"/>
          <w:szCs w:val="28"/>
          <w:lang w:val="uk-UA"/>
        </w:rPr>
        <w:tab/>
      </w:r>
      <w:r w:rsidRPr="000A32AD">
        <w:rPr>
          <w:rFonts w:ascii="Times New Roman" w:hAnsi="Times New Roman" w:cs="Times New Roman"/>
          <w:color w:val="000000" w:themeColor="text1"/>
          <w:sz w:val="28"/>
          <w:szCs w:val="28"/>
          <w:lang w:val="uk-UA"/>
        </w:rPr>
        <w:tab/>
      </w:r>
      <w:r w:rsidRPr="000A32AD">
        <w:rPr>
          <w:rFonts w:ascii="Times New Roman" w:hAnsi="Times New Roman" w:cs="Times New Roman"/>
          <w:color w:val="000000" w:themeColor="text1"/>
          <w:sz w:val="28"/>
          <w:szCs w:val="28"/>
          <w:lang w:val="uk-UA"/>
        </w:rPr>
        <w:tab/>
      </w:r>
      <w:r w:rsidRPr="000A32AD">
        <w:rPr>
          <w:rFonts w:ascii="Times New Roman" w:hAnsi="Times New Roman" w:cs="Times New Roman"/>
          <w:color w:val="000000" w:themeColor="text1"/>
          <w:sz w:val="28"/>
          <w:szCs w:val="28"/>
          <w:lang w:val="uk-UA"/>
        </w:rPr>
        <w:tab/>
        <w:t>(4.1)</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Далі розрахунок ймовірності розвитку або прогресування АГ здійснюється за формулою:</w:t>
      </w:r>
    </w:p>
    <w:p w:rsidR="00FE7908" w:rsidRPr="000A32AD" w:rsidRDefault="00FE7908" w:rsidP="00FE7908">
      <w:pPr>
        <w:spacing w:line="360" w:lineRule="auto"/>
        <w:ind w:firstLine="709"/>
        <w:jc w:val="right"/>
        <w:rPr>
          <w:rFonts w:ascii="Times New Roman" w:hAnsi="Times New Roman" w:cs="Times New Roman"/>
          <w:color w:val="000000" w:themeColor="text1"/>
          <w:position w:val="-24"/>
          <w:sz w:val="28"/>
          <w:szCs w:val="28"/>
          <w:lang w:val="uk-UA"/>
        </w:rPr>
      </w:pPr>
      <w:r w:rsidRPr="000A32AD">
        <w:rPr>
          <w:rFonts w:ascii="Times New Roman" w:hAnsi="Times New Roman" w:cs="Times New Roman"/>
          <w:color w:val="000000" w:themeColor="text1"/>
          <w:position w:val="-24"/>
          <w:sz w:val="28"/>
          <w:szCs w:val="28"/>
          <w:lang w:val="uk-UA"/>
        </w:rPr>
        <w:object w:dxaOrig="114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4.15pt;height:49.85pt" o:ole="">
            <v:imagedata r:id="rId17" o:title=""/>
          </v:shape>
          <o:OLEObject Type="Embed" ProgID="Equation.3" ShapeID="_x0000_i1025" DrawAspect="Content" ObjectID="_1627932613" r:id="rId18"/>
        </w:object>
      </w:r>
      <w:r w:rsidRPr="000A32AD">
        <w:rPr>
          <w:rFonts w:ascii="Times New Roman" w:hAnsi="Times New Roman" w:cs="Times New Roman"/>
          <w:color w:val="000000" w:themeColor="text1"/>
          <w:position w:val="-24"/>
          <w:sz w:val="28"/>
          <w:szCs w:val="28"/>
          <w:lang w:val="uk-UA"/>
        </w:rPr>
        <w:tab/>
      </w:r>
      <w:r w:rsidRPr="000A32AD">
        <w:rPr>
          <w:rFonts w:ascii="Times New Roman" w:hAnsi="Times New Roman" w:cs="Times New Roman"/>
          <w:color w:val="000000" w:themeColor="text1"/>
          <w:position w:val="-24"/>
          <w:sz w:val="28"/>
          <w:szCs w:val="28"/>
          <w:lang w:val="uk-UA"/>
        </w:rPr>
        <w:tab/>
      </w:r>
      <w:r w:rsidRPr="000A32AD">
        <w:rPr>
          <w:rFonts w:ascii="Times New Roman" w:hAnsi="Times New Roman" w:cs="Times New Roman"/>
          <w:color w:val="000000" w:themeColor="text1"/>
          <w:position w:val="-24"/>
          <w:sz w:val="28"/>
          <w:szCs w:val="28"/>
          <w:lang w:val="uk-UA"/>
        </w:rPr>
        <w:tab/>
      </w:r>
      <w:r w:rsidRPr="000A32AD">
        <w:rPr>
          <w:rFonts w:ascii="Times New Roman" w:hAnsi="Times New Roman" w:cs="Times New Roman"/>
          <w:color w:val="000000" w:themeColor="text1"/>
          <w:position w:val="-24"/>
          <w:sz w:val="28"/>
          <w:szCs w:val="28"/>
          <w:lang w:val="uk-UA"/>
        </w:rPr>
        <w:tab/>
      </w:r>
      <w:r w:rsidRPr="000A32AD">
        <w:rPr>
          <w:rFonts w:ascii="Times New Roman" w:hAnsi="Times New Roman" w:cs="Times New Roman"/>
          <w:color w:val="000000" w:themeColor="text1"/>
          <w:position w:val="-24"/>
          <w:sz w:val="28"/>
          <w:szCs w:val="28"/>
          <w:lang w:val="uk-UA"/>
        </w:rPr>
        <w:tab/>
      </w:r>
      <w:r w:rsidRPr="000A32AD">
        <w:rPr>
          <w:rFonts w:ascii="Times New Roman" w:hAnsi="Times New Roman" w:cs="Times New Roman"/>
          <w:color w:val="000000" w:themeColor="text1"/>
          <w:position w:val="-24"/>
          <w:sz w:val="28"/>
          <w:szCs w:val="28"/>
          <w:lang w:val="uk-UA"/>
        </w:rPr>
        <w:tab/>
        <w:t>(4.2)</w:t>
      </w:r>
    </w:p>
    <w:p w:rsidR="00FE7908" w:rsidRPr="000A32AD" w:rsidRDefault="00FE7908" w:rsidP="00FE7908">
      <w:pPr>
        <w:spacing w:line="360" w:lineRule="auto"/>
        <w:ind w:firstLine="709"/>
        <w:jc w:val="both"/>
        <w:rPr>
          <w:rFonts w:ascii="Times New Roman" w:hAnsi="Times New Roman" w:cs="Times New Roman"/>
          <w:color w:val="000000" w:themeColor="text1"/>
          <w:position w:val="-24"/>
          <w:sz w:val="28"/>
          <w:szCs w:val="28"/>
          <w:lang w:val="uk-UA"/>
        </w:rPr>
      </w:pP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Чим більше підсумкове значення Р, тим більше ймовірність виникнення АГ або її прогресування у хворих на ЦД 2 типу. Критичним значенням, що визначає хворого з ризиком АГ, є 0,5. </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lastRenderedPageBreak/>
        <w:t>При перевірці прогностичної здібності створеного рівняння для прогнозування виникнення або прогресування АГ встановлено наступне (табл. 4.4)</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Таблиця 4.4. Таблиця класифікації спостережених та передбачених значень</w:t>
      </w:r>
    </w:p>
    <w:p w:rsidR="00FE7908" w:rsidRPr="000A32AD" w:rsidRDefault="00FE7908" w:rsidP="00FE7908">
      <w:pPr>
        <w:autoSpaceDE w:val="0"/>
        <w:autoSpaceDN w:val="0"/>
        <w:adjustRightInd w:val="0"/>
        <w:rPr>
          <w:rFonts w:ascii="Times New Roman" w:eastAsiaTheme="minorHAnsi" w:hAnsi="Times New Roman" w:cs="Times New Roman"/>
          <w:color w:val="000000" w:themeColor="text1"/>
          <w:sz w:val="28"/>
          <w:szCs w:val="28"/>
          <w:lang w:eastAsia="en-US"/>
        </w:rPr>
      </w:pPr>
    </w:p>
    <w:tbl>
      <w:tblPr>
        <w:tblW w:w="9356"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8"/>
        <w:gridCol w:w="1774"/>
        <w:gridCol w:w="1984"/>
        <w:gridCol w:w="1701"/>
        <w:gridCol w:w="1560"/>
        <w:gridCol w:w="1559"/>
      </w:tblGrid>
      <w:tr w:rsidR="00FE7908" w:rsidRPr="000A32AD" w:rsidTr="00FE7908">
        <w:tc>
          <w:tcPr>
            <w:tcW w:w="4536" w:type="dxa"/>
            <w:gridSpan w:val="3"/>
            <w:vMerge w:val="restart"/>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spacing w:line="320" w:lineRule="atLeast"/>
              <w:ind w:left="60" w:right="60"/>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Значення, що спостерігалось</w:t>
            </w:r>
          </w:p>
        </w:tc>
        <w:tc>
          <w:tcPr>
            <w:tcW w:w="4820"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rsidR="00FE7908" w:rsidRPr="000A32AD" w:rsidRDefault="00FE7908" w:rsidP="00FE7908">
            <w:pPr>
              <w:autoSpaceDE w:val="0"/>
              <w:autoSpaceDN w:val="0"/>
              <w:adjustRightInd w:val="0"/>
              <w:spacing w:line="320" w:lineRule="atLeast"/>
              <w:ind w:left="60" w:right="60"/>
              <w:jc w:val="center"/>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Передбачене значення</w:t>
            </w:r>
          </w:p>
        </w:tc>
      </w:tr>
      <w:tr w:rsidR="00FE7908" w:rsidRPr="000A32AD" w:rsidTr="00FE7908">
        <w:tc>
          <w:tcPr>
            <w:tcW w:w="4536" w:type="dxa"/>
            <w:gridSpan w:val="3"/>
            <w:vMerge/>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rPr>
                <w:rFonts w:ascii="Times New Roman" w:eastAsiaTheme="minorHAnsi" w:hAnsi="Times New Roman" w:cs="Times New Roman"/>
                <w:color w:val="000000" w:themeColor="text1"/>
                <w:sz w:val="28"/>
                <w:szCs w:val="28"/>
                <w:lang w:eastAsia="en-US"/>
              </w:rPr>
            </w:pPr>
          </w:p>
        </w:tc>
        <w:tc>
          <w:tcPr>
            <w:tcW w:w="3261"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FE7908" w:rsidRPr="000A32AD" w:rsidRDefault="00FE7908" w:rsidP="00FE7908">
            <w:pPr>
              <w:autoSpaceDE w:val="0"/>
              <w:autoSpaceDN w:val="0"/>
              <w:adjustRightInd w:val="0"/>
              <w:spacing w:line="320" w:lineRule="atLeast"/>
              <w:ind w:left="60" w:right="60"/>
              <w:jc w:val="center"/>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Розвиток АГ</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FE7908" w:rsidRPr="000A32AD" w:rsidRDefault="00FE7908" w:rsidP="00FE7908">
            <w:pPr>
              <w:autoSpaceDE w:val="0"/>
              <w:autoSpaceDN w:val="0"/>
              <w:adjustRightInd w:val="0"/>
              <w:spacing w:line="320" w:lineRule="atLeast"/>
              <w:ind w:left="60" w:right="60"/>
              <w:jc w:val="center"/>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 xml:space="preserve">Відсоток коректних </w:t>
            </w:r>
          </w:p>
        </w:tc>
      </w:tr>
      <w:tr w:rsidR="00FE7908" w:rsidRPr="000A32AD" w:rsidTr="00FE7908">
        <w:tc>
          <w:tcPr>
            <w:tcW w:w="4536" w:type="dxa"/>
            <w:gridSpan w:val="3"/>
            <w:vMerge/>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rPr>
                <w:rFonts w:ascii="Times New Roman" w:eastAsiaTheme="minorHAnsi" w:hAnsi="Times New Roman" w:cs="Times New Roman"/>
                <w:color w:val="000000" w:themeColor="text1"/>
                <w:sz w:val="28"/>
                <w:szCs w:val="28"/>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FFFFFF"/>
            <w:vAlign w:val="bottom"/>
          </w:tcPr>
          <w:p w:rsidR="00FE7908" w:rsidRPr="000A32AD" w:rsidRDefault="00FE7908" w:rsidP="00FE7908">
            <w:pPr>
              <w:autoSpaceDE w:val="0"/>
              <w:autoSpaceDN w:val="0"/>
              <w:adjustRightInd w:val="0"/>
              <w:spacing w:line="320" w:lineRule="atLeast"/>
              <w:ind w:left="60" w:right="60"/>
              <w:jc w:val="center"/>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0</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bottom"/>
          </w:tcPr>
          <w:p w:rsidR="00FE7908" w:rsidRPr="000A32AD" w:rsidRDefault="00FE7908" w:rsidP="00FE7908">
            <w:pPr>
              <w:autoSpaceDE w:val="0"/>
              <w:autoSpaceDN w:val="0"/>
              <w:adjustRightInd w:val="0"/>
              <w:spacing w:line="320" w:lineRule="atLeast"/>
              <w:ind w:left="60" w:right="60"/>
              <w:jc w:val="center"/>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1</w:t>
            </w:r>
          </w:p>
        </w:tc>
        <w:tc>
          <w:tcPr>
            <w:tcW w:w="1559" w:type="dxa"/>
            <w:vMerge/>
            <w:tcBorders>
              <w:top w:val="single" w:sz="4" w:space="0" w:color="auto"/>
              <w:left w:val="single" w:sz="4" w:space="0" w:color="auto"/>
              <w:bottom w:val="single" w:sz="4" w:space="0" w:color="auto"/>
              <w:right w:val="single" w:sz="4" w:space="0" w:color="auto"/>
            </w:tcBorders>
            <w:shd w:val="clear" w:color="auto" w:fill="FFFFFF"/>
            <w:vAlign w:val="bottom"/>
          </w:tcPr>
          <w:p w:rsidR="00FE7908" w:rsidRPr="000A32AD" w:rsidRDefault="00FE7908" w:rsidP="00FE7908">
            <w:pPr>
              <w:autoSpaceDE w:val="0"/>
              <w:autoSpaceDN w:val="0"/>
              <w:adjustRightInd w:val="0"/>
              <w:rPr>
                <w:rFonts w:ascii="Times New Roman" w:eastAsiaTheme="minorHAnsi" w:hAnsi="Times New Roman" w:cs="Times New Roman"/>
                <w:color w:val="000000" w:themeColor="text1"/>
                <w:sz w:val="28"/>
                <w:szCs w:val="28"/>
                <w:lang w:eastAsia="en-US"/>
              </w:rPr>
            </w:pPr>
          </w:p>
        </w:tc>
      </w:tr>
      <w:tr w:rsidR="00FE7908" w:rsidRPr="000A32AD" w:rsidTr="00FE7908">
        <w:tc>
          <w:tcPr>
            <w:tcW w:w="778" w:type="dxa"/>
            <w:vMerge w:val="restart"/>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spacing w:line="320" w:lineRule="atLeast"/>
              <w:ind w:left="60" w:right="60"/>
              <w:rPr>
                <w:rFonts w:ascii="Times New Roman" w:eastAsiaTheme="minorHAnsi" w:hAnsi="Times New Roman" w:cs="Times New Roman"/>
                <w:color w:val="000000" w:themeColor="text1"/>
                <w:sz w:val="28"/>
                <w:szCs w:val="28"/>
                <w:lang w:eastAsia="en-US"/>
              </w:rPr>
            </w:pPr>
          </w:p>
        </w:tc>
        <w:tc>
          <w:tcPr>
            <w:tcW w:w="1774" w:type="dxa"/>
            <w:vMerge w:val="restart"/>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spacing w:line="320" w:lineRule="atLeast"/>
              <w:ind w:left="60" w:right="60"/>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розвиток АГ</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spacing w:line="320" w:lineRule="atLeast"/>
              <w:ind w:left="60" w:right="60"/>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spacing w:line="320" w:lineRule="atLeast"/>
              <w:ind w:left="60" w:right="60"/>
              <w:jc w:val="center"/>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34</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spacing w:line="320" w:lineRule="atLeast"/>
              <w:ind w:left="60" w:right="60"/>
              <w:jc w:val="center"/>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4</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spacing w:line="320" w:lineRule="atLeast"/>
              <w:ind w:left="60" w:right="60"/>
              <w:jc w:val="center"/>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89,5</w:t>
            </w:r>
          </w:p>
        </w:tc>
      </w:tr>
      <w:tr w:rsidR="00FE7908" w:rsidRPr="000A32AD" w:rsidTr="00FE7908">
        <w:tc>
          <w:tcPr>
            <w:tcW w:w="778" w:type="dxa"/>
            <w:vMerge/>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rPr>
                <w:rFonts w:ascii="Times New Roman" w:eastAsiaTheme="minorHAnsi" w:hAnsi="Times New Roman" w:cs="Times New Roman"/>
                <w:color w:val="000000" w:themeColor="text1"/>
                <w:sz w:val="28"/>
                <w:szCs w:val="28"/>
                <w:lang w:eastAsia="en-US"/>
              </w:rPr>
            </w:pPr>
          </w:p>
        </w:tc>
        <w:tc>
          <w:tcPr>
            <w:tcW w:w="1774" w:type="dxa"/>
            <w:vMerge/>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rPr>
                <w:rFonts w:ascii="Times New Roman" w:eastAsiaTheme="minorHAnsi" w:hAnsi="Times New Roman" w:cs="Times New Roman"/>
                <w:color w:val="000000" w:themeColor="text1"/>
                <w:sz w:val="28"/>
                <w:szCs w:val="28"/>
                <w:lang w:eastAsia="en-US"/>
              </w:rPr>
            </w:pPr>
          </w:p>
        </w:tc>
        <w:tc>
          <w:tcPr>
            <w:tcW w:w="1984" w:type="dxa"/>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spacing w:line="320" w:lineRule="atLeast"/>
              <w:ind w:left="60" w:right="60"/>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spacing w:line="320" w:lineRule="atLeast"/>
              <w:ind w:left="60" w:right="60"/>
              <w:jc w:val="center"/>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5</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spacing w:line="320" w:lineRule="atLeast"/>
              <w:ind w:left="60" w:right="60"/>
              <w:jc w:val="center"/>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35</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spacing w:line="320" w:lineRule="atLeast"/>
              <w:ind w:left="60" w:right="60"/>
              <w:jc w:val="center"/>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87,5</w:t>
            </w:r>
          </w:p>
        </w:tc>
      </w:tr>
      <w:tr w:rsidR="00FE7908" w:rsidRPr="000A32AD" w:rsidTr="00FE7908">
        <w:tc>
          <w:tcPr>
            <w:tcW w:w="778" w:type="dxa"/>
            <w:vMerge/>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rPr>
                <w:rFonts w:ascii="Times New Roman" w:eastAsiaTheme="minorHAnsi" w:hAnsi="Times New Roman" w:cs="Times New Roman"/>
                <w:color w:val="000000" w:themeColor="text1"/>
                <w:sz w:val="28"/>
                <w:szCs w:val="28"/>
                <w:lang w:eastAsia="en-US"/>
              </w:rPr>
            </w:pPr>
          </w:p>
        </w:tc>
        <w:tc>
          <w:tcPr>
            <w:tcW w:w="3758" w:type="dxa"/>
            <w:gridSpan w:val="2"/>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spacing w:line="320" w:lineRule="atLeast"/>
              <w:ind w:left="60" w:right="60"/>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Загальний відсоток</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FE7908" w:rsidRPr="000A32AD" w:rsidRDefault="00FE7908" w:rsidP="00FE7908">
            <w:pPr>
              <w:autoSpaceDE w:val="0"/>
              <w:autoSpaceDN w:val="0"/>
              <w:adjustRightInd w:val="0"/>
              <w:jc w:val="center"/>
              <w:rPr>
                <w:rFonts w:ascii="Times New Roman" w:eastAsiaTheme="minorHAnsi" w:hAnsi="Times New Roman" w:cs="Times New Roman"/>
                <w:color w:val="000000" w:themeColor="text1"/>
                <w:sz w:val="28"/>
                <w:szCs w:val="28"/>
                <w:lang w:eastAsia="en-US"/>
              </w:rPr>
            </w:pP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rsidR="00FE7908" w:rsidRPr="000A32AD" w:rsidRDefault="00FE7908" w:rsidP="00FE7908">
            <w:pPr>
              <w:autoSpaceDE w:val="0"/>
              <w:autoSpaceDN w:val="0"/>
              <w:adjustRightInd w:val="0"/>
              <w:jc w:val="center"/>
              <w:rPr>
                <w:rFonts w:ascii="Times New Roman" w:eastAsiaTheme="minorHAnsi" w:hAnsi="Times New Roman" w:cs="Times New Roman"/>
                <w:color w:val="000000" w:themeColor="text1"/>
                <w:sz w:val="28"/>
                <w:szCs w:val="28"/>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FE7908" w:rsidRPr="000A32AD" w:rsidRDefault="00FE7908" w:rsidP="00FE7908">
            <w:pPr>
              <w:autoSpaceDE w:val="0"/>
              <w:autoSpaceDN w:val="0"/>
              <w:adjustRightInd w:val="0"/>
              <w:spacing w:line="320" w:lineRule="atLeast"/>
              <w:ind w:left="60" w:right="60"/>
              <w:jc w:val="center"/>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88,5</w:t>
            </w:r>
          </w:p>
        </w:tc>
      </w:tr>
      <w:tr w:rsidR="00FE7908" w:rsidRPr="000A32AD" w:rsidTr="00FE7908">
        <w:tc>
          <w:tcPr>
            <w:tcW w:w="9356" w:type="dxa"/>
            <w:gridSpan w:val="6"/>
            <w:tcBorders>
              <w:top w:val="single" w:sz="4" w:space="0" w:color="auto"/>
              <w:left w:val="nil"/>
              <w:bottom w:val="nil"/>
              <w:right w:val="nil"/>
            </w:tcBorders>
            <w:shd w:val="clear" w:color="auto" w:fill="FFFFFF"/>
          </w:tcPr>
          <w:p w:rsidR="00FE7908" w:rsidRPr="000A32AD" w:rsidRDefault="00FE7908" w:rsidP="00FE7908">
            <w:pPr>
              <w:autoSpaceDE w:val="0"/>
              <w:autoSpaceDN w:val="0"/>
              <w:adjustRightInd w:val="0"/>
              <w:spacing w:line="320" w:lineRule="atLeast"/>
              <w:ind w:left="60" w:right="60"/>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ab/>
            </w:r>
          </w:p>
          <w:p w:rsidR="00FE7908" w:rsidRPr="000A32AD" w:rsidRDefault="00FE7908" w:rsidP="00FE7908">
            <w:pPr>
              <w:autoSpaceDE w:val="0"/>
              <w:autoSpaceDN w:val="0"/>
              <w:adjustRightInd w:val="0"/>
              <w:spacing w:line="320" w:lineRule="atLeast"/>
              <w:ind w:left="60" w:right="60"/>
              <w:rPr>
                <w:rFonts w:ascii="Times New Roman" w:eastAsiaTheme="minorHAnsi" w:hAnsi="Times New Roman" w:cs="Times New Roman"/>
                <w:color w:val="000000" w:themeColor="text1"/>
                <w:sz w:val="28"/>
                <w:szCs w:val="28"/>
                <w:lang w:eastAsia="en-US"/>
              </w:rPr>
            </w:pPr>
            <w:r w:rsidRPr="000A32AD">
              <w:rPr>
                <w:rFonts w:ascii="Times New Roman" w:eastAsiaTheme="minorHAnsi" w:hAnsi="Times New Roman" w:cs="Times New Roman"/>
                <w:color w:val="000000" w:themeColor="text1"/>
                <w:sz w:val="28"/>
                <w:szCs w:val="28"/>
                <w:lang w:eastAsia="en-US"/>
              </w:rPr>
              <w:t>Примітка. Значення, що розмежовує</w:t>
            </w:r>
            <w:r w:rsidR="00F17BD2" w:rsidRPr="000A32AD">
              <w:rPr>
                <w:rFonts w:ascii="Times New Roman" w:eastAsiaTheme="minorHAnsi" w:hAnsi="Times New Roman" w:cs="Times New Roman"/>
                <w:color w:val="000000" w:themeColor="text1"/>
                <w:sz w:val="28"/>
                <w:szCs w:val="28"/>
                <w:lang w:eastAsia="en-US"/>
              </w:rPr>
              <w:t xml:space="preserve"> </w:t>
            </w:r>
            <w:r w:rsidRPr="000A32AD">
              <w:rPr>
                <w:rFonts w:ascii="Times New Roman" w:eastAsiaTheme="minorHAnsi" w:hAnsi="Times New Roman" w:cs="Times New Roman"/>
                <w:color w:val="000000" w:themeColor="text1"/>
                <w:sz w:val="28"/>
                <w:szCs w:val="28"/>
                <w:lang w:eastAsia="en-US"/>
              </w:rPr>
              <w:t>= 0,500</w:t>
            </w:r>
          </w:p>
          <w:p w:rsidR="00FE7908" w:rsidRPr="000A32AD" w:rsidRDefault="00FE7908" w:rsidP="00FE7908">
            <w:pPr>
              <w:autoSpaceDE w:val="0"/>
              <w:autoSpaceDN w:val="0"/>
              <w:adjustRightInd w:val="0"/>
              <w:spacing w:line="320" w:lineRule="atLeast"/>
              <w:ind w:left="60" w:right="60"/>
              <w:rPr>
                <w:rFonts w:ascii="Times New Roman" w:eastAsiaTheme="minorHAnsi" w:hAnsi="Times New Roman" w:cs="Times New Roman"/>
                <w:color w:val="000000" w:themeColor="text1"/>
                <w:sz w:val="28"/>
                <w:szCs w:val="28"/>
                <w:lang w:eastAsia="en-US"/>
              </w:rPr>
            </w:pPr>
          </w:p>
        </w:tc>
      </w:tr>
    </w:tbl>
    <w:p w:rsidR="00FE7908" w:rsidRPr="000A32AD" w:rsidRDefault="00FE7908" w:rsidP="00BD1830">
      <w:pPr>
        <w:autoSpaceDE w:val="0"/>
        <w:autoSpaceDN w:val="0"/>
        <w:adjustRightInd w:val="0"/>
        <w:spacing w:line="400" w:lineRule="atLeast"/>
        <w:rPr>
          <w:rFonts w:ascii="Times New Roman" w:eastAsiaTheme="minorHAnsi" w:hAnsi="Times New Roman" w:cs="Times New Roman"/>
          <w:color w:val="000000" w:themeColor="text1"/>
          <w:sz w:val="28"/>
          <w:szCs w:val="28"/>
          <w:lang w:eastAsia="en-US"/>
        </w:rPr>
      </w:pP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Більш наглядно ці дані демонструє графік класифікації (рис. 4.5).</w:t>
      </w:r>
    </w:p>
    <w:p w:rsidR="00FE7908" w:rsidRPr="000A32AD" w:rsidRDefault="00FE7908" w:rsidP="00FE7908">
      <w:pPr>
        <w:spacing w:line="360" w:lineRule="auto"/>
        <w:jc w:val="both"/>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w:drawing>
          <wp:inline distT="0" distB="0" distL="0" distR="0" wp14:anchorId="31A58AEF" wp14:editId="36CFC7DE">
            <wp:extent cx="6064468" cy="3530575"/>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6115700" cy="3560401"/>
                    </a:xfrm>
                    <a:prstGeom prst="rect">
                      <a:avLst/>
                    </a:prstGeom>
                  </pic:spPr>
                </pic:pic>
              </a:graphicData>
            </a:graphic>
          </wp:inline>
        </w:drawing>
      </w:r>
    </w:p>
    <w:p w:rsidR="00FE7908" w:rsidRPr="000A32AD" w:rsidRDefault="00FE7908" w:rsidP="0046005F">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Рис. 4.5. Графік класифікації рівняння БЛР з прогнозування виникнення або розвитку АГ у хворих на ЦД 2 типу</w:t>
      </w:r>
      <w:r w:rsidR="00FF039E">
        <w:rPr>
          <w:rFonts w:ascii="Times New Roman" w:hAnsi="Times New Roman" w:cs="Times New Roman"/>
          <w:color w:val="000000" w:themeColor="text1"/>
          <w:sz w:val="28"/>
          <w:szCs w:val="28"/>
          <w:lang w:val="uk-UA"/>
        </w:rPr>
        <w:t>.</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lastRenderedPageBreak/>
        <w:t>Отримані дані свідчать, прогностичність негативного результату складає 89,5%), прогностичність позитивного результату – 87,5%, загальна прогностичність – 88,5%.</w:t>
      </w:r>
      <w:r w:rsidR="00F17BD2" w:rsidRPr="000A32AD">
        <w:rPr>
          <w:rFonts w:ascii="Times New Roman" w:hAnsi="Times New Roman" w:cs="Times New Roman"/>
          <w:color w:val="000000" w:themeColor="text1"/>
          <w:sz w:val="28"/>
          <w:szCs w:val="28"/>
          <w:lang w:val="uk-UA"/>
        </w:rPr>
        <w:t xml:space="preserve"> </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 39 хворих, у яких не спостерігалось розвитку або прогресування, в 34 (87,2%) випадках отримано коректний прогноз, що характеризує специфічність рівняння БЛР.</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З 39 хворих, у яких виникла АГ або відмічене її прогресування, у 35 (89,7%) випадках отримано вірний прогноз, що характеризує чутливість рівняння БЛР.</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Досить високі значення прогностичності, специфічності та чутливості свідчать про можливість застосування цього методу для прогнозування виникнення або прогресування АГ у хворих на ЦД 2 типу. Отримані дані дозволять виділити хворих з необхідністю застосування активних методів профілактики АГ, навіть при відсутності інших серцево-судинних ризиків.</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Однак запропонований метод прогнозування має певні обмеження.</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 Дослідження обмежено однією віковою групою – 35-45 років</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 Оцінка ризику виникнення або прогресування АГ заснована на аналізі ретроспективних даних.</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3. У більшості хворих за ретроспективними даними були відсутні результати добового моніторування АГ – найбільш об’єктивного методу діагностики АГ.</w:t>
      </w:r>
    </w:p>
    <w:p w:rsidR="00BD1830" w:rsidRDefault="00FE7908" w:rsidP="0063251A">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4. Тривалість між попередньою та останньою госпіталізацією була досить варіабельною – від 2 до 5 років, тому й період прогнозування розвитку АГ досит</w:t>
      </w:r>
      <w:r w:rsidR="0063251A">
        <w:rPr>
          <w:rFonts w:ascii="Times New Roman" w:hAnsi="Times New Roman" w:cs="Times New Roman"/>
          <w:color w:val="000000" w:themeColor="text1"/>
          <w:sz w:val="28"/>
          <w:szCs w:val="28"/>
          <w:lang w:val="uk-UA"/>
        </w:rPr>
        <w:t>ь великий – протягом 2–5 років.</w:t>
      </w:r>
    </w:p>
    <w:p w:rsidR="00BD1830" w:rsidRDefault="00BD1830" w:rsidP="00FE7908">
      <w:pPr>
        <w:spacing w:line="360" w:lineRule="auto"/>
        <w:ind w:firstLine="709"/>
        <w:jc w:val="center"/>
        <w:rPr>
          <w:rFonts w:ascii="Times New Roman" w:hAnsi="Times New Roman" w:cs="Times New Roman"/>
          <w:color w:val="000000" w:themeColor="text1"/>
          <w:sz w:val="28"/>
          <w:szCs w:val="28"/>
          <w:lang w:val="uk-UA"/>
        </w:rPr>
      </w:pPr>
    </w:p>
    <w:p w:rsidR="00FE7908" w:rsidRPr="000A32AD" w:rsidRDefault="00FE7908" w:rsidP="00FE7908">
      <w:pPr>
        <w:spacing w:line="360" w:lineRule="auto"/>
        <w:ind w:firstLine="709"/>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Резюме</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Результати вивчення вмісту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 xml:space="preserve"> в крові хворих на ЦД дозволили встановити досить високу варіабельність цього показника з ненормальним розподілом у групі контролю. При ЦД 2 типу медіана вмісту</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 xml:space="preserve"> достовірна </w:t>
      </w:r>
      <w:r w:rsidRPr="000A32AD">
        <w:rPr>
          <w:rFonts w:ascii="Times New Roman" w:hAnsi="Times New Roman" w:cs="Times New Roman"/>
          <w:color w:val="000000" w:themeColor="text1"/>
          <w:sz w:val="28"/>
          <w:szCs w:val="28"/>
          <w:lang w:val="uk-UA"/>
        </w:rPr>
        <w:lastRenderedPageBreak/>
        <w:t>більша, ніж в контролі, а у хворих на ЦД 2 типу у сполученні з НДСТ достовірно більша ніж у хворих на ЦД 2 типу без НДСТ.</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За результатами кореляційного аналізу встановлено, що у</w:t>
      </w:r>
      <w:r w:rsidR="001805FC" w:rsidRPr="000A32AD">
        <w:rPr>
          <w:rFonts w:ascii="Times New Roman" w:hAnsi="Times New Roman" w:cs="Times New Roman"/>
          <w:color w:val="000000" w:themeColor="text1"/>
          <w:sz w:val="28"/>
          <w:szCs w:val="28"/>
          <w:lang w:val="uk-UA"/>
        </w:rPr>
        <w:t xml:space="preserve"> обстежених</w:t>
      </w:r>
      <w:r w:rsidRPr="000A32AD">
        <w:rPr>
          <w:rFonts w:ascii="Times New Roman" w:hAnsi="Times New Roman" w:cs="Times New Roman"/>
          <w:color w:val="000000" w:themeColor="text1"/>
          <w:sz w:val="28"/>
          <w:szCs w:val="28"/>
          <w:lang w:val="uk-UA"/>
        </w:rPr>
        <w:t xml:space="preserve"> хворих, як у сполученні з НДСТ так й без НДСТ</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спостерігається достовірна позитивна кореляція з наявністю та виразністю АГ, більш сильна</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при ЦД 2 типу у сполученні з НДСТ. При цьому, в цей групі хворих не виявлено залежності вмісту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 xml:space="preserve"> від віку хворого та тривалості ЦД. У хворих на ЦД 2 типу без НДСТ також виявлено достовірну кореляцію вмісту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2 з наявністю діабетичної нефропатії, яка була відсутня у хворих з НДСТ.</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Зв’язок підвищення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lang w:val="uk-UA"/>
        </w:rPr>
        <w:t>2 з наявністю НДСТ став підставою для ретроспективного аналізу можливості застосування клінічних ознак НДСТ в якості предиктора розвитку АГ. Це було реалізовано за допомогою регресійного аналізу, в результаті якого розроблено модель з досить високою прогностичністю, специфічністю та чутливістю, що дає можливість застосування цього методу в клінічній практиці для визначення хворих високого ризику розвитку АГ.</w:t>
      </w:r>
    </w:p>
    <w:p w:rsidR="005870CC" w:rsidRPr="000A32AD" w:rsidRDefault="005870CC" w:rsidP="005870CC">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Ці дані були підставою для проведення патоморфологічних досліджень. В якості об’єкту для гістологічного дослідження стали нирки померлих, що мали прижиттєві ознаки ЦД 2 типу з або без ознак НДСТ.</w:t>
      </w:r>
    </w:p>
    <w:p w:rsidR="005870CC" w:rsidRPr="000A32AD" w:rsidRDefault="005870CC" w:rsidP="00FE7908">
      <w:pPr>
        <w:spacing w:line="360" w:lineRule="auto"/>
        <w:ind w:firstLine="709"/>
        <w:jc w:val="both"/>
        <w:rPr>
          <w:rFonts w:ascii="Times New Roman" w:hAnsi="Times New Roman" w:cs="Times New Roman"/>
          <w:color w:val="000000" w:themeColor="text1"/>
          <w:sz w:val="28"/>
          <w:szCs w:val="28"/>
          <w:lang w:val="uk-UA"/>
        </w:rPr>
      </w:pPr>
    </w:p>
    <w:p w:rsidR="00FE7908" w:rsidRPr="004008ED" w:rsidRDefault="004008ED" w:rsidP="00FE7908">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Результати, викладені в даному розділі, опубліковані в наступних наукових працях автора [76, 221].</w:t>
      </w:r>
    </w:p>
    <w:p w:rsidR="00FE7908" w:rsidRPr="000A32AD" w:rsidRDefault="00FE7908" w:rsidP="00FE7908">
      <w:pPr>
        <w:spacing w:line="360" w:lineRule="auto"/>
        <w:ind w:firstLine="709"/>
        <w:jc w:val="both"/>
        <w:rPr>
          <w:rFonts w:ascii="Times New Roman" w:hAnsi="Times New Roman" w:cs="Times New Roman"/>
          <w:color w:val="000000" w:themeColor="text1"/>
          <w:sz w:val="28"/>
          <w:szCs w:val="28"/>
          <w:lang w:val="uk-UA"/>
        </w:rPr>
      </w:pPr>
    </w:p>
    <w:p w:rsidR="005870CC" w:rsidRPr="000A32AD" w:rsidRDefault="005870CC" w:rsidP="005870CC">
      <w:pPr>
        <w:spacing w:line="360" w:lineRule="auto"/>
        <w:jc w:val="both"/>
        <w:rPr>
          <w:rFonts w:ascii="Times New Roman" w:hAnsi="Times New Roman" w:cs="Times New Roman"/>
          <w:b/>
          <w:color w:val="000000" w:themeColor="text1"/>
          <w:sz w:val="28"/>
          <w:szCs w:val="28"/>
          <w:lang w:val="uk-UA"/>
        </w:rPr>
      </w:pPr>
    </w:p>
    <w:p w:rsidR="005870CC" w:rsidRPr="000A32AD" w:rsidRDefault="005870CC" w:rsidP="005870CC">
      <w:pPr>
        <w:keepNext/>
        <w:spacing w:line="360" w:lineRule="auto"/>
        <w:ind w:firstLine="709"/>
        <w:jc w:val="both"/>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lastRenderedPageBreak/>
        <w:t>4</w:t>
      </w:r>
      <w:r w:rsidR="00BA6B1D" w:rsidRPr="000A32AD">
        <w:rPr>
          <w:rFonts w:ascii="Times New Roman" w:hAnsi="Times New Roman" w:cs="Times New Roman"/>
          <w:b/>
          <w:color w:val="000000" w:themeColor="text1"/>
          <w:sz w:val="28"/>
          <w:szCs w:val="28"/>
          <w:lang w:val="uk-UA"/>
        </w:rPr>
        <w:t>.3</w:t>
      </w:r>
      <w:r w:rsidRPr="000A32AD">
        <w:rPr>
          <w:rFonts w:ascii="Times New Roman" w:hAnsi="Times New Roman" w:cs="Times New Roman"/>
          <w:b/>
          <w:color w:val="000000" w:themeColor="text1"/>
          <w:sz w:val="28"/>
          <w:szCs w:val="28"/>
          <w:lang w:val="uk-UA"/>
        </w:rPr>
        <w:t>. Результати патоморфологічних досліджень</w:t>
      </w:r>
      <w:r w:rsidR="00F74682" w:rsidRPr="000A32AD">
        <w:rPr>
          <w:rFonts w:ascii="Times New Roman" w:hAnsi="Times New Roman" w:cs="Times New Roman"/>
          <w:b/>
          <w:color w:val="000000" w:themeColor="text1"/>
          <w:sz w:val="28"/>
          <w:szCs w:val="28"/>
          <w:lang w:val="uk-UA"/>
        </w:rPr>
        <w:t xml:space="preserve"> </w:t>
      </w:r>
      <w:r w:rsidR="003C3B65" w:rsidRPr="000A32AD">
        <w:rPr>
          <w:rFonts w:ascii="Times New Roman" w:hAnsi="Times New Roman" w:cs="Times New Roman"/>
          <w:b/>
          <w:color w:val="000000" w:themeColor="text1"/>
          <w:sz w:val="28"/>
          <w:szCs w:val="28"/>
          <w:lang w:val="uk-UA"/>
        </w:rPr>
        <w:t>нир</w:t>
      </w:r>
      <w:r w:rsidR="008B5D09" w:rsidRPr="000A32AD">
        <w:rPr>
          <w:rFonts w:ascii="Times New Roman" w:hAnsi="Times New Roman" w:cs="Times New Roman"/>
          <w:b/>
          <w:color w:val="000000" w:themeColor="text1"/>
          <w:sz w:val="28"/>
          <w:szCs w:val="28"/>
          <w:lang w:val="uk-UA"/>
        </w:rPr>
        <w:t>ок</w:t>
      </w:r>
      <w:r w:rsidR="003C3B65" w:rsidRPr="000A32AD">
        <w:rPr>
          <w:rFonts w:ascii="Times New Roman" w:hAnsi="Times New Roman" w:cs="Times New Roman"/>
          <w:b/>
          <w:color w:val="000000" w:themeColor="text1"/>
          <w:sz w:val="28"/>
          <w:szCs w:val="28"/>
          <w:lang w:val="uk-UA"/>
        </w:rPr>
        <w:t xml:space="preserve"> у хворих на цукровий </w:t>
      </w:r>
      <w:r w:rsidR="00F74682" w:rsidRPr="000A32AD">
        <w:rPr>
          <w:rFonts w:ascii="Times New Roman" w:hAnsi="Times New Roman" w:cs="Times New Roman"/>
          <w:b/>
          <w:color w:val="000000" w:themeColor="text1"/>
          <w:sz w:val="28"/>
          <w:szCs w:val="28"/>
          <w:lang w:val="uk-UA"/>
        </w:rPr>
        <w:t>діаб</w:t>
      </w:r>
      <w:r w:rsidR="003C3B65" w:rsidRPr="000A32AD">
        <w:rPr>
          <w:rFonts w:ascii="Times New Roman" w:hAnsi="Times New Roman" w:cs="Times New Roman"/>
          <w:b/>
          <w:color w:val="000000" w:themeColor="text1"/>
          <w:sz w:val="28"/>
          <w:szCs w:val="28"/>
          <w:lang w:val="uk-UA"/>
        </w:rPr>
        <w:t>ет</w:t>
      </w:r>
      <w:r w:rsidR="008B5D09" w:rsidRPr="000A32AD">
        <w:rPr>
          <w:rFonts w:ascii="Times New Roman" w:hAnsi="Times New Roman" w:cs="Times New Roman"/>
          <w:b/>
          <w:color w:val="000000" w:themeColor="text1"/>
          <w:sz w:val="28"/>
          <w:szCs w:val="28"/>
          <w:lang w:val="uk-UA"/>
        </w:rPr>
        <w:t xml:space="preserve"> </w:t>
      </w:r>
      <w:r w:rsidR="003C3B65" w:rsidRPr="000A32AD">
        <w:rPr>
          <w:rFonts w:ascii="Times New Roman" w:hAnsi="Times New Roman" w:cs="Times New Roman"/>
          <w:b/>
          <w:color w:val="000000" w:themeColor="text1"/>
          <w:sz w:val="28"/>
          <w:szCs w:val="28"/>
          <w:lang w:val="uk-UA"/>
        </w:rPr>
        <w:t xml:space="preserve">2 типу з артеріальною гіпертензією </w:t>
      </w:r>
      <w:r w:rsidR="00F74682" w:rsidRPr="000A32AD">
        <w:rPr>
          <w:rFonts w:ascii="Times New Roman" w:hAnsi="Times New Roman" w:cs="Times New Roman"/>
          <w:b/>
          <w:color w:val="000000" w:themeColor="text1"/>
          <w:sz w:val="28"/>
          <w:szCs w:val="28"/>
          <w:lang w:val="uk-UA"/>
        </w:rPr>
        <w:t xml:space="preserve"> </w:t>
      </w:r>
      <w:r w:rsidR="003C3B65" w:rsidRPr="000A32AD">
        <w:rPr>
          <w:rFonts w:ascii="Times New Roman" w:hAnsi="Times New Roman" w:cs="Times New Roman"/>
          <w:b/>
          <w:color w:val="000000" w:themeColor="text1"/>
          <w:sz w:val="28"/>
          <w:szCs w:val="28"/>
          <w:lang w:val="uk-UA"/>
        </w:rPr>
        <w:t>на тлі недиференційованої дисплазії сполучної тканини.</w:t>
      </w:r>
    </w:p>
    <w:p w:rsidR="005870CC" w:rsidRPr="000A32AD" w:rsidRDefault="005870CC" w:rsidP="005870CC">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Результати клінічних досліджень, наведені у попередніх розділах, свідчать, що наявність фенотипічних ознак НДСТ у хворих на ЦД 2 типу впливає на перебіг як основного захворювання, так й на розвиток супутньої патології, зокрема, АГ. Артеріальну гіпертензію виявлено майже у всіх хворих на ЦД 2 типу при наявності НДСТ. Характерним є більша частота судинних ускладнень ЦД, ангіопатій, зокрема, діабетичної нефропатії. Це підтверджено й збільшенням вмісту </w:t>
      </w:r>
      <w:r w:rsidRPr="000A32AD">
        <w:rPr>
          <w:rFonts w:ascii="Times New Roman" w:hAnsi="Times New Roman" w:cs="Times New Roman"/>
          <w:color w:val="000000" w:themeColor="text1"/>
          <w:sz w:val="28"/>
          <w:szCs w:val="28"/>
          <w:lang w:val="en-US"/>
        </w:rPr>
        <w:t>FGF</w:t>
      </w:r>
      <w:r w:rsidRPr="000A32AD">
        <w:rPr>
          <w:rFonts w:ascii="Times New Roman" w:hAnsi="Times New Roman" w:cs="Times New Roman"/>
          <w:color w:val="000000" w:themeColor="text1"/>
          <w:sz w:val="28"/>
          <w:szCs w:val="28"/>
        </w:rPr>
        <w:t>2</w:t>
      </w:r>
      <w:r w:rsidRPr="000A32AD">
        <w:rPr>
          <w:rFonts w:ascii="Times New Roman" w:hAnsi="Times New Roman" w:cs="Times New Roman"/>
          <w:color w:val="000000" w:themeColor="text1"/>
          <w:sz w:val="28"/>
          <w:szCs w:val="28"/>
          <w:lang w:val="uk-UA"/>
        </w:rPr>
        <w:t xml:space="preserve"> в плазмі крові на ЦД 2 типу, особливо при наявності НДСТ.</w:t>
      </w:r>
    </w:p>
    <w:p w:rsidR="005870CC" w:rsidRPr="000A32AD" w:rsidRDefault="005870CC" w:rsidP="005870CC">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 іншого боку, наявність та виразність АГ мають достовірний прямий кореляційних зв’язок з наявністю та виразністю діабетичної нефропатії. Це стало підставою для проведення патоморфолог</w:t>
      </w:r>
      <w:r w:rsidR="00CE64F6" w:rsidRPr="000A32AD">
        <w:rPr>
          <w:rFonts w:ascii="Times New Roman" w:hAnsi="Times New Roman" w:cs="Times New Roman"/>
          <w:color w:val="000000" w:themeColor="text1"/>
          <w:sz w:val="28"/>
          <w:szCs w:val="28"/>
          <w:lang w:val="uk-UA"/>
        </w:rPr>
        <w:t xml:space="preserve">ічних досліджень нирок померлих, у яких </w:t>
      </w:r>
      <w:r w:rsidRPr="000A32AD">
        <w:rPr>
          <w:rFonts w:ascii="Times New Roman" w:hAnsi="Times New Roman" w:cs="Times New Roman"/>
          <w:color w:val="000000" w:themeColor="text1"/>
          <w:sz w:val="28"/>
          <w:szCs w:val="28"/>
          <w:lang w:val="uk-UA"/>
        </w:rPr>
        <w:t xml:space="preserve">в анамнезі ЦД 2 типу та </w:t>
      </w:r>
      <w:r w:rsidR="00CE64F6" w:rsidRPr="000A32AD">
        <w:rPr>
          <w:rFonts w:ascii="Times New Roman" w:hAnsi="Times New Roman" w:cs="Times New Roman"/>
          <w:color w:val="000000" w:themeColor="text1"/>
          <w:sz w:val="28"/>
          <w:szCs w:val="28"/>
          <w:lang w:val="uk-UA"/>
        </w:rPr>
        <w:t>артеріальна</w:t>
      </w:r>
      <w:r w:rsidR="009036FE" w:rsidRPr="000A32AD">
        <w:rPr>
          <w:rFonts w:ascii="Times New Roman" w:hAnsi="Times New Roman" w:cs="Times New Roman"/>
          <w:color w:val="000000" w:themeColor="text1"/>
          <w:sz w:val="28"/>
          <w:szCs w:val="28"/>
          <w:lang w:val="uk-UA"/>
        </w:rPr>
        <w:t xml:space="preserve"> гіпертензі</w:t>
      </w:r>
      <w:r w:rsidR="00CE64F6" w:rsidRPr="000A32AD">
        <w:rPr>
          <w:rFonts w:ascii="Times New Roman" w:hAnsi="Times New Roman" w:cs="Times New Roman"/>
          <w:color w:val="000000" w:themeColor="text1"/>
          <w:sz w:val="28"/>
          <w:szCs w:val="28"/>
          <w:lang w:val="uk-UA"/>
        </w:rPr>
        <w:t>я</w:t>
      </w:r>
      <w:r w:rsidR="009036FE" w:rsidRPr="000A32AD">
        <w:rPr>
          <w:rFonts w:ascii="Times New Roman" w:hAnsi="Times New Roman" w:cs="Times New Roman"/>
          <w:color w:val="000000" w:themeColor="text1"/>
          <w:sz w:val="28"/>
          <w:szCs w:val="28"/>
          <w:lang w:val="uk-UA"/>
        </w:rPr>
        <w:t xml:space="preserve"> </w:t>
      </w:r>
      <w:r w:rsidR="00D57C3E" w:rsidRPr="000A32AD">
        <w:rPr>
          <w:rFonts w:ascii="Times New Roman" w:hAnsi="Times New Roman" w:cs="Times New Roman"/>
          <w:color w:val="000000" w:themeColor="text1"/>
          <w:sz w:val="28"/>
          <w:szCs w:val="28"/>
          <w:lang w:val="uk-UA"/>
        </w:rPr>
        <w:t>з</w:t>
      </w:r>
      <w:r w:rsidR="009036FE" w:rsidRPr="000A32AD">
        <w:rPr>
          <w:rFonts w:ascii="Times New Roman" w:hAnsi="Times New Roman" w:cs="Times New Roman"/>
          <w:color w:val="000000" w:themeColor="text1"/>
          <w:sz w:val="28"/>
          <w:szCs w:val="28"/>
          <w:lang w:val="uk-UA"/>
        </w:rPr>
        <w:t xml:space="preserve"> </w:t>
      </w:r>
      <w:r w:rsidR="00D57C3E" w:rsidRPr="000A32AD">
        <w:rPr>
          <w:rFonts w:ascii="Times New Roman" w:hAnsi="Times New Roman" w:cs="Times New Roman"/>
          <w:color w:val="000000" w:themeColor="text1"/>
          <w:sz w:val="28"/>
          <w:szCs w:val="28"/>
          <w:lang w:val="uk-UA"/>
        </w:rPr>
        <w:t>фенотипі</w:t>
      </w:r>
      <w:r w:rsidR="009036FE" w:rsidRPr="000A32AD">
        <w:rPr>
          <w:rFonts w:ascii="Times New Roman" w:hAnsi="Times New Roman" w:cs="Times New Roman"/>
          <w:color w:val="000000" w:themeColor="text1"/>
          <w:sz w:val="28"/>
          <w:szCs w:val="28"/>
          <w:lang w:val="uk-UA"/>
        </w:rPr>
        <w:t>чни</w:t>
      </w:r>
      <w:r w:rsidR="00D57C3E" w:rsidRPr="000A32AD">
        <w:rPr>
          <w:rFonts w:ascii="Times New Roman" w:hAnsi="Times New Roman" w:cs="Times New Roman"/>
          <w:color w:val="000000" w:themeColor="text1"/>
          <w:sz w:val="28"/>
          <w:szCs w:val="28"/>
          <w:lang w:val="uk-UA"/>
        </w:rPr>
        <w:t>ми</w:t>
      </w:r>
      <w:r w:rsidR="009036FE" w:rsidRPr="000A32AD">
        <w:rPr>
          <w:rFonts w:ascii="Times New Roman" w:hAnsi="Times New Roman" w:cs="Times New Roman"/>
          <w:color w:val="000000" w:themeColor="text1"/>
          <w:sz w:val="28"/>
          <w:szCs w:val="28"/>
          <w:lang w:val="uk-UA"/>
        </w:rPr>
        <w:t xml:space="preserve"> проя</w:t>
      </w:r>
      <w:r w:rsidR="00D57C3E" w:rsidRPr="000A32AD">
        <w:rPr>
          <w:rFonts w:ascii="Times New Roman" w:hAnsi="Times New Roman" w:cs="Times New Roman"/>
          <w:color w:val="000000" w:themeColor="text1"/>
          <w:sz w:val="28"/>
          <w:szCs w:val="28"/>
          <w:lang w:val="uk-UA"/>
        </w:rPr>
        <w:t>вами</w:t>
      </w:r>
      <w:r w:rsidRPr="000A32AD">
        <w:rPr>
          <w:rFonts w:ascii="Times New Roman" w:hAnsi="Times New Roman" w:cs="Times New Roman"/>
          <w:color w:val="000000" w:themeColor="text1"/>
          <w:sz w:val="28"/>
          <w:szCs w:val="28"/>
          <w:lang w:val="uk-UA"/>
        </w:rPr>
        <w:t xml:space="preserve"> НДСТ</w:t>
      </w:r>
      <w:r w:rsidR="009036FE" w:rsidRPr="000A32AD">
        <w:rPr>
          <w:rFonts w:ascii="Times New Roman" w:hAnsi="Times New Roman" w:cs="Times New Roman"/>
          <w:color w:val="000000" w:themeColor="text1"/>
          <w:sz w:val="28"/>
          <w:szCs w:val="28"/>
          <w:lang w:val="uk-UA"/>
        </w:rPr>
        <w:t xml:space="preserve"> та без НДСТ</w:t>
      </w:r>
      <w:r w:rsidRPr="000A32AD">
        <w:rPr>
          <w:rFonts w:ascii="Times New Roman" w:hAnsi="Times New Roman" w:cs="Times New Roman"/>
          <w:color w:val="000000" w:themeColor="text1"/>
          <w:sz w:val="28"/>
          <w:szCs w:val="28"/>
          <w:lang w:val="uk-UA"/>
        </w:rPr>
        <w:t xml:space="preserve">. </w:t>
      </w:r>
    </w:p>
    <w:p w:rsidR="005870CC" w:rsidRPr="000A32AD" w:rsidRDefault="005870CC" w:rsidP="005870CC">
      <w:pPr>
        <w:pStyle w:val="a9"/>
        <w:spacing w:after="0" w:line="360" w:lineRule="auto"/>
        <w:ind w:right="20" w:firstLine="851"/>
        <w:jc w:val="both"/>
        <w:rPr>
          <w:rFonts w:ascii="Times New Roman" w:hAnsi="Times New Roman" w:cs="Times New Roman"/>
          <w:color w:val="000000" w:themeColor="text1"/>
          <w:sz w:val="28"/>
          <w:szCs w:val="28"/>
        </w:rPr>
      </w:pPr>
      <w:r w:rsidRPr="000A32AD">
        <w:rPr>
          <w:rFonts w:ascii="Times New Roman" w:hAnsi="Times New Roman" w:cs="Times New Roman"/>
          <w:color w:val="000000" w:themeColor="text1"/>
          <w:sz w:val="28"/>
          <w:szCs w:val="28"/>
          <w:lang w:eastAsia="ru-RU"/>
        </w:rPr>
        <w:t xml:space="preserve">У померлих з наявністю ЦД 2 типу легкого ступеня при макроскопічному дослідженні нирки мали овальну форму і синюшний колір. Фіброзна капсула знімалась легко, поверхня нирок була гладка. Маса нирки складала (280,5±43,2) г. На розрізі кірковий і мозковий шари диференціювалися чітко. Кірковий шар був помірне набряклий, піраміди мозкового шару помірне – </w:t>
      </w:r>
      <w:r w:rsidR="009036FE" w:rsidRPr="000A32AD">
        <w:rPr>
          <w:rFonts w:ascii="Times New Roman" w:hAnsi="Times New Roman" w:cs="Times New Roman"/>
          <w:color w:val="000000" w:themeColor="text1"/>
          <w:sz w:val="28"/>
          <w:szCs w:val="28"/>
          <w:lang w:eastAsia="ru-RU"/>
        </w:rPr>
        <w:t>синюшні.</w:t>
      </w:r>
      <w:r w:rsidRPr="000A32AD">
        <w:rPr>
          <w:rFonts w:ascii="Times New Roman" w:hAnsi="Times New Roman" w:cs="Times New Roman"/>
          <w:color w:val="000000" w:themeColor="text1"/>
          <w:sz w:val="28"/>
          <w:szCs w:val="28"/>
          <w:lang w:eastAsia="ru-RU"/>
        </w:rPr>
        <w:t xml:space="preserve"> Мікроскопічне дослідження тканини виявило помірне розростання міжканальцевої сполучної тканини. Більшість клубочків мали неправильно-округлу форму, були збережені, повнокровні. До 25% клубочків (5 з 20 у одному полі зору при збільшенні х 56) були склерозовані зі зменшенням діаметру відносно незмінених клубочків – (202,3±3,8) мкм та (</w:t>
      </w:r>
      <w:r w:rsidRPr="000A32AD">
        <w:rPr>
          <w:rFonts w:ascii="Times New Roman" w:hAnsi="Times New Roman" w:cs="Times New Roman"/>
          <w:color w:val="000000" w:themeColor="text1"/>
          <w:sz w:val="28"/>
          <w:szCs w:val="28"/>
        </w:rPr>
        <w:t xml:space="preserve">161,4±5,9) мкм відповідно. Епітелій звитих канальців був збережений, але в клітинах виявлялися ознаки паренхіматозної дистрофії. Строма нирки, переважно </w:t>
      </w:r>
      <w:r w:rsidRPr="000A32AD">
        <w:rPr>
          <w:rFonts w:ascii="Times New Roman" w:hAnsi="Times New Roman" w:cs="Times New Roman"/>
          <w:color w:val="000000" w:themeColor="text1"/>
          <w:sz w:val="28"/>
          <w:szCs w:val="28"/>
        </w:rPr>
        <w:lastRenderedPageBreak/>
        <w:t>міжканальцева, була помірне проліферизована. На фоні розростання міжканальцевої сполучної тканини визначалося рівномірне потовщення стінок артерій з явищами склерозу і гіалінозу. В артеріолах виявлялися набряк, розпушування стінки і осередкове потовщення інтими. Відносний об'єм стромального компоненту нирки складав (31,3±2,1)%, паренхіматозного – (68,7±4,4)% (див. рис. 1 та 2 у додатках).</w:t>
      </w:r>
    </w:p>
    <w:p w:rsidR="005870CC" w:rsidRPr="000A32AD" w:rsidRDefault="005870CC" w:rsidP="005870CC">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У померлих з ЦД 2 типу середнього ступеня тяжкості макроскопічно нирки були овальної форми, синюшного кольору. Фіброзна капсула знімалася легко, але поверхня нирки була помірно горбиста. Маса нирки складала у середньому (275,8±45,4) г. На розрізі межа між кірковим і мозковим шарами була нечіткою, кірковий шар був блідо-сірий, піраміди – блідо-синюшними. Слизова оболонка була синюшна, місцями з ін'єкцією судин. Мікроскопічно відмічалось розростання міжканальцевої сполучної тканини було більш виразним. Кількість клубочків в стані склерозу і гіалінозу збільшилась до 58% (10-12 клубочків з 19 в полі зору при збільшенні х 56) з аналогічним співвідношенням діаметрів незмінених та змінених клубочків – (200,2±3,2) мкм та (160,3±6,1) мкм відповідно. При цьому, епітелій канальців мав виразні ознаки паренхіматозної дистрофії, а у стінці майже всіх артеріол і капілярів, на фоні потовщення базальної мембрани, виявлявся гіаліноз та звуження просвіту. Місцями зустрічалися різко набряклі ендотеліоцити, частина яких десквамована в просвіт судин. На відміну від гістологічної картини нирок хворих на ЦД легкого ступеня стінка артерій середнього калібру була різко потовщена, а вени різко повнокровні. Зросла питома вага стромального компоненту до (40,4±3,3)%, та навпаки зменшився обсяг  паренхіматозного компоненту – до  (59,6±5,8)% (див. рис. 3-4 у додатках).</w:t>
      </w:r>
    </w:p>
    <w:p w:rsidR="005870CC" w:rsidRPr="000A32AD" w:rsidRDefault="005870CC" w:rsidP="005870CC">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У хворих з наявністю прижиттєвих ознак НДСТ на фоні ЦД 2 типу спостерігається погіршення морфологічної картини у порівнянні з хворими з ЦД 2 типу аналогічної тяжкості. </w:t>
      </w:r>
    </w:p>
    <w:p w:rsidR="005870CC" w:rsidRPr="000A32AD" w:rsidRDefault="005870CC" w:rsidP="005870CC">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lastRenderedPageBreak/>
        <w:t>При наявності ЦД 2 типу легкого ступеня нирки також мали овальну форму, гладку поверхню і синюшний колір. Фіброзна капсула знімалась легко. Маса нирки складала (266,9±30,4) г.  Кірковий і мозковий шари диференціювалися нечітко. Кірковий шар був помірне набряклий, піраміди мозкового шару – синюшні. До 25% від загальної кількості клубочків (5 з 20 у одному полі зору при збільшенні х 56) була в стані склерозу і гіалінозу.  Незмінені клубочки мали неправильно-округлу форму і діаметр (189,7±6,2) мкм, а діаметр клубочків  в стані склерозу і гіалінозу, склав – (157,8±6,7) мкм. Епітелій звитих канальців знаходився в стані паренхіматозної дистрофії. Стромальний компонент був значно проліферований, його відносний об'єм складав (38,6±3,1)%. Спостерігалось значне розростання міжканальцевої сполучної тканини. У стінках артерій відзначалися нерівномірне потовщення з явищами склерозу і гіалінозу. У артеріолах виявлено набряк, розпушування стінки і потовщення інтими. Вени мали помірне повнокров'я (див. рис. 5-6 у додатках).</w:t>
      </w:r>
    </w:p>
    <w:p w:rsidR="005870CC" w:rsidRPr="000A32AD" w:rsidRDefault="005870CC" w:rsidP="005870CC">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При ЦД 2 типу середнього ступеня нирки мали мілкобугристу поверхню і синюшний колір. Маса нирки складала (255,5±35,8) г. На розрізі кірковий і мозковий шари диференціювалися нечітко. Кірковий шар був набряклий, мозковий – блідо-синюшний, піраміди відзначалися нечітко. Слизова оболонка була синюшною. Мікроскопічно виявлялося масивне розростання міжканальцевої сполучної тканини. Стінки судин були дифузне потовщені з гіалінозом і звуженням просвіту, а в деяких місцях аж до повної його облітерації.  У артеріях виявлено дифузне потовщення еластичного шару і осередкова проліферація ендотеліоцитів на фоні їх загальної гіпотрофії. В артеріях середнього калібру виявлено різке потовщення інтими, а також розпушування і набряк стінок. Також у стінці артерій відзначався виразний гіаліноз. Клубочки були неправильно-округлої форми, недокрівні. Більшість їх були гіалінізовані (10-12 клубочків з 19 у одному полі зору при збільшенні </w:t>
      </w:r>
      <w:r w:rsidRPr="000A32AD">
        <w:rPr>
          <w:rFonts w:ascii="Times New Roman" w:hAnsi="Times New Roman" w:cs="Times New Roman"/>
          <w:color w:val="000000" w:themeColor="text1"/>
          <w:sz w:val="28"/>
          <w:szCs w:val="28"/>
          <w:lang w:val="uk-UA"/>
        </w:rPr>
        <w:lastRenderedPageBreak/>
        <w:t>х 56). Але навіть у відносно збережених клубочках виявлялося різке потовщення капсули Шумлянського-Боумена і проліферація мезангіальных клітин. Діаметр незмінених клубочків складав (181,1±5,3) мкм, а діаметр клубочків, що знаходяться в стані склерозу і гіалінозу – (158,4±6,9) мкм. Епітеліоцити проксимальних канальців знаходилися в стані виразної дистрофії, а місцями і некрозу. У їх просвітах виявлялися гіалінові циліндри. Відносний об'єм ниркової строми складав (48,4±4,12)%, паренхіми – (51,6±5,09)% (див. рис. 7-10 у додатках).</w:t>
      </w:r>
    </w:p>
    <w:p w:rsidR="005870CC" w:rsidRPr="000A32AD" w:rsidRDefault="005870CC" w:rsidP="005870CC">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Найбільш значимі патоморфологічні </w:t>
      </w:r>
      <w:r w:rsidR="00214999" w:rsidRPr="000A32AD">
        <w:rPr>
          <w:rFonts w:ascii="Times New Roman" w:hAnsi="Times New Roman" w:cs="Times New Roman"/>
          <w:color w:val="000000" w:themeColor="text1"/>
          <w:sz w:val="28"/>
          <w:szCs w:val="28"/>
          <w:lang w:val="uk-UA"/>
        </w:rPr>
        <w:t>зміни нирок наведено у таблиці 4.5</w:t>
      </w:r>
    </w:p>
    <w:p w:rsidR="005870CC" w:rsidRPr="000A32AD" w:rsidRDefault="005870CC" w:rsidP="005870CC">
      <w:pPr>
        <w:spacing w:line="360" w:lineRule="auto"/>
        <w:ind w:firstLine="851"/>
        <w:jc w:val="both"/>
        <w:rPr>
          <w:rFonts w:ascii="Times New Roman" w:hAnsi="Times New Roman" w:cs="Times New Roman"/>
          <w:color w:val="000000" w:themeColor="text1"/>
          <w:sz w:val="28"/>
          <w:szCs w:val="28"/>
          <w:lang w:val="uk-UA"/>
        </w:rPr>
      </w:pPr>
    </w:p>
    <w:p w:rsidR="005870CC" w:rsidRPr="000A32AD" w:rsidRDefault="005870CC" w:rsidP="005870CC">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Таблиця </w:t>
      </w:r>
      <w:r w:rsidR="00214999" w:rsidRPr="000A32AD">
        <w:rPr>
          <w:rFonts w:ascii="Times New Roman" w:hAnsi="Times New Roman" w:cs="Times New Roman"/>
          <w:color w:val="000000" w:themeColor="text1"/>
          <w:sz w:val="28"/>
          <w:szCs w:val="28"/>
          <w:lang w:val="uk-UA"/>
        </w:rPr>
        <w:t>4.5</w:t>
      </w:r>
      <w:r w:rsidRPr="000A32AD">
        <w:rPr>
          <w:rFonts w:ascii="Times New Roman" w:hAnsi="Times New Roman" w:cs="Times New Roman"/>
          <w:color w:val="000000" w:themeColor="text1"/>
          <w:sz w:val="28"/>
          <w:szCs w:val="28"/>
          <w:lang w:val="uk-UA"/>
        </w:rPr>
        <w:t xml:space="preserve"> – Патоморфологічні зміни нирок у померлих з ЦД 2 типу залежно від наявності ознак НДСТ</w:t>
      </w:r>
    </w:p>
    <w:tbl>
      <w:tblPr>
        <w:tblStyle w:val="afa"/>
        <w:tblW w:w="0" w:type="auto"/>
        <w:tblLayout w:type="fixed"/>
        <w:tblLook w:val="04A0" w:firstRow="1" w:lastRow="0" w:firstColumn="1" w:lastColumn="0" w:noHBand="0" w:noVBand="1"/>
      </w:tblPr>
      <w:tblGrid>
        <w:gridCol w:w="2081"/>
        <w:gridCol w:w="1713"/>
        <w:gridCol w:w="1906"/>
        <w:gridCol w:w="2042"/>
        <w:gridCol w:w="2005"/>
      </w:tblGrid>
      <w:tr w:rsidR="005870CC" w:rsidRPr="000A32AD" w:rsidTr="00A131C4">
        <w:tc>
          <w:tcPr>
            <w:tcW w:w="2081" w:type="dxa"/>
            <w:vMerge w:val="restart"/>
          </w:tcPr>
          <w:p w:rsidR="005870CC" w:rsidRPr="000A32AD" w:rsidRDefault="00A51F83"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Патоморфоло</w:t>
            </w:r>
            <w:r w:rsidR="005870CC" w:rsidRPr="000A32AD">
              <w:rPr>
                <w:rFonts w:ascii="Times New Roman" w:hAnsi="Times New Roman" w:cs="Times New Roman"/>
                <w:color w:val="000000" w:themeColor="text1"/>
                <w:sz w:val="28"/>
                <w:szCs w:val="28"/>
                <w:lang w:val="uk-UA"/>
              </w:rPr>
              <w:t>гічна ознака</w:t>
            </w:r>
          </w:p>
        </w:tc>
        <w:tc>
          <w:tcPr>
            <w:tcW w:w="3619" w:type="dxa"/>
            <w:gridSpan w:val="2"/>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ЦД 2 типу легкого ступеня</w:t>
            </w:r>
          </w:p>
        </w:tc>
        <w:tc>
          <w:tcPr>
            <w:tcW w:w="4047" w:type="dxa"/>
            <w:gridSpan w:val="2"/>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ЦД 2 типу середнього ступеня</w:t>
            </w:r>
          </w:p>
        </w:tc>
      </w:tr>
      <w:tr w:rsidR="005870CC" w:rsidRPr="000A32AD" w:rsidTr="00A131C4">
        <w:tc>
          <w:tcPr>
            <w:tcW w:w="2081" w:type="dxa"/>
            <w:vMerge/>
          </w:tcPr>
          <w:p w:rsidR="005870CC" w:rsidRPr="000A32AD" w:rsidRDefault="005870CC" w:rsidP="00A35E42">
            <w:pPr>
              <w:spacing w:before="60" w:after="60"/>
              <w:jc w:val="both"/>
              <w:rPr>
                <w:rFonts w:ascii="Times New Roman" w:hAnsi="Times New Roman" w:cs="Times New Roman"/>
                <w:color w:val="000000" w:themeColor="text1"/>
                <w:sz w:val="28"/>
                <w:szCs w:val="28"/>
                <w:lang w:val="uk-UA"/>
              </w:rPr>
            </w:pPr>
          </w:p>
        </w:tc>
        <w:tc>
          <w:tcPr>
            <w:tcW w:w="1713"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без НДСТ</w:t>
            </w:r>
          </w:p>
        </w:tc>
        <w:tc>
          <w:tcPr>
            <w:tcW w:w="1906"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 НДСТ</w:t>
            </w:r>
          </w:p>
        </w:tc>
        <w:tc>
          <w:tcPr>
            <w:tcW w:w="2042"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без НДСТ</w:t>
            </w:r>
          </w:p>
        </w:tc>
        <w:tc>
          <w:tcPr>
            <w:tcW w:w="2005"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 НДСТ</w:t>
            </w:r>
          </w:p>
        </w:tc>
      </w:tr>
      <w:tr w:rsidR="005870CC" w:rsidRPr="000A32AD" w:rsidTr="00A131C4">
        <w:tc>
          <w:tcPr>
            <w:tcW w:w="2081" w:type="dxa"/>
            <w:vAlign w:val="center"/>
          </w:tcPr>
          <w:p w:rsidR="005870CC" w:rsidRPr="000A32AD" w:rsidRDefault="005870CC" w:rsidP="00A35E42">
            <w:pPr>
              <w:spacing w:before="60" w:after="60"/>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Маса нирок, г</w:t>
            </w:r>
          </w:p>
        </w:tc>
        <w:tc>
          <w:tcPr>
            <w:tcW w:w="1713"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rPr>
              <w:t>280,5±43,2</w:t>
            </w:r>
          </w:p>
        </w:tc>
        <w:tc>
          <w:tcPr>
            <w:tcW w:w="1906"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266,9±30,4</w:t>
            </w:r>
          </w:p>
        </w:tc>
        <w:tc>
          <w:tcPr>
            <w:tcW w:w="2042"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275,8±45,4</w:t>
            </w:r>
          </w:p>
        </w:tc>
        <w:tc>
          <w:tcPr>
            <w:tcW w:w="2005"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255,5±35,8</w:t>
            </w:r>
          </w:p>
        </w:tc>
      </w:tr>
      <w:tr w:rsidR="005870CC" w:rsidRPr="000A32AD" w:rsidTr="00A131C4">
        <w:tc>
          <w:tcPr>
            <w:tcW w:w="2081" w:type="dxa"/>
            <w:vAlign w:val="center"/>
          </w:tcPr>
          <w:p w:rsidR="005870CC" w:rsidRPr="000A32AD" w:rsidRDefault="005870CC" w:rsidP="00A35E42">
            <w:pPr>
              <w:spacing w:before="60" w:after="60"/>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Поверхня нирок</w:t>
            </w:r>
          </w:p>
        </w:tc>
        <w:tc>
          <w:tcPr>
            <w:tcW w:w="1713"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гладка</w:t>
            </w:r>
          </w:p>
        </w:tc>
        <w:tc>
          <w:tcPr>
            <w:tcW w:w="1906"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помірно горбиста</w:t>
            </w:r>
          </w:p>
        </w:tc>
        <w:tc>
          <w:tcPr>
            <w:tcW w:w="2042"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гладка</w:t>
            </w:r>
          </w:p>
        </w:tc>
        <w:tc>
          <w:tcPr>
            <w:tcW w:w="2005"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мілко</w:t>
            </w:r>
            <w:r w:rsidRPr="000A32AD">
              <w:rPr>
                <w:rFonts w:ascii="Times New Roman" w:hAnsi="Times New Roman" w:cs="Times New Roman"/>
                <w:color w:val="000000" w:themeColor="text1"/>
                <w:sz w:val="28"/>
                <w:szCs w:val="28"/>
                <w:lang w:val="uk-UA"/>
              </w:rPr>
              <w:softHyphen/>
              <w:t>бугриста</w:t>
            </w:r>
          </w:p>
        </w:tc>
      </w:tr>
      <w:tr w:rsidR="005870CC" w:rsidRPr="000A32AD" w:rsidTr="00A131C4">
        <w:tc>
          <w:tcPr>
            <w:tcW w:w="2081" w:type="dxa"/>
            <w:vAlign w:val="center"/>
          </w:tcPr>
          <w:p w:rsidR="005870CC" w:rsidRPr="000A32AD" w:rsidRDefault="005870CC" w:rsidP="00A35E42">
            <w:pPr>
              <w:spacing w:before="60" w:after="60"/>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Склероз/ гіаліноз клубочків, %</w:t>
            </w:r>
          </w:p>
        </w:tc>
        <w:tc>
          <w:tcPr>
            <w:tcW w:w="1713"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25</w:t>
            </w:r>
          </w:p>
        </w:tc>
        <w:tc>
          <w:tcPr>
            <w:tcW w:w="1906"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58</w:t>
            </w:r>
          </w:p>
        </w:tc>
        <w:tc>
          <w:tcPr>
            <w:tcW w:w="2042"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25</w:t>
            </w:r>
          </w:p>
        </w:tc>
        <w:tc>
          <w:tcPr>
            <w:tcW w:w="2005"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61</w:t>
            </w:r>
          </w:p>
        </w:tc>
      </w:tr>
      <w:tr w:rsidR="005870CC" w:rsidRPr="000A32AD" w:rsidTr="00A131C4">
        <w:tc>
          <w:tcPr>
            <w:tcW w:w="2081" w:type="dxa"/>
            <w:vAlign w:val="center"/>
          </w:tcPr>
          <w:p w:rsidR="005870CC" w:rsidRPr="000A32AD" w:rsidRDefault="005870CC" w:rsidP="00A35E42">
            <w:pPr>
              <w:spacing w:before="60" w:after="60"/>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Діаметр незмінених клубочків, мкм</w:t>
            </w:r>
          </w:p>
        </w:tc>
        <w:tc>
          <w:tcPr>
            <w:tcW w:w="1713"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rPr>
              <w:t>202,3±3,8</w:t>
            </w:r>
          </w:p>
        </w:tc>
        <w:tc>
          <w:tcPr>
            <w:tcW w:w="1906"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189,7±6,2</w:t>
            </w:r>
            <w:r w:rsidRPr="000A32AD">
              <w:rPr>
                <w:rFonts w:ascii="Times New Roman" w:hAnsi="Times New Roman" w:cs="Times New Roman"/>
                <w:color w:val="000000" w:themeColor="text1"/>
                <w:sz w:val="28"/>
                <w:szCs w:val="28"/>
                <w:vertAlign w:val="superscript"/>
                <w:lang w:val="uk-UA"/>
              </w:rPr>
              <w:t>1</w:t>
            </w:r>
          </w:p>
        </w:tc>
        <w:tc>
          <w:tcPr>
            <w:tcW w:w="2042"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200,2±3,2</w:t>
            </w:r>
          </w:p>
        </w:tc>
        <w:tc>
          <w:tcPr>
            <w:tcW w:w="2005"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181,1±5,3</w:t>
            </w:r>
            <w:r w:rsidRPr="000A32AD">
              <w:rPr>
                <w:rFonts w:ascii="Times New Roman" w:hAnsi="Times New Roman" w:cs="Times New Roman"/>
                <w:color w:val="000000" w:themeColor="text1"/>
                <w:sz w:val="28"/>
                <w:szCs w:val="28"/>
                <w:vertAlign w:val="superscript"/>
                <w:lang w:val="uk-UA"/>
              </w:rPr>
              <w:t>1,2</w:t>
            </w:r>
          </w:p>
        </w:tc>
      </w:tr>
      <w:tr w:rsidR="00A131C4" w:rsidRPr="000A32AD" w:rsidTr="00A131C4">
        <w:tc>
          <w:tcPr>
            <w:tcW w:w="2081" w:type="dxa"/>
            <w:vAlign w:val="center"/>
          </w:tcPr>
          <w:p w:rsidR="00A131C4" w:rsidRPr="000A32AD" w:rsidRDefault="00A131C4" w:rsidP="00A131C4">
            <w:pPr>
              <w:spacing w:before="60" w:after="60"/>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Діаметр змінених клубочків, мкм</w:t>
            </w:r>
          </w:p>
        </w:tc>
        <w:tc>
          <w:tcPr>
            <w:tcW w:w="1713" w:type="dxa"/>
            <w:vAlign w:val="center"/>
          </w:tcPr>
          <w:p w:rsidR="00A131C4" w:rsidRPr="000A32AD" w:rsidRDefault="00A131C4" w:rsidP="00A131C4">
            <w:pPr>
              <w:spacing w:before="60" w:after="60"/>
              <w:jc w:val="center"/>
              <w:rPr>
                <w:rFonts w:ascii="Times New Roman" w:hAnsi="Times New Roman" w:cs="Times New Roman"/>
                <w:color w:val="000000" w:themeColor="text1"/>
                <w:sz w:val="28"/>
                <w:szCs w:val="28"/>
              </w:rPr>
            </w:pPr>
            <w:r w:rsidRPr="000A32AD">
              <w:rPr>
                <w:rFonts w:ascii="Times New Roman" w:hAnsi="Times New Roman" w:cs="Times New Roman"/>
                <w:color w:val="000000" w:themeColor="text1"/>
                <w:sz w:val="28"/>
                <w:szCs w:val="28"/>
              </w:rPr>
              <w:t>161,4±5,9</w:t>
            </w:r>
          </w:p>
        </w:tc>
        <w:tc>
          <w:tcPr>
            <w:tcW w:w="1906" w:type="dxa"/>
            <w:vAlign w:val="center"/>
          </w:tcPr>
          <w:p w:rsidR="00A131C4" w:rsidRPr="000A32AD" w:rsidRDefault="00A131C4" w:rsidP="00A131C4">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157,8±6,7</w:t>
            </w:r>
          </w:p>
        </w:tc>
        <w:tc>
          <w:tcPr>
            <w:tcW w:w="2042" w:type="dxa"/>
            <w:vAlign w:val="center"/>
          </w:tcPr>
          <w:p w:rsidR="00A131C4" w:rsidRPr="000A32AD" w:rsidRDefault="00A131C4" w:rsidP="00A131C4">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160,3±6,1</w:t>
            </w:r>
          </w:p>
        </w:tc>
        <w:tc>
          <w:tcPr>
            <w:tcW w:w="2005" w:type="dxa"/>
            <w:vAlign w:val="center"/>
          </w:tcPr>
          <w:p w:rsidR="00A131C4" w:rsidRPr="000A32AD" w:rsidRDefault="00A131C4" w:rsidP="00A131C4">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158,4±6,9</w:t>
            </w:r>
          </w:p>
        </w:tc>
      </w:tr>
      <w:tr w:rsidR="00A131C4" w:rsidRPr="000A32AD" w:rsidTr="00821A3F">
        <w:trPr>
          <w:trHeight w:val="2204"/>
        </w:trPr>
        <w:tc>
          <w:tcPr>
            <w:tcW w:w="2081" w:type="dxa"/>
            <w:vAlign w:val="center"/>
          </w:tcPr>
          <w:p w:rsidR="00B27ADD" w:rsidRDefault="00A131C4" w:rsidP="00A131C4">
            <w:pPr>
              <w:spacing w:before="60" w:after="60"/>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Відносний об'єм стромального </w:t>
            </w:r>
          </w:p>
          <w:p w:rsidR="00A131C4" w:rsidRPr="000A32AD" w:rsidRDefault="00A131C4" w:rsidP="00A131C4">
            <w:pPr>
              <w:spacing w:before="60" w:after="60"/>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компоненту, %</w:t>
            </w:r>
          </w:p>
        </w:tc>
        <w:tc>
          <w:tcPr>
            <w:tcW w:w="1713" w:type="dxa"/>
            <w:vAlign w:val="center"/>
          </w:tcPr>
          <w:p w:rsidR="00A131C4" w:rsidRPr="000A32AD" w:rsidRDefault="00A131C4" w:rsidP="00A131C4">
            <w:pPr>
              <w:spacing w:before="60" w:after="60"/>
              <w:jc w:val="center"/>
              <w:rPr>
                <w:rFonts w:ascii="Times New Roman" w:hAnsi="Times New Roman" w:cs="Times New Roman"/>
                <w:color w:val="000000" w:themeColor="text1"/>
                <w:sz w:val="28"/>
                <w:szCs w:val="28"/>
              </w:rPr>
            </w:pPr>
            <w:r w:rsidRPr="000A32AD">
              <w:rPr>
                <w:rFonts w:ascii="Times New Roman" w:hAnsi="Times New Roman" w:cs="Times New Roman"/>
                <w:color w:val="000000" w:themeColor="text1"/>
                <w:sz w:val="28"/>
                <w:szCs w:val="28"/>
                <w:lang w:val="uk-UA"/>
              </w:rPr>
              <w:t>31,3±2,1</w:t>
            </w:r>
          </w:p>
        </w:tc>
        <w:tc>
          <w:tcPr>
            <w:tcW w:w="1906" w:type="dxa"/>
            <w:vAlign w:val="center"/>
          </w:tcPr>
          <w:p w:rsidR="00A131C4" w:rsidRPr="000A32AD" w:rsidRDefault="00A131C4" w:rsidP="00A131C4">
            <w:pPr>
              <w:spacing w:before="60" w:after="60"/>
              <w:jc w:val="center"/>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38,6±3,1</w:t>
            </w:r>
            <w:r w:rsidRPr="000A32AD">
              <w:rPr>
                <w:rFonts w:ascii="Times New Roman" w:hAnsi="Times New Roman" w:cs="Times New Roman"/>
                <w:color w:val="000000" w:themeColor="text1"/>
                <w:sz w:val="28"/>
                <w:szCs w:val="28"/>
                <w:vertAlign w:val="superscript"/>
                <w:lang w:val="uk-UA"/>
              </w:rPr>
              <w:t>1</w:t>
            </w:r>
          </w:p>
        </w:tc>
        <w:tc>
          <w:tcPr>
            <w:tcW w:w="2042" w:type="dxa"/>
            <w:vAlign w:val="center"/>
          </w:tcPr>
          <w:p w:rsidR="00A131C4" w:rsidRPr="000A32AD" w:rsidRDefault="00A131C4" w:rsidP="00A131C4">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40,4±3,3</w:t>
            </w:r>
          </w:p>
        </w:tc>
        <w:tc>
          <w:tcPr>
            <w:tcW w:w="2005" w:type="dxa"/>
            <w:vAlign w:val="center"/>
          </w:tcPr>
          <w:p w:rsidR="00A131C4" w:rsidRPr="000A32AD" w:rsidRDefault="00A131C4" w:rsidP="00A131C4">
            <w:pPr>
              <w:spacing w:before="60" w:after="60"/>
              <w:jc w:val="center"/>
              <w:rPr>
                <w:rFonts w:ascii="Times New Roman" w:hAnsi="Times New Roman" w:cs="Times New Roman"/>
                <w:color w:val="000000" w:themeColor="text1"/>
                <w:sz w:val="28"/>
                <w:szCs w:val="28"/>
                <w:vertAlign w:val="superscript"/>
                <w:lang w:val="uk-UA"/>
              </w:rPr>
            </w:pPr>
            <w:r w:rsidRPr="000A32AD">
              <w:rPr>
                <w:rFonts w:ascii="Times New Roman" w:hAnsi="Times New Roman" w:cs="Times New Roman"/>
                <w:color w:val="000000" w:themeColor="text1"/>
                <w:sz w:val="28"/>
                <w:szCs w:val="28"/>
                <w:lang w:val="uk-UA"/>
              </w:rPr>
              <w:t>48,4±4,12</w:t>
            </w:r>
            <w:r w:rsidRPr="000A32AD">
              <w:rPr>
                <w:rFonts w:ascii="Times New Roman" w:hAnsi="Times New Roman" w:cs="Times New Roman"/>
                <w:color w:val="000000" w:themeColor="text1"/>
                <w:sz w:val="28"/>
                <w:szCs w:val="28"/>
                <w:vertAlign w:val="superscript"/>
                <w:lang w:val="uk-UA"/>
              </w:rPr>
              <w:t>1,2</w:t>
            </w:r>
          </w:p>
        </w:tc>
      </w:tr>
      <w:tr w:rsidR="00A131C4" w:rsidRPr="000A32AD" w:rsidTr="00A131C4">
        <w:tc>
          <w:tcPr>
            <w:tcW w:w="2081" w:type="dxa"/>
            <w:vAlign w:val="center"/>
          </w:tcPr>
          <w:p w:rsidR="00A131C4" w:rsidRPr="000A32AD" w:rsidRDefault="00A131C4" w:rsidP="00A131C4">
            <w:pPr>
              <w:spacing w:before="60" w:after="60"/>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lastRenderedPageBreak/>
              <w:t>Розростання міжканальцевої сполучної тканини</w:t>
            </w:r>
          </w:p>
        </w:tc>
        <w:tc>
          <w:tcPr>
            <w:tcW w:w="1713" w:type="dxa"/>
            <w:vAlign w:val="center"/>
          </w:tcPr>
          <w:p w:rsidR="00A131C4" w:rsidRPr="000A32AD" w:rsidRDefault="00A131C4" w:rsidP="00A131C4">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помірне</w:t>
            </w:r>
          </w:p>
        </w:tc>
        <w:tc>
          <w:tcPr>
            <w:tcW w:w="1906" w:type="dxa"/>
            <w:vAlign w:val="center"/>
          </w:tcPr>
          <w:p w:rsidR="00A131C4" w:rsidRPr="000A32AD" w:rsidRDefault="00A131C4" w:rsidP="00A131C4">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значне</w:t>
            </w:r>
          </w:p>
        </w:tc>
        <w:tc>
          <w:tcPr>
            <w:tcW w:w="2042" w:type="dxa"/>
            <w:vAlign w:val="center"/>
          </w:tcPr>
          <w:p w:rsidR="00A131C4" w:rsidRPr="000A32AD" w:rsidRDefault="00A131C4" w:rsidP="00A131C4">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виразне</w:t>
            </w:r>
          </w:p>
        </w:tc>
        <w:tc>
          <w:tcPr>
            <w:tcW w:w="2005" w:type="dxa"/>
            <w:vAlign w:val="center"/>
          </w:tcPr>
          <w:p w:rsidR="00A131C4" w:rsidRDefault="00A131C4" w:rsidP="00A131C4">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масивне</w:t>
            </w:r>
          </w:p>
          <w:p w:rsidR="00821A3F" w:rsidRPr="000A32AD" w:rsidRDefault="00821A3F" w:rsidP="00A131C4">
            <w:pPr>
              <w:spacing w:before="60" w:after="60"/>
              <w:jc w:val="center"/>
              <w:rPr>
                <w:rFonts w:ascii="Times New Roman" w:hAnsi="Times New Roman" w:cs="Times New Roman"/>
                <w:color w:val="000000" w:themeColor="text1"/>
                <w:sz w:val="28"/>
                <w:szCs w:val="28"/>
                <w:lang w:val="uk-UA"/>
              </w:rPr>
            </w:pPr>
          </w:p>
        </w:tc>
      </w:tr>
      <w:tr w:rsidR="005870CC" w:rsidRPr="000A32AD" w:rsidTr="00A131C4">
        <w:tc>
          <w:tcPr>
            <w:tcW w:w="2081" w:type="dxa"/>
            <w:shd w:val="clear" w:color="auto" w:fill="auto"/>
            <w:vAlign w:val="center"/>
          </w:tcPr>
          <w:p w:rsidR="005870CC" w:rsidRPr="000A32AD" w:rsidRDefault="005870CC" w:rsidP="00A35E42">
            <w:pPr>
              <w:spacing w:before="60" w:after="60"/>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rPr>
              <w:t>Епітелій звитих канальців</w:t>
            </w:r>
          </w:p>
        </w:tc>
        <w:tc>
          <w:tcPr>
            <w:tcW w:w="1713" w:type="dxa"/>
            <w:shd w:val="clear" w:color="auto" w:fill="auto"/>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rPr>
              <w:t>збережений</w:t>
            </w:r>
            <w:r w:rsidRPr="000A32AD">
              <w:rPr>
                <w:rFonts w:ascii="Times New Roman" w:hAnsi="Times New Roman" w:cs="Times New Roman"/>
                <w:color w:val="000000" w:themeColor="text1"/>
                <w:sz w:val="28"/>
                <w:szCs w:val="28"/>
                <w:lang w:val="uk-UA"/>
              </w:rPr>
              <w:t xml:space="preserve">, з ознаками </w:t>
            </w:r>
            <w:r w:rsidRPr="000A32AD">
              <w:rPr>
                <w:rFonts w:ascii="Times New Roman" w:hAnsi="Times New Roman" w:cs="Times New Roman"/>
                <w:color w:val="000000" w:themeColor="text1"/>
                <w:sz w:val="28"/>
                <w:szCs w:val="28"/>
              </w:rPr>
              <w:t>паренхіматозної дистрофії</w:t>
            </w:r>
          </w:p>
        </w:tc>
        <w:tc>
          <w:tcPr>
            <w:tcW w:w="1906" w:type="dxa"/>
            <w:shd w:val="clear" w:color="auto" w:fill="auto"/>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паренхіматозна дистрофії</w:t>
            </w:r>
          </w:p>
        </w:tc>
        <w:tc>
          <w:tcPr>
            <w:tcW w:w="2042" w:type="dxa"/>
            <w:shd w:val="clear" w:color="auto" w:fill="auto"/>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Помірно виразні ознаки паренхіматозної дистрофії</w:t>
            </w:r>
          </w:p>
        </w:tc>
        <w:tc>
          <w:tcPr>
            <w:tcW w:w="2005" w:type="dxa"/>
            <w:shd w:val="clear" w:color="auto" w:fill="auto"/>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w:t>
            </w:r>
            <w:r w:rsidR="00821A3F">
              <w:rPr>
                <w:rFonts w:ascii="Times New Roman" w:hAnsi="Times New Roman" w:cs="Times New Roman"/>
                <w:color w:val="000000" w:themeColor="text1"/>
                <w:sz w:val="28"/>
                <w:szCs w:val="28"/>
                <w:lang w:val="uk-UA"/>
              </w:rPr>
              <w:t xml:space="preserve"> стані значної виразної паренхі</w:t>
            </w:r>
            <w:r w:rsidRPr="000A32AD">
              <w:rPr>
                <w:rFonts w:ascii="Times New Roman" w:hAnsi="Times New Roman" w:cs="Times New Roman"/>
                <w:color w:val="000000" w:themeColor="text1"/>
                <w:sz w:val="28"/>
                <w:szCs w:val="28"/>
                <w:lang w:val="uk-UA"/>
              </w:rPr>
              <w:t>матозної дистрофії</w:t>
            </w:r>
          </w:p>
        </w:tc>
      </w:tr>
      <w:tr w:rsidR="005870CC" w:rsidRPr="000A32AD" w:rsidTr="00A131C4">
        <w:tc>
          <w:tcPr>
            <w:tcW w:w="2081" w:type="dxa"/>
            <w:shd w:val="clear" w:color="auto" w:fill="auto"/>
            <w:vAlign w:val="center"/>
          </w:tcPr>
          <w:p w:rsidR="005870CC" w:rsidRPr="000A32AD" w:rsidRDefault="005870CC" w:rsidP="00A35E42">
            <w:pPr>
              <w:spacing w:before="60" w:after="60"/>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Епітеліоцити проксимальних канальців</w:t>
            </w:r>
          </w:p>
        </w:tc>
        <w:tc>
          <w:tcPr>
            <w:tcW w:w="1713" w:type="dxa"/>
            <w:shd w:val="clear" w:color="auto" w:fill="auto"/>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збережений, з ознаками білкової дистрофії, в просвіті зустріча</w:t>
            </w:r>
            <w:r w:rsidRPr="000A32AD">
              <w:rPr>
                <w:rFonts w:ascii="Times New Roman" w:hAnsi="Times New Roman" w:cs="Times New Roman"/>
                <w:color w:val="000000" w:themeColor="text1"/>
                <w:sz w:val="28"/>
                <w:szCs w:val="28"/>
                <w:lang w:val="uk-UA"/>
              </w:rPr>
              <w:softHyphen/>
              <w:t>ються гіалінові циліндри</w:t>
            </w:r>
          </w:p>
        </w:tc>
        <w:tc>
          <w:tcPr>
            <w:tcW w:w="1906" w:type="dxa"/>
            <w:shd w:val="clear" w:color="auto" w:fill="auto"/>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В стані помірної білкової дистрофії, </w:t>
            </w:r>
          </w:p>
        </w:tc>
        <w:tc>
          <w:tcPr>
            <w:tcW w:w="2042" w:type="dxa"/>
            <w:shd w:val="clear" w:color="auto" w:fill="auto"/>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 стані вакуольної дистрофії, а місцями і некрозу</w:t>
            </w:r>
          </w:p>
        </w:tc>
        <w:tc>
          <w:tcPr>
            <w:tcW w:w="2005" w:type="dxa"/>
            <w:shd w:val="clear" w:color="auto" w:fill="auto"/>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в стані виразної білкової дистрофії та некрозу, </w:t>
            </w:r>
          </w:p>
        </w:tc>
      </w:tr>
      <w:tr w:rsidR="005870CC" w:rsidRPr="00B27ADD" w:rsidTr="00A131C4">
        <w:tc>
          <w:tcPr>
            <w:tcW w:w="2081" w:type="dxa"/>
            <w:shd w:val="clear" w:color="auto" w:fill="auto"/>
            <w:vAlign w:val="center"/>
          </w:tcPr>
          <w:p w:rsidR="005870CC" w:rsidRPr="000A32AD" w:rsidRDefault="005870CC" w:rsidP="00A35E42">
            <w:pPr>
              <w:spacing w:before="60" w:after="60"/>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Стінки артерій </w:t>
            </w:r>
          </w:p>
        </w:tc>
        <w:tc>
          <w:tcPr>
            <w:tcW w:w="1713" w:type="dxa"/>
            <w:shd w:val="clear" w:color="auto" w:fill="auto"/>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рівномірне потовщення з явищами склерозу і гіалінозу</w:t>
            </w:r>
          </w:p>
        </w:tc>
        <w:tc>
          <w:tcPr>
            <w:tcW w:w="1906" w:type="dxa"/>
            <w:shd w:val="clear" w:color="auto" w:fill="auto"/>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нерівномірне потовщення з явищами склерозу і гіалінозу</w:t>
            </w:r>
          </w:p>
        </w:tc>
        <w:tc>
          <w:tcPr>
            <w:tcW w:w="2042" w:type="dxa"/>
            <w:shd w:val="clear" w:color="auto" w:fill="auto"/>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різко потовщена, гіаліноз та звуження просвіту</w:t>
            </w:r>
          </w:p>
        </w:tc>
        <w:tc>
          <w:tcPr>
            <w:tcW w:w="2005" w:type="dxa"/>
            <w:shd w:val="clear" w:color="auto" w:fill="auto"/>
            <w:vAlign w:val="center"/>
          </w:tcPr>
          <w:p w:rsidR="005870CC" w:rsidRPr="000A32AD" w:rsidRDefault="00821A3F" w:rsidP="00A35E42">
            <w:pPr>
              <w:spacing w:before="60" w:after="6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різке потовщення інтими, розпушу</w:t>
            </w:r>
            <w:r w:rsidR="005870CC" w:rsidRPr="000A32AD">
              <w:rPr>
                <w:rFonts w:ascii="Times New Roman" w:hAnsi="Times New Roman" w:cs="Times New Roman"/>
                <w:color w:val="000000" w:themeColor="text1"/>
                <w:sz w:val="28"/>
                <w:szCs w:val="28"/>
                <w:lang w:val="uk-UA"/>
              </w:rPr>
              <w:t xml:space="preserve">вання і набряк, виразний гіаліноз </w:t>
            </w:r>
          </w:p>
        </w:tc>
      </w:tr>
    </w:tbl>
    <w:p w:rsidR="005870CC" w:rsidRPr="000A32AD" w:rsidRDefault="005870CC" w:rsidP="005870CC">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Примітки. 1 – різниця достовірна у порівнянні з хворими без НДСТ за критерієм Стьюдента. 2 – різниця достовірна у порівнянні з ЦД 2 типу легкого ступеня за критерієм Стьюдента</w:t>
      </w:r>
    </w:p>
    <w:p w:rsidR="005870CC" w:rsidRPr="000A32AD" w:rsidRDefault="005870CC" w:rsidP="005870CC">
      <w:pPr>
        <w:spacing w:line="360" w:lineRule="auto"/>
        <w:ind w:firstLine="851"/>
        <w:jc w:val="both"/>
        <w:rPr>
          <w:rFonts w:ascii="Times New Roman" w:hAnsi="Times New Roman" w:cs="Times New Roman"/>
          <w:color w:val="000000" w:themeColor="text1"/>
          <w:sz w:val="28"/>
          <w:szCs w:val="28"/>
          <w:lang w:val="uk-UA"/>
        </w:rPr>
      </w:pPr>
    </w:p>
    <w:p w:rsidR="005870CC" w:rsidRPr="000A32AD" w:rsidRDefault="005870CC" w:rsidP="005870CC">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Таким чином, узагальнюючи результати патоморфологічних досліджень (макро- та мікроскопічних) можна стверджувати, що з прогресуванням ЦД 2 типу від легкого до середнього ступеня спостерігається прогресуюча дистрофія функціональної паренхіми нирок, а при поєднанні ЦД 2 типу з НДСТ до цих процесів додається більш значні процеси склерозування не тільки функціонуючої паренхіми нирок, але й значні ознаки розростання стромальної </w:t>
      </w:r>
      <w:r w:rsidRPr="000A32AD">
        <w:rPr>
          <w:rFonts w:ascii="Times New Roman" w:hAnsi="Times New Roman" w:cs="Times New Roman"/>
          <w:color w:val="000000" w:themeColor="text1"/>
          <w:sz w:val="28"/>
          <w:szCs w:val="28"/>
          <w:lang w:val="uk-UA"/>
        </w:rPr>
        <w:lastRenderedPageBreak/>
        <w:t>тканини (значне та масивне) з достовірним збільшенням відносного об’єму стромального компоненту.</w:t>
      </w:r>
    </w:p>
    <w:p w:rsidR="005870CC" w:rsidRPr="000A32AD" w:rsidRDefault="005870CC" w:rsidP="005870CC">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Для поглибленого вивчення ролі порушень метаболізму сполучної тканини було виконано імуногістохімічне дослідження із застосуванням моноклональних антитіл до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lang w:val="uk-UA"/>
        </w:rPr>
        <w:t xml:space="preserve"> типу (табл.</w:t>
      </w:r>
      <w:r w:rsidR="00214999" w:rsidRPr="000A32AD">
        <w:rPr>
          <w:rFonts w:ascii="Times New Roman" w:hAnsi="Times New Roman" w:cs="Times New Roman"/>
          <w:color w:val="000000" w:themeColor="text1"/>
          <w:sz w:val="28"/>
          <w:szCs w:val="28"/>
          <w:lang w:val="uk-UA"/>
        </w:rPr>
        <w:t xml:space="preserve"> 4.6.</w:t>
      </w:r>
      <w:r w:rsidRPr="000A32AD">
        <w:rPr>
          <w:rFonts w:ascii="Times New Roman" w:hAnsi="Times New Roman" w:cs="Times New Roman"/>
          <w:color w:val="000000" w:themeColor="text1"/>
          <w:sz w:val="28"/>
          <w:szCs w:val="28"/>
          <w:lang w:val="uk-UA"/>
        </w:rPr>
        <w:t>).</w:t>
      </w:r>
    </w:p>
    <w:p w:rsidR="005870CC" w:rsidRPr="000A32AD" w:rsidRDefault="00214999" w:rsidP="0063251A">
      <w:pPr>
        <w:spacing w:line="360" w:lineRule="auto"/>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Таблиця 4.6</w:t>
      </w:r>
      <w:r w:rsidR="005870CC" w:rsidRPr="000A32AD">
        <w:rPr>
          <w:rFonts w:ascii="Times New Roman" w:hAnsi="Times New Roman" w:cs="Times New Roman"/>
          <w:color w:val="000000" w:themeColor="text1"/>
          <w:sz w:val="28"/>
          <w:szCs w:val="28"/>
          <w:lang w:val="uk-UA"/>
        </w:rPr>
        <w:t xml:space="preserve"> – Ступінь експресії колагену </w:t>
      </w:r>
      <w:r w:rsidR="005870CC" w:rsidRPr="000A32AD">
        <w:rPr>
          <w:rFonts w:ascii="Times New Roman" w:hAnsi="Times New Roman" w:cs="Times New Roman"/>
          <w:color w:val="000000" w:themeColor="text1"/>
          <w:sz w:val="28"/>
          <w:szCs w:val="28"/>
          <w:lang w:val="en-US"/>
        </w:rPr>
        <w:t>IV</w:t>
      </w:r>
      <w:r w:rsidR="005870CC" w:rsidRPr="000A32AD">
        <w:rPr>
          <w:rFonts w:ascii="Times New Roman" w:hAnsi="Times New Roman" w:cs="Times New Roman"/>
          <w:color w:val="000000" w:themeColor="text1"/>
          <w:sz w:val="28"/>
          <w:szCs w:val="28"/>
          <w:lang w:val="uk-UA"/>
        </w:rPr>
        <w:t xml:space="preserve"> типу в досліджених нирках, </w:t>
      </w:r>
      <w:r w:rsidR="005870CC" w:rsidRPr="000A32AD">
        <w:rPr>
          <w:rFonts w:ascii="Times New Roman" w:hAnsi="Times New Roman" w:cs="Times New Roman"/>
          <w:color w:val="000000" w:themeColor="text1"/>
          <w:sz w:val="28"/>
          <w:szCs w:val="28"/>
          <w:lang w:val="en-US"/>
        </w:rPr>
        <w:t>n</w:t>
      </w:r>
      <w:r w:rsidR="005870CC" w:rsidRPr="000A32AD">
        <w:rPr>
          <w:rFonts w:ascii="Times New Roman" w:hAnsi="Times New Roman" w:cs="Times New Roman"/>
          <w:color w:val="000000" w:themeColor="text1"/>
          <w:sz w:val="28"/>
          <w:szCs w:val="28"/>
          <w:lang w:val="uk-UA"/>
        </w:rPr>
        <w:t xml:space="preserve"> (%</w:t>
      </w:r>
      <w:r w:rsidR="005870CC" w:rsidRPr="000A32AD">
        <w:rPr>
          <w:rFonts w:ascii="Times New Roman" w:hAnsi="Times New Roman" w:cs="Times New Roman"/>
          <w:color w:val="000000" w:themeColor="text1"/>
          <w:sz w:val="28"/>
          <w:szCs w:val="28"/>
        </w:rPr>
        <w:t>)</w:t>
      </w:r>
      <w:r w:rsidR="005870CC" w:rsidRPr="000A32AD">
        <w:rPr>
          <w:rFonts w:ascii="Times New Roman" w:hAnsi="Times New Roman" w:cs="Times New Roman"/>
          <w:color w:val="000000" w:themeColor="text1"/>
          <w:sz w:val="28"/>
          <w:szCs w:val="28"/>
          <w:lang w:val="uk-UA"/>
        </w:rPr>
        <w:t xml:space="preserve"> </w:t>
      </w:r>
    </w:p>
    <w:p w:rsidR="005870CC" w:rsidRPr="000A32AD" w:rsidRDefault="005870CC" w:rsidP="0063251A">
      <w:pPr>
        <w:spacing w:line="360" w:lineRule="auto"/>
        <w:jc w:val="both"/>
        <w:rPr>
          <w:rFonts w:ascii="Times New Roman" w:hAnsi="Times New Roman" w:cs="Times New Roman"/>
          <w:color w:val="000000" w:themeColor="text1"/>
          <w:sz w:val="28"/>
          <w:szCs w:val="28"/>
          <w:lang w:val="uk-UA"/>
        </w:rPr>
      </w:pPr>
    </w:p>
    <w:tbl>
      <w:tblPr>
        <w:tblStyle w:val="afa"/>
        <w:tblW w:w="0" w:type="auto"/>
        <w:tblLayout w:type="fixed"/>
        <w:tblLook w:val="04A0" w:firstRow="1" w:lastRow="0" w:firstColumn="1" w:lastColumn="0" w:noHBand="0" w:noVBand="1"/>
      </w:tblPr>
      <w:tblGrid>
        <w:gridCol w:w="2660"/>
        <w:gridCol w:w="1727"/>
        <w:gridCol w:w="1728"/>
        <w:gridCol w:w="1728"/>
        <w:gridCol w:w="1728"/>
      </w:tblGrid>
      <w:tr w:rsidR="005870CC" w:rsidRPr="000A32AD" w:rsidTr="00A35E42">
        <w:tc>
          <w:tcPr>
            <w:tcW w:w="2660" w:type="dxa"/>
            <w:vMerge w:val="restart"/>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Ступінь експресії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lang w:val="uk-UA"/>
              </w:rPr>
              <w:t xml:space="preserve"> типу</w:t>
            </w:r>
          </w:p>
        </w:tc>
        <w:tc>
          <w:tcPr>
            <w:tcW w:w="3455" w:type="dxa"/>
            <w:gridSpan w:val="2"/>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ЦД 2 типу легкого  ступеня</w:t>
            </w:r>
          </w:p>
        </w:tc>
        <w:tc>
          <w:tcPr>
            <w:tcW w:w="3456" w:type="dxa"/>
            <w:gridSpan w:val="2"/>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ЦД 2 типу середнього ступеня</w:t>
            </w:r>
          </w:p>
        </w:tc>
      </w:tr>
      <w:tr w:rsidR="005870CC" w:rsidRPr="000A32AD" w:rsidTr="00A35E42">
        <w:tc>
          <w:tcPr>
            <w:tcW w:w="2660" w:type="dxa"/>
            <w:vMerge/>
          </w:tcPr>
          <w:p w:rsidR="005870CC" w:rsidRPr="000A32AD" w:rsidRDefault="005870CC" w:rsidP="00A35E42">
            <w:pPr>
              <w:spacing w:before="60" w:after="60"/>
              <w:jc w:val="both"/>
              <w:rPr>
                <w:rFonts w:ascii="Times New Roman" w:hAnsi="Times New Roman" w:cs="Times New Roman"/>
                <w:color w:val="000000" w:themeColor="text1"/>
                <w:sz w:val="28"/>
                <w:szCs w:val="28"/>
                <w:lang w:val="uk-UA"/>
              </w:rPr>
            </w:pPr>
          </w:p>
        </w:tc>
        <w:tc>
          <w:tcPr>
            <w:tcW w:w="1727"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uk-UA"/>
              </w:rPr>
              <w:t>без НДСТ (</w:t>
            </w:r>
            <w:r w:rsidRPr="000A32AD">
              <w:rPr>
                <w:rFonts w:ascii="Times New Roman" w:hAnsi="Times New Roman" w:cs="Times New Roman"/>
                <w:color w:val="000000" w:themeColor="text1"/>
                <w:sz w:val="28"/>
                <w:szCs w:val="28"/>
                <w:lang w:val="en-US"/>
              </w:rPr>
              <w:t>n=10)</w:t>
            </w:r>
          </w:p>
        </w:tc>
        <w:tc>
          <w:tcPr>
            <w:tcW w:w="1728"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uk-UA"/>
              </w:rPr>
              <w:t>з НДСТ</w:t>
            </w:r>
            <w:r w:rsidRPr="000A32AD">
              <w:rPr>
                <w:rFonts w:ascii="Times New Roman" w:hAnsi="Times New Roman" w:cs="Times New Roman"/>
                <w:color w:val="000000" w:themeColor="text1"/>
                <w:sz w:val="28"/>
                <w:szCs w:val="28"/>
                <w:lang w:val="en-US"/>
              </w:rPr>
              <w:t xml:space="preserve"> </w:t>
            </w:r>
            <w:r w:rsidRPr="000A32AD">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lang w:val="en-US"/>
              </w:rPr>
              <w:t>n=10)</w:t>
            </w:r>
          </w:p>
        </w:tc>
        <w:tc>
          <w:tcPr>
            <w:tcW w:w="1728"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uk-UA"/>
              </w:rPr>
              <w:t>без НДСТ</w:t>
            </w:r>
            <w:r w:rsidRPr="000A32AD">
              <w:rPr>
                <w:rFonts w:ascii="Times New Roman" w:hAnsi="Times New Roman" w:cs="Times New Roman"/>
                <w:color w:val="000000" w:themeColor="text1"/>
                <w:sz w:val="28"/>
                <w:szCs w:val="28"/>
                <w:lang w:val="en-US"/>
              </w:rPr>
              <w:t xml:space="preserve"> </w:t>
            </w:r>
            <w:r w:rsidRPr="000A32AD">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lang w:val="en-US"/>
              </w:rPr>
              <w:t>n=10)</w:t>
            </w:r>
          </w:p>
        </w:tc>
        <w:tc>
          <w:tcPr>
            <w:tcW w:w="1728"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uk-UA"/>
              </w:rPr>
              <w:t>з НДСТ</w:t>
            </w:r>
            <w:r w:rsidRPr="000A32AD">
              <w:rPr>
                <w:rFonts w:ascii="Times New Roman" w:hAnsi="Times New Roman" w:cs="Times New Roman"/>
                <w:color w:val="000000" w:themeColor="text1"/>
                <w:sz w:val="28"/>
                <w:szCs w:val="28"/>
                <w:lang w:val="en-US"/>
              </w:rPr>
              <w:t xml:space="preserve"> </w:t>
            </w:r>
            <w:r w:rsidRPr="000A32AD">
              <w:rPr>
                <w:rFonts w:ascii="Times New Roman" w:hAnsi="Times New Roman" w:cs="Times New Roman"/>
                <w:color w:val="000000" w:themeColor="text1"/>
                <w:sz w:val="28"/>
                <w:szCs w:val="28"/>
                <w:lang w:val="uk-UA"/>
              </w:rPr>
              <w:t>(</w:t>
            </w:r>
            <w:r w:rsidRPr="000A32AD">
              <w:rPr>
                <w:rFonts w:ascii="Times New Roman" w:hAnsi="Times New Roman" w:cs="Times New Roman"/>
                <w:color w:val="000000" w:themeColor="text1"/>
                <w:sz w:val="28"/>
                <w:szCs w:val="28"/>
                <w:lang w:val="en-US"/>
              </w:rPr>
              <w:t>n=9)</w:t>
            </w:r>
          </w:p>
        </w:tc>
      </w:tr>
      <w:tr w:rsidR="005870CC" w:rsidRPr="000A32AD" w:rsidTr="00A35E42">
        <w:tc>
          <w:tcPr>
            <w:tcW w:w="2660" w:type="dxa"/>
            <w:vAlign w:val="center"/>
          </w:tcPr>
          <w:p w:rsidR="005870CC" w:rsidRPr="000A32AD" w:rsidRDefault="005870CC" w:rsidP="00A35E42">
            <w:pPr>
              <w:spacing w:before="60" w:after="60"/>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uk-UA"/>
              </w:rPr>
              <w:t>Слабка (+)</w:t>
            </w:r>
          </w:p>
        </w:tc>
        <w:tc>
          <w:tcPr>
            <w:tcW w:w="1727"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9 (90%)</w:t>
            </w:r>
          </w:p>
        </w:tc>
        <w:tc>
          <w:tcPr>
            <w:tcW w:w="1728"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3 (30%)</w:t>
            </w:r>
          </w:p>
        </w:tc>
        <w:tc>
          <w:tcPr>
            <w:tcW w:w="1728" w:type="dxa"/>
            <w:shd w:val="clear" w:color="auto" w:fill="auto"/>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w:t>
            </w:r>
          </w:p>
        </w:tc>
        <w:tc>
          <w:tcPr>
            <w:tcW w:w="1728"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w:t>
            </w:r>
          </w:p>
        </w:tc>
      </w:tr>
      <w:tr w:rsidR="005870CC" w:rsidRPr="000A32AD" w:rsidTr="00A35E42">
        <w:tc>
          <w:tcPr>
            <w:tcW w:w="2660" w:type="dxa"/>
            <w:vAlign w:val="center"/>
          </w:tcPr>
          <w:p w:rsidR="005870CC" w:rsidRPr="000A32AD" w:rsidRDefault="005870CC" w:rsidP="00A35E42">
            <w:pPr>
              <w:spacing w:before="60" w:after="60"/>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uk-UA"/>
              </w:rPr>
              <w:t>Помірна (++)</w:t>
            </w:r>
          </w:p>
        </w:tc>
        <w:tc>
          <w:tcPr>
            <w:tcW w:w="1727"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1 (10%)</w:t>
            </w:r>
          </w:p>
        </w:tc>
        <w:tc>
          <w:tcPr>
            <w:tcW w:w="1728"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7 (70%)</w:t>
            </w:r>
          </w:p>
        </w:tc>
        <w:tc>
          <w:tcPr>
            <w:tcW w:w="1728" w:type="dxa"/>
            <w:shd w:val="clear" w:color="auto" w:fill="auto"/>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8(80%)</w:t>
            </w:r>
          </w:p>
        </w:tc>
        <w:tc>
          <w:tcPr>
            <w:tcW w:w="1728"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w:t>
            </w:r>
          </w:p>
        </w:tc>
      </w:tr>
      <w:tr w:rsidR="005870CC" w:rsidRPr="000A32AD" w:rsidTr="00A35E42">
        <w:tc>
          <w:tcPr>
            <w:tcW w:w="2660" w:type="dxa"/>
            <w:vAlign w:val="center"/>
          </w:tcPr>
          <w:p w:rsidR="005870CC" w:rsidRPr="000A32AD" w:rsidRDefault="005870CC" w:rsidP="00A35E42">
            <w:pPr>
              <w:spacing w:before="60" w:after="60"/>
              <w:rPr>
                <w:rFonts w:ascii="Times New Roman" w:hAnsi="Times New Roman" w:cs="Times New Roman"/>
                <w:color w:val="000000" w:themeColor="text1"/>
                <w:sz w:val="28"/>
                <w:szCs w:val="28"/>
                <w:lang w:val="en-US"/>
              </w:rPr>
            </w:pPr>
            <w:r w:rsidRPr="000A32AD">
              <w:rPr>
                <w:rFonts w:ascii="Times New Roman" w:hAnsi="Times New Roman" w:cs="Times New Roman"/>
                <w:color w:val="000000" w:themeColor="text1"/>
                <w:sz w:val="28"/>
                <w:szCs w:val="28"/>
                <w:lang w:val="uk-UA"/>
              </w:rPr>
              <w:t>Інтенсивна (+++)</w:t>
            </w:r>
          </w:p>
        </w:tc>
        <w:tc>
          <w:tcPr>
            <w:tcW w:w="1727"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w:t>
            </w:r>
          </w:p>
        </w:tc>
        <w:tc>
          <w:tcPr>
            <w:tcW w:w="1728"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w:t>
            </w:r>
          </w:p>
        </w:tc>
        <w:tc>
          <w:tcPr>
            <w:tcW w:w="1728" w:type="dxa"/>
            <w:shd w:val="clear" w:color="auto" w:fill="auto"/>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2(20%)</w:t>
            </w:r>
          </w:p>
        </w:tc>
        <w:tc>
          <w:tcPr>
            <w:tcW w:w="1728" w:type="dxa"/>
            <w:vAlign w:val="center"/>
          </w:tcPr>
          <w:p w:rsidR="005870CC" w:rsidRPr="000A32AD" w:rsidRDefault="005870CC" w:rsidP="00A35E42">
            <w:pPr>
              <w:spacing w:before="60" w:after="60"/>
              <w:jc w:val="center"/>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9 (100%)</w:t>
            </w:r>
          </w:p>
        </w:tc>
      </w:tr>
    </w:tbl>
    <w:p w:rsidR="005870CC" w:rsidRPr="000A32AD" w:rsidRDefault="005870CC" w:rsidP="0063251A">
      <w:pPr>
        <w:spacing w:line="360" w:lineRule="auto"/>
        <w:jc w:val="both"/>
        <w:rPr>
          <w:rFonts w:ascii="Times New Roman" w:hAnsi="Times New Roman" w:cs="Times New Roman"/>
          <w:color w:val="000000" w:themeColor="text1"/>
          <w:sz w:val="28"/>
          <w:szCs w:val="28"/>
          <w:lang w:val="uk-UA"/>
        </w:rPr>
      </w:pPr>
    </w:p>
    <w:p w:rsidR="005870CC" w:rsidRPr="000A32AD" w:rsidRDefault="005870CC" w:rsidP="005870CC">
      <w:pPr>
        <w:spacing w:line="360" w:lineRule="auto"/>
        <w:ind w:firstLine="708"/>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В більшості препаратів досліджуваної групи хворих на ЦД 2 типу легкого ступеня тяжкості, експресія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lang w:val="uk-UA"/>
        </w:rPr>
        <w:t xml:space="preserve"> типу була слабка (9 випадків) (+), і лише в одному випадку ми спостерігали збільшення експресії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lang w:val="uk-UA"/>
        </w:rPr>
        <w:t xml:space="preserve"> типу до помірного рівня (++) (див. рис. 11-12 у додатках). В групі хворих на ЦД 2 типу легкого ступеня тяжкості на фоні НДСТ виявилено збільшення експресії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lang w:val="uk-UA"/>
        </w:rPr>
        <w:t xml:space="preserve"> типу, як в міжканальцевій сполучній тканині, так і в стінках судин, в порівняння з хворими, які не мали ознак НДСТ. В сімох випадках з десяти інтенсивність експресії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lang w:val="uk-UA"/>
        </w:rPr>
        <w:t xml:space="preserve"> типу була помірною (++), в т</w:t>
      </w:r>
      <w:r w:rsidR="00D62BB6" w:rsidRPr="000A32AD">
        <w:rPr>
          <w:rFonts w:ascii="Times New Roman" w:hAnsi="Times New Roman" w:cs="Times New Roman"/>
          <w:color w:val="000000" w:themeColor="text1"/>
          <w:sz w:val="28"/>
          <w:szCs w:val="28"/>
          <w:lang w:val="uk-UA"/>
        </w:rPr>
        <w:t xml:space="preserve">рьох – слабка(+) (див. рис. 13 </w:t>
      </w:r>
      <w:r w:rsidRPr="000A32AD">
        <w:rPr>
          <w:rFonts w:ascii="Times New Roman" w:hAnsi="Times New Roman" w:cs="Times New Roman"/>
          <w:color w:val="000000" w:themeColor="text1"/>
          <w:sz w:val="28"/>
          <w:szCs w:val="28"/>
          <w:lang w:val="uk-UA"/>
        </w:rPr>
        <w:t>у додатках)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=5,208; р=0,022).</w:t>
      </w:r>
    </w:p>
    <w:p w:rsidR="005870CC" w:rsidRPr="000A32AD" w:rsidRDefault="005870CC" w:rsidP="005870CC">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У хворих на ЦД 2 типу середнього ступеня тяжкості також виявлено збільшення експресії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lang w:val="uk-UA"/>
        </w:rPr>
        <w:t xml:space="preserve"> типу в стінці судин на тлі нерівномірного їх потовщення. Більшість випадків цієї досліджуваної групи мала помірну інтенсивність експресії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lang w:val="uk-UA"/>
        </w:rPr>
        <w:t xml:space="preserve"> типу (++). Явище збільшення експресії </w:t>
      </w:r>
      <w:r w:rsidRPr="000A32AD">
        <w:rPr>
          <w:rFonts w:ascii="Times New Roman" w:hAnsi="Times New Roman" w:cs="Times New Roman"/>
          <w:color w:val="000000" w:themeColor="text1"/>
          <w:sz w:val="28"/>
          <w:szCs w:val="28"/>
          <w:lang w:val="uk-UA"/>
        </w:rPr>
        <w:lastRenderedPageBreak/>
        <w:t xml:space="preserve">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lang w:val="uk-UA"/>
        </w:rPr>
        <w:t xml:space="preserve"> типу спостерігалось також і в міжканальцевій сполучній тканині (див. рис. 14 у додатках).</w:t>
      </w:r>
    </w:p>
    <w:p w:rsidR="005870CC" w:rsidRPr="000A32AD" w:rsidRDefault="005870CC" w:rsidP="005870CC">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Масивне розростання міжканальцевої сполучної тканини, виявлене в нирках хворих на ЦД 2 типу середнього ступеня тяжкості на фоні НДСТ, в препаратах забарвлених з використанням МКА до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lang w:val="uk-UA"/>
        </w:rPr>
        <w:t xml:space="preserve"> типу мало вигляд інтенсивного забарвлення (+++) у всіх випадках (χ</w:t>
      </w:r>
      <w:r w:rsidRPr="000A32AD">
        <w:rPr>
          <w:rFonts w:ascii="Times New Roman" w:hAnsi="Times New Roman" w:cs="Times New Roman"/>
          <w:color w:val="000000" w:themeColor="text1"/>
          <w:sz w:val="28"/>
          <w:szCs w:val="28"/>
          <w:vertAlign w:val="superscript"/>
          <w:lang w:val="uk-UA"/>
        </w:rPr>
        <w:t>2</w:t>
      </w:r>
      <w:r w:rsidRPr="000A32AD">
        <w:rPr>
          <w:rFonts w:ascii="Times New Roman" w:hAnsi="Times New Roman" w:cs="Times New Roman"/>
          <w:color w:val="000000" w:themeColor="text1"/>
          <w:sz w:val="28"/>
          <w:szCs w:val="28"/>
          <w:lang w:val="uk-UA"/>
        </w:rPr>
        <w:t xml:space="preserve">=9,371; р=0,002 у порівняні з аналогічними хворими без НДСТ). Судини які мають потовщені стінки або які в загалі є облітеровані також мали інтенсивне забарвлення характерне для експресії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lang w:val="uk-UA"/>
        </w:rPr>
        <w:t xml:space="preserve"> типу (див. рис. 15 у додатках). Така морфологічна картина спостерігалась у всіх випадках цієї досліджуваної групи. </w:t>
      </w:r>
    </w:p>
    <w:p w:rsidR="005870CC" w:rsidRPr="000A32AD" w:rsidRDefault="005870CC" w:rsidP="005870CC">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Таким чином імуногістохімічний метод дослідження з використанням МКА до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lang w:val="uk-UA"/>
        </w:rPr>
        <w:t xml:space="preserve"> типу, дав змогу встановити, що розростання міжканальцевої сполучної тканини та потовщення стінок артерій у хворих на ЦД 2 типу, як з НДСТ так і без неї, відбулось завдяки збільшення експресії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lang w:val="uk-UA"/>
        </w:rPr>
        <w:t xml:space="preserve"> типу. Незалежно від тяжкості ЦД 2 типу наявність НДСТ призводила до достовірного збільшення експресії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lang w:val="uk-UA"/>
        </w:rPr>
        <w:t xml:space="preserve"> типу. Збільшення експресії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lang w:val="uk-UA"/>
        </w:rPr>
        <w:t xml:space="preserve"> типу в паренхімі нирок є свідченням розвитку нефросклерозу, а в стінці судин – свідченням їх склеротичного ураження, що призводить до збільшення жорсткості та є однією з причин прогресування нефросклерозу. </w:t>
      </w:r>
    </w:p>
    <w:p w:rsidR="005870CC" w:rsidRPr="000A32AD" w:rsidRDefault="005870CC" w:rsidP="005870CC">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Загалом результати гістологічного та імуногістохімічного досліджень свідчать, що у нирках хворих ЦД 2 типу як легкого, так і</w:t>
      </w:r>
      <w:r w:rsidR="00214999" w:rsidRPr="000A32AD">
        <w:rPr>
          <w:rFonts w:ascii="Times New Roman" w:hAnsi="Times New Roman" w:cs="Times New Roman"/>
          <w:color w:val="000000" w:themeColor="text1"/>
          <w:sz w:val="28"/>
          <w:szCs w:val="28"/>
          <w:lang w:val="uk-UA"/>
        </w:rPr>
        <w:t xml:space="preserve"> середнього ступеня тяжкості на тлі </w:t>
      </w:r>
      <w:r w:rsidRPr="000A32AD">
        <w:rPr>
          <w:rFonts w:ascii="Times New Roman" w:hAnsi="Times New Roman" w:cs="Times New Roman"/>
          <w:color w:val="000000" w:themeColor="text1"/>
          <w:sz w:val="28"/>
          <w:szCs w:val="28"/>
          <w:lang w:val="uk-UA"/>
        </w:rPr>
        <w:t xml:space="preserve">НДСТ виявлено збільшення кількості склерозованих клубочків на тлі значного розростання строми, </w:t>
      </w:r>
      <w:r w:rsidRPr="000A32AD">
        <w:rPr>
          <w:rFonts w:ascii="Times New Roman" w:eastAsia="Times New Roman" w:hAnsi="Times New Roman" w:cs="Times New Roman"/>
          <w:color w:val="000000" w:themeColor="text1"/>
          <w:sz w:val="28"/>
          <w:szCs w:val="28"/>
          <w:lang w:val="uk-UA"/>
        </w:rPr>
        <w:t xml:space="preserve">також </w:t>
      </w:r>
      <w:r w:rsidRPr="000A32AD">
        <w:rPr>
          <w:rStyle w:val="tlid-translation"/>
          <w:rFonts w:ascii="Times New Roman" w:hAnsi="Times New Roman" w:cs="Times New Roman"/>
          <w:color w:val="000000" w:themeColor="text1"/>
          <w:sz w:val="28"/>
          <w:szCs w:val="28"/>
          <w:lang w:val="uk-UA"/>
        </w:rPr>
        <w:t>значним змі</w:t>
      </w:r>
      <w:r w:rsidRPr="000A32AD">
        <w:rPr>
          <w:rStyle w:val="tlid-translation"/>
          <w:rFonts w:ascii="Times New Roman" w:eastAsia="Malgun Gothic Semilight" w:hAnsi="Times New Roman" w:cs="Times New Roman"/>
          <w:color w:val="000000" w:themeColor="text1"/>
          <w:sz w:val="28"/>
          <w:szCs w:val="28"/>
          <w:lang w:val="uk-UA"/>
        </w:rPr>
        <w:t>на</w:t>
      </w:r>
      <w:r w:rsidRPr="000A32AD">
        <w:rPr>
          <w:rStyle w:val="tlid-translation"/>
          <w:rFonts w:ascii="Times New Roman" w:hAnsi="Times New Roman" w:cs="Times New Roman"/>
          <w:color w:val="000000" w:themeColor="text1"/>
          <w:sz w:val="28"/>
          <w:szCs w:val="28"/>
          <w:lang w:val="uk-UA"/>
        </w:rPr>
        <w:t>м пі</w:t>
      </w:r>
      <w:r w:rsidRPr="000A32AD">
        <w:rPr>
          <w:rStyle w:val="tlid-translation"/>
          <w:rFonts w:ascii="Times New Roman" w:eastAsia="Malgun Gothic Semilight" w:hAnsi="Times New Roman" w:cs="Times New Roman"/>
          <w:color w:val="000000" w:themeColor="text1"/>
          <w:sz w:val="28"/>
          <w:szCs w:val="28"/>
          <w:lang w:val="uk-UA"/>
        </w:rPr>
        <w:t>ддавалис</w:t>
      </w:r>
      <w:r w:rsidRPr="000A32AD">
        <w:rPr>
          <w:rStyle w:val="tlid-translation"/>
          <w:rFonts w:ascii="Times New Roman" w:hAnsi="Times New Roman" w:cs="Times New Roman"/>
          <w:color w:val="000000" w:themeColor="text1"/>
          <w:sz w:val="28"/>
          <w:szCs w:val="28"/>
          <w:lang w:val="uk-UA"/>
        </w:rPr>
        <w:t>я судини мі</w:t>
      </w:r>
      <w:r w:rsidRPr="000A32AD">
        <w:rPr>
          <w:rStyle w:val="tlid-translation"/>
          <w:rFonts w:ascii="Times New Roman" w:eastAsia="Malgun Gothic Semilight" w:hAnsi="Times New Roman" w:cs="Times New Roman"/>
          <w:color w:val="000000" w:themeColor="text1"/>
          <w:sz w:val="28"/>
          <w:szCs w:val="28"/>
          <w:lang w:val="uk-UA"/>
        </w:rPr>
        <w:t>кро-циркуляторног</w:t>
      </w:r>
      <w:r w:rsidRPr="000A32AD">
        <w:rPr>
          <w:rStyle w:val="tlid-translation"/>
          <w:rFonts w:ascii="Times New Roman" w:hAnsi="Times New Roman" w:cs="Times New Roman"/>
          <w:color w:val="000000" w:themeColor="text1"/>
          <w:sz w:val="28"/>
          <w:szCs w:val="28"/>
          <w:lang w:val="uk-UA"/>
        </w:rPr>
        <w:t>о русла, було виявлено потовщення базальної мембрани, набряк і плазматичне просочування судинної сті</w:t>
      </w:r>
      <w:r w:rsidRPr="000A32AD">
        <w:rPr>
          <w:rStyle w:val="tlid-translation"/>
          <w:rFonts w:ascii="Times New Roman" w:eastAsia="Malgun Gothic Semilight" w:hAnsi="Times New Roman" w:cs="Times New Roman"/>
          <w:color w:val="000000" w:themeColor="text1"/>
          <w:sz w:val="28"/>
          <w:szCs w:val="28"/>
          <w:lang w:val="uk-UA"/>
        </w:rPr>
        <w:t>нк</w:t>
      </w:r>
      <w:r w:rsidRPr="000A32AD">
        <w:rPr>
          <w:rStyle w:val="tlid-translation"/>
          <w:rFonts w:ascii="Times New Roman" w:hAnsi="Times New Roman" w:cs="Times New Roman"/>
          <w:color w:val="000000" w:themeColor="text1"/>
          <w:sz w:val="28"/>
          <w:szCs w:val="28"/>
          <w:lang w:val="uk-UA"/>
        </w:rPr>
        <w:t>и, гі</w:t>
      </w:r>
      <w:r w:rsidRPr="000A32AD">
        <w:rPr>
          <w:rStyle w:val="tlid-translation"/>
          <w:rFonts w:ascii="Times New Roman" w:eastAsia="Malgun Gothic Semilight" w:hAnsi="Times New Roman" w:cs="Times New Roman"/>
          <w:color w:val="000000" w:themeColor="text1"/>
          <w:sz w:val="28"/>
          <w:szCs w:val="28"/>
          <w:lang w:val="uk-UA"/>
        </w:rPr>
        <w:t>ал</w:t>
      </w:r>
      <w:r w:rsidRPr="000A32AD">
        <w:rPr>
          <w:rStyle w:val="tlid-translation"/>
          <w:rFonts w:ascii="Times New Roman" w:hAnsi="Times New Roman" w:cs="Times New Roman"/>
          <w:color w:val="000000" w:themeColor="text1"/>
          <w:sz w:val="28"/>
          <w:szCs w:val="28"/>
          <w:lang w:val="uk-UA"/>
        </w:rPr>
        <w:t>і</w:t>
      </w:r>
      <w:r w:rsidRPr="000A32AD">
        <w:rPr>
          <w:rStyle w:val="tlid-translation"/>
          <w:rFonts w:ascii="Times New Roman" w:eastAsia="Malgun Gothic Semilight" w:hAnsi="Times New Roman" w:cs="Times New Roman"/>
          <w:color w:val="000000" w:themeColor="text1"/>
          <w:sz w:val="28"/>
          <w:szCs w:val="28"/>
          <w:lang w:val="uk-UA"/>
        </w:rPr>
        <w:t>но</w:t>
      </w:r>
      <w:r w:rsidRPr="000A32AD">
        <w:rPr>
          <w:rStyle w:val="tlid-translation"/>
          <w:rFonts w:ascii="Times New Roman" w:hAnsi="Times New Roman" w:cs="Times New Roman"/>
          <w:color w:val="000000" w:themeColor="text1"/>
          <w:sz w:val="28"/>
          <w:szCs w:val="28"/>
          <w:lang w:val="uk-UA"/>
        </w:rPr>
        <w:t>з, периваскулярний склероз, пролі</w:t>
      </w:r>
      <w:r w:rsidRPr="000A32AD">
        <w:rPr>
          <w:rStyle w:val="tlid-translation"/>
          <w:rFonts w:ascii="Times New Roman" w:eastAsia="Malgun Gothic Semilight" w:hAnsi="Times New Roman" w:cs="Times New Roman"/>
          <w:color w:val="000000" w:themeColor="text1"/>
          <w:sz w:val="28"/>
          <w:szCs w:val="28"/>
          <w:lang w:val="uk-UA"/>
        </w:rPr>
        <w:t>ферац</w:t>
      </w:r>
      <w:r w:rsidRPr="000A32AD">
        <w:rPr>
          <w:rStyle w:val="tlid-translation"/>
          <w:rFonts w:ascii="Times New Roman" w:hAnsi="Times New Roman" w:cs="Times New Roman"/>
          <w:color w:val="000000" w:themeColor="text1"/>
          <w:sz w:val="28"/>
          <w:szCs w:val="28"/>
          <w:lang w:val="uk-UA"/>
        </w:rPr>
        <w:t>ія перицитів, ендотелі</w:t>
      </w:r>
      <w:r w:rsidRPr="000A32AD">
        <w:rPr>
          <w:rStyle w:val="tlid-translation"/>
          <w:rFonts w:ascii="Times New Roman" w:eastAsia="Malgun Gothic Semilight" w:hAnsi="Times New Roman" w:cs="Times New Roman"/>
          <w:color w:val="000000" w:themeColor="text1"/>
          <w:sz w:val="28"/>
          <w:szCs w:val="28"/>
          <w:lang w:val="uk-UA"/>
        </w:rPr>
        <w:t>оцит</w:t>
      </w:r>
      <w:r w:rsidRPr="000A32AD">
        <w:rPr>
          <w:rStyle w:val="tlid-translation"/>
          <w:rFonts w:ascii="Times New Roman" w:hAnsi="Times New Roman" w:cs="Times New Roman"/>
          <w:color w:val="000000" w:themeColor="text1"/>
          <w:sz w:val="28"/>
          <w:szCs w:val="28"/>
          <w:lang w:val="uk-UA"/>
        </w:rPr>
        <w:t>ів і гладком'язових клі</w:t>
      </w:r>
      <w:r w:rsidRPr="000A32AD">
        <w:rPr>
          <w:rStyle w:val="tlid-translation"/>
          <w:rFonts w:ascii="Times New Roman" w:eastAsia="Malgun Gothic Semilight" w:hAnsi="Times New Roman" w:cs="Times New Roman"/>
          <w:color w:val="000000" w:themeColor="text1"/>
          <w:sz w:val="28"/>
          <w:szCs w:val="28"/>
          <w:lang w:val="uk-UA"/>
        </w:rPr>
        <w:t>ти</w:t>
      </w:r>
      <w:r w:rsidRPr="000A32AD">
        <w:rPr>
          <w:rStyle w:val="tlid-translation"/>
          <w:rFonts w:ascii="Times New Roman" w:hAnsi="Times New Roman" w:cs="Times New Roman"/>
          <w:color w:val="000000" w:themeColor="text1"/>
          <w:sz w:val="28"/>
          <w:szCs w:val="28"/>
          <w:lang w:val="uk-UA"/>
        </w:rPr>
        <w:t>н. Виразні</w:t>
      </w:r>
      <w:r w:rsidRPr="000A32AD">
        <w:rPr>
          <w:rStyle w:val="tlid-translation"/>
          <w:rFonts w:ascii="Times New Roman" w:eastAsia="Malgun Gothic Semilight" w:hAnsi="Times New Roman" w:cs="Times New Roman"/>
          <w:color w:val="000000" w:themeColor="text1"/>
          <w:sz w:val="28"/>
          <w:szCs w:val="28"/>
          <w:lang w:val="uk-UA"/>
        </w:rPr>
        <w:t>ст</w:t>
      </w:r>
      <w:r w:rsidRPr="000A32AD">
        <w:rPr>
          <w:rStyle w:val="tlid-translation"/>
          <w:rFonts w:ascii="Times New Roman" w:hAnsi="Times New Roman" w:cs="Times New Roman"/>
          <w:color w:val="000000" w:themeColor="text1"/>
          <w:sz w:val="28"/>
          <w:szCs w:val="28"/>
          <w:lang w:val="uk-UA"/>
        </w:rPr>
        <w:t>ь цих ознак в дослі</w:t>
      </w:r>
      <w:r w:rsidRPr="000A32AD">
        <w:rPr>
          <w:rStyle w:val="tlid-translation"/>
          <w:rFonts w:ascii="Times New Roman" w:eastAsia="Malgun Gothic Semilight" w:hAnsi="Times New Roman" w:cs="Times New Roman"/>
          <w:color w:val="000000" w:themeColor="text1"/>
          <w:sz w:val="28"/>
          <w:szCs w:val="28"/>
          <w:lang w:val="uk-UA"/>
        </w:rPr>
        <w:t>джувани</w:t>
      </w:r>
      <w:r w:rsidRPr="000A32AD">
        <w:rPr>
          <w:rStyle w:val="tlid-translation"/>
          <w:rFonts w:ascii="Times New Roman" w:hAnsi="Times New Roman" w:cs="Times New Roman"/>
          <w:color w:val="000000" w:themeColor="text1"/>
          <w:sz w:val="28"/>
          <w:szCs w:val="28"/>
          <w:lang w:val="uk-UA"/>
        </w:rPr>
        <w:t>х групах була рі</w:t>
      </w:r>
      <w:r w:rsidRPr="000A32AD">
        <w:rPr>
          <w:rStyle w:val="tlid-translation"/>
          <w:rFonts w:ascii="Times New Roman" w:eastAsia="Malgun Gothic Semilight" w:hAnsi="Times New Roman" w:cs="Times New Roman"/>
          <w:color w:val="000000" w:themeColor="text1"/>
          <w:sz w:val="28"/>
          <w:szCs w:val="28"/>
          <w:lang w:val="uk-UA"/>
        </w:rPr>
        <w:t>зно</w:t>
      </w:r>
      <w:r w:rsidRPr="000A32AD">
        <w:rPr>
          <w:rStyle w:val="tlid-translation"/>
          <w:rFonts w:ascii="Times New Roman" w:hAnsi="Times New Roman" w:cs="Times New Roman"/>
          <w:color w:val="000000" w:themeColor="text1"/>
          <w:sz w:val="28"/>
          <w:szCs w:val="28"/>
          <w:lang w:val="uk-UA"/>
        </w:rPr>
        <w:t xml:space="preserve">ю. </w:t>
      </w:r>
      <w:r w:rsidRPr="000A32AD">
        <w:rPr>
          <w:rFonts w:ascii="Times New Roman" w:eastAsia="Times New Roman" w:hAnsi="Times New Roman" w:cs="Times New Roman"/>
          <w:color w:val="000000" w:themeColor="text1"/>
          <w:sz w:val="28"/>
          <w:szCs w:val="28"/>
          <w:lang w:val="uk-UA"/>
        </w:rPr>
        <w:t xml:space="preserve">Що дозволяє </w:t>
      </w:r>
      <w:r w:rsidRPr="000A32AD">
        <w:rPr>
          <w:rFonts w:ascii="Times New Roman" w:eastAsia="Times New Roman" w:hAnsi="Times New Roman" w:cs="Times New Roman"/>
          <w:color w:val="000000" w:themeColor="text1"/>
          <w:sz w:val="28"/>
          <w:szCs w:val="28"/>
          <w:lang w:val="uk-UA"/>
        </w:rPr>
        <w:lastRenderedPageBreak/>
        <w:t xml:space="preserve">стверджувати, наявність НДСТ у хворих на </w:t>
      </w:r>
      <w:r w:rsidRPr="000A32AD">
        <w:rPr>
          <w:rFonts w:ascii="Times New Roman" w:hAnsi="Times New Roman" w:cs="Times New Roman"/>
          <w:color w:val="000000" w:themeColor="text1"/>
          <w:sz w:val="28"/>
          <w:szCs w:val="28"/>
          <w:lang w:val="uk-UA"/>
        </w:rPr>
        <w:t xml:space="preserve">ЦД 2 типу посилює структурні порушення стромального компоненту нирки та її судин, в основі яких знаходяться  порушення метаболізму сполучної тканини. Артерії нирок є судинами м’язового типу, які також знаходяться у більшості інших органах та частинах організму. З урахуванням універсальності процесів порушення метаболізму сполучної тканини можна припустити, що подібні зміни </w:t>
      </w:r>
      <w:r w:rsidR="009E4F5F" w:rsidRPr="000A32AD">
        <w:rPr>
          <w:rFonts w:ascii="Times New Roman" w:hAnsi="Times New Roman" w:cs="Times New Roman"/>
          <w:color w:val="000000" w:themeColor="text1"/>
          <w:sz w:val="28"/>
          <w:szCs w:val="28"/>
          <w:lang w:val="uk-UA"/>
        </w:rPr>
        <w:t xml:space="preserve">також </w:t>
      </w:r>
      <w:r w:rsidRPr="000A32AD">
        <w:rPr>
          <w:rFonts w:ascii="Times New Roman" w:hAnsi="Times New Roman" w:cs="Times New Roman"/>
          <w:color w:val="000000" w:themeColor="text1"/>
          <w:sz w:val="28"/>
          <w:szCs w:val="28"/>
          <w:lang w:val="uk-UA"/>
        </w:rPr>
        <w:t xml:space="preserve">відбуваються </w:t>
      </w:r>
      <w:r w:rsidR="009E4F5F" w:rsidRPr="000A32AD">
        <w:rPr>
          <w:rFonts w:ascii="Times New Roman" w:hAnsi="Times New Roman" w:cs="Times New Roman"/>
          <w:color w:val="000000" w:themeColor="text1"/>
          <w:sz w:val="28"/>
          <w:szCs w:val="28"/>
          <w:lang w:val="uk-UA"/>
        </w:rPr>
        <w:t xml:space="preserve">і </w:t>
      </w:r>
      <w:r w:rsidRPr="000A32AD">
        <w:rPr>
          <w:rFonts w:ascii="Times New Roman" w:hAnsi="Times New Roman" w:cs="Times New Roman"/>
          <w:color w:val="000000" w:themeColor="text1"/>
          <w:sz w:val="28"/>
          <w:szCs w:val="28"/>
          <w:lang w:val="uk-UA"/>
        </w:rPr>
        <w:t>в артеріях інших локалізаці</w:t>
      </w:r>
      <w:r w:rsidR="000E0DD4" w:rsidRPr="000A32AD">
        <w:rPr>
          <w:rFonts w:ascii="Times New Roman" w:hAnsi="Times New Roman" w:cs="Times New Roman"/>
          <w:color w:val="000000" w:themeColor="text1"/>
          <w:sz w:val="28"/>
          <w:szCs w:val="28"/>
          <w:lang w:val="uk-UA"/>
        </w:rPr>
        <w:t>й</w:t>
      </w:r>
      <w:r w:rsidRPr="000A32AD">
        <w:rPr>
          <w:rFonts w:ascii="Times New Roman" w:hAnsi="Times New Roman" w:cs="Times New Roman"/>
          <w:color w:val="000000" w:themeColor="text1"/>
          <w:sz w:val="28"/>
          <w:szCs w:val="28"/>
          <w:lang w:val="uk-UA"/>
        </w:rPr>
        <w:t xml:space="preserve"> та створюють умови формування АГ.</w:t>
      </w:r>
    </w:p>
    <w:p w:rsidR="005870CC" w:rsidRDefault="005870CC" w:rsidP="005870CC">
      <w:pPr>
        <w:spacing w:line="360" w:lineRule="auto"/>
        <w:ind w:firstLine="709"/>
        <w:jc w:val="both"/>
        <w:rPr>
          <w:rFonts w:ascii="Times New Roman" w:hAnsi="Times New Roman" w:cs="Times New Roman"/>
          <w:color w:val="000000" w:themeColor="text1"/>
          <w:sz w:val="28"/>
          <w:szCs w:val="28"/>
          <w:lang w:val="uk-UA"/>
        </w:rPr>
      </w:pPr>
    </w:p>
    <w:p w:rsidR="009B11AC" w:rsidRPr="000A32AD" w:rsidRDefault="009B11AC" w:rsidP="009B11AC">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Результати, викладені в даному розділі, опубліковані в наступних наукових працях автора [73, 74].</w:t>
      </w:r>
    </w:p>
    <w:p w:rsidR="005870CC" w:rsidRPr="000A32AD" w:rsidRDefault="005870CC" w:rsidP="009B11AC">
      <w:pPr>
        <w:spacing w:line="360" w:lineRule="auto"/>
        <w:jc w:val="both"/>
        <w:rPr>
          <w:rFonts w:ascii="Times New Roman" w:hAnsi="Times New Roman" w:cs="Times New Roman"/>
          <w:color w:val="000000" w:themeColor="text1"/>
          <w:sz w:val="28"/>
          <w:szCs w:val="28"/>
          <w:lang w:val="uk-UA"/>
        </w:rPr>
      </w:pPr>
    </w:p>
    <w:p w:rsidR="00F324F2" w:rsidRPr="000A32AD" w:rsidRDefault="00F324F2" w:rsidP="00F324F2">
      <w:pPr>
        <w:spacing w:line="360" w:lineRule="auto"/>
        <w:ind w:firstLine="709"/>
        <w:jc w:val="both"/>
        <w:rPr>
          <w:rFonts w:ascii="Times New Roman" w:hAnsi="Times New Roman" w:cs="Times New Roman"/>
          <w:i/>
          <w:color w:val="000000" w:themeColor="text1"/>
          <w:sz w:val="28"/>
          <w:szCs w:val="28"/>
          <w:lang w:val="uk-UA"/>
        </w:rPr>
      </w:pPr>
      <w:r w:rsidRPr="000A32AD">
        <w:rPr>
          <w:rFonts w:ascii="Times New Roman" w:hAnsi="Times New Roman" w:cs="Times New Roman"/>
          <w:i/>
          <w:color w:val="000000" w:themeColor="text1"/>
          <w:sz w:val="28"/>
          <w:szCs w:val="28"/>
          <w:lang w:val="uk-UA"/>
        </w:rPr>
        <w:t>Висловлюємо подяку кафедрі фундаментальної медицини медичного факультету ХНУ імені В.Н. Каразіна і особисто доценту Ремньова Наталії Олексіївні</w:t>
      </w:r>
      <w:r w:rsidRPr="000A32AD">
        <w:rPr>
          <w:rFonts w:ascii="Times New Roman" w:hAnsi="Times New Roman" w:cs="Times New Roman"/>
          <w:b/>
          <w:i/>
          <w:color w:val="000000" w:themeColor="text1"/>
          <w:sz w:val="28"/>
          <w:szCs w:val="28"/>
          <w:lang w:val="uk-UA"/>
        </w:rPr>
        <w:t xml:space="preserve"> </w:t>
      </w:r>
      <w:r w:rsidR="00FF039E">
        <w:rPr>
          <w:rFonts w:ascii="Times New Roman" w:hAnsi="Times New Roman" w:cs="Times New Roman"/>
          <w:i/>
          <w:color w:val="000000" w:themeColor="text1"/>
          <w:sz w:val="28"/>
          <w:szCs w:val="28"/>
          <w:lang w:val="uk-UA"/>
        </w:rPr>
        <w:t>за допомогу в від</w:t>
      </w:r>
      <w:r w:rsidRPr="000A32AD">
        <w:rPr>
          <w:rFonts w:ascii="Times New Roman" w:hAnsi="Times New Roman" w:cs="Times New Roman"/>
          <w:i/>
          <w:color w:val="000000" w:themeColor="text1"/>
          <w:sz w:val="28"/>
          <w:szCs w:val="28"/>
          <w:lang w:val="uk-UA"/>
        </w:rPr>
        <w:t>борі та дослідженні патоморфологічного матеріалу.</w:t>
      </w:r>
    </w:p>
    <w:p w:rsidR="00BC6BC0" w:rsidRPr="000A32AD" w:rsidRDefault="00BC6BC0" w:rsidP="00BC6BC0">
      <w:pPr>
        <w:spacing w:line="360" w:lineRule="auto"/>
        <w:ind w:firstLine="709"/>
        <w:jc w:val="both"/>
        <w:rPr>
          <w:rFonts w:ascii="Times New Roman" w:hAnsi="Times New Roman" w:cs="Times New Roman"/>
          <w:color w:val="000000" w:themeColor="text1"/>
          <w:sz w:val="28"/>
          <w:szCs w:val="28"/>
          <w:lang w:val="uk-UA"/>
        </w:rPr>
      </w:pPr>
    </w:p>
    <w:p w:rsidR="00AC3463" w:rsidRPr="000A32AD" w:rsidRDefault="00AC3463">
      <w:pPr>
        <w:spacing w:after="160" w:line="259" w:lineRule="auto"/>
        <w:rPr>
          <w:rFonts w:ascii="Times New Roman" w:hAnsi="Times New Roman" w:cs="Times New Roman"/>
          <w:b/>
          <w:color w:val="000000" w:themeColor="text1"/>
          <w:sz w:val="28"/>
          <w:szCs w:val="28"/>
          <w:shd w:val="clear" w:color="auto" w:fill="FFFFFF"/>
          <w:lang w:val="uk-UA"/>
        </w:rPr>
      </w:pPr>
      <w:r w:rsidRPr="000A32AD">
        <w:rPr>
          <w:rFonts w:ascii="Times New Roman" w:hAnsi="Times New Roman" w:cs="Times New Roman"/>
          <w:b/>
          <w:color w:val="000000" w:themeColor="text1"/>
          <w:sz w:val="28"/>
          <w:szCs w:val="28"/>
          <w:shd w:val="clear" w:color="auto" w:fill="FFFFFF"/>
          <w:lang w:val="uk-UA"/>
        </w:rPr>
        <w:br w:type="page"/>
      </w:r>
    </w:p>
    <w:p w:rsidR="00A33195" w:rsidRPr="000A32AD" w:rsidRDefault="00A33195" w:rsidP="003701DC">
      <w:pPr>
        <w:widowControl w:val="0"/>
        <w:spacing w:line="360" w:lineRule="auto"/>
        <w:jc w:val="center"/>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lastRenderedPageBreak/>
        <w:t xml:space="preserve">Розділ </w:t>
      </w:r>
      <w:r w:rsidR="004D5BA6" w:rsidRPr="000A32AD">
        <w:rPr>
          <w:rFonts w:ascii="Times New Roman" w:hAnsi="Times New Roman" w:cs="Times New Roman"/>
          <w:b/>
          <w:color w:val="000000" w:themeColor="text1"/>
          <w:sz w:val="28"/>
          <w:szCs w:val="28"/>
          <w:lang w:val="uk-UA"/>
        </w:rPr>
        <w:t>5</w:t>
      </w:r>
    </w:p>
    <w:p w:rsidR="00A33195" w:rsidRPr="000A32AD" w:rsidRDefault="00A33195" w:rsidP="003701DC">
      <w:pPr>
        <w:widowControl w:val="0"/>
        <w:spacing w:line="360" w:lineRule="auto"/>
        <w:jc w:val="center"/>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t>АНАЛІЗ РЕЗУЛЬТАТІВ ДОСЛІДЖЕННЯ ТА ЇХ ОБГОВОРЕННЯ</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 останні роки серед хворих, що звертаються за первинною медичною допомогою, та серед хворих, що госпіталізуються в багатопрофільні лікарні, зростає частка хворих з коморбідною патологією [</w:t>
      </w:r>
      <w:r w:rsidR="00365A66" w:rsidRPr="000A32AD">
        <w:rPr>
          <w:rFonts w:ascii="Times New Roman" w:hAnsi="Times New Roman" w:cs="Times New Roman"/>
          <w:color w:val="000000" w:themeColor="text1"/>
          <w:sz w:val="28"/>
          <w:szCs w:val="28"/>
          <w:shd w:val="clear" w:color="auto" w:fill="FFFFFF"/>
          <w:lang w:val="uk-UA"/>
        </w:rPr>
        <w:t>235</w:t>
      </w:r>
      <w:r w:rsidRPr="000A32AD">
        <w:rPr>
          <w:rFonts w:ascii="Times New Roman" w:hAnsi="Times New Roman" w:cs="Times New Roman"/>
          <w:color w:val="000000" w:themeColor="text1"/>
          <w:sz w:val="28"/>
          <w:szCs w:val="28"/>
          <w:shd w:val="clear" w:color="auto" w:fill="FFFFFF"/>
          <w:lang w:val="uk-UA"/>
        </w:rPr>
        <w:t>], яка суттєво впливає на якість життя пацієнтів, обумовлює додаткові труднощі діагностики, утруднює вибір оптимальної тактики лікування [</w:t>
      </w:r>
      <w:r w:rsidR="000B6EAF" w:rsidRPr="000A32AD">
        <w:rPr>
          <w:rFonts w:ascii="Times New Roman" w:hAnsi="Times New Roman" w:cs="Times New Roman"/>
          <w:color w:val="000000" w:themeColor="text1"/>
          <w:sz w:val="28"/>
          <w:szCs w:val="28"/>
          <w:lang w:val="uk-UA"/>
        </w:rPr>
        <w:t>161;</w:t>
      </w:r>
      <w:r w:rsidRPr="000A32AD">
        <w:rPr>
          <w:rFonts w:ascii="Times New Roman" w:hAnsi="Times New Roman" w:cs="Times New Roman"/>
          <w:color w:val="000000" w:themeColor="text1"/>
          <w:sz w:val="28"/>
          <w:szCs w:val="28"/>
          <w:shd w:val="clear" w:color="auto" w:fill="FFFFFF"/>
          <w:lang w:val="uk-UA"/>
        </w:rPr>
        <w:t xml:space="preserve"> </w:t>
      </w:r>
      <w:r w:rsidR="000B6EAF" w:rsidRPr="000A32AD">
        <w:rPr>
          <w:rFonts w:ascii="Times New Roman" w:hAnsi="Times New Roman" w:cs="Times New Roman"/>
          <w:color w:val="000000" w:themeColor="text1"/>
          <w:sz w:val="28"/>
          <w:szCs w:val="28"/>
          <w:shd w:val="clear" w:color="auto" w:fill="FFFFFF"/>
          <w:lang w:val="uk-UA"/>
        </w:rPr>
        <w:t>219</w:t>
      </w:r>
      <w:r w:rsidRPr="000A32AD">
        <w:rPr>
          <w:rFonts w:ascii="Times New Roman" w:hAnsi="Times New Roman" w:cs="Times New Roman"/>
          <w:color w:val="000000" w:themeColor="text1"/>
          <w:sz w:val="28"/>
          <w:szCs w:val="28"/>
          <w:shd w:val="clear" w:color="auto" w:fill="FFFFFF"/>
          <w:lang w:val="uk-UA"/>
        </w:rPr>
        <w:t>]. Наявність коморбідної патології до поліпрагмазії та значно збільшує фармакологічне навантаження на хворого [</w:t>
      </w:r>
      <w:r w:rsidR="00E77C08" w:rsidRPr="000A32AD">
        <w:rPr>
          <w:rFonts w:ascii="Times New Roman" w:hAnsi="Times New Roman" w:cs="Times New Roman"/>
          <w:color w:val="000000" w:themeColor="text1"/>
          <w:sz w:val="28"/>
          <w:szCs w:val="28"/>
          <w:shd w:val="clear" w:color="auto" w:fill="FFFFFF"/>
        </w:rPr>
        <w:t>93</w:t>
      </w:r>
      <w:r w:rsidRPr="000A32AD">
        <w:rPr>
          <w:rFonts w:ascii="Times New Roman" w:hAnsi="Times New Roman" w:cs="Times New Roman"/>
          <w:color w:val="000000" w:themeColor="text1"/>
          <w:sz w:val="28"/>
          <w:szCs w:val="28"/>
          <w:shd w:val="clear" w:color="auto" w:fill="FFFFFF"/>
          <w:lang w:val="uk-UA"/>
        </w:rPr>
        <w:t xml:space="preserve">; </w:t>
      </w:r>
      <w:r w:rsidR="000B6EAF" w:rsidRPr="000A32AD">
        <w:rPr>
          <w:rFonts w:ascii="Times New Roman" w:hAnsi="Times New Roman" w:cs="Times New Roman"/>
          <w:color w:val="000000" w:themeColor="text1"/>
          <w:sz w:val="28"/>
          <w:szCs w:val="28"/>
          <w:shd w:val="clear" w:color="auto" w:fill="FFFFFF"/>
          <w:lang w:val="uk-UA"/>
        </w:rPr>
        <w:t>156</w:t>
      </w:r>
      <w:r w:rsidRPr="000A32AD">
        <w:rPr>
          <w:rFonts w:ascii="Times New Roman" w:hAnsi="Times New Roman" w:cs="Times New Roman"/>
          <w:color w:val="000000" w:themeColor="text1"/>
          <w:sz w:val="28"/>
          <w:szCs w:val="28"/>
          <w:shd w:val="clear" w:color="auto" w:fill="FFFFFF"/>
          <w:lang w:val="uk-UA"/>
        </w:rPr>
        <w:t>].</w:t>
      </w:r>
      <w:r w:rsidR="00F17BD2" w:rsidRPr="000A32AD">
        <w:rPr>
          <w:rFonts w:ascii="Times New Roman" w:hAnsi="Times New Roman" w:cs="Times New Roman"/>
          <w:color w:val="000000" w:themeColor="text1"/>
          <w:sz w:val="28"/>
          <w:szCs w:val="28"/>
          <w:shd w:val="clear" w:color="auto" w:fill="FFFFFF"/>
          <w:lang w:val="uk-UA"/>
        </w:rPr>
        <w:t xml:space="preserve"> </w:t>
      </w:r>
      <w:r w:rsidRPr="000A32AD">
        <w:rPr>
          <w:rFonts w:ascii="Times New Roman" w:hAnsi="Times New Roman" w:cs="Times New Roman"/>
          <w:color w:val="000000" w:themeColor="text1"/>
          <w:sz w:val="28"/>
          <w:szCs w:val="28"/>
          <w:shd w:val="clear" w:color="auto" w:fill="FFFFFF"/>
          <w:lang w:val="uk-UA"/>
        </w:rPr>
        <w:t xml:space="preserve">В структурі коморбідної патології провідне місце займають ЦД 2 типу та ССЗ. В 2015 році у світі </w:t>
      </w:r>
      <w:r w:rsidRPr="000A32AD">
        <w:rPr>
          <w:rFonts w:ascii="Times New Roman" w:hAnsi="Times New Roman" w:cs="Times New Roman"/>
          <w:color w:val="000000" w:themeColor="text1"/>
          <w:sz w:val="28"/>
          <w:szCs w:val="28"/>
          <w:lang w:val="uk-UA"/>
        </w:rPr>
        <w:t>на ЦД страждали 415 млн. людей, або 11% популяції, а до 2040 року прогнозується збільшення поширеності ЦД до 642 млн. [</w:t>
      </w:r>
      <w:r w:rsidR="008C4B91" w:rsidRPr="000A32AD">
        <w:rPr>
          <w:rFonts w:ascii="Times New Roman" w:hAnsi="Times New Roman" w:cs="Times New Roman"/>
          <w:color w:val="000000" w:themeColor="text1"/>
          <w:sz w:val="28"/>
          <w:szCs w:val="28"/>
          <w:lang w:val="uk-UA"/>
        </w:rPr>
        <w:t>149</w:t>
      </w:r>
      <w:r w:rsidRPr="000A32AD">
        <w:rPr>
          <w:rFonts w:ascii="Times New Roman" w:hAnsi="Times New Roman" w:cs="Times New Roman"/>
          <w:color w:val="000000" w:themeColor="text1"/>
          <w:sz w:val="28"/>
          <w:szCs w:val="28"/>
          <w:lang w:val="uk-UA"/>
        </w:rPr>
        <w:t>].</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Серед серцево-судинної патології найбільш поширеним захворюванням є АГ, на яку </w:t>
      </w:r>
      <w:r w:rsidRPr="000A32AD">
        <w:rPr>
          <w:rFonts w:ascii="Times New Roman" w:hAnsi="Times New Roman" w:cs="Times New Roman"/>
          <w:color w:val="000000" w:themeColor="text1"/>
          <w:sz w:val="28"/>
          <w:szCs w:val="28"/>
          <w:shd w:val="clear" w:color="auto" w:fill="FFFFFF"/>
          <w:lang w:val="uk-UA"/>
        </w:rPr>
        <w:t>страждають більш 1,5 млрд. людей у світі</w:t>
      </w:r>
      <w:r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shd w:val="clear" w:color="auto" w:fill="FFFFFF"/>
          <w:lang w:val="uk-UA"/>
        </w:rPr>
        <w:t>[</w:t>
      </w:r>
      <w:r w:rsidR="000B6EAF" w:rsidRPr="000A32AD">
        <w:rPr>
          <w:rFonts w:ascii="Times New Roman" w:hAnsi="Times New Roman" w:cs="Times New Roman"/>
          <w:color w:val="000000" w:themeColor="text1"/>
          <w:sz w:val="28"/>
          <w:szCs w:val="28"/>
          <w:lang w:val="uk-UA"/>
        </w:rPr>
        <w:t>141</w:t>
      </w:r>
      <w:r w:rsidRPr="000A32AD">
        <w:rPr>
          <w:rFonts w:ascii="Times New Roman" w:hAnsi="Times New Roman" w:cs="Times New Roman"/>
          <w:color w:val="000000" w:themeColor="text1"/>
          <w:sz w:val="28"/>
          <w:szCs w:val="28"/>
          <w:lang w:val="uk-UA"/>
        </w:rPr>
        <w:t xml:space="preserve">]. Причому серед хворих на ЦД 2 типу АГ виявляється більш ніж в </w:t>
      </w:r>
      <w:r w:rsidRPr="000A32AD">
        <w:rPr>
          <w:rFonts w:ascii="Times New Roman" w:hAnsi="Times New Roman" w:cs="Times New Roman"/>
          <w:color w:val="000000" w:themeColor="text1"/>
          <w:sz w:val="28"/>
          <w:szCs w:val="28"/>
          <w:lang w:val="uk-UA" w:eastAsia="ar-SA"/>
        </w:rPr>
        <w:t>60% випадків [</w:t>
      </w:r>
      <w:r w:rsidR="008C4B91" w:rsidRPr="000A32AD">
        <w:rPr>
          <w:rFonts w:ascii="Times New Roman" w:hAnsi="Times New Roman" w:cs="Times New Roman"/>
          <w:color w:val="000000" w:themeColor="text1"/>
          <w:sz w:val="28"/>
          <w:szCs w:val="28"/>
          <w:lang w:val="uk-UA" w:eastAsia="ar-SA"/>
        </w:rPr>
        <w:t>144</w:t>
      </w:r>
      <w:r w:rsidRPr="000A32AD">
        <w:rPr>
          <w:rFonts w:ascii="Times New Roman" w:hAnsi="Times New Roman" w:cs="Times New Roman"/>
          <w:color w:val="000000" w:themeColor="text1"/>
          <w:sz w:val="28"/>
          <w:szCs w:val="28"/>
          <w:lang w:val="uk-UA" w:eastAsia="ar-SA"/>
        </w:rPr>
        <w:t xml:space="preserve">]. </w:t>
      </w:r>
      <w:r w:rsidRPr="000A32AD">
        <w:rPr>
          <w:rFonts w:ascii="Times New Roman" w:hAnsi="Times New Roman" w:cs="Times New Roman"/>
          <w:color w:val="000000" w:themeColor="text1"/>
          <w:sz w:val="28"/>
          <w:szCs w:val="28"/>
          <w:lang w:val="uk-UA"/>
        </w:rPr>
        <w:t xml:space="preserve">Така коморбідна патологія значно збільшує ризик важких серцево-судинних ускладнень </w:t>
      </w:r>
      <w:r w:rsidRPr="000A32AD">
        <w:rPr>
          <w:rFonts w:ascii="Times New Roman" w:hAnsi="Times New Roman" w:cs="Times New Roman"/>
          <w:color w:val="000000" w:themeColor="text1"/>
          <w:sz w:val="28"/>
          <w:szCs w:val="28"/>
          <w:lang w:val="uk-UA" w:eastAsia="ar-SA"/>
        </w:rPr>
        <w:t>[</w:t>
      </w:r>
      <w:r w:rsidR="008C4B91" w:rsidRPr="000A32AD">
        <w:rPr>
          <w:rFonts w:ascii="Times New Roman" w:hAnsi="Times New Roman" w:cs="Times New Roman"/>
          <w:color w:val="000000" w:themeColor="text1"/>
          <w:sz w:val="28"/>
          <w:szCs w:val="28"/>
          <w:lang w:val="uk-UA"/>
        </w:rPr>
        <w:t>144</w:t>
      </w:r>
      <w:r w:rsidRPr="000A32AD">
        <w:rPr>
          <w:rFonts w:ascii="Times New Roman" w:hAnsi="Times New Roman" w:cs="Times New Roman"/>
          <w:color w:val="000000" w:themeColor="text1"/>
          <w:sz w:val="28"/>
          <w:szCs w:val="28"/>
          <w:lang w:val="uk-UA" w:eastAsia="ar-SA"/>
        </w:rPr>
        <w:t xml:space="preserve">]. </w:t>
      </w:r>
      <w:r w:rsidRPr="000A32AD">
        <w:rPr>
          <w:rFonts w:ascii="Times New Roman" w:hAnsi="Times New Roman" w:cs="Times New Roman"/>
          <w:color w:val="000000" w:themeColor="text1"/>
          <w:sz w:val="28"/>
          <w:szCs w:val="28"/>
          <w:lang w:val="uk-UA"/>
        </w:rPr>
        <w:t>Наявність АГ у хворих на ЦД 1 типу асоціюється зі збільшенням частоти важких стадій діабетичної нефропатії та ретинопатії, з іншого боку, ЦД значно збільшує ризик виникнення та розвитку АГ, а АГ пов’язують з високим ризиком розвитку і</w:t>
      </w:r>
      <w:r w:rsidR="00D46B2D" w:rsidRPr="000A32AD">
        <w:rPr>
          <w:rFonts w:ascii="Times New Roman" w:hAnsi="Times New Roman" w:cs="Times New Roman"/>
          <w:color w:val="000000" w:themeColor="text1"/>
          <w:sz w:val="28"/>
          <w:szCs w:val="28"/>
          <w:lang w:val="uk-UA"/>
        </w:rPr>
        <w:t>нсулінорезистентності та метабо</w:t>
      </w:r>
      <w:r w:rsidRPr="000A32AD">
        <w:rPr>
          <w:rFonts w:ascii="Times New Roman" w:hAnsi="Times New Roman" w:cs="Times New Roman"/>
          <w:color w:val="000000" w:themeColor="text1"/>
          <w:sz w:val="28"/>
          <w:szCs w:val="28"/>
          <w:lang w:val="uk-UA"/>
        </w:rPr>
        <w:t>лічних порушень [</w:t>
      </w:r>
      <w:r w:rsidR="008C4B91" w:rsidRPr="000A32AD">
        <w:rPr>
          <w:rFonts w:ascii="Times New Roman" w:hAnsi="Times New Roman" w:cs="Times New Roman"/>
          <w:color w:val="000000" w:themeColor="text1"/>
          <w:sz w:val="28"/>
          <w:szCs w:val="28"/>
          <w:lang w:val="uk-UA"/>
        </w:rPr>
        <w:t>55</w:t>
      </w:r>
      <w:r w:rsidRPr="000A32AD">
        <w:rPr>
          <w:rFonts w:ascii="Times New Roman" w:hAnsi="Times New Roman" w:cs="Times New Roman"/>
          <w:color w:val="000000" w:themeColor="text1"/>
          <w:sz w:val="28"/>
          <w:szCs w:val="28"/>
          <w:lang w:val="uk-UA"/>
        </w:rPr>
        <w:t>]. При поєднанні АГ та ЦД ризик розвитку ІХС зростає в 2-4 рази, інсульту - у 2-3 рази, втрати зору – у 10-25 разів, ниркової недостатності - у 15-20 разів, гангрени нижніх кінцівок - у 20 разів. [</w:t>
      </w:r>
      <w:r w:rsidR="008C4B91" w:rsidRPr="000A32AD">
        <w:rPr>
          <w:rFonts w:ascii="Times New Roman" w:hAnsi="Times New Roman" w:cs="Times New Roman"/>
          <w:color w:val="000000" w:themeColor="text1"/>
          <w:sz w:val="28"/>
          <w:szCs w:val="28"/>
          <w:shd w:val="clear" w:color="auto" w:fill="FFFFFF"/>
          <w:lang w:val="uk-UA"/>
        </w:rPr>
        <w:t>244</w:t>
      </w:r>
      <w:r w:rsidRPr="000A32AD">
        <w:rPr>
          <w:rFonts w:ascii="Times New Roman" w:hAnsi="Times New Roman" w:cs="Times New Roman"/>
          <w:color w:val="000000" w:themeColor="text1"/>
          <w:sz w:val="28"/>
          <w:szCs w:val="28"/>
          <w:lang w:val="uk-UA"/>
        </w:rPr>
        <w:t>].</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Також досить частою патологією, щ</w:t>
      </w:r>
      <w:r w:rsidR="00D46B2D" w:rsidRPr="000A32AD">
        <w:rPr>
          <w:rFonts w:ascii="Times New Roman" w:hAnsi="Times New Roman" w:cs="Times New Roman"/>
          <w:color w:val="000000" w:themeColor="text1"/>
          <w:sz w:val="28"/>
          <w:szCs w:val="28"/>
          <w:lang w:val="uk-UA"/>
        </w:rPr>
        <w:t>о сполучається з іншими захворю</w:t>
      </w:r>
      <w:r w:rsidRPr="000A32AD">
        <w:rPr>
          <w:rFonts w:ascii="Times New Roman" w:hAnsi="Times New Roman" w:cs="Times New Roman"/>
          <w:color w:val="000000" w:themeColor="text1"/>
          <w:sz w:val="28"/>
          <w:szCs w:val="28"/>
          <w:lang w:val="uk-UA"/>
        </w:rPr>
        <w:t>ваннями є НДСТ. Її поширеність в популяції сягає 7%, а одиничні фенотипові ознаки виявляються майже у кожної четвертої людини [</w:t>
      </w:r>
      <w:r w:rsidR="00314D2E" w:rsidRPr="000A32AD">
        <w:rPr>
          <w:rFonts w:ascii="Times New Roman" w:hAnsi="Times New Roman" w:cs="Times New Roman"/>
          <w:color w:val="000000" w:themeColor="text1"/>
          <w:sz w:val="28"/>
          <w:szCs w:val="28"/>
          <w:lang w:val="uk-UA"/>
        </w:rPr>
        <w:t>28</w:t>
      </w:r>
      <w:r w:rsidRPr="000A32AD">
        <w:rPr>
          <w:rFonts w:ascii="Times New Roman" w:hAnsi="Times New Roman" w:cs="Times New Roman"/>
          <w:color w:val="000000" w:themeColor="text1"/>
          <w:sz w:val="28"/>
          <w:szCs w:val="28"/>
          <w:lang w:val="uk-UA"/>
        </w:rPr>
        <w:t xml:space="preserve">; </w:t>
      </w:r>
      <w:r w:rsidR="00D44D65" w:rsidRPr="000A32AD">
        <w:rPr>
          <w:rFonts w:ascii="Times New Roman" w:hAnsi="Times New Roman" w:cs="Times New Roman"/>
          <w:iCs/>
          <w:color w:val="000000" w:themeColor="text1"/>
          <w:sz w:val="28"/>
          <w:szCs w:val="28"/>
          <w:lang w:val="uk-UA"/>
        </w:rPr>
        <w:t>33</w:t>
      </w:r>
      <w:r w:rsidRPr="000A32AD">
        <w:rPr>
          <w:rFonts w:ascii="Times New Roman" w:hAnsi="Times New Roman" w:cs="Times New Roman"/>
          <w:color w:val="000000" w:themeColor="text1"/>
          <w:sz w:val="28"/>
          <w:szCs w:val="28"/>
          <w:lang w:val="uk-UA"/>
        </w:rPr>
        <w:t xml:space="preserve">]. Наслідком ДСТ є порушення метаболізму сполучної тканини, яка є основною структурною одиницею практично всіх органів та структур організму людини. </w:t>
      </w:r>
      <w:r w:rsidRPr="000A32AD">
        <w:rPr>
          <w:rFonts w:ascii="Times New Roman" w:hAnsi="Times New Roman" w:cs="Times New Roman"/>
          <w:color w:val="000000" w:themeColor="text1"/>
          <w:sz w:val="28"/>
          <w:szCs w:val="28"/>
          <w:lang w:val="uk-UA"/>
        </w:rPr>
        <w:lastRenderedPageBreak/>
        <w:t>Ці патологічні зміни стосуються як функціонально активних клітин сполучної тканини, так й її основної речовини. Наслідком цих порушень є розвиток інших захворювань та їх ускладнений перебіг. Зокрема,</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доведено, що ДСТ сприяє ускладненому перебігу</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ЦД </w:t>
      </w:r>
      <w:r w:rsidRPr="000A32AD">
        <w:rPr>
          <w:rFonts w:ascii="Times New Roman" w:hAnsi="Times New Roman" w:cs="Times New Roman"/>
          <w:bCs/>
          <w:color w:val="000000" w:themeColor="text1"/>
          <w:sz w:val="28"/>
          <w:szCs w:val="28"/>
          <w:lang w:val="uk-UA"/>
        </w:rPr>
        <w:t>[</w:t>
      </w:r>
      <w:r w:rsidR="00365A66" w:rsidRPr="000A32AD">
        <w:rPr>
          <w:rFonts w:ascii="Times New Roman" w:hAnsi="Times New Roman" w:cs="Times New Roman"/>
          <w:bCs/>
          <w:color w:val="000000" w:themeColor="text1"/>
          <w:sz w:val="28"/>
          <w:szCs w:val="28"/>
          <w:lang w:val="uk-UA"/>
        </w:rPr>
        <w:t>2</w:t>
      </w:r>
      <w:r w:rsidRPr="000A32AD">
        <w:rPr>
          <w:rFonts w:ascii="Times New Roman" w:hAnsi="Times New Roman" w:cs="Times New Roman"/>
          <w:bCs/>
          <w:color w:val="000000" w:themeColor="text1"/>
          <w:sz w:val="28"/>
          <w:szCs w:val="28"/>
          <w:lang w:val="uk-UA"/>
        </w:rPr>
        <w:t xml:space="preserve">; </w:t>
      </w:r>
      <w:r w:rsidR="008C4B91" w:rsidRPr="000A32AD">
        <w:rPr>
          <w:rFonts w:ascii="Times New Roman" w:hAnsi="Times New Roman" w:cs="Times New Roman"/>
          <w:color w:val="000000" w:themeColor="text1"/>
          <w:sz w:val="28"/>
          <w:szCs w:val="28"/>
          <w:lang w:val="uk-UA"/>
        </w:rPr>
        <w:t>50</w:t>
      </w:r>
      <w:r w:rsidRPr="000A32AD">
        <w:rPr>
          <w:rFonts w:ascii="Times New Roman" w:hAnsi="Times New Roman" w:cs="Times New Roman"/>
          <w:bCs/>
          <w:color w:val="000000" w:themeColor="text1"/>
          <w:sz w:val="28"/>
          <w:szCs w:val="28"/>
          <w:lang w:val="uk-UA"/>
        </w:rPr>
        <w:t>]</w:t>
      </w:r>
      <w:r w:rsidRPr="000A32AD">
        <w:rPr>
          <w:rFonts w:ascii="Times New Roman" w:hAnsi="Times New Roman" w:cs="Times New Roman"/>
          <w:color w:val="000000" w:themeColor="text1"/>
          <w:sz w:val="28"/>
          <w:szCs w:val="28"/>
          <w:lang w:val="uk-UA"/>
        </w:rPr>
        <w:t>. Тому вивчення ролі ДСТ у патогенезі АГ та судинних ускладнень ЦД 2 типу має важливе науково-практичне значення. Потенційним маркером судинних уражень при ЦД 2 типу у хворих з НДСТ може бути активність FGF2, якій бере участь у процесах проліферації, міграції та диференціювання основних клітинних елементів сполучної тканини, у формуванні позаклитинного матриксу та в процесах ангіогенезу [</w:t>
      </w:r>
      <w:r w:rsidR="00312DBE" w:rsidRPr="000A32AD">
        <w:rPr>
          <w:rFonts w:ascii="Times New Roman" w:eastAsia="Times New Roman" w:hAnsi="Times New Roman" w:cs="Times New Roman"/>
          <w:color w:val="000000" w:themeColor="text1"/>
          <w:sz w:val="28"/>
          <w:szCs w:val="28"/>
          <w:lang w:val="uk-UA"/>
        </w:rPr>
        <w:t>102;</w:t>
      </w:r>
      <w:r w:rsidR="00873566" w:rsidRPr="000A32AD">
        <w:rPr>
          <w:rFonts w:ascii="Times New Roman" w:eastAsia="Times New Roman" w:hAnsi="Times New Roman" w:cs="Times New Roman"/>
          <w:color w:val="000000" w:themeColor="text1"/>
          <w:sz w:val="28"/>
          <w:szCs w:val="28"/>
          <w:lang w:val="uk-UA"/>
        </w:rPr>
        <w:t>106;</w:t>
      </w:r>
      <w:r w:rsidRPr="000A32AD">
        <w:rPr>
          <w:rFonts w:ascii="Times New Roman" w:eastAsia="Times New Roman" w:hAnsi="Times New Roman" w:cs="Times New Roman"/>
          <w:color w:val="000000" w:themeColor="text1"/>
          <w:sz w:val="28"/>
          <w:szCs w:val="28"/>
          <w:lang w:val="uk-UA"/>
        </w:rPr>
        <w:t xml:space="preserve"> </w:t>
      </w:r>
      <w:r w:rsidR="00873566" w:rsidRPr="000A32AD">
        <w:rPr>
          <w:rFonts w:ascii="Times New Roman" w:hAnsi="Times New Roman" w:cs="Times New Roman"/>
          <w:color w:val="000000" w:themeColor="text1"/>
          <w:sz w:val="28"/>
          <w:szCs w:val="28"/>
          <w:lang w:val="uk-UA"/>
        </w:rPr>
        <w:t>198</w:t>
      </w:r>
      <w:r w:rsidRPr="000A32AD">
        <w:rPr>
          <w:rFonts w:ascii="Times New Roman" w:hAnsi="Times New Roman" w:cs="Times New Roman"/>
          <w:color w:val="000000" w:themeColor="text1"/>
          <w:sz w:val="28"/>
          <w:szCs w:val="28"/>
          <w:lang w:val="uk-UA"/>
        </w:rPr>
        <w:t xml:space="preserve">]. </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Метою дослідження було </w:t>
      </w:r>
      <w:r w:rsidR="00426283" w:rsidRPr="000A32AD">
        <w:rPr>
          <w:rFonts w:ascii="Times New Roman" w:hAnsi="Times New Roman" w:cs="Times New Roman"/>
          <w:color w:val="000000" w:themeColor="text1"/>
          <w:sz w:val="28"/>
          <w:szCs w:val="28"/>
          <w:lang w:val="uk-UA"/>
        </w:rPr>
        <w:t>підвищення ефективності ранньої діагностики та прогнозування артеріальної гіпертензії у хворих на цукровий діабет 2 типу шляхом визначення ланок патогенезу судинних ускладнень при наявності ознак дисплазії сполучної тканини</w:t>
      </w:r>
      <w:r w:rsidRPr="000A32AD">
        <w:rPr>
          <w:rFonts w:ascii="Times New Roman" w:hAnsi="Times New Roman" w:cs="Times New Roman"/>
          <w:color w:val="000000" w:themeColor="text1"/>
          <w:sz w:val="28"/>
          <w:szCs w:val="28"/>
          <w:lang w:val="uk-UA"/>
        </w:rPr>
        <w:t>. Для досягнення цієї мети необхідно було виріши</w:t>
      </w:r>
      <w:r w:rsidR="00A131C4" w:rsidRPr="00572254">
        <w:rPr>
          <w:rFonts w:ascii="Times New Roman" w:hAnsi="Times New Roman" w:cs="Times New Roman"/>
          <w:color w:val="000000" w:themeColor="text1"/>
          <w:sz w:val="28"/>
          <w:szCs w:val="28"/>
          <w:lang w:val="uk-UA"/>
        </w:rPr>
        <w:softHyphen/>
      </w:r>
      <w:r w:rsidRPr="000A32AD">
        <w:rPr>
          <w:rFonts w:ascii="Times New Roman" w:hAnsi="Times New Roman" w:cs="Times New Roman"/>
          <w:color w:val="000000" w:themeColor="text1"/>
          <w:sz w:val="28"/>
          <w:szCs w:val="28"/>
          <w:lang w:val="uk-UA"/>
        </w:rPr>
        <w:t>ти наступні питання: вивчити особливості судинних та ниркових ускладнень, а також коморбідної патології у хворих на ЦД 2 типу у поєднанні з НДСТ, дослідити рівень FGF2 в крові хворих на ЦД 2 типу залежно від наявності НДСТ, проаналізуватии</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залежність рівня FGF2 від тривалості ЦД та наявності АГ, вивчити патоморфологічні зміни паренхіми нирок та їх судин у хворих на ЦД 2 типу залежно від наявності НДСТ, з’ясувати патогенетичну роль НДСТ у патогенезі АГ та судинних ускладнень ЦД 2 типу та можливість застосування маркерів НДСТ для прогнозування</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розвитку АГ</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у хворих на ЦД 2 типу.</w:t>
      </w:r>
    </w:p>
    <w:p w:rsidR="00A33195" w:rsidRPr="000A32AD" w:rsidRDefault="00A33195" w:rsidP="00A33195">
      <w:pPr>
        <w:widowControl w:val="0"/>
        <w:spacing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lang w:val="uk-UA"/>
        </w:rPr>
        <w:t xml:space="preserve">Для вирішення поставлених завдань виконано проспективне дослідження 90 пацієнтів, що знаходились в ендокринологічному відділенні Харківської обласної клінічної лікарні з ЦД 2 типу та ретроспективний аналіз епікризів цих хворих при попередніх госпіталізаціях. У дослідження включались хворі віком від 35 до 45 років з тривалістю ЦД не більш 10 років та відсутністю важких ускладнень, які є проявом тяжкого перебігу захворювання. Всім хворим виконувалось комплексне клініко-лабораторне та інструментальне дослідження </w:t>
      </w:r>
      <w:r w:rsidRPr="000A32AD">
        <w:rPr>
          <w:rFonts w:ascii="Times New Roman" w:hAnsi="Times New Roman" w:cs="Times New Roman"/>
          <w:color w:val="000000" w:themeColor="text1"/>
          <w:sz w:val="28"/>
          <w:szCs w:val="28"/>
          <w:lang w:val="uk-UA"/>
        </w:rPr>
        <w:lastRenderedPageBreak/>
        <w:t>відповідно до діючих протоколів надання допомоги при ЦД 2 типу та при АГ. Крім цього, відповідно до мети дослідження прицільно виявлялися фенотипічні вісцеральні та/або скелетні ознаки НДСТ та досліджен</w:t>
      </w:r>
      <w:r w:rsidR="00AC3463" w:rsidRPr="000A32AD">
        <w:rPr>
          <w:rFonts w:ascii="Times New Roman" w:hAnsi="Times New Roman" w:cs="Times New Roman"/>
          <w:color w:val="000000" w:themeColor="text1"/>
          <w:sz w:val="28"/>
          <w:szCs w:val="28"/>
          <w:lang w:val="uk-UA"/>
        </w:rPr>
        <w:t xml:space="preserve">а </w:t>
      </w:r>
      <w:r w:rsidRPr="000A32AD">
        <w:rPr>
          <w:rFonts w:ascii="Times New Roman" w:hAnsi="Times New Roman" w:cs="Times New Roman"/>
          <w:color w:val="000000" w:themeColor="text1"/>
          <w:sz w:val="28"/>
          <w:szCs w:val="28"/>
          <w:lang w:val="uk-UA"/>
        </w:rPr>
        <w:t>концентраці</w:t>
      </w:r>
      <w:r w:rsidR="00AC3463" w:rsidRPr="000A32AD">
        <w:rPr>
          <w:rFonts w:ascii="Times New Roman" w:hAnsi="Times New Roman" w:cs="Times New Roman"/>
          <w:color w:val="000000" w:themeColor="text1"/>
          <w:sz w:val="28"/>
          <w:szCs w:val="28"/>
          <w:lang w:val="uk-UA"/>
        </w:rPr>
        <w:t>я</w:t>
      </w:r>
      <w:r w:rsidRPr="000A32AD">
        <w:rPr>
          <w:rFonts w:ascii="Times New Roman" w:hAnsi="Times New Roman" w:cs="Times New Roman"/>
          <w:color w:val="000000" w:themeColor="text1"/>
          <w:sz w:val="28"/>
          <w:szCs w:val="28"/>
          <w:lang w:val="uk-UA"/>
        </w:rPr>
        <w:t xml:space="preserve"> </w:t>
      </w:r>
      <w:r w:rsidRPr="000A32AD">
        <w:rPr>
          <w:rStyle w:val="14"/>
          <w:i w:val="0"/>
          <w:color w:val="000000" w:themeColor="text1"/>
          <w:lang w:val="uk-UA"/>
        </w:rPr>
        <w:t xml:space="preserve">FGF2 імуноферментним методом на базі відділу фармакології та токсикології Інституту проблем ендокринної патології </w:t>
      </w:r>
      <w:r w:rsidRPr="000A32AD">
        <w:rPr>
          <w:rFonts w:ascii="Times New Roman" w:eastAsia="Times New Roman" w:hAnsi="Times New Roman" w:cs="Times New Roman"/>
          <w:color w:val="000000" w:themeColor="text1"/>
          <w:sz w:val="28"/>
          <w:szCs w:val="28"/>
          <w:shd w:val="clear" w:color="auto" w:fill="FFFFFF"/>
          <w:lang w:val="uk-UA"/>
        </w:rPr>
        <w:t>ім. В.Я. Данілевського НАМН України.</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Серед пацієнтів, що увійшли в дослідження фенотипічні (вісцеральні та/або скелетні) ознаки НДСТ мали 48 пацієнтів (І група) та у 42 пацієнтів ознак НДСТ не було (ІІ група). В результаті аналізу встановлено, середній вік хворих І групи</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був достовірно меншим, ніж в ІІ групі (р=0,003). В обох групах переважали жінки з недостовірним відносним збільшенням їх питомої в І групі (р=0,470). Середній зріст хворих І групи був незначно, але достовірно більшим ніж у хворих ІІ групи (р=0,045). Вага, навпаки, у пацієнтів І групи була досто</w:t>
      </w:r>
      <w:r w:rsidR="00A131C4" w:rsidRPr="00572254">
        <w:rPr>
          <w:rFonts w:ascii="Times New Roman" w:hAnsi="Times New Roman" w:cs="Times New Roman"/>
          <w:color w:val="000000" w:themeColor="text1"/>
          <w:sz w:val="28"/>
          <w:szCs w:val="28"/>
        </w:rPr>
        <w:softHyphen/>
      </w:r>
      <w:r w:rsidRPr="000A32AD">
        <w:rPr>
          <w:rFonts w:ascii="Times New Roman" w:hAnsi="Times New Roman" w:cs="Times New Roman"/>
          <w:color w:val="000000" w:themeColor="text1"/>
          <w:sz w:val="28"/>
          <w:szCs w:val="28"/>
          <w:lang w:val="uk-UA"/>
        </w:rPr>
        <w:t>вір</w:t>
      </w:r>
      <w:r w:rsidR="00A131C4" w:rsidRPr="00572254">
        <w:rPr>
          <w:rFonts w:ascii="Times New Roman" w:hAnsi="Times New Roman" w:cs="Times New Roman"/>
          <w:color w:val="000000" w:themeColor="text1"/>
          <w:sz w:val="28"/>
          <w:szCs w:val="28"/>
        </w:rPr>
        <w:softHyphen/>
      </w:r>
      <w:r w:rsidRPr="000A32AD">
        <w:rPr>
          <w:rFonts w:ascii="Times New Roman" w:hAnsi="Times New Roman" w:cs="Times New Roman"/>
          <w:color w:val="000000" w:themeColor="text1"/>
          <w:sz w:val="28"/>
          <w:szCs w:val="28"/>
          <w:lang w:val="uk-UA"/>
        </w:rPr>
        <w:t>но меншою (р=0,020 за t-критерієм). Кількість пацієнтів з надмірною вагою в І групі була вищою, ніж в ІІ групі (р=0,197), але</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кількість хворих з ожирінням в І групі була менше, ніж в ІІ групі, що наближалось до достовірного рівня (р=0,070).</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За результатами аналізу особливостей перебігу ЦД встановлено, що середня тривалість захворювання суттєво не відрізнялась (р=0,108 за t-критерієм). Медіана рівня </w:t>
      </w:r>
      <w:r w:rsidRPr="000A32AD">
        <w:rPr>
          <w:rFonts w:ascii="Times New Roman" w:hAnsi="Times New Roman" w:cs="Times New Roman"/>
          <w:color w:val="000000" w:themeColor="text1"/>
          <w:sz w:val="28"/>
          <w:szCs w:val="28"/>
          <w:shd w:val="clear" w:color="auto" w:fill="FFFFFF"/>
          <w:lang w:val="uk-UA"/>
        </w:rPr>
        <w:t xml:space="preserve">HbA1c у хворих І групи була дещо вищою ніж у хворих ІІ групи (р=0,121 за критерієм Мана-Уітні). </w:t>
      </w:r>
      <w:r w:rsidRPr="000A32AD">
        <w:rPr>
          <w:rFonts w:ascii="Times New Roman" w:hAnsi="Times New Roman" w:cs="Times New Roman"/>
          <w:color w:val="000000" w:themeColor="text1"/>
          <w:sz w:val="28"/>
          <w:szCs w:val="28"/>
          <w:lang w:val="uk-UA"/>
        </w:rPr>
        <w:t>Досить частим ускладненням ЦД в аналізуємій вибірці пацієнтів була діабетична нефропатія, яка в І групі виявлялась частіше, ніж в ІІ групі (р=0,002), більш часто у хворих І групи виявлялася МАУ (р=0,040). Медіана величини ШКФ в І групі була меншою, ніж в ІІ групі (р=0,007), більш часто в цей групі виявлялись хворі зі зниженою ШКФ (р=0,059). Крім цього при наявності НДСТ більш часто виявлялась діабетична ретинопатія (р=0,184) та діабетична нейропатія (р=0,105).</w:t>
      </w:r>
      <w:r w:rsidR="00A131C4" w:rsidRPr="00572254">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Аналіз цих показників виявив, що НДСТ може бути причиною </w:t>
      </w:r>
      <w:r w:rsidRPr="000A32AD">
        <w:rPr>
          <w:rFonts w:ascii="Times New Roman" w:hAnsi="Times New Roman" w:cs="Times New Roman"/>
          <w:color w:val="000000" w:themeColor="text1"/>
          <w:sz w:val="28"/>
          <w:szCs w:val="28"/>
          <w:lang w:val="uk-UA"/>
        </w:rPr>
        <w:lastRenderedPageBreak/>
        <w:t>ускладненого перебігу ЦД 2 типу, зокрема розвитку нефропатії з МАУ та зниженням ШКФ.</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Аналіз супутньої патології виявив, що крім фенотипічних ознак НДСТ досить часто виявлялися захворювання іншої етіології, зокрема АГ та хронічного холециститу, які в І групі були достовірно частішими, ніж в ІІ групі (р&lt;0,001 та &lt;0,05 відповідно). Особливо це стосується АГ, яку</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виявлено у 93,7% хворих І групи та у 52,4% хворих ІІ групи, причому в І групі АГ 2 та 3 ст. виявлялась у 35,4% та 6,3% хворих відповідно, в ІІ групі – у 11,9% та 2,4% хворих відповідно.</w:t>
      </w:r>
      <w:r w:rsidR="00F17BD2" w:rsidRPr="000A32AD">
        <w:rPr>
          <w:rFonts w:ascii="Times New Roman" w:hAnsi="Times New Roman" w:cs="Times New Roman"/>
          <w:color w:val="000000" w:themeColor="text1"/>
          <w:sz w:val="28"/>
          <w:szCs w:val="28"/>
          <w:lang w:val="uk-UA"/>
        </w:rPr>
        <w:t xml:space="preserve"> </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Додатковий аналіз виявив, що в І групі залежності частоти та виразності АГ від тривалості ЦД 2 (до 5 років та від 5 до 10 років) типу не було (р=0,659), у той час як у хворих ІІ групи з тривалістю діабету від 5 до 10 років частота АГ та частота АГ 2 ст. та 3 ст. значно зростає</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у порівнянні з пацієнтами, що хворіють менш 5 років (р&lt;0,001). За результатами кореляційного аналізу встановлено, що в І групі кореляція АГ з тривалістю ЦД дуже слабка та не достовірна (p=0,538), в ІІ групі кореляція позитивна сильна позитивна та достовірна (p&lt;0,001).</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Крім цього, встановлено, що виразність АГ в І групі залежала від тяжкості НДСТ, яку оцінювали за наявністю кількох фенотипічних ознак – вісцеральних та скелетних, або тільки скелетних. Якщо частота АГ була однаково високою, то при наявності водночас вісцеральних та скелетних ознак спостерігається тенденція до збільшення</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АГ 2 та 3 ст. (р=0,294).</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Загалом в результаті аналізу загально-клінічних даних, особливостей перебігу ЦД 2 типу та супутньої патології можна стверджувати, що у хворих з наявністю ознак НДСТ спостерігається меншій вік, навіть у межах вікової групи 35–45 років, менша вага, з тенденцією до зменшення ІМТ та зменшенням кількості хворих з ожирінням, зростає частота діабетичної нефропатії, ретино</w:t>
      </w:r>
      <w:r w:rsidR="007D665B" w:rsidRPr="000A32AD">
        <w:rPr>
          <w:rFonts w:ascii="Times New Roman" w:hAnsi="Times New Roman" w:cs="Times New Roman"/>
          <w:color w:val="000000" w:themeColor="text1"/>
          <w:sz w:val="28"/>
          <w:szCs w:val="28"/>
          <w:lang w:val="uk-UA"/>
        </w:rPr>
        <w:softHyphen/>
      </w:r>
      <w:r w:rsidRPr="000A32AD">
        <w:rPr>
          <w:rFonts w:ascii="Times New Roman" w:hAnsi="Times New Roman" w:cs="Times New Roman"/>
          <w:color w:val="000000" w:themeColor="text1"/>
          <w:sz w:val="28"/>
          <w:szCs w:val="28"/>
          <w:lang w:val="uk-UA"/>
        </w:rPr>
        <w:t>патії та нейропатії, та частота АГ.</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 xml:space="preserve">При цьому, розвиток АГ у хворих на ЦД 2 типу у сполученні з НДСТ відбувається раніше, та майже не залежить від </w:t>
      </w:r>
      <w:r w:rsidRPr="000A32AD">
        <w:rPr>
          <w:rFonts w:ascii="Times New Roman" w:hAnsi="Times New Roman" w:cs="Times New Roman"/>
          <w:color w:val="000000" w:themeColor="text1"/>
          <w:sz w:val="28"/>
          <w:szCs w:val="28"/>
          <w:lang w:val="uk-UA"/>
        </w:rPr>
        <w:lastRenderedPageBreak/>
        <w:t>тривалості діабету, більш виразна АГ спостерігається у хворих при наявності вісцеральних та скелетних ознак НДСТ. Це є свідченням ролі НДСТ у патогенезі АГ у хворих на ЦД 2 типу.</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Для уточнення патогенетичних механізмів впливу НДСТ на розвиток АГ та судинних захворювань була досліджена концентрація FGF2 в плазмі крові </w:t>
      </w:r>
      <w:r w:rsidR="005748A9" w:rsidRPr="000A32AD">
        <w:rPr>
          <w:rFonts w:ascii="Times New Roman" w:hAnsi="Times New Roman" w:cs="Times New Roman"/>
          <w:color w:val="000000" w:themeColor="text1"/>
          <w:sz w:val="28"/>
          <w:szCs w:val="28"/>
          <w:lang w:val="uk-UA"/>
        </w:rPr>
        <w:t xml:space="preserve">у хворих </w:t>
      </w:r>
      <w:r w:rsidRPr="000A32AD">
        <w:rPr>
          <w:rFonts w:ascii="Times New Roman" w:hAnsi="Times New Roman" w:cs="Times New Roman"/>
          <w:color w:val="000000" w:themeColor="text1"/>
          <w:sz w:val="28"/>
          <w:szCs w:val="28"/>
          <w:lang w:val="uk-UA"/>
        </w:rPr>
        <w:t>на ЦД 2 типу. Цей вибір був обумовлений відомою роллю FGF2 в метаболізмі сполучної тканини. На цей час встановлено, що FGF2 грає роль у ембріональному розвитку та диференціації клітин, у постнатальному періоді стимулює проліферацію клітин мезодермального та нейроектодермального походження, є хемотаксичним та мітогенним фактором для ендотеліальних клітин та ін. Відома його роль у модуляції нормальних процесів, що відбуваються протягом усього життя людини – ангіогенез, регенерація тканин, диференціювання клітин, але може призводити й до розвитку патологічних станів, включаючи онкопатологію та надмірний фіброз тканин.</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За результатами наших досліджень встановлено, що у всіх хворих з ЦД 2 типу, що увійшли у дослідження, медіана вмісту FGF2 була достовірно більшою, ніж в контролі (р&lt;0,05 за критерієм Мана-Уітні). У хворих І групи вміст FGF2 був достовірно більшим, ніж в контролі та ніж у хворих ІІ групи (р&lt;0,05 за критерієм Мана-Уітні в обох порівняннях). Відмічається тенденція до збільшення вмісту FGF2 у хворих з наявністю вісцеральних та скелетних ознак НДСТ. В результаті кореляційного аналізу вмісту FGF2 з іншими показниками виявлені цікаві відмінності. В І групі кореляція FGF2 з віком та тривалістю цукрового діабету була відсутня – r=0,107 та r=0,059 відповідно (р&gt;0,05). В ІІ групі навпаки виявлено достовірну сильну позитивну кореляцію FGF2 з віком (r=0,649, р&lt;0,001) та з тривалістю ЦД (r=0,357, р=0,02). Це</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свідчить про те, що у хворих на ЦД 2 типу вміст FGF2 зростає з віком та протягом захворювання. При наяв</w:t>
      </w:r>
      <w:r w:rsidR="007D665B" w:rsidRPr="000A32AD">
        <w:rPr>
          <w:rFonts w:ascii="Times New Roman" w:hAnsi="Times New Roman" w:cs="Times New Roman"/>
          <w:color w:val="000000" w:themeColor="text1"/>
          <w:sz w:val="28"/>
          <w:szCs w:val="28"/>
          <w:lang w:val="uk-UA"/>
        </w:rPr>
        <w:softHyphen/>
      </w:r>
      <w:r w:rsidRPr="000A32AD">
        <w:rPr>
          <w:rFonts w:ascii="Times New Roman" w:hAnsi="Times New Roman" w:cs="Times New Roman"/>
          <w:color w:val="000000" w:themeColor="text1"/>
          <w:sz w:val="28"/>
          <w:szCs w:val="28"/>
          <w:lang w:val="uk-UA"/>
        </w:rPr>
        <w:t xml:space="preserve">ності НДСТ у хворих на ЦД 2 типу цієї залежності немає, що можна пояснити початковим збільшенням вмісту FGF2 на фоні порушень метаболізму </w:t>
      </w:r>
      <w:r w:rsidRPr="000A32AD">
        <w:rPr>
          <w:rFonts w:ascii="Times New Roman" w:hAnsi="Times New Roman" w:cs="Times New Roman"/>
          <w:color w:val="000000" w:themeColor="text1"/>
          <w:sz w:val="28"/>
          <w:szCs w:val="28"/>
          <w:lang w:val="uk-UA"/>
        </w:rPr>
        <w:lastRenderedPageBreak/>
        <w:t xml:space="preserve">сполучної тканини. </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shd w:val="clear" w:color="auto" w:fill="FFFFFF"/>
          <w:lang w:val="uk-UA"/>
        </w:rPr>
      </w:pPr>
      <w:r w:rsidRPr="000A32AD">
        <w:rPr>
          <w:rFonts w:ascii="Times New Roman" w:hAnsi="Times New Roman" w:cs="Times New Roman"/>
          <w:color w:val="000000" w:themeColor="text1"/>
          <w:sz w:val="28"/>
          <w:szCs w:val="28"/>
          <w:lang w:val="uk-UA"/>
        </w:rPr>
        <w:t xml:space="preserve">Іншою цікавою закономірністю є наявність статистично достовірного кореляційного зв’язку вмісту </w:t>
      </w:r>
      <w:r w:rsidRPr="000A32AD">
        <w:rPr>
          <w:rFonts w:ascii="Times New Roman" w:hAnsi="Times New Roman" w:cs="Times New Roman"/>
          <w:color w:val="000000" w:themeColor="text1"/>
          <w:sz w:val="28"/>
          <w:szCs w:val="28"/>
          <w:shd w:val="clear" w:color="auto" w:fill="FFFFFF"/>
          <w:lang w:val="uk-UA"/>
        </w:rPr>
        <w:t>FGF2 крові хворих на ЦД з наявністю та вираз</w:t>
      </w:r>
      <w:r w:rsidR="00A131C4" w:rsidRPr="00572254">
        <w:rPr>
          <w:rFonts w:ascii="Times New Roman" w:hAnsi="Times New Roman" w:cs="Times New Roman"/>
          <w:color w:val="000000" w:themeColor="text1"/>
          <w:sz w:val="28"/>
          <w:szCs w:val="28"/>
          <w:shd w:val="clear" w:color="auto" w:fill="FFFFFF"/>
          <w:lang w:val="uk-UA"/>
        </w:rPr>
        <w:softHyphen/>
      </w:r>
      <w:r w:rsidRPr="000A32AD">
        <w:rPr>
          <w:rFonts w:ascii="Times New Roman" w:hAnsi="Times New Roman" w:cs="Times New Roman"/>
          <w:color w:val="000000" w:themeColor="text1"/>
          <w:sz w:val="28"/>
          <w:szCs w:val="28"/>
          <w:shd w:val="clear" w:color="auto" w:fill="FFFFFF"/>
          <w:lang w:val="uk-UA"/>
        </w:rPr>
        <w:t>ніс</w:t>
      </w:r>
      <w:r w:rsidR="00A131C4" w:rsidRPr="00572254">
        <w:rPr>
          <w:rFonts w:ascii="Times New Roman" w:hAnsi="Times New Roman" w:cs="Times New Roman"/>
          <w:color w:val="000000" w:themeColor="text1"/>
          <w:sz w:val="28"/>
          <w:szCs w:val="28"/>
          <w:shd w:val="clear" w:color="auto" w:fill="FFFFFF"/>
          <w:lang w:val="uk-UA"/>
        </w:rPr>
        <w:softHyphen/>
      </w:r>
      <w:r w:rsidRPr="000A32AD">
        <w:rPr>
          <w:rFonts w:ascii="Times New Roman" w:hAnsi="Times New Roman" w:cs="Times New Roman"/>
          <w:color w:val="000000" w:themeColor="text1"/>
          <w:sz w:val="28"/>
          <w:szCs w:val="28"/>
          <w:shd w:val="clear" w:color="auto" w:fill="FFFFFF"/>
          <w:lang w:val="uk-UA"/>
        </w:rPr>
        <w:t xml:space="preserve">тю АГ в обох групах – </w:t>
      </w:r>
      <w:r w:rsidRPr="000A32AD">
        <w:rPr>
          <w:rFonts w:ascii="Times New Roman" w:hAnsi="Times New Roman" w:cs="Times New Roman"/>
          <w:i/>
          <w:color w:val="000000" w:themeColor="text1"/>
          <w:sz w:val="28"/>
          <w:szCs w:val="28"/>
          <w:shd w:val="clear" w:color="auto" w:fill="FFFFFF"/>
          <w:lang w:val="uk-UA"/>
        </w:rPr>
        <w:t>r</w:t>
      </w:r>
      <w:r w:rsidRPr="000A32AD">
        <w:rPr>
          <w:rFonts w:ascii="Times New Roman" w:hAnsi="Times New Roman" w:cs="Times New Roman"/>
          <w:color w:val="000000" w:themeColor="text1"/>
          <w:sz w:val="28"/>
          <w:szCs w:val="28"/>
          <w:shd w:val="clear" w:color="auto" w:fill="FFFFFF"/>
          <w:lang w:val="uk-UA"/>
        </w:rPr>
        <w:t xml:space="preserve">=0,564 (р=0,001) та </w:t>
      </w:r>
      <w:r w:rsidRPr="000A32AD">
        <w:rPr>
          <w:rFonts w:ascii="Times New Roman" w:hAnsi="Times New Roman" w:cs="Times New Roman"/>
          <w:i/>
          <w:color w:val="000000" w:themeColor="text1"/>
          <w:sz w:val="28"/>
          <w:szCs w:val="28"/>
          <w:shd w:val="clear" w:color="auto" w:fill="FFFFFF"/>
          <w:lang w:val="uk-UA"/>
        </w:rPr>
        <w:t>r</w:t>
      </w:r>
      <w:r w:rsidRPr="000A32AD">
        <w:rPr>
          <w:rFonts w:ascii="Times New Roman" w:hAnsi="Times New Roman" w:cs="Times New Roman"/>
          <w:color w:val="000000" w:themeColor="text1"/>
          <w:sz w:val="28"/>
          <w:szCs w:val="28"/>
          <w:shd w:val="clear" w:color="auto" w:fill="FFFFFF"/>
          <w:lang w:val="uk-UA"/>
        </w:rPr>
        <w:t xml:space="preserve">=0,413 (р=0,006) відповідно в І та в ІІ групі. Також у хворих з наявністю НДСТ (І група) виявлено не достовірну позитивну кореляцію з наявністю діабетичної нефропатії – </w:t>
      </w:r>
      <w:r w:rsidRPr="000A32AD">
        <w:rPr>
          <w:rFonts w:ascii="Times New Roman" w:hAnsi="Times New Roman" w:cs="Times New Roman"/>
          <w:i/>
          <w:color w:val="000000" w:themeColor="text1"/>
          <w:sz w:val="28"/>
          <w:szCs w:val="28"/>
          <w:shd w:val="clear" w:color="auto" w:fill="FFFFFF"/>
          <w:lang w:val="uk-UA"/>
        </w:rPr>
        <w:t>r</w:t>
      </w:r>
      <w:r w:rsidRPr="000A32AD">
        <w:rPr>
          <w:rFonts w:ascii="Times New Roman" w:hAnsi="Times New Roman" w:cs="Times New Roman"/>
          <w:color w:val="000000" w:themeColor="text1"/>
          <w:sz w:val="28"/>
          <w:szCs w:val="28"/>
          <w:shd w:val="clear" w:color="auto" w:fill="FFFFFF"/>
          <w:lang w:val="uk-UA"/>
        </w:rPr>
        <w:t xml:space="preserve">=0,206 (р=0,159). У пацієнтів ІІ групи (без наявності ознак НДСТ) кореляція з наявністю діабетичної нефропатії була достовірною позитивною – </w:t>
      </w:r>
      <w:r w:rsidRPr="000A32AD">
        <w:rPr>
          <w:rFonts w:ascii="Times New Roman" w:hAnsi="Times New Roman" w:cs="Times New Roman"/>
          <w:i/>
          <w:color w:val="000000" w:themeColor="text1"/>
          <w:sz w:val="28"/>
          <w:szCs w:val="28"/>
          <w:shd w:val="clear" w:color="auto" w:fill="FFFFFF"/>
          <w:lang w:val="uk-UA"/>
        </w:rPr>
        <w:t>r</w:t>
      </w:r>
      <w:r w:rsidRPr="000A32AD">
        <w:rPr>
          <w:rFonts w:ascii="Times New Roman" w:hAnsi="Times New Roman" w:cs="Times New Roman"/>
          <w:color w:val="000000" w:themeColor="text1"/>
          <w:sz w:val="28"/>
          <w:szCs w:val="28"/>
          <w:shd w:val="clear" w:color="auto" w:fill="FFFFFF"/>
          <w:lang w:val="uk-UA"/>
        </w:rPr>
        <w:t>=0,372 (р=0,015). Крім цього, наявність та виразність АГ та діабетична нефропатія мали кореляції між собою: в І групі – достовірна помітна позитивна кореляція</w:t>
      </w:r>
      <w:r w:rsidR="00F17BD2" w:rsidRPr="000A32AD">
        <w:rPr>
          <w:rFonts w:ascii="Times New Roman" w:hAnsi="Times New Roman" w:cs="Times New Roman"/>
          <w:color w:val="000000" w:themeColor="text1"/>
          <w:sz w:val="28"/>
          <w:szCs w:val="28"/>
          <w:shd w:val="clear" w:color="auto" w:fill="FFFFFF"/>
          <w:lang w:val="uk-UA"/>
        </w:rPr>
        <w:t xml:space="preserve"> </w:t>
      </w:r>
      <w:r w:rsidRPr="000A32AD">
        <w:rPr>
          <w:rFonts w:ascii="Times New Roman" w:hAnsi="Times New Roman" w:cs="Times New Roman"/>
          <w:color w:val="000000" w:themeColor="text1"/>
          <w:sz w:val="28"/>
          <w:szCs w:val="28"/>
          <w:shd w:val="clear" w:color="auto" w:fill="FFFFFF"/>
          <w:lang w:val="uk-UA"/>
        </w:rPr>
        <w:t xml:space="preserve">– </w:t>
      </w:r>
      <w:r w:rsidRPr="000A32AD">
        <w:rPr>
          <w:rFonts w:ascii="Times New Roman" w:hAnsi="Times New Roman" w:cs="Times New Roman"/>
          <w:i/>
          <w:color w:val="000000" w:themeColor="text1"/>
          <w:sz w:val="28"/>
          <w:szCs w:val="28"/>
          <w:shd w:val="clear" w:color="auto" w:fill="FFFFFF"/>
          <w:lang w:val="uk-UA"/>
        </w:rPr>
        <w:t>r</w:t>
      </w:r>
      <w:r w:rsidRPr="000A32AD">
        <w:rPr>
          <w:rFonts w:ascii="Times New Roman" w:hAnsi="Times New Roman" w:cs="Times New Roman"/>
          <w:color w:val="000000" w:themeColor="text1"/>
          <w:sz w:val="28"/>
          <w:szCs w:val="28"/>
          <w:shd w:val="clear" w:color="auto" w:fill="FFFFFF"/>
          <w:lang w:val="uk-UA"/>
        </w:rPr>
        <w:t>=0,451 (р=0,001), та в ІІ групі</w:t>
      </w:r>
      <w:r w:rsidR="00F17BD2" w:rsidRPr="000A32AD">
        <w:rPr>
          <w:rFonts w:ascii="Times New Roman" w:hAnsi="Times New Roman" w:cs="Times New Roman"/>
          <w:color w:val="000000" w:themeColor="text1"/>
          <w:sz w:val="28"/>
          <w:szCs w:val="28"/>
          <w:shd w:val="clear" w:color="auto" w:fill="FFFFFF"/>
          <w:lang w:val="uk-UA"/>
        </w:rPr>
        <w:t xml:space="preserve"> </w:t>
      </w:r>
      <w:r w:rsidRPr="000A32AD">
        <w:rPr>
          <w:rFonts w:ascii="Times New Roman" w:hAnsi="Times New Roman" w:cs="Times New Roman"/>
          <w:color w:val="000000" w:themeColor="text1"/>
          <w:sz w:val="28"/>
          <w:szCs w:val="28"/>
          <w:shd w:val="clear" w:color="auto" w:fill="FFFFFF"/>
          <w:lang w:val="uk-UA"/>
        </w:rPr>
        <w:t xml:space="preserve">також достовірна позитивна кореляція – </w:t>
      </w:r>
      <w:r w:rsidRPr="000A32AD">
        <w:rPr>
          <w:rFonts w:ascii="Times New Roman" w:hAnsi="Times New Roman" w:cs="Times New Roman"/>
          <w:i/>
          <w:color w:val="000000" w:themeColor="text1"/>
          <w:sz w:val="28"/>
          <w:szCs w:val="28"/>
          <w:shd w:val="clear" w:color="auto" w:fill="FFFFFF"/>
          <w:lang w:val="uk-UA"/>
        </w:rPr>
        <w:t>r</w:t>
      </w:r>
      <w:r w:rsidRPr="000A32AD">
        <w:rPr>
          <w:rFonts w:ascii="Times New Roman" w:hAnsi="Times New Roman" w:cs="Times New Roman"/>
          <w:color w:val="000000" w:themeColor="text1"/>
          <w:sz w:val="28"/>
          <w:szCs w:val="28"/>
          <w:shd w:val="clear" w:color="auto" w:fill="FFFFFF"/>
          <w:lang w:val="uk-UA"/>
        </w:rPr>
        <w:t>=0,506 (р=001).</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Отримані дані дозволяють зробити висновок про важливу патогенетичну роль НДСТ у розвитку АГ та судинних уражень, зокрема, діабетичної нефропатії, у хворих на ЦД 2 типу.</w:t>
      </w:r>
    </w:p>
    <w:p w:rsidR="00A33195" w:rsidRPr="000A32AD" w:rsidRDefault="00A33195" w:rsidP="00A33195">
      <w:pPr>
        <w:widowControl w:val="0"/>
        <w:spacing w:line="360" w:lineRule="auto"/>
        <w:ind w:firstLine="709"/>
        <w:jc w:val="both"/>
        <w:rPr>
          <w:rFonts w:ascii="Times New Roman" w:eastAsia="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Це знайшло підтвердження при патогістологічному дослідженні нирок померлих з наявністю ЦД 2 типу та фенотипічних ознак НДСТ в анамнезі. Зокрема встановлено, що наявність НД</w:t>
      </w:r>
      <w:r w:rsidR="005748A9" w:rsidRPr="000A32AD">
        <w:rPr>
          <w:rFonts w:ascii="Times New Roman" w:hAnsi="Times New Roman" w:cs="Times New Roman"/>
          <w:color w:val="000000" w:themeColor="text1"/>
          <w:sz w:val="28"/>
          <w:szCs w:val="28"/>
          <w:lang w:val="uk-UA"/>
        </w:rPr>
        <w:t>СТ сприяє більш виразним склеро</w:t>
      </w:r>
      <w:r w:rsidRPr="000A32AD">
        <w:rPr>
          <w:rFonts w:ascii="Times New Roman" w:hAnsi="Times New Roman" w:cs="Times New Roman"/>
          <w:color w:val="000000" w:themeColor="text1"/>
          <w:sz w:val="28"/>
          <w:szCs w:val="28"/>
          <w:lang w:val="uk-UA"/>
        </w:rPr>
        <w:t xml:space="preserve">тичним змінам функціональної паренхіми нирок, що </w:t>
      </w:r>
      <w:r w:rsidR="007D665B" w:rsidRPr="000A32AD">
        <w:rPr>
          <w:rFonts w:ascii="Times New Roman" w:hAnsi="Times New Roman" w:cs="Times New Roman"/>
          <w:color w:val="000000" w:themeColor="text1"/>
          <w:sz w:val="28"/>
          <w:szCs w:val="28"/>
          <w:lang w:val="uk-UA"/>
        </w:rPr>
        <w:t>проявляється</w:t>
      </w:r>
      <w:r w:rsidRPr="000A32AD">
        <w:rPr>
          <w:rFonts w:ascii="Times New Roman" w:hAnsi="Times New Roman" w:cs="Times New Roman"/>
          <w:color w:val="000000" w:themeColor="text1"/>
          <w:sz w:val="28"/>
          <w:szCs w:val="28"/>
          <w:lang w:val="uk-UA"/>
        </w:rPr>
        <w:t xml:space="preserve"> у вигляді масивного розростання міжканальцевої сполучної тканини, гіалінізації клубочків, різкому потовщенню капсули Шумлянського-Боумена і проліферації мезангіальных клітин. Значні зміни відбуваються й в артеріальних судинах, в яких виявлено різке потовщення інтими, а також її розпушування і набряк, що призводило до </w:t>
      </w:r>
      <w:r w:rsidRPr="000A32AD">
        <w:rPr>
          <w:rFonts w:ascii="Times New Roman" w:eastAsia="Times New Roman" w:hAnsi="Times New Roman" w:cs="Times New Roman"/>
          <w:color w:val="000000" w:themeColor="text1"/>
          <w:sz w:val="28"/>
          <w:szCs w:val="28"/>
          <w:lang w:val="uk-UA"/>
        </w:rPr>
        <w:t>потовщення стінки судин зі зменшенням їх просвіту аж до повної облітерації. Імуногістохімічне дослідження дозволило виявити у хворих з ЦД та НДСТ значне збільшення експресії колагену IV типу.</w:t>
      </w:r>
    </w:p>
    <w:p w:rsidR="00A33195" w:rsidRPr="000A32AD" w:rsidRDefault="00A33195" w:rsidP="00A33195">
      <w:pPr>
        <w:widowControl w:val="0"/>
        <w:spacing w:line="360" w:lineRule="auto"/>
        <w:ind w:firstLine="709"/>
        <w:jc w:val="both"/>
        <w:rPr>
          <w:rFonts w:ascii="Times New Roman" w:eastAsia="Times New Roman" w:hAnsi="Times New Roman" w:cs="Times New Roman"/>
          <w:color w:val="000000" w:themeColor="text1"/>
          <w:sz w:val="28"/>
          <w:szCs w:val="28"/>
          <w:lang w:val="uk-UA"/>
        </w:rPr>
      </w:pPr>
      <w:r w:rsidRPr="000A32AD">
        <w:rPr>
          <w:rFonts w:ascii="Times New Roman" w:eastAsia="Times New Roman" w:hAnsi="Times New Roman" w:cs="Times New Roman"/>
          <w:color w:val="000000" w:themeColor="text1"/>
          <w:sz w:val="28"/>
          <w:szCs w:val="28"/>
          <w:lang w:val="uk-UA"/>
        </w:rPr>
        <w:t xml:space="preserve">Отримані дані дозволили нам запропонувати наступну схему патогенезу судинних уражень у хворих на ЦД 2 типу залежно від наявності НДСТ (рис. </w:t>
      </w:r>
      <w:r w:rsidR="00A131C4" w:rsidRPr="00572254">
        <w:rPr>
          <w:rFonts w:ascii="Times New Roman" w:eastAsia="Times New Roman" w:hAnsi="Times New Roman" w:cs="Times New Roman"/>
          <w:color w:val="000000" w:themeColor="text1"/>
          <w:sz w:val="28"/>
          <w:szCs w:val="28"/>
        </w:rPr>
        <w:t>5</w:t>
      </w:r>
      <w:r w:rsidRPr="000A32AD">
        <w:rPr>
          <w:rFonts w:ascii="Times New Roman" w:eastAsia="Times New Roman" w:hAnsi="Times New Roman" w:cs="Times New Roman"/>
          <w:color w:val="000000" w:themeColor="text1"/>
          <w:sz w:val="28"/>
          <w:szCs w:val="28"/>
          <w:lang w:val="uk-UA"/>
        </w:rPr>
        <w:t>.1).</w:t>
      </w:r>
    </w:p>
    <w:p w:rsidR="00A33195" w:rsidRPr="000A32AD" w:rsidRDefault="00A33195" w:rsidP="00A33195">
      <w:pPr>
        <w:widowControl w:val="0"/>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w:lastRenderedPageBreak/>
        <mc:AlternateContent>
          <mc:Choice Requires="wps">
            <w:drawing>
              <wp:anchor distT="0" distB="0" distL="114300" distR="114300" simplePos="0" relativeHeight="251720704" behindDoc="0" locked="0" layoutInCell="1" allowOverlap="1" wp14:anchorId="5D0C32DC" wp14:editId="380804E7">
                <wp:simplePos x="0" y="0"/>
                <wp:positionH relativeFrom="column">
                  <wp:posOffset>1859998</wp:posOffset>
                </wp:positionH>
                <wp:positionV relativeFrom="paragraph">
                  <wp:posOffset>7031990</wp:posOffset>
                </wp:positionV>
                <wp:extent cx="0" cy="569595"/>
                <wp:effectExtent l="95250" t="0" r="57150" b="59055"/>
                <wp:wrapNone/>
                <wp:docPr id="46" name="Прямая со стрелкой 46"/>
                <wp:cNvGraphicFramePr/>
                <a:graphic xmlns:a="http://schemas.openxmlformats.org/drawingml/2006/main">
                  <a:graphicData uri="http://schemas.microsoft.com/office/word/2010/wordprocessingShape">
                    <wps:wsp>
                      <wps:cNvCnPr/>
                      <wps:spPr>
                        <a:xfrm>
                          <a:off x="0" y="0"/>
                          <a:ext cx="0" cy="56959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1C21FAB1" id="_x0000_t32" coordsize="21600,21600" o:spt="32" o:oned="t" path="m,l21600,21600e" filled="f">
                <v:path arrowok="t" fillok="f" o:connecttype="none"/>
                <o:lock v:ext="edit" shapetype="t"/>
              </v:shapetype>
              <v:shape id="Прямая со стрелкой 46" o:spid="_x0000_s1026" type="#_x0000_t32" style="position:absolute;margin-left:146.45pt;margin-top:553.7pt;width:0;height:44.85pt;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" strokecolor="black [3200]" strokeweight=".5pt">
                <v:stroke endarrow="open" joinstyle="miter"/>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27872" behindDoc="0" locked="0" layoutInCell="1" allowOverlap="1" wp14:anchorId="6C03A6A3" wp14:editId="631CB725">
                <wp:simplePos x="0" y="0"/>
                <wp:positionH relativeFrom="column">
                  <wp:posOffset>934195</wp:posOffset>
                </wp:positionH>
                <wp:positionV relativeFrom="paragraph">
                  <wp:posOffset>4381417</wp:posOffset>
                </wp:positionV>
                <wp:extent cx="0" cy="702255"/>
                <wp:effectExtent l="95250" t="0" r="114300" b="60325"/>
                <wp:wrapNone/>
                <wp:docPr id="47" name="Прямая со стрелкой 47"/>
                <wp:cNvGraphicFramePr/>
                <a:graphic xmlns:a="http://schemas.openxmlformats.org/drawingml/2006/main">
                  <a:graphicData uri="http://schemas.microsoft.com/office/word/2010/wordprocessingShape">
                    <wps:wsp>
                      <wps:cNvCnPr/>
                      <wps:spPr>
                        <a:xfrm>
                          <a:off x="0" y="0"/>
                          <a:ext cx="0" cy="70225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D505E7A" id="Прямая со стрелкой 47" o:spid="_x0000_s1026" type="#_x0000_t32" style="position:absolute;margin-left:73.55pt;margin-top:345pt;width:0;height:55.3pt;z-index:251727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" strokecolor="black [3200]" strokeweight=".5pt">
                <v:stroke endarrow="open" joinstyle="miter"/>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26848" behindDoc="0" locked="0" layoutInCell="1" allowOverlap="1" wp14:anchorId="3BE91F1E" wp14:editId="795BA121">
                <wp:simplePos x="0" y="0"/>
                <wp:positionH relativeFrom="column">
                  <wp:posOffset>1225411</wp:posOffset>
                </wp:positionH>
                <wp:positionV relativeFrom="paragraph">
                  <wp:posOffset>4183214</wp:posOffset>
                </wp:positionV>
                <wp:extent cx="1020749" cy="0"/>
                <wp:effectExtent l="0" t="76200" r="27305" b="114300"/>
                <wp:wrapNone/>
                <wp:docPr id="51" name="Прямая со стрелкой 51"/>
                <wp:cNvGraphicFramePr/>
                <a:graphic xmlns:a="http://schemas.openxmlformats.org/drawingml/2006/main">
                  <a:graphicData uri="http://schemas.microsoft.com/office/word/2010/wordprocessingShape">
                    <wps:wsp>
                      <wps:cNvCnPr/>
                      <wps:spPr>
                        <a:xfrm>
                          <a:off x="0" y="0"/>
                          <a:ext cx="1020749" cy="0"/>
                        </a:xfrm>
                        <a:prstGeom prst="straightConnector1">
                          <a:avLst/>
                        </a:prstGeom>
                        <a:ln>
                          <a:prstDash val="dashDot"/>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A9505A7" id="Прямая со стрелкой 51" o:spid="_x0000_s1026" type="#_x0000_t32" style="position:absolute;margin-left:96.5pt;margin-top:329.4pt;width:80.35pt;height:0;z-index:251726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" strokecolor="black [3200]" strokeweight=".5pt">
                <v:stroke dashstyle="dashDot" endarrow="open" joinstyle="miter"/>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25824" behindDoc="0" locked="0" layoutInCell="1" allowOverlap="1" wp14:anchorId="278D2566" wp14:editId="6CE07CE3">
                <wp:simplePos x="0" y="0"/>
                <wp:positionH relativeFrom="column">
                  <wp:posOffset>775169</wp:posOffset>
                </wp:positionH>
                <wp:positionV relativeFrom="paragraph">
                  <wp:posOffset>3282067</wp:posOffset>
                </wp:positionV>
                <wp:extent cx="901148" cy="582239"/>
                <wp:effectExtent l="0" t="38100" r="51435" b="27940"/>
                <wp:wrapNone/>
                <wp:docPr id="52" name="Прямая со стрелкой 52"/>
                <wp:cNvGraphicFramePr/>
                <a:graphic xmlns:a="http://schemas.openxmlformats.org/drawingml/2006/main">
                  <a:graphicData uri="http://schemas.microsoft.com/office/word/2010/wordprocessingShape">
                    <wps:wsp>
                      <wps:cNvCnPr/>
                      <wps:spPr>
                        <a:xfrm flipV="1">
                          <a:off x="0" y="0"/>
                          <a:ext cx="901148" cy="582239"/>
                        </a:xfrm>
                        <a:prstGeom prst="straightConnector1">
                          <a:avLst/>
                        </a:prstGeom>
                        <a:ln>
                          <a:prstDash val="dashDot"/>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BF74B67" id="Прямая со стрелкой 52" o:spid="_x0000_s1026" type="#_x0000_t32" style="position:absolute;margin-left:61.05pt;margin-top:258.45pt;width:70.95pt;height:45.85pt;flip:y;z-index:251725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" strokecolor="black [3200]" strokeweight=".5pt">
                <v:stroke dashstyle="dashDot" endarrow="open" joinstyle="miter"/>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24800" behindDoc="0" locked="0" layoutInCell="1" allowOverlap="1" wp14:anchorId="31C2C051" wp14:editId="1758B8C6">
                <wp:simplePos x="0" y="0"/>
                <wp:positionH relativeFrom="column">
                  <wp:posOffset>2709987</wp:posOffset>
                </wp:positionH>
                <wp:positionV relativeFrom="paragraph">
                  <wp:posOffset>7138449</wp:posOffset>
                </wp:positionV>
                <wp:extent cx="1232452" cy="463550"/>
                <wp:effectExtent l="38100" t="0" r="25400" b="69850"/>
                <wp:wrapNone/>
                <wp:docPr id="53" name="Прямая со стрелкой 53"/>
                <wp:cNvGraphicFramePr/>
                <a:graphic xmlns:a="http://schemas.openxmlformats.org/drawingml/2006/main">
                  <a:graphicData uri="http://schemas.microsoft.com/office/word/2010/wordprocessingShape">
                    <wps:wsp>
                      <wps:cNvCnPr/>
                      <wps:spPr>
                        <a:xfrm flipH="1">
                          <a:off x="0" y="0"/>
                          <a:ext cx="1232452" cy="4635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9F5A711" id="Прямая со стрелкой 53" o:spid="_x0000_s1026" type="#_x0000_t32" style="position:absolute;margin-left:213.4pt;margin-top:562.1pt;width:97.05pt;height:36.5pt;flip:x;z-index:251724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" strokecolor="black [3200]" strokeweight=".5pt">
                <v:stroke endarrow="open" joinstyle="miter"/>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23776" behindDoc="0" locked="0" layoutInCell="1" allowOverlap="1" wp14:anchorId="5F7789D3" wp14:editId="07EF41C4">
                <wp:simplePos x="0" y="0"/>
                <wp:positionH relativeFrom="column">
                  <wp:posOffset>3253326</wp:posOffset>
                </wp:positionH>
                <wp:positionV relativeFrom="paragraph">
                  <wp:posOffset>5680710</wp:posOffset>
                </wp:positionV>
                <wp:extent cx="914400" cy="662609"/>
                <wp:effectExtent l="0" t="0" r="57150" b="61595"/>
                <wp:wrapNone/>
                <wp:docPr id="54" name="Прямая со стрелкой 54"/>
                <wp:cNvGraphicFramePr/>
                <a:graphic xmlns:a="http://schemas.openxmlformats.org/drawingml/2006/main">
                  <a:graphicData uri="http://schemas.microsoft.com/office/word/2010/wordprocessingShape">
                    <wps:wsp>
                      <wps:cNvCnPr/>
                      <wps:spPr>
                        <a:xfrm>
                          <a:off x="0" y="0"/>
                          <a:ext cx="914400" cy="66260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7D398FE" id="Прямая со стрелкой 54" o:spid="_x0000_s1026" type="#_x0000_t32" style="position:absolute;margin-left:256.15pt;margin-top:447.3pt;width:1in;height:52.15pt;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" strokecolor="black [3200]" strokeweight=".5pt">
                <v:stroke endarrow="open" joinstyle="miter"/>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22752" behindDoc="0" locked="0" layoutInCell="1" allowOverlap="1" wp14:anchorId="15C16E93" wp14:editId="38BBBA9F">
                <wp:simplePos x="0" y="0"/>
                <wp:positionH relativeFrom="column">
                  <wp:posOffset>5426682</wp:posOffset>
                </wp:positionH>
                <wp:positionV relativeFrom="paragraph">
                  <wp:posOffset>5680627</wp:posOffset>
                </wp:positionV>
                <wp:extent cx="0" cy="1921648"/>
                <wp:effectExtent l="95250" t="38100" r="114300" b="59690"/>
                <wp:wrapNone/>
                <wp:docPr id="55" name="Прямая со стрелкой 55"/>
                <wp:cNvGraphicFramePr/>
                <a:graphic xmlns:a="http://schemas.openxmlformats.org/drawingml/2006/main">
                  <a:graphicData uri="http://schemas.microsoft.com/office/word/2010/wordprocessingShape">
                    <wps:wsp>
                      <wps:cNvCnPr/>
                      <wps:spPr>
                        <a:xfrm>
                          <a:off x="0" y="0"/>
                          <a:ext cx="0" cy="1921648"/>
                        </a:xfrm>
                        <a:prstGeom prst="straightConnector1">
                          <a:avLst/>
                        </a:prstGeom>
                        <a:ln>
                          <a:headEnd type="triangle"/>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1E9DDCC" id="Прямая со стрелкой 55" o:spid="_x0000_s1026" type="#_x0000_t32" style="position:absolute;margin-left:427.3pt;margin-top:447.3pt;width:0;height:151.3pt;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" strokecolor="black [3200]" strokeweight=".5pt">
                <v:stroke startarrow="block" endarrow="open" joinstyle="miter"/>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18656" behindDoc="0" locked="0" layoutInCell="1" allowOverlap="1" wp14:anchorId="51228C81" wp14:editId="35752082">
                <wp:simplePos x="0" y="0"/>
                <wp:positionH relativeFrom="column">
                  <wp:posOffset>4829092</wp:posOffset>
                </wp:positionH>
                <wp:positionV relativeFrom="paragraph">
                  <wp:posOffset>7138035</wp:posOffset>
                </wp:positionV>
                <wp:extent cx="0" cy="463550"/>
                <wp:effectExtent l="95250" t="38100" r="76200" b="50800"/>
                <wp:wrapNone/>
                <wp:docPr id="56" name="Прямая со стрелкой 56"/>
                <wp:cNvGraphicFramePr/>
                <a:graphic xmlns:a="http://schemas.openxmlformats.org/drawingml/2006/main">
                  <a:graphicData uri="http://schemas.microsoft.com/office/word/2010/wordprocessingShape">
                    <wps:wsp>
                      <wps:cNvCnPr/>
                      <wps:spPr>
                        <a:xfrm>
                          <a:off x="0" y="0"/>
                          <a:ext cx="0" cy="46355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38BACC5" id="Прямая со стрелкой 56" o:spid="_x0000_s1026" type="#_x0000_t32" style="position:absolute;margin-left:380.25pt;margin-top:562.05pt;width:0;height:36.5pt;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" strokecolor="black [3200]" strokeweight=".5pt">
                <v:stroke startarrow="open" endarrow="open" joinstyle="miter"/>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19680" behindDoc="0" locked="0" layoutInCell="1" allowOverlap="1" wp14:anchorId="11F73663" wp14:editId="53EE3C1F">
                <wp:simplePos x="0" y="0"/>
                <wp:positionH relativeFrom="column">
                  <wp:posOffset>3147060</wp:posOffset>
                </wp:positionH>
                <wp:positionV relativeFrom="paragraph">
                  <wp:posOffset>7867015</wp:posOffset>
                </wp:positionV>
                <wp:extent cx="1311910" cy="0"/>
                <wp:effectExtent l="38100" t="76200" r="21590" b="114300"/>
                <wp:wrapNone/>
                <wp:docPr id="57" name="Прямая со стрелкой 57"/>
                <wp:cNvGraphicFramePr/>
                <a:graphic xmlns:a="http://schemas.openxmlformats.org/drawingml/2006/main">
                  <a:graphicData uri="http://schemas.microsoft.com/office/word/2010/wordprocessingShape">
                    <wps:wsp>
                      <wps:cNvCnPr/>
                      <wps:spPr>
                        <a:xfrm>
                          <a:off x="0" y="0"/>
                          <a:ext cx="1311910"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4023B035" id="Прямая со стрелкой 57" o:spid="_x0000_s1026" type="#_x0000_t32" style="position:absolute;margin-left:247.8pt;margin-top:619.45pt;width:103.3pt;height:0;z-index:251719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" strokecolor="black [3200]" strokeweight=".5pt">
                <v:stroke startarrow="open" endarrow="open" joinstyle="miter"/>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09440" behindDoc="0" locked="0" layoutInCell="1" allowOverlap="1" wp14:anchorId="722200AF" wp14:editId="1D812D1E">
                <wp:simplePos x="0" y="0"/>
                <wp:positionH relativeFrom="column">
                  <wp:posOffset>4464685</wp:posOffset>
                </wp:positionH>
                <wp:positionV relativeFrom="paragraph">
                  <wp:posOffset>7607935</wp:posOffset>
                </wp:positionV>
                <wp:extent cx="1165860" cy="516255"/>
                <wp:effectExtent l="19050" t="19050" r="15240" b="17145"/>
                <wp:wrapNone/>
                <wp:docPr id="58" name="Поле 58"/>
                <wp:cNvGraphicFramePr/>
                <a:graphic xmlns:a="http://schemas.openxmlformats.org/drawingml/2006/main">
                  <a:graphicData uri="http://schemas.microsoft.com/office/word/2010/wordprocessingShape">
                    <wps:wsp>
                      <wps:cNvSpPr txBox="1"/>
                      <wps:spPr>
                        <a:xfrm>
                          <a:off x="0" y="0"/>
                          <a:ext cx="1165860" cy="516255"/>
                        </a:xfrm>
                        <a:prstGeom prst="rect">
                          <a:avLst/>
                        </a:prstGeom>
                        <a:solidFill>
                          <a:schemeClr val="lt1"/>
                        </a:solidFill>
                        <a:ln w="381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545A8" w:rsidRPr="004C1A85" w:rsidRDefault="000545A8" w:rsidP="00A33195">
                            <w:pPr>
                              <w:jc w:val="center"/>
                              <w:rPr>
                                <w:rFonts w:ascii="Times New Roman" w:hAnsi="Times New Roman" w:cs="Times New Roman"/>
                                <w:b/>
                                <w:sz w:val="40"/>
                                <w:szCs w:val="28"/>
                              </w:rPr>
                            </w:pPr>
                            <w:r>
                              <w:rPr>
                                <w:rFonts w:ascii="Times New Roman" w:hAnsi="Times New Roman" w:cs="Times New Roman"/>
                                <w:b/>
                                <w:sz w:val="40"/>
                                <w:szCs w:val="28"/>
                              </w:rPr>
                              <w:t>АГ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2200AF" id="_x0000_t202" coordsize="21600,21600" o:spt="202" path="m,l,21600r21600,l21600,xe">
                <v:stroke joinstyle="miter"/>
                <v:path gradientshapeok="t" o:connecttype="rect"/>
              </v:shapetype>
              <v:shape id="Поле 58" o:spid="_x0000_s1026" type="#_x0000_t202" style="position:absolute;margin-left:351.55pt;margin-top:599.05pt;width:91.8pt;height:40.6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" fillcolor="white [3201]" strokeweight="3pt">
                <v:textbox>
                  <w:txbxContent>
                    <w:p w:rsidR="000545A8" w:rsidRPr="004C1A85" w:rsidRDefault="000545A8" w:rsidP="00A33195">
                      <w:pPr>
                        <w:jc w:val="center"/>
                        <w:rPr>
                          <w:rFonts w:ascii="Times New Roman" w:hAnsi="Times New Roman" w:cs="Times New Roman"/>
                          <w:b/>
                          <w:sz w:val="40"/>
                          <w:szCs w:val="28"/>
                        </w:rPr>
                      </w:pPr>
                      <w:r>
                        <w:rPr>
                          <w:rFonts w:ascii="Times New Roman" w:hAnsi="Times New Roman" w:cs="Times New Roman"/>
                          <w:b/>
                          <w:sz w:val="40"/>
                          <w:szCs w:val="28"/>
                        </w:rPr>
                        <w:t>АГ</w:t>
                      </w:r>
                    </w:p>
                  </w:txbxContent>
                </v:textbox>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15584" behindDoc="0" locked="0" layoutInCell="1" allowOverlap="1" wp14:anchorId="19EFED9A" wp14:editId="247AE239">
                <wp:simplePos x="0" y="0"/>
                <wp:positionH relativeFrom="column">
                  <wp:posOffset>3239770</wp:posOffset>
                </wp:positionH>
                <wp:positionV relativeFrom="paragraph">
                  <wp:posOffset>5455285</wp:posOffset>
                </wp:positionV>
                <wp:extent cx="927100" cy="0"/>
                <wp:effectExtent l="38100" t="76200" r="25400" b="114300"/>
                <wp:wrapNone/>
                <wp:docPr id="59" name="Прямая со стрелкой 59"/>
                <wp:cNvGraphicFramePr/>
                <a:graphic xmlns:a="http://schemas.openxmlformats.org/drawingml/2006/main">
                  <a:graphicData uri="http://schemas.microsoft.com/office/word/2010/wordprocessingShape">
                    <wps:wsp>
                      <wps:cNvCnPr/>
                      <wps:spPr>
                        <a:xfrm>
                          <a:off x="0" y="0"/>
                          <a:ext cx="927100"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FFC59FB" id="Прямая со стрелкой 59" o:spid="_x0000_s1026" type="#_x0000_t32" style="position:absolute;margin-left:255.1pt;margin-top:429.55pt;width:73pt;height:0;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" strokecolor="black [3200]" strokeweight=".5pt">
                <v:stroke startarrow="open" endarrow="open" joinstyle="miter"/>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05344" behindDoc="0" locked="0" layoutInCell="1" allowOverlap="1" wp14:anchorId="5B852BB9" wp14:editId="1EEB4EBF">
                <wp:simplePos x="0" y="0"/>
                <wp:positionH relativeFrom="column">
                  <wp:posOffset>4164247</wp:posOffset>
                </wp:positionH>
                <wp:positionV relativeFrom="paragraph">
                  <wp:posOffset>5083810</wp:posOffset>
                </wp:positionV>
                <wp:extent cx="1457325" cy="596265"/>
                <wp:effectExtent l="0" t="0" r="28575" b="13335"/>
                <wp:wrapNone/>
                <wp:docPr id="60" name="Поле 60"/>
                <wp:cNvGraphicFramePr/>
                <a:graphic xmlns:a="http://schemas.openxmlformats.org/drawingml/2006/main">
                  <a:graphicData uri="http://schemas.microsoft.com/office/word/2010/wordprocessingShape">
                    <wps:wsp>
                      <wps:cNvSpPr txBox="1"/>
                      <wps:spPr>
                        <a:xfrm>
                          <a:off x="0" y="0"/>
                          <a:ext cx="1457325" cy="5962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545A8" w:rsidRPr="00002306" w:rsidRDefault="000545A8" w:rsidP="00A33195">
                            <w:pPr>
                              <w:jc w:val="center"/>
                              <w:rPr>
                                <w:rFonts w:ascii="Times New Roman" w:hAnsi="Times New Roman" w:cs="Times New Roman"/>
                                <w:sz w:val="28"/>
                                <w:szCs w:val="28"/>
                                <w:lang w:val="uk-UA"/>
                              </w:rPr>
                            </w:pPr>
                            <w:r>
                              <w:rPr>
                                <w:rFonts w:ascii="Times New Roman" w:hAnsi="Times New Roman" w:cs="Times New Roman"/>
                                <w:sz w:val="28"/>
                                <w:szCs w:val="28"/>
                                <w:lang w:val="uk-UA"/>
                              </w:rPr>
                              <w:t>Ендотеліальна дисфункція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B852BB9" id="Поле 60" o:spid="_x0000_s1027" type="#_x0000_t202" style="position:absolute;margin-left:327.9pt;margin-top:400.3pt;width:114.75pt;height:46.95pt;z-index:2517053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" fillcolor="white [3201]" strokeweight=".5pt">
                <v:textbox>
                  <w:txbxContent>
                    <w:p w:rsidR="000545A8" w:rsidRPr="00002306" w:rsidRDefault="000545A8" w:rsidP="00A33195">
                      <w:pPr>
                        <w:jc w:val="center"/>
                        <w:rPr>
                          <w:rFonts w:ascii="Times New Roman" w:hAnsi="Times New Roman" w:cs="Times New Roman"/>
                          <w:sz w:val="28"/>
                          <w:szCs w:val="28"/>
                          <w:lang w:val="uk-UA"/>
                        </w:rPr>
                      </w:pPr>
                      <w:r>
                        <w:rPr>
                          <w:rFonts w:ascii="Times New Roman" w:hAnsi="Times New Roman" w:cs="Times New Roman"/>
                          <w:sz w:val="28"/>
                          <w:szCs w:val="28"/>
                          <w:lang w:val="uk-UA"/>
                        </w:rPr>
                        <w:t>Ендотеліальна дисфункція</w:t>
                      </w:r>
                    </w:p>
                  </w:txbxContent>
                </v:textbox>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08416" behindDoc="0" locked="0" layoutInCell="1" allowOverlap="1" wp14:anchorId="519D34D2" wp14:editId="17003349">
                <wp:simplePos x="0" y="0"/>
                <wp:positionH relativeFrom="column">
                  <wp:posOffset>3251283</wp:posOffset>
                </wp:positionH>
                <wp:positionV relativeFrom="paragraph">
                  <wp:posOffset>6342380</wp:posOffset>
                </wp:positionV>
                <wp:extent cx="1960880" cy="795020"/>
                <wp:effectExtent l="0" t="0" r="20320" b="24130"/>
                <wp:wrapNone/>
                <wp:docPr id="61" name="Поле 61"/>
                <wp:cNvGraphicFramePr/>
                <a:graphic xmlns:a="http://schemas.openxmlformats.org/drawingml/2006/main">
                  <a:graphicData uri="http://schemas.microsoft.com/office/word/2010/wordprocessingShape">
                    <wps:wsp>
                      <wps:cNvSpPr txBox="1"/>
                      <wps:spPr>
                        <a:xfrm>
                          <a:off x="0" y="0"/>
                          <a:ext cx="1960880" cy="7950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545A8" w:rsidRPr="00002306" w:rsidRDefault="000545A8" w:rsidP="00A33195">
                            <w:pPr>
                              <w:jc w:val="center"/>
                              <w:rPr>
                                <w:rFonts w:ascii="Times New Roman" w:hAnsi="Times New Roman" w:cs="Times New Roman"/>
                                <w:sz w:val="28"/>
                                <w:szCs w:val="28"/>
                                <w:lang w:val="uk-UA"/>
                              </w:rPr>
                            </w:pPr>
                            <w:r>
                              <w:rPr>
                                <w:rFonts w:ascii="Times New Roman" w:hAnsi="Times New Roman" w:cs="Times New Roman"/>
                                <w:sz w:val="28"/>
                                <w:szCs w:val="28"/>
                                <w:lang w:val="uk-UA"/>
                              </w:rPr>
                              <w:t>Порушення структури базальних мембран та стінок судин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9D34D2" id="Поле 61" o:spid="_x0000_s1028" type="#_x0000_t202" style="position:absolute;margin-left:256pt;margin-top:499.4pt;width:154.4pt;height:62.6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" fillcolor="white [3201]" strokeweight=".5pt">
                <v:textbox>
                  <w:txbxContent>
                    <w:p w:rsidR="000545A8" w:rsidRPr="00002306" w:rsidRDefault="000545A8" w:rsidP="00A33195">
                      <w:pPr>
                        <w:jc w:val="center"/>
                        <w:rPr>
                          <w:rFonts w:ascii="Times New Roman" w:hAnsi="Times New Roman" w:cs="Times New Roman"/>
                          <w:sz w:val="28"/>
                          <w:szCs w:val="28"/>
                          <w:lang w:val="uk-UA"/>
                        </w:rPr>
                      </w:pPr>
                      <w:r>
                        <w:rPr>
                          <w:rFonts w:ascii="Times New Roman" w:hAnsi="Times New Roman" w:cs="Times New Roman"/>
                          <w:sz w:val="28"/>
                          <w:szCs w:val="28"/>
                          <w:lang w:val="uk-UA"/>
                        </w:rPr>
                        <w:t>Порушення структури базальних мембран та стінок судин</w:t>
                      </w:r>
                    </w:p>
                  </w:txbxContent>
                </v:textbox>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17632" behindDoc="0" locked="0" layoutInCell="1" allowOverlap="1" wp14:anchorId="3620B1F1" wp14:editId="1F572A9E">
                <wp:simplePos x="0" y="0"/>
                <wp:positionH relativeFrom="column">
                  <wp:posOffset>1846663</wp:posOffset>
                </wp:positionH>
                <wp:positionV relativeFrom="paragraph">
                  <wp:posOffset>6090920</wp:posOffset>
                </wp:positionV>
                <wp:extent cx="0" cy="344170"/>
                <wp:effectExtent l="95250" t="0" r="95250" b="55880"/>
                <wp:wrapNone/>
                <wp:docPr id="62" name="Прямая со стрелкой 62"/>
                <wp:cNvGraphicFramePr/>
                <a:graphic xmlns:a="http://schemas.openxmlformats.org/drawingml/2006/main">
                  <a:graphicData uri="http://schemas.microsoft.com/office/word/2010/wordprocessingShape">
                    <wps:wsp>
                      <wps:cNvCnPr/>
                      <wps:spPr>
                        <a:xfrm>
                          <a:off x="0" y="0"/>
                          <a:ext cx="0" cy="34417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690947B" id="Прямая со стрелкой 62" o:spid="_x0000_s1026" type="#_x0000_t32" style="position:absolute;margin-left:145.4pt;margin-top:479.6pt;width:0;height:27.1pt;z-index:251717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" strokecolor="black [3200]" strokeweight=".5pt">
                <v:stroke endarrow="open" joinstyle="miter"/>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07392" behindDoc="0" locked="0" layoutInCell="1" allowOverlap="1" wp14:anchorId="0978D947" wp14:editId="7C3437A8">
                <wp:simplePos x="0" y="0"/>
                <wp:positionH relativeFrom="column">
                  <wp:posOffset>937978</wp:posOffset>
                </wp:positionH>
                <wp:positionV relativeFrom="paragraph">
                  <wp:posOffset>6442075</wp:posOffset>
                </wp:positionV>
                <wp:extent cx="1828800" cy="596265"/>
                <wp:effectExtent l="0" t="0" r="19050" b="13335"/>
                <wp:wrapNone/>
                <wp:docPr id="63" name="Поле 63"/>
                <wp:cNvGraphicFramePr/>
                <a:graphic xmlns:a="http://schemas.openxmlformats.org/drawingml/2006/main">
                  <a:graphicData uri="http://schemas.microsoft.com/office/word/2010/wordprocessingShape">
                    <wps:wsp>
                      <wps:cNvSpPr txBox="1"/>
                      <wps:spPr>
                        <a:xfrm>
                          <a:off x="0" y="0"/>
                          <a:ext cx="1828800" cy="5962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545A8" w:rsidRPr="00002306" w:rsidRDefault="000545A8" w:rsidP="00A33195">
                            <w:pPr>
                              <w:jc w:val="center"/>
                              <w:rPr>
                                <w:rFonts w:ascii="Times New Roman" w:hAnsi="Times New Roman" w:cs="Times New Roman"/>
                                <w:sz w:val="28"/>
                                <w:szCs w:val="28"/>
                                <w:lang w:val="uk-UA"/>
                              </w:rPr>
                            </w:pPr>
                            <w:r>
                              <w:rPr>
                                <w:rFonts w:ascii="Times New Roman" w:hAnsi="Times New Roman" w:cs="Times New Roman"/>
                                <w:sz w:val="28"/>
                                <w:szCs w:val="28"/>
                                <w:lang w:val="uk-UA"/>
                              </w:rPr>
                              <w:t>Фіброз паренхіми органів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978D947" id="Поле 63" o:spid="_x0000_s1029" type="#_x0000_t202" style="position:absolute;margin-left:73.85pt;margin-top:507.25pt;width:2in;height:46.95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" fillcolor="white [3201]" strokeweight=".5pt">
                <v:textbox>
                  <w:txbxContent>
                    <w:p w:rsidR="000545A8" w:rsidRPr="00002306" w:rsidRDefault="000545A8" w:rsidP="00A33195">
                      <w:pPr>
                        <w:jc w:val="center"/>
                        <w:rPr>
                          <w:rFonts w:ascii="Times New Roman" w:hAnsi="Times New Roman" w:cs="Times New Roman"/>
                          <w:sz w:val="28"/>
                          <w:szCs w:val="28"/>
                          <w:lang w:val="uk-UA"/>
                        </w:rPr>
                      </w:pPr>
                      <w:r>
                        <w:rPr>
                          <w:rFonts w:ascii="Times New Roman" w:hAnsi="Times New Roman" w:cs="Times New Roman"/>
                          <w:sz w:val="28"/>
                          <w:szCs w:val="28"/>
                          <w:lang w:val="uk-UA"/>
                        </w:rPr>
                        <w:t>Фіброз паренхіми органів</w:t>
                      </w:r>
                    </w:p>
                  </w:txbxContent>
                </v:textbox>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00224" behindDoc="0" locked="0" layoutInCell="1" allowOverlap="1" wp14:anchorId="175EF5FE" wp14:editId="310FC08E">
                <wp:simplePos x="0" y="0"/>
                <wp:positionH relativeFrom="column">
                  <wp:posOffset>59055</wp:posOffset>
                </wp:positionH>
                <wp:positionV relativeFrom="paragraph">
                  <wp:posOffset>3877807</wp:posOffset>
                </wp:positionV>
                <wp:extent cx="1165860" cy="516255"/>
                <wp:effectExtent l="19050" t="19050" r="15240" b="17145"/>
                <wp:wrapNone/>
                <wp:docPr id="64" name="Поле 64"/>
                <wp:cNvGraphicFramePr/>
                <a:graphic xmlns:a="http://schemas.openxmlformats.org/drawingml/2006/main">
                  <a:graphicData uri="http://schemas.microsoft.com/office/word/2010/wordprocessingShape">
                    <wps:wsp>
                      <wps:cNvSpPr txBox="1"/>
                      <wps:spPr>
                        <a:xfrm>
                          <a:off x="0" y="0"/>
                          <a:ext cx="1165860" cy="516255"/>
                        </a:xfrm>
                        <a:prstGeom prst="rect">
                          <a:avLst/>
                        </a:prstGeom>
                        <a:solidFill>
                          <a:schemeClr val="lt1"/>
                        </a:solidFill>
                        <a:ln w="381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545A8" w:rsidRPr="00002306" w:rsidRDefault="000545A8" w:rsidP="00A33195">
                            <w:pPr>
                              <w:jc w:val="center"/>
                              <w:rPr>
                                <w:rFonts w:ascii="Times New Roman" w:hAnsi="Times New Roman" w:cs="Times New Roman"/>
                                <w:b/>
                                <w:sz w:val="40"/>
                                <w:szCs w:val="28"/>
                                <w:lang w:val="uk-UA"/>
                              </w:rPr>
                            </w:pPr>
                            <w:r>
                              <w:rPr>
                                <w:rFonts w:ascii="Times New Roman" w:hAnsi="Times New Roman" w:cs="Times New Roman"/>
                                <w:b/>
                                <w:sz w:val="40"/>
                                <w:szCs w:val="28"/>
                                <w:lang w:val="uk-UA"/>
                              </w:rPr>
                              <w:t>НДСТ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5EF5FE" id="Поле 64" o:spid="_x0000_s1030" type="#_x0000_t202" style="position:absolute;margin-left:4.65pt;margin-top:305.35pt;width:91.8pt;height:40.6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" fillcolor="white [3201]" strokeweight="3pt">
                <v:textbox>
                  <w:txbxContent>
                    <w:p w:rsidR="000545A8" w:rsidRPr="00002306" w:rsidRDefault="000545A8" w:rsidP="00A33195">
                      <w:pPr>
                        <w:jc w:val="center"/>
                        <w:rPr>
                          <w:rFonts w:ascii="Times New Roman" w:hAnsi="Times New Roman" w:cs="Times New Roman"/>
                          <w:b/>
                          <w:sz w:val="40"/>
                          <w:szCs w:val="28"/>
                          <w:lang w:val="uk-UA"/>
                        </w:rPr>
                      </w:pPr>
                      <w:r>
                        <w:rPr>
                          <w:rFonts w:ascii="Times New Roman" w:hAnsi="Times New Roman" w:cs="Times New Roman"/>
                          <w:b/>
                          <w:sz w:val="40"/>
                          <w:szCs w:val="28"/>
                          <w:lang w:val="uk-UA"/>
                        </w:rPr>
                        <w:t>НДСТ</w:t>
                      </w:r>
                    </w:p>
                  </w:txbxContent>
                </v:textbox>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21728" behindDoc="0" locked="0" layoutInCell="1" allowOverlap="1" wp14:anchorId="6B509DBF" wp14:editId="0EC08800">
                <wp:simplePos x="0" y="0"/>
                <wp:positionH relativeFrom="column">
                  <wp:posOffset>2709435</wp:posOffset>
                </wp:positionH>
                <wp:positionV relativeFrom="paragraph">
                  <wp:posOffset>4686797</wp:posOffset>
                </wp:positionV>
                <wp:extent cx="0" cy="397344"/>
                <wp:effectExtent l="95250" t="38100" r="114300" b="60325"/>
                <wp:wrapNone/>
                <wp:docPr id="65" name="Прямая со стрелкой 65"/>
                <wp:cNvGraphicFramePr/>
                <a:graphic xmlns:a="http://schemas.openxmlformats.org/drawingml/2006/main">
                  <a:graphicData uri="http://schemas.microsoft.com/office/word/2010/wordprocessingShape">
                    <wps:wsp>
                      <wps:cNvCnPr/>
                      <wps:spPr>
                        <a:xfrm>
                          <a:off x="0" y="0"/>
                          <a:ext cx="0" cy="397344"/>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68627C62" id="Прямая со стрелкой 65" o:spid="_x0000_s1026" type="#_x0000_t32" style="position:absolute;margin-left:213.35pt;margin-top:369.05pt;width:0;height:31.3pt;z-index:251721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" strokecolor="black [3200]" strokeweight=".5pt">
                <v:stroke startarrow="open" endarrow="open" joinstyle="miter"/>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16608" behindDoc="0" locked="0" layoutInCell="1" allowOverlap="1" wp14:anchorId="01937800" wp14:editId="116F3659">
                <wp:simplePos x="0" y="0"/>
                <wp:positionH relativeFrom="column">
                  <wp:posOffset>4737569</wp:posOffset>
                </wp:positionH>
                <wp:positionV relativeFrom="paragraph">
                  <wp:posOffset>2698390</wp:posOffset>
                </wp:positionV>
                <wp:extent cx="0" cy="2385971"/>
                <wp:effectExtent l="95250" t="38100" r="57150" b="52705"/>
                <wp:wrapNone/>
                <wp:docPr id="66" name="Прямая со стрелкой 66"/>
                <wp:cNvGraphicFramePr/>
                <a:graphic xmlns:a="http://schemas.openxmlformats.org/drawingml/2006/main">
                  <a:graphicData uri="http://schemas.microsoft.com/office/word/2010/wordprocessingShape">
                    <wps:wsp>
                      <wps:cNvCnPr/>
                      <wps:spPr>
                        <a:xfrm>
                          <a:off x="0" y="0"/>
                          <a:ext cx="0" cy="2385971"/>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7666C9C" id="Прямая со стрелкой 66" o:spid="_x0000_s1026" type="#_x0000_t32" style="position:absolute;margin-left:373.05pt;margin-top:212.45pt;width:0;height:187.85pt;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" strokecolor="black [3200]" strokeweight=".5pt">
                <v:stroke startarrow="open" endarrow="open" joinstyle="miter"/>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14560" behindDoc="0" locked="0" layoutInCell="1" allowOverlap="1" wp14:anchorId="696547FF" wp14:editId="6D87E7E9">
                <wp:simplePos x="0" y="0"/>
                <wp:positionH relativeFrom="column">
                  <wp:posOffset>1861848</wp:posOffset>
                </wp:positionH>
                <wp:positionV relativeFrom="paragraph">
                  <wp:posOffset>3494100</wp:posOffset>
                </wp:positionV>
                <wp:extent cx="0" cy="1590261"/>
                <wp:effectExtent l="95250" t="38100" r="95250" b="48260"/>
                <wp:wrapNone/>
                <wp:docPr id="67" name="Прямая со стрелкой 67"/>
                <wp:cNvGraphicFramePr/>
                <a:graphic xmlns:a="http://schemas.openxmlformats.org/drawingml/2006/main">
                  <a:graphicData uri="http://schemas.microsoft.com/office/word/2010/wordprocessingShape">
                    <wps:wsp>
                      <wps:cNvCnPr/>
                      <wps:spPr>
                        <a:xfrm>
                          <a:off x="0" y="0"/>
                          <a:ext cx="0" cy="1590261"/>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C42547D" id="Прямая со стрелкой 67" o:spid="_x0000_s1026" type="#_x0000_t32" style="position:absolute;margin-left:146.6pt;margin-top:275.15pt;width:0;height:125.2pt;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" strokecolor="black [3200]" strokeweight=".5pt">
                <v:stroke startarrow="open" endarrow="open" joinstyle="miter"/>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02272" behindDoc="0" locked="0" layoutInCell="1" allowOverlap="1" wp14:anchorId="1E183A8E" wp14:editId="228B1F6C">
                <wp:simplePos x="0" y="0"/>
                <wp:positionH relativeFrom="column">
                  <wp:posOffset>3053798</wp:posOffset>
                </wp:positionH>
                <wp:positionV relativeFrom="paragraph">
                  <wp:posOffset>1877557</wp:posOffset>
                </wp:positionV>
                <wp:extent cx="1974215" cy="821055"/>
                <wp:effectExtent l="0" t="0" r="26035" b="17145"/>
                <wp:wrapNone/>
                <wp:docPr id="68" name="Поле 68"/>
                <wp:cNvGraphicFramePr/>
                <a:graphic xmlns:a="http://schemas.openxmlformats.org/drawingml/2006/main">
                  <a:graphicData uri="http://schemas.microsoft.com/office/word/2010/wordprocessingShape">
                    <wps:wsp>
                      <wps:cNvSpPr txBox="1"/>
                      <wps:spPr>
                        <a:xfrm>
                          <a:off x="0" y="0"/>
                          <a:ext cx="1974215" cy="8210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545A8" w:rsidRPr="00002306" w:rsidRDefault="000545A8" w:rsidP="00A33195">
                            <w:pPr>
                              <w:jc w:val="center"/>
                              <w:rPr>
                                <w:rFonts w:ascii="Times New Roman" w:hAnsi="Times New Roman" w:cs="Times New Roman"/>
                                <w:sz w:val="28"/>
                                <w:szCs w:val="28"/>
                                <w:lang w:val="uk-UA"/>
                              </w:rPr>
                            </w:pPr>
                            <w:r>
                              <w:rPr>
                                <w:rFonts w:ascii="Times New Roman" w:hAnsi="Times New Roman" w:cs="Times New Roman"/>
                                <w:sz w:val="28"/>
                                <w:szCs w:val="28"/>
                                <w:lang w:val="uk-UA"/>
                              </w:rPr>
                              <w:t>Ураження гіалурон-вмісного глікаліксу ендотелію судин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183A8E" id="Поле 68" o:spid="_x0000_s1031" type="#_x0000_t202" style="position:absolute;margin-left:240.45pt;margin-top:147.85pt;width:155.45pt;height:64.6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" fillcolor="white [3201]" strokeweight=".5pt">
                <v:textbox>
                  <w:txbxContent>
                    <w:p w:rsidR="000545A8" w:rsidRPr="00002306" w:rsidRDefault="000545A8" w:rsidP="00A33195">
                      <w:pPr>
                        <w:jc w:val="center"/>
                        <w:rPr>
                          <w:rFonts w:ascii="Times New Roman" w:hAnsi="Times New Roman" w:cs="Times New Roman"/>
                          <w:sz w:val="28"/>
                          <w:szCs w:val="28"/>
                          <w:lang w:val="uk-UA"/>
                        </w:rPr>
                      </w:pPr>
                      <w:r>
                        <w:rPr>
                          <w:rFonts w:ascii="Times New Roman" w:hAnsi="Times New Roman" w:cs="Times New Roman"/>
                          <w:sz w:val="28"/>
                          <w:szCs w:val="28"/>
                          <w:lang w:val="uk-UA"/>
                        </w:rPr>
                        <w:t>Ураження гіалурон-вмісного глікаліксу ендотелію судин</w:t>
                      </w:r>
                    </w:p>
                  </w:txbxContent>
                </v:textbox>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12512" behindDoc="0" locked="0" layoutInCell="1" allowOverlap="1" wp14:anchorId="35F9F5A6" wp14:editId="5151BE97">
                <wp:simplePos x="0" y="0"/>
                <wp:positionH relativeFrom="column">
                  <wp:posOffset>2418080</wp:posOffset>
                </wp:positionH>
                <wp:positionV relativeFrom="paragraph">
                  <wp:posOffset>1492885</wp:posOffset>
                </wp:positionV>
                <wp:extent cx="0" cy="1443990"/>
                <wp:effectExtent l="95250" t="0" r="57150" b="60960"/>
                <wp:wrapNone/>
                <wp:docPr id="69" name="Прямая со стрелкой 69"/>
                <wp:cNvGraphicFramePr/>
                <a:graphic xmlns:a="http://schemas.openxmlformats.org/drawingml/2006/main">
                  <a:graphicData uri="http://schemas.microsoft.com/office/word/2010/wordprocessingShape">
                    <wps:wsp>
                      <wps:cNvCnPr/>
                      <wps:spPr>
                        <a:xfrm>
                          <a:off x="0" y="0"/>
                          <a:ext cx="0" cy="144399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68642186" id="Прямая со стрелкой 69" o:spid="_x0000_s1026" type="#_x0000_t32" style="position:absolute;margin-left:190.4pt;margin-top:117.55pt;width:0;height:113.7pt;z-index:2517125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" strokecolor="black [3200]" strokeweight=".5pt">
                <v:stroke endarrow="open" joinstyle="miter"/>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13536" behindDoc="0" locked="0" layoutInCell="1" allowOverlap="1" wp14:anchorId="306CD4E5" wp14:editId="5A3034A6">
                <wp:simplePos x="0" y="0"/>
                <wp:positionH relativeFrom="column">
                  <wp:posOffset>2842508</wp:posOffset>
                </wp:positionH>
                <wp:positionV relativeFrom="paragraph">
                  <wp:posOffset>3493770</wp:posOffset>
                </wp:positionV>
                <wp:extent cx="0" cy="370812"/>
                <wp:effectExtent l="95250" t="38100" r="95250" b="48895"/>
                <wp:wrapNone/>
                <wp:docPr id="70" name="Прямая со стрелкой 70"/>
                <wp:cNvGraphicFramePr/>
                <a:graphic xmlns:a="http://schemas.openxmlformats.org/drawingml/2006/main">
                  <a:graphicData uri="http://schemas.microsoft.com/office/word/2010/wordprocessingShape">
                    <wps:wsp>
                      <wps:cNvCnPr/>
                      <wps:spPr>
                        <a:xfrm>
                          <a:off x="0" y="0"/>
                          <a:ext cx="0" cy="370812"/>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F2AF8C0" id="Прямая со стрелкой 70" o:spid="_x0000_s1026" type="#_x0000_t32" style="position:absolute;margin-left:223.8pt;margin-top:275.1pt;width:0;height:29.2pt;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" strokecolor="black [3200]" strokeweight=".5pt">
                <v:stroke startarrow="open" endarrow="open" joinstyle="miter"/>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11488" behindDoc="0" locked="0" layoutInCell="1" allowOverlap="1" wp14:anchorId="45FB67F4" wp14:editId="58CFE5F6">
                <wp:simplePos x="0" y="0"/>
                <wp:positionH relativeFrom="column">
                  <wp:posOffset>4048456</wp:posOffset>
                </wp:positionH>
                <wp:positionV relativeFrom="paragraph">
                  <wp:posOffset>1492526</wp:posOffset>
                </wp:positionV>
                <wp:extent cx="0" cy="384810"/>
                <wp:effectExtent l="95250" t="0" r="114300" b="53340"/>
                <wp:wrapNone/>
                <wp:docPr id="71" name="Прямая со стрелкой 71"/>
                <wp:cNvGraphicFramePr/>
                <a:graphic xmlns:a="http://schemas.openxmlformats.org/drawingml/2006/main">
                  <a:graphicData uri="http://schemas.microsoft.com/office/word/2010/wordprocessingShape">
                    <wps:wsp>
                      <wps:cNvCnPr/>
                      <wps:spPr>
                        <a:xfrm>
                          <a:off x="0" y="0"/>
                          <a:ext cx="0" cy="38481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1DFFB9E" id="Прямая со стрелкой 71" o:spid="_x0000_s1026" type="#_x0000_t32" style="position:absolute;margin-left:318.8pt;margin-top:117.5pt;width:0;height:30.3pt;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" strokecolor="black [3200]" strokeweight=".5pt">
                <v:stroke endarrow="open" joinstyle="miter"/>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10464" behindDoc="0" locked="0" layoutInCell="1" allowOverlap="1" wp14:anchorId="67FF2A4B" wp14:editId="43066B5E">
                <wp:simplePos x="0" y="0"/>
                <wp:positionH relativeFrom="column">
                  <wp:posOffset>1317983</wp:posOffset>
                </wp:positionH>
                <wp:positionV relativeFrom="paragraph">
                  <wp:posOffset>7601640</wp:posOffset>
                </wp:positionV>
                <wp:extent cx="1828800" cy="596265"/>
                <wp:effectExtent l="0" t="0" r="19050" b="13335"/>
                <wp:wrapNone/>
                <wp:docPr id="72" name="Поле 72"/>
                <wp:cNvGraphicFramePr/>
                <a:graphic xmlns:a="http://schemas.openxmlformats.org/drawingml/2006/main">
                  <a:graphicData uri="http://schemas.microsoft.com/office/word/2010/wordprocessingShape">
                    <wps:wsp>
                      <wps:cNvSpPr txBox="1"/>
                      <wps:spPr>
                        <a:xfrm>
                          <a:off x="0" y="0"/>
                          <a:ext cx="1828800" cy="5962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545A8" w:rsidRPr="004C1A85" w:rsidRDefault="000545A8" w:rsidP="00A33195">
                            <w:pPr>
                              <w:jc w:val="center"/>
                              <w:rPr>
                                <w:rFonts w:ascii="Times New Roman" w:hAnsi="Times New Roman" w:cs="Times New Roman"/>
                                <w:sz w:val="28"/>
                                <w:szCs w:val="28"/>
                                <w:lang w:val="uk-UA"/>
                              </w:rPr>
                            </w:pPr>
                            <w:r w:rsidRPr="004C1A85">
                              <w:rPr>
                                <w:rFonts w:ascii="Times New Roman" w:hAnsi="Times New Roman" w:cs="Times New Roman"/>
                                <w:sz w:val="28"/>
                                <w:szCs w:val="28"/>
                                <w:lang w:val="uk-UA"/>
                              </w:rPr>
                              <w:t>Діабетична нефропатія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FF2A4B" id="Поле 72" o:spid="_x0000_s1032" type="#_x0000_t202" style="position:absolute;margin-left:103.8pt;margin-top:598.55pt;width:2in;height:46.9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" fillcolor="white [3201]" strokeweight=".5pt">
                <v:textbox>
                  <w:txbxContent>
                    <w:p w:rsidR="000545A8" w:rsidRPr="004C1A85" w:rsidRDefault="000545A8" w:rsidP="00A33195">
                      <w:pPr>
                        <w:jc w:val="center"/>
                        <w:rPr>
                          <w:rFonts w:ascii="Times New Roman" w:hAnsi="Times New Roman" w:cs="Times New Roman"/>
                          <w:sz w:val="28"/>
                          <w:szCs w:val="28"/>
                          <w:lang w:val="uk-UA"/>
                        </w:rPr>
                      </w:pPr>
                      <w:r w:rsidRPr="004C1A85">
                        <w:rPr>
                          <w:rFonts w:ascii="Times New Roman" w:hAnsi="Times New Roman" w:cs="Times New Roman"/>
                          <w:sz w:val="28"/>
                          <w:szCs w:val="28"/>
                          <w:lang w:val="uk-UA"/>
                        </w:rPr>
                        <w:t>Діабетична нефропатія</w:t>
                      </w:r>
                    </w:p>
                  </w:txbxContent>
                </v:textbox>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01248" behindDoc="0" locked="0" layoutInCell="1" allowOverlap="1" wp14:anchorId="756829B1" wp14:editId="38145B8B">
                <wp:simplePos x="0" y="0"/>
                <wp:positionH relativeFrom="column">
                  <wp:posOffset>536575</wp:posOffset>
                </wp:positionH>
                <wp:positionV relativeFrom="paragraph">
                  <wp:posOffset>962660</wp:posOffset>
                </wp:positionV>
                <wp:extent cx="5367020" cy="529590"/>
                <wp:effectExtent l="0" t="0" r="24130" b="22860"/>
                <wp:wrapNone/>
                <wp:docPr id="73" name="Поле 73"/>
                <wp:cNvGraphicFramePr/>
                <a:graphic xmlns:a="http://schemas.openxmlformats.org/drawingml/2006/main">
                  <a:graphicData uri="http://schemas.microsoft.com/office/word/2010/wordprocessingShape">
                    <wps:wsp>
                      <wps:cNvSpPr txBox="1"/>
                      <wps:spPr>
                        <a:xfrm>
                          <a:off x="0" y="0"/>
                          <a:ext cx="5367020" cy="5295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545A8" w:rsidRPr="00002306" w:rsidRDefault="000545A8" w:rsidP="00A33195">
                            <w:pPr>
                              <w:jc w:val="center"/>
                              <w:rPr>
                                <w:rFonts w:ascii="Times New Roman" w:hAnsi="Times New Roman" w:cs="Times New Roman"/>
                                <w:sz w:val="28"/>
                                <w:szCs w:val="28"/>
                              </w:rPr>
                            </w:pPr>
                            <w:r>
                              <w:rPr>
                                <w:rFonts w:ascii="Times New Roman" w:hAnsi="Times New Roman" w:cs="Times New Roman"/>
                                <w:sz w:val="28"/>
                                <w:szCs w:val="28"/>
                                <w:lang w:val="uk-UA"/>
                              </w:rPr>
                              <w:t>Гіперглікемія, з</w:t>
                            </w:r>
                            <w:r w:rsidRPr="00AF5F92">
                              <w:rPr>
                                <w:rFonts w:ascii="Times New Roman" w:hAnsi="Times New Roman" w:cs="Times New Roman"/>
                                <w:sz w:val="28"/>
                                <w:szCs w:val="28"/>
                                <w:lang w:val="uk-UA"/>
                              </w:rPr>
                              <w:t xml:space="preserve">більшення рівня </w:t>
                            </w:r>
                            <w:r w:rsidRPr="00AF5F92">
                              <w:rPr>
                                <w:rFonts w:ascii="Times New Roman" w:hAnsi="Times New Roman" w:cs="Times New Roman"/>
                                <w:sz w:val="28"/>
                                <w:szCs w:val="28"/>
                              </w:rPr>
                              <w:t>AGE</w:t>
                            </w:r>
                            <w:r w:rsidRPr="00AF5F92">
                              <w:rPr>
                                <w:rFonts w:ascii="Times New Roman" w:hAnsi="Times New Roman" w:cs="Times New Roman"/>
                                <w:sz w:val="28"/>
                                <w:szCs w:val="28"/>
                                <w:lang w:val="uk-UA"/>
                              </w:rPr>
                              <w:t>, накопичення циркулюючих жирних кислот, продуктів окисного стресу</w:t>
                            </w:r>
                            <w:r>
                              <w:rPr>
                                <w:rFonts w:ascii="Times New Roman" w:hAnsi="Times New Roman" w:cs="Times New Roman"/>
                                <w:sz w:val="28"/>
                                <w:szCs w:val="28"/>
                                <w:lang w:val="uk-UA"/>
                              </w:rPr>
                              <w:t xml:space="preserve"> та ін.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56829B1" id="Поле 73" o:spid="_x0000_s1033" type="#_x0000_t202" style="position:absolute;margin-left:42.25pt;margin-top:75.8pt;width:422.6pt;height:41.7pt;z-index:251701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" fillcolor="white [3201]" strokeweight=".5pt">
                <v:textbox>
                  <w:txbxContent>
                    <w:p w:rsidR="000545A8" w:rsidRPr="00002306" w:rsidRDefault="000545A8" w:rsidP="00A33195">
                      <w:pPr>
                        <w:jc w:val="center"/>
                        <w:rPr>
                          <w:rFonts w:ascii="Times New Roman" w:hAnsi="Times New Roman" w:cs="Times New Roman"/>
                          <w:sz w:val="28"/>
                          <w:szCs w:val="28"/>
                        </w:rPr>
                      </w:pPr>
                      <w:r>
                        <w:rPr>
                          <w:rFonts w:ascii="Times New Roman" w:hAnsi="Times New Roman" w:cs="Times New Roman"/>
                          <w:sz w:val="28"/>
                          <w:szCs w:val="28"/>
                          <w:lang w:val="uk-UA"/>
                        </w:rPr>
                        <w:t>Гіперглікемія, з</w:t>
                      </w:r>
                      <w:r w:rsidRPr="00AF5F92">
                        <w:rPr>
                          <w:rFonts w:ascii="Times New Roman" w:hAnsi="Times New Roman" w:cs="Times New Roman"/>
                          <w:sz w:val="28"/>
                          <w:szCs w:val="28"/>
                          <w:lang w:val="uk-UA"/>
                        </w:rPr>
                        <w:t xml:space="preserve">більшення рівня </w:t>
                      </w:r>
                      <w:r w:rsidRPr="00AF5F92">
                        <w:rPr>
                          <w:rFonts w:ascii="Times New Roman" w:hAnsi="Times New Roman" w:cs="Times New Roman"/>
                          <w:sz w:val="28"/>
                          <w:szCs w:val="28"/>
                        </w:rPr>
                        <w:t>AGE</w:t>
                      </w:r>
                      <w:r w:rsidRPr="00AF5F92">
                        <w:rPr>
                          <w:rFonts w:ascii="Times New Roman" w:hAnsi="Times New Roman" w:cs="Times New Roman"/>
                          <w:sz w:val="28"/>
                          <w:szCs w:val="28"/>
                          <w:lang w:val="uk-UA"/>
                        </w:rPr>
                        <w:t>, накопичення циркулюючих жирних кислот, продуктів окисного стресу</w:t>
                      </w:r>
                      <w:r>
                        <w:rPr>
                          <w:rFonts w:ascii="Times New Roman" w:hAnsi="Times New Roman" w:cs="Times New Roman"/>
                          <w:sz w:val="28"/>
                          <w:szCs w:val="28"/>
                          <w:lang w:val="uk-UA"/>
                        </w:rPr>
                        <w:t xml:space="preserve"> та ін.</w:t>
                      </w:r>
                    </w:p>
                  </w:txbxContent>
                </v:textbox>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03296" behindDoc="0" locked="0" layoutInCell="1" allowOverlap="1" wp14:anchorId="650DD621" wp14:editId="5EDC94B1">
                <wp:simplePos x="0" y="0"/>
                <wp:positionH relativeFrom="column">
                  <wp:posOffset>1675765</wp:posOffset>
                </wp:positionH>
                <wp:positionV relativeFrom="paragraph">
                  <wp:posOffset>2937510</wp:posOffset>
                </wp:positionV>
                <wp:extent cx="2093595" cy="556260"/>
                <wp:effectExtent l="0" t="0" r="20955" b="15240"/>
                <wp:wrapNone/>
                <wp:docPr id="74" name="Поле 74"/>
                <wp:cNvGraphicFramePr/>
                <a:graphic xmlns:a="http://schemas.openxmlformats.org/drawingml/2006/main">
                  <a:graphicData uri="http://schemas.microsoft.com/office/word/2010/wordprocessingShape">
                    <wps:wsp>
                      <wps:cNvSpPr txBox="1"/>
                      <wps:spPr>
                        <a:xfrm>
                          <a:off x="0" y="0"/>
                          <a:ext cx="2093595" cy="5562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545A8" w:rsidRPr="00002306" w:rsidRDefault="000545A8" w:rsidP="00A33195">
                            <w:pPr>
                              <w:jc w:val="center"/>
                              <w:rPr>
                                <w:rFonts w:ascii="Times New Roman" w:hAnsi="Times New Roman" w:cs="Times New Roman"/>
                                <w:sz w:val="28"/>
                                <w:szCs w:val="28"/>
                                <w:lang w:val="uk-UA"/>
                              </w:rPr>
                            </w:pPr>
                            <w:r>
                              <w:rPr>
                                <w:rFonts w:ascii="Times New Roman" w:hAnsi="Times New Roman" w:cs="Times New Roman"/>
                                <w:sz w:val="28"/>
                                <w:szCs w:val="28"/>
                                <w:lang w:val="uk-UA"/>
                              </w:rPr>
                              <w:t>Активація клітин фібробластичного ряду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50DD621" id="Поле 74" o:spid="_x0000_s1034" type="#_x0000_t202" style="position:absolute;margin-left:131.95pt;margin-top:231.3pt;width:164.85pt;height:43.8pt;z-index:251703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" fillcolor="white [3201]" strokeweight=".5pt">
                <v:textbox>
                  <w:txbxContent>
                    <w:p w:rsidR="000545A8" w:rsidRPr="00002306" w:rsidRDefault="000545A8" w:rsidP="00A33195">
                      <w:pPr>
                        <w:jc w:val="center"/>
                        <w:rPr>
                          <w:rFonts w:ascii="Times New Roman" w:hAnsi="Times New Roman" w:cs="Times New Roman"/>
                          <w:sz w:val="28"/>
                          <w:szCs w:val="28"/>
                          <w:lang w:val="uk-UA"/>
                        </w:rPr>
                      </w:pPr>
                      <w:r>
                        <w:rPr>
                          <w:rFonts w:ascii="Times New Roman" w:hAnsi="Times New Roman" w:cs="Times New Roman"/>
                          <w:sz w:val="28"/>
                          <w:szCs w:val="28"/>
                          <w:lang w:val="uk-UA"/>
                        </w:rPr>
                        <w:t>Активація клітин фібробластичного ряду</w:t>
                      </w:r>
                    </w:p>
                  </w:txbxContent>
                </v:textbox>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04320" behindDoc="0" locked="0" layoutInCell="1" allowOverlap="1" wp14:anchorId="136F1D49" wp14:editId="28C323B5">
                <wp:simplePos x="0" y="0"/>
                <wp:positionH relativeFrom="column">
                  <wp:posOffset>2245940</wp:posOffset>
                </wp:positionH>
                <wp:positionV relativeFrom="paragraph">
                  <wp:posOffset>3877945</wp:posOffset>
                </wp:positionV>
                <wp:extent cx="2319131" cy="808383"/>
                <wp:effectExtent l="0" t="0" r="24130" b="10795"/>
                <wp:wrapNone/>
                <wp:docPr id="75" name="Поле 75"/>
                <wp:cNvGraphicFramePr/>
                <a:graphic xmlns:a="http://schemas.openxmlformats.org/drawingml/2006/main">
                  <a:graphicData uri="http://schemas.microsoft.com/office/word/2010/wordprocessingShape">
                    <wps:wsp>
                      <wps:cNvSpPr txBox="1"/>
                      <wps:spPr>
                        <a:xfrm>
                          <a:off x="0" y="0"/>
                          <a:ext cx="2319131" cy="80838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545A8" w:rsidRPr="00002306" w:rsidRDefault="000545A8" w:rsidP="00A3319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Збільшення експресії факторів росту, зокрема, </w:t>
                            </w:r>
                            <w:r>
                              <w:rPr>
                                <w:rFonts w:ascii="Times New Roman" w:hAnsi="Times New Roman" w:cs="Times New Roman"/>
                                <w:sz w:val="28"/>
                                <w:szCs w:val="28"/>
                                <w:lang w:val="en-US"/>
                              </w:rPr>
                              <w:t>FGF</w:t>
                            </w:r>
                            <w:r w:rsidRPr="00A33195">
                              <w:rPr>
                                <w:rFonts w:ascii="Times New Roman" w:hAnsi="Times New Roman" w:cs="Times New Roman"/>
                                <w:sz w:val="28"/>
                                <w:szCs w:val="28"/>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36F1D49" id="Поле 75" o:spid="_x0000_s1035" type="#_x0000_t202" style="position:absolute;margin-left:176.85pt;margin-top:305.35pt;width:182.6pt;height:63.65pt;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" fillcolor="white [3201]" strokeweight=".5pt">
                <v:textbox>
                  <w:txbxContent>
                    <w:p w:rsidR="000545A8" w:rsidRPr="00002306" w:rsidRDefault="000545A8" w:rsidP="00A3319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Збільшення експресії факторів росту, зокрема, </w:t>
                      </w:r>
                      <w:r>
                        <w:rPr>
                          <w:rFonts w:ascii="Times New Roman" w:hAnsi="Times New Roman" w:cs="Times New Roman"/>
                          <w:sz w:val="28"/>
                          <w:szCs w:val="28"/>
                          <w:lang w:val="en-US"/>
                        </w:rPr>
                        <w:t>FGF</w:t>
                      </w:r>
                      <w:r w:rsidRPr="00A33195">
                        <w:rPr>
                          <w:rFonts w:ascii="Times New Roman" w:hAnsi="Times New Roman" w:cs="Times New Roman"/>
                          <w:sz w:val="28"/>
                          <w:szCs w:val="28"/>
                        </w:rPr>
                        <w:t>2</w:t>
                      </w:r>
                    </w:p>
                  </w:txbxContent>
                </v:textbox>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699200" behindDoc="0" locked="0" layoutInCell="1" allowOverlap="1" wp14:anchorId="403E5220" wp14:editId="31E178AE">
                <wp:simplePos x="0" y="0"/>
                <wp:positionH relativeFrom="column">
                  <wp:posOffset>2245995</wp:posOffset>
                </wp:positionH>
                <wp:positionV relativeFrom="paragraph">
                  <wp:posOffset>74930</wp:posOffset>
                </wp:positionV>
                <wp:extent cx="1457325" cy="516255"/>
                <wp:effectExtent l="19050" t="19050" r="28575" b="17145"/>
                <wp:wrapNone/>
                <wp:docPr id="76" name="Поле 76"/>
                <wp:cNvGraphicFramePr/>
                <a:graphic xmlns:a="http://schemas.openxmlformats.org/drawingml/2006/main">
                  <a:graphicData uri="http://schemas.microsoft.com/office/word/2010/wordprocessingShape">
                    <wps:wsp>
                      <wps:cNvSpPr txBox="1"/>
                      <wps:spPr>
                        <a:xfrm>
                          <a:off x="0" y="0"/>
                          <a:ext cx="1457325" cy="516255"/>
                        </a:xfrm>
                        <a:prstGeom prst="rect">
                          <a:avLst/>
                        </a:prstGeom>
                        <a:solidFill>
                          <a:schemeClr val="lt1"/>
                        </a:solidFill>
                        <a:ln w="381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545A8" w:rsidRPr="00002306" w:rsidRDefault="000545A8" w:rsidP="00A33195">
                            <w:pPr>
                              <w:jc w:val="center"/>
                              <w:rPr>
                                <w:rFonts w:ascii="Times New Roman" w:hAnsi="Times New Roman" w:cs="Times New Roman"/>
                                <w:b/>
                                <w:sz w:val="40"/>
                                <w:szCs w:val="28"/>
                                <w:lang w:val="uk-UA"/>
                              </w:rPr>
                            </w:pPr>
                            <w:r>
                              <w:rPr>
                                <w:rFonts w:ascii="Times New Roman" w:hAnsi="Times New Roman" w:cs="Times New Roman"/>
                                <w:b/>
                                <w:sz w:val="40"/>
                                <w:szCs w:val="28"/>
                                <w:lang w:val="uk-UA"/>
                              </w:rPr>
                              <w:t>ЦД 2 типу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3E5220" id="Поле 76" o:spid="_x0000_s1036" type="#_x0000_t202" style="position:absolute;margin-left:176.85pt;margin-top:5.9pt;width:114.75pt;height:40.6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" fillcolor="white [3201]" strokeweight="3pt">
                <v:textbox>
                  <w:txbxContent>
                    <w:p w:rsidR="000545A8" w:rsidRPr="00002306" w:rsidRDefault="000545A8" w:rsidP="00A33195">
                      <w:pPr>
                        <w:jc w:val="center"/>
                        <w:rPr>
                          <w:rFonts w:ascii="Times New Roman" w:hAnsi="Times New Roman" w:cs="Times New Roman"/>
                          <w:b/>
                          <w:sz w:val="40"/>
                          <w:szCs w:val="28"/>
                          <w:lang w:val="uk-UA"/>
                        </w:rPr>
                      </w:pPr>
                      <w:r>
                        <w:rPr>
                          <w:rFonts w:ascii="Times New Roman" w:hAnsi="Times New Roman" w:cs="Times New Roman"/>
                          <w:b/>
                          <w:sz w:val="40"/>
                          <w:szCs w:val="28"/>
                          <w:lang w:val="uk-UA"/>
                        </w:rPr>
                        <w:t>ЦД 2 типу</w:t>
                      </w:r>
                    </w:p>
                  </w:txbxContent>
                </v:textbox>
              </v:shape>
            </w:pict>
          </mc:Fallback>
        </mc:AlternateContent>
      </w: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28896" behindDoc="0" locked="0" layoutInCell="1" allowOverlap="1" wp14:anchorId="0EE0AA3D" wp14:editId="5BEFAFAA">
                <wp:simplePos x="0" y="0"/>
                <wp:positionH relativeFrom="column">
                  <wp:posOffset>2974975</wp:posOffset>
                </wp:positionH>
                <wp:positionV relativeFrom="paragraph">
                  <wp:posOffset>181610</wp:posOffset>
                </wp:positionV>
                <wp:extent cx="0" cy="370840"/>
                <wp:effectExtent l="95250" t="0" r="95250" b="48260"/>
                <wp:wrapNone/>
                <wp:docPr id="77" name="Прямая со стрелкой 77"/>
                <wp:cNvGraphicFramePr/>
                <a:graphic xmlns:a="http://schemas.openxmlformats.org/drawingml/2006/main">
                  <a:graphicData uri="http://schemas.microsoft.com/office/word/2010/wordprocessingShape">
                    <wps:wsp>
                      <wps:cNvCnPr/>
                      <wps:spPr>
                        <a:xfrm>
                          <a:off x="0" y="0"/>
                          <a:ext cx="0" cy="37084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7FC4158D" id="Прямая со стрелкой 77" o:spid="_x0000_s1026" type="#_x0000_t32" style="position:absolute;margin-left:234.25pt;margin-top:14.3pt;width:0;height:29.2pt;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" strokecolor="black [3200]" strokeweight=".5pt">
                <v:stroke endarrow="open" joinstyle="miter"/>
              </v:shape>
            </w:pict>
          </mc:Fallback>
        </mc:AlternateContent>
      </w: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 </w:t>
      </w: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3701DC" w:rsidP="00A33195">
      <w:pPr>
        <w:widowControl w:val="0"/>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29920" behindDoc="0" locked="0" layoutInCell="1" allowOverlap="1" wp14:anchorId="3197B983" wp14:editId="24B4AE7C">
                <wp:simplePos x="0" y="0"/>
                <wp:positionH relativeFrom="column">
                  <wp:posOffset>4380230</wp:posOffset>
                </wp:positionH>
                <wp:positionV relativeFrom="paragraph">
                  <wp:posOffset>187325</wp:posOffset>
                </wp:positionV>
                <wp:extent cx="0" cy="389255"/>
                <wp:effectExtent l="95250" t="38100" r="114300" b="48895"/>
                <wp:wrapNone/>
                <wp:docPr id="79" name="Прямая со стрелкой 79"/>
                <wp:cNvGraphicFramePr/>
                <a:graphic xmlns:a="http://schemas.openxmlformats.org/drawingml/2006/main">
                  <a:graphicData uri="http://schemas.microsoft.com/office/word/2010/wordprocessingShape">
                    <wps:wsp>
                      <wps:cNvCnPr/>
                      <wps:spPr>
                        <a:xfrm>
                          <a:off x="0" y="0"/>
                          <a:ext cx="0" cy="389255"/>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w14:anchorId="23A0347A" id="Прямая со стрелкой 79" o:spid="_x0000_s1026" type="#_x0000_t32" style="position:absolute;margin-left:344.9pt;margin-top:14.75pt;width:0;height:30.65pt;z-index:251729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" strokecolor="black [3200]" strokeweight=".5pt">
                <v:stroke startarrow="open" endarrow="open" joinstyle="miter"/>
              </v:shape>
            </w:pict>
          </mc:Fallback>
        </mc:AlternateContent>
      </w: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3701DC" w:rsidP="00A33195">
      <w:pPr>
        <w:widowControl w:val="0"/>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06368" behindDoc="0" locked="0" layoutInCell="1" allowOverlap="1" wp14:anchorId="61DEFED7" wp14:editId="42E37252">
                <wp:simplePos x="0" y="0"/>
                <wp:positionH relativeFrom="column">
                  <wp:posOffset>193040</wp:posOffset>
                </wp:positionH>
                <wp:positionV relativeFrom="paragraph">
                  <wp:posOffset>176530</wp:posOffset>
                </wp:positionV>
                <wp:extent cx="3037205" cy="1007110"/>
                <wp:effectExtent l="0" t="0" r="10795" b="21590"/>
                <wp:wrapNone/>
                <wp:docPr id="78" name="Поле 78"/>
                <wp:cNvGraphicFramePr/>
                <a:graphic xmlns:a="http://schemas.openxmlformats.org/drawingml/2006/main">
                  <a:graphicData uri="http://schemas.microsoft.com/office/word/2010/wordprocessingShape">
                    <wps:wsp>
                      <wps:cNvSpPr txBox="1"/>
                      <wps:spPr>
                        <a:xfrm>
                          <a:off x="0" y="0"/>
                          <a:ext cx="3037205" cy="10071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545A8" w:rsidRPr="00002306" w:rsidRDefault="000545A8" w:rsidP="00A3319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Порушення метаболізму сполучної тканини (синтезу колагенів, зокрема, збільшення експресії колагену </w:t>
                            </w:r>
                            <w:r>
                              <w:rPr>
                                <w:rFonts w:ascii="Times New Roman" w:hAnsi="Times New Roman" w:cs="Times New Roman"/>
                                <w:sz w:val="28"/>
                                <w:szCs w:val="28"/>
                                <w:lang w:val="en-US"/>
                              </w:rPr>
                              <w:t>IV</w:t>
                            </w:r>
                            <w:r>
                              <w:rPr>
                                <w:rFonts w:ascii="Times New Roman" w:hAnsi="Times New Roman" w:cs="Times New Roman"/>
                                <w:sz w:val="28"/>
                                <w:szCs w:val="28"/>
                                <w:lang w:val="uk-UA"/>
                              </w:rPr>
                              <w:t xml:space="preserve"> типу, еластичних волокон, ГАГ)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DEFED7" id="Поле 78" o:spid="_x0000_s1037" type="#_x0000_t202" style="position:absolute;margin-left:15.2pt;margin-top:13.9pt;width:239.15pt;height:79.3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" fillcolor="white [3201]" strokeweight=".5pt">
                <v:textbox>
                  <w:txbxContent>
                    <w:p w:rsidR="000545A8" w:rsidRPr="00002306" w:rsidRDefault="000545A8" w:rsidP="00A3319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Порушення метаболізму сполучної тканини (синтезу колагенів, зокрема, збільшення експресії колагену </w:t>
                      </w:r>
                      <w:r>
                        <w:rPr>
                          <w:rFonts w:ascii="Times New Roman" w:hAnsi="Times New Roman" w:cs="Times New Roman"/>
                          <w:sz w:val="28"/>
                          <w:szCs w:val="28"/>
                          <w:lang w:val="en-US"/>
                        </w:rPr>
                        <w:t>IV</w:t>
                      </w:r>
                      <w:r>
                        <w:rPr>
                          <w:rFonts w:ascii="Times New Roman" w:hAnsi="Times New Roman" w:cs="Times New Roman"/>
                          <w:sz w:val="28"/>
                          <w:szCs w:val="28"/>
                          <w:lang w:val="uk-UA"/>
                        </w:rPr>
                        <w:t xml:space="preserve"> типу, еластичних волокон, ГАГ)</w:t>
                      </w:r>
                    </w:p>
                  </w:txbxContent>
                </v:textbox>
              </v:shape>
            </w:pict>
          </mc:Fallback>
        </mc:AlternateContent>
      </w:r>
    </w:p>
    <w:p w:rsidR="00A33195" w:rsidRPr="000A32AD" w:rsidRDefault="00A33195" w:rsidP="00A33195">
      <w:pPr>
        <w:widowControl w:val="0"/>
        <w:rPr>
          <w:rFonts w:ascii="Times New Roman" w:hAnsi="Times New Roman" w:cs="Times New Roman"/>
          <w:color w:val="000000" w:themeColor="text1"/>
          <w:sz w:val="28"/>
          <w:szCs w:val="28"/>
          <w:lang w:val="uk-UA"/>
        </w:rPr>
      </w:pPr>
    </w:p>
    <w:p w:rsidR="00A33195" w:rsidRPr="000A32AD" w:rsidRDefault="00A33195" w:rsidP="00A33195">
      <w:pPr>
        <w:widowControl w:val="0"/>
        <w:ind w:firstLine="709"/>
        <w:rPr>
          <w:rFonts w:ascii="Times New Roman" w:hAnsi="Times New Roman" w:cs="Times New Roman"/>
          <w:color w:val="000000" w:themeColor="text1"/>
          <w:sz w:val="28"/>
          <w:szCs w:val="28"/>
          <w:lang w:val="uk-UA"/>
        </w:rPr>
      </w:pPr>
    </w:p>
    <w:p w:rsidR="00A33195" w:rsidRPr="000A32AD" w:rsidRDefault="00A33195" w:rsidP="00A33195">
      <w:pPr>
        <w:widowControl w:val="0"/>
        <w:ind w:firstLine="709"/>
        <w:rPr>
          <w:rFonts w:ascii="Times New Roman" w:hAnsi="Times New Roman" w:cs="Times New Roman"/>
          <w:color w:val="000000" w:themeColor="text1"/>
          <w:sz w:val="28"/>
          <w:szCs w:val="28"/>
          <w:lang w:val="uk-UA"/>
        </w:rPr>
      </w:pPr>
    </w:p>
    <w:p w:rsidR="00A33195" w:rsidRPr="000A32AD" w:rsidRDefault="00A33195" w:rsidP="00A33195">
      <w:pPr>
        <w:widowControl w:val="0"/>
        <w:ind w:firstLine="709"/>
        <w:rPr>
          <w:rFonts w:ascii="Times New Roman" w:hAnsi="Times New Roman" w:cs="Times New Roman"/>
          <w:color w:val="000000" w:themeColor="text1"/>
          <w:sz w:val="28"/>
          <w:szCs w:val="28"/>
          <w:lang w:val="uk-UA"/>
        </w:rPr>
      </w:pPr>
    </w:p>
    <w:p w:rsidR="00A33195" w:rsidRPr="000A32AD" w:rsidRDefault="00A33195" w:rsidP="00A33195">
      <w:pPr>
        <w:widowControl w:val="0"/>
        <w:ind w:firstLine="709"/>
        <w:rPr>
          <w:rFonts w:ascii="Times New Roman" w:hAnsi="Times New Roman" w:cs="Times New Roman"/>
          <w:color w:val="000000" w:themeColor="text1"/>
          <w:sz w:val="28"/>
          <w:szCs w:val="28"/>
          <w:lang w:val="uk-UA"/>
        </w:rPr>
      </w:pPr>
    </w:p>
    <w:p w:rsidR="00A33195" w:rsidRPr="000A32AD" w:rsidRDefault="00A33195" w:rsidP="00A33195">
      <w:pPr>
        <w:widowControl w:val="0"/>
        <w:ind w:firstLine="709"/>
        <w:rPr>
          <w:rFonts w:ascii="Times New Roman" w:hAnsi="Times New Roman" w:cs="Times New Roman"/>
          <w:color w:val="000000" w:themeColor="text1"/>
          <w:sz w:val="28"/>
          <w:szCs w:val="28"/>
          <w:lang w:val="uk-UA"/>
        </w:rPr>
      </w:pPr>
    </w:p>
    <w:p w:rsidR="00A33195" w:rsidRPr="000A32AD" w:rsidRDefault="00A33195" w:rsidP="00A33195">
      <w:pPr>
        <w:widowControl w:val="0"/>
        <w:ind w:firstLine="709"/>
        <w:rPr>
          <w:rFonts w:ascii="Times New Roman" w:hAnsi="Times New Roman" w:cs="Times New Roman"/>
          <w:color w:val="000000" w:themeColor="text1"/>
          <w:sz w:val="28"/>
          <w:szCs w:val="28"/>
          <w:lang w:val="uk-UA"/>
        </w:rPr>
      </w:pPr>
    </w:p>
    <w:p w:rsidR="00A33195" w:rsidRPr="000A32AD" w:rsidRDefault="00A33195" w:rsidP="00A33195">
      <w:pPr>
        <w:widowControl w:val="0"/>
        <w:ind w:firstLine="709"/>
        <w:rPr>
          <w:rFonts w:ascii="Times New Roman" w:hAnsi="Times New Roman" w:cs="Times New Roman"/>
          <w:color w:val="000000" w:themeColor="text1"/>
          <w:sz w:val="28"/>
          <w:szCs w:val="28"/>
          <w:lang w:val="uk-UA"/>
        </w:rPr>
      </w:pPr>
    </w:p>
    <w:p w:rsidR="003701DC" w:rsidRPr="000A32AD" w:rsidRDefault="003701DC" w:rsidP="00A33195">
      <w:pPr>
        <w:widowControl w:val="0"/>
        <w:ind w:firstLine="709"/>
        <w:rPr>
          <w:rFonts w:ascii="Times New Roman" w:hAnsi="Times New Roman" w:cs="Times New Roman"/>
          <w:color w:val="000000" w:themeColor="text1"/>
          <w:sz w:val="28"/>
          <w:szCs w:val="28"/>
          <w:lang w:val="uk-UA"/>
        </w:rPr>
      </w:pPr>
    </w:p>
    <w:p w:rsidR="003701DC" w:rsidRPr="000A32AD" w:rsidRDefault="003701DC" w:rsidP="00A33195">
      <w:pPr>
        <w:widowControl w:val="0"/>
        <w:ind w:firstLine="709"/>
        <w:rPr>
          <w:rFonts w:ascii="Times New Roman" w:hAnsi="Times New Roman" w:cs="Times New Roman"/>
          <w:color w:val="000000" w:themeColor="text1"/>
          <w:sz w:val="28"/>
          <w:szCs w:val="28"/>
          <w:lang w:val="uk-UA"/>
        </w:rPr>
      </w:pPr>
    </w:p>
    <w:p w:rsidR="003701DC" w:rsidRPr="000A32AD" w:rsidRDefault="003701DC" w:rsidP="00A33195">
      <w:pPr>
        <w:widowControl w:val="0"/>
        <w:ind w:firstLine="709"/>
        <w:rPr>
          <w:rFonts w:ascii="Times New Roman" w:hAnsi="Times New Roman" w:cs="Times New Roman"/>
          <w:color w:val="000000" w:themeColor="text1"/>
          <w:sz w:val="28"/>
          <w:szCs w:val="28"/>
          <w:lang w:val="uk-UA"/>
        </w:rPr>
      </w:pPr>
    </w:p>
    <w:p w:rsidR="003701DC" w:rsidRPr="000A32AD" w:rsidRDefault="003701DC" w:rsidP="00A33195">
      <w:pPr>
        <w:widowControl w:val="0"/>
        <w:ind w:firstLine="709"/>
        <w:rPr>
          <w:rFonts w:ascii="Times New Roman" w:hAnsi="Times New Roman" w:cs="Times New Roman"/>
          <w:color w:val="000000" w:themeColor="text1"/>
          <w:sz w:val="28"/>
          <w:szCs w:val="28"/>
          <w:lang w:val="uk-UA"/>
        </w:rPr>
      </w:pPr>
    </w:p>
    <w:p w:rsidR="003701DC" w:rsidRPr="000A32AD" w:rsidRDefault="003701DC" w:rsidP="00A33195">
      <w:pPr>
        <w:widowControl w:val="0"/>
        <w:ind w:firstLine="709"/>
        <w:rPr>
          <w:rFonts w:ascii="Times New Roman" w:hAnsi="Times New Roman" w:cs="Times New Roman"/>
          <w:color w:val="000000" w:themeColor="text1"/>
          <w:sz w:val="28"/>
          <w:szCs w:val="28"/>
          <w:lang w:val="uk-UA"/>
        </w:rPr>
      </w:pPr>
    </w:p>
    <w:p w:rsidR="003701DC" w:rsidRPr="000A32AD" w:rsidRDefault="003701DC" w:rsidP="00A33195">
      <w:pPr>
        <w:widowControl w:val="0"/>
        <w:ind w:firstLine="709"/>
        <w:rPr>
          <w:rFonts w:ascii="Times New Roman" w:hAnsi="Times New Roman" w:cs="Times New Roman"/>
          <w:color w:val="000000" w:themeColor="text1"/>
          <w:sz w:val="28"/>
          <w:szCs w:val="28"/>
          <w:lang w:val="uk-UA"/>
        </w:rPr>
      </w:pPr>
    </w:p>
    <w:p w:rsidR="003701DC" w:rsidRPr="000A32AD" w:rsidRDefault="003701DC" w:rsidP="00A33195">
      <w:pPr>
        <w:widowControl w:val="0"/>
        <w:ind w:firstLine="709"/>
        <w:rPr>
          <w:rFonts w:ascii="Times New Roman" w:hAnsi="Times New Roman" w:cs="Times New Roman"/>
          <w:color w:val="000000" w:themeColor="text1"/>
          <w:sz w:val="28"/>
          <w:szCs w:val="28"/>
          <w:lang w:val="uk-UA"/>
        </w:rPr>
      </w:pPr>
    </w:p>
    <w:p w:rsidR="003701DC" w:rsidRPr="000A32AD" w:rsidRDefault="003701DC" w:rsidP="00A33195">
      <w:pPr>
        <w:widowControl w:val="0"/>
        <w:ind w:firstLine="709"/>
        <w:rPr>
          <w:rFonts w:ascii="Times New Roman" w:hAnsi="Times New Roman" w:cs="Times New Roman"/>
          <w:color w:val="000000" w:themeColor="text1"/>
          <w:sz w:val="28"/>
          <w:szCs w:val="28"/>
          <w:lang w:val="uk-UA"/>
        </w:rPr>
      </w:pPr>
    </w:p>
    <w:p w:rsidR="00A33195" w:rsidRPr="000A32AD" w:rsidRDefault="00BA6B1D" w:rsidP="00A33195">
      <w:pPr>
        <w:widowControl w:val="0"/>
        <w:ind w:firstLine="709"/>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Рис. 5</w:t>
      </w:r>
      <w:r w:rsidR="00A33195" w:rsidRPr="000A32AD">
        <w:rPr>
          <w:rFonts w:ascii="Times New Roman" w:hAnsi="Times New Roman" w:cs="Times New Roman"/>
          <w:color w:val="000000" w:themeColor="text1"/>
          <w:sz w:val="28"/>
          <w:szCs w:val="28"/>
          <w:lang w:val="uk-UA"/>
        </w:rPr>
        <w:t>.1. Патогенез розвитку АГ у хворих на ЦД 2 типу та НДСТ.</w:t>
      </w:r>
    </w:p>
    <w:p w:rsidR="00A131C4" w:rsidRPr="000A32AD" w:rsidRDefault="00A131C4" w:rsidP="00A131C4">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lastRenderedPageBreak/>
        <w:t>Акцент у цієї схемі зроблено на розвитку АГ, яка виявилась найбільш розповсюджено супутньою патологію у хворих на ЦД 2 типу, що відповідає й результатам досліджень інших авторів.</w:t>
      </w:r>
    </w:p>
    <w:p w:rsidR="00A131C4" w:rsidRPr="000A32AD" w:rsidRDefault="00A131C4" w:rsidP="00A131C4">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Результати наших досліджень, як й інших авторів, свідчать, що патологічні зміни метаболізму (зокрема гіперглікемія, збільшення рівня AGE, накопичення циркулюючих жирних кислот, продуктів окисного стресу та ін.) призводять перш за все до розвитку ендотеліальної дисфункції, у тому числі, завдяки ураження гіалурон-вмісного глікокаліксу ендотелію судин [90; 171; </w:t>
      </w:r>
      <w:r w:rsidRPr="000A32AD">
        <w:rPr>
          <w:rFonts w:ascii="Times New Roman" w:hAnsi="Times New Roman" w:cs="Times New Roman"/>
          <w:bCs/>
          <w:color w:val="000000" w:themeColor="text1"/>
          <w:sz w:val="28"/>
          <w:szCs w:val="28"/>
          <w:lang w:val="uk-UA"/>
        </w:rPr>
        <w:t>220</w:t>
      </w:r>
      <w:r w:rsidRPr="000A32AD">
        <w:rPr>
          <w:rFonts w:ascii="Times New Roman" w:hAnsi="Times New Roman" w:cs="Times New Roman"/>
          <w:color w:val="000000" w:themeColor="text1"/>
          <w:sz w:val="28"/>
          <w:szCs w:val="28"/>
          <w:lang w:val="uk-UA"/>
        </w:rPr>
        <w:t>]. Ендотеліальна дисфункція призводять до потовщення базальних мембран мікросудин, порушень метаболізму у позаклитинному матриксі та ініціації атеросклеротичних уражень великих судин [</w:t>
      </w:r>
      <w:r w:rsidRPr="000A32AD">
        <w:rPr>
          <w:rFonts w:ascii="Times New Roman" w:hAnsi="Times New Roman" w:cs="Times New Roman"/>
          <w:color w:val="000000" w:themeColor="text1"/>
          <w:sz w:val="28"/>
          <w:szCs w:val="28"/>
        </w:rPr>
        <w:t>90</w:t>
      </w:r>
      <w:r w:rsidRPr="000A32AD">
        <w:rPr>
          <w:rFonts w:ascii="Times New Roman" w:hAnsi="Times New Roman" w:cs="Times New Roman"/>
          <w:color w:val="000000" w:themeColor="text1"/>
          <w:sz w:val="28"/>
          <w:szCs w:val="28"/>
          <w:lang w:val="uk-UA"/>
        </w:rPr>
        <w:t>]. Ці зміни порушення структури базальних мембран та стінок артеріальних судин призводять розвитку жорсткості артерій, їх ригідності, що нерідко виявляється у хворих на ЦД 2 типу та/або на АГ.</w:t>
      </w:r>
    </w:p>
    <w:p w:rsidR="00426283" w:rsidRPr="000A32AD" w:rsidRDefault="00426283" w:rsidP="00426283">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Іншим фактором, що сприяє розвитку АГ у хворих на ЦД 2 типу є діабетична нефропатія, в свою чергу, розвиток діабетичної нефропатії асоційований з АГ. </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Патологічна активація функціонально активних клітин сполучної тканини є підставою для розвитку порушень метаболізму сполучної тканини, у тому числі, збільшення експресії колагену IV типу. Збільшення експресії колагену IV типу раніш було виявлено за результатами клініко-біохімічних досліджень, в яких вивчали екскрецію цього колагену із сечею. Більш того, збільшення екскреції колагену IV типу вважають ранньою ознакою діабетичної нефропатії та нефропатії іншого генезу [</w:t>
      </w:r>
      <w:r w:rsidR="00C14963" w:rsidRPr="000A32AD">
        <w:rPr>
          <w:rFonts w:ascii="Times New Roman" w:hAnsi="Times New Roman" w:cs="Times New Roman"/>
          <w:color w:val="000000" w:themeColor="text1"/>
          <w:sz w:val="28"/>
          <w:szCs w:val="28"/>
          <w:lang w:val="uk-UA"/>
        </w:rPr>
        <w:t>9</w:t>
      </w:r>
      <w:r w:rsidRPr="000A32AD">
        <w:rPr>
          <w:rFonts w:ascii="Times New Roman" w:hAnsi="Times New Roman" w:cs="Times New Roman"/>
          <w:color w:val="000000" w:themeColor="text1"/>
          <w:sz w:val="28"/>
          <w:szCs w:val="28"/>
          <w:lang w:val="uk-UA"/>
        </w:rPr>
        <w:t xml:space="preserve">; </w:t>
      </w:r>
      <w:r w:rsidR="00C14963" w:rsidRPr="000A32AD">
        <w:rPr>
          <w:rFonts w:ascii="Times New Roman" w:hAnsi="Times New Roman" w:cs="Times New Roman"/>
          <w:color w:val="000000" w:themeColor="text1"/>
          <w:sz w:val="28"/>
          <w:szCs w:val="28"/>
          <w:lang w:val="uk-UA"/>
        </w:rPr>
        <w:t>127</w:t>
      </w:r>
      <w:r w:rsidRPr="000A32AD">
        <w:rPr>
          <w:rFonts w:ascii="Times New Roman" w:hAnsi="Times New Roman" w:cs="Times New Roman"/>
          <w:color w:val="000000" w:themeColor="text1"/>
          <w:sz w:val="28"/>
          <w:szCs w:val="28"/>
          <w:lang w:val="uk-UA"/>
        </w:rPr>
        <w:t xml:space="preserve">] </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Ці процеси у свою чергу сприяють поглибленню ендотеліальної дисфункції, порушенню структури базальних мембран та стінок судин, фіброзно-склеротичним процесам в паренхімі функціонально активних органів, зокрема, нирок.</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lastRenderedPageBreak/>
        <w:t>Тобто, безпосередньо ЦД 2 типу має велику патогенетичну роль у виникненні порушень метаболізму сполучної тканини, які є підставою для виникнення судинних ускладнень ЦД та розвитку АГ 2 типу. Мішенню патологічного впливу ЦД є функціонально активні клітини сполучної тканини, міжклітинний матрикс та ендотеліальні клітини, які також є елементом сполучної тканини</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У той же час, порушення метаболізму сполучної тканини є основною причиною та наслідком, фенотипічних ознак</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НДСТ. У схемі патогенезу, що пропонується, вплив НДСТ на активацію клітин фібропластичного ряду та експресію факторів росту відображено пунктирною лінією. Це пов’язано з тим, що механізми розвитку ДСТ досить різноманітні. У більшості випадків вони є генетично детерміновані та пов’язані з порушенням експресії генів, що впливають на ті чи інші сигнальні шляхи, їх ко-факторів, активуючих та/або пригничуючих регуляторних ензимів та ін. Конкретні механізми при окремих захворюваннях, що відносять до НДСТ, можуть розрізнятися, але їх наслідком завжди є порушення метаболізму сполучної тканини. При відсутності явних клінічних ознак цих порушень НДСТ має прихований характер, але з накопиченням ініціюючих факторів вони стають клінічно значимими, та можуть бути основою розвитку та прогресування патологічних процесів, коморбідної патології та ускладнень інших захворювань [</w:t>
      </w:r>
      <w:r w:rsidR="00314D2E" w:rsidRPr="000A32AD">
        <w:rPr>
          <w:rFonts w:ascii="Times New Roman" w:hAnsi="Times New Roman" w:cs="Times New Roman"/>
          <w:color w:val="000000" w:themeColor="text1"/>
          <w:sz w:val="28"/>
          <w:szCs w:val="28"/>
          <w:lang w:val="uk-UA"/>
        </w:rPr>
        <w:t xml:space="preserve">4; 14; 20; </w:t>
      </w:r>
      <w:r w:rsidR="00D44D65" w:rsidRPr="000A32AD">
        <w:rPr>
          <w:rFonts w:ascii="Times New Roman" w:hAnsi="Times New Roman" w:cs="Times New Roman"/>
          <w:color w:val="000000" w:themeColor="text1"/>
          <w:sz w:val="28"/>
          <w:szCs w:val="28"/>
          <w:lang w:val="uk-UA"/>
        </w:rPr>
        <w:t>33</w:t>
      </w:r>
      <w:r w:rsidRPr="000A32AD">
        <w:rPr>
          <w:rFonts w:ascii="Times New Roman" w:hAnsi="Times New Roman" w:cs="Times New Roman"/>
          <w:color w:val="000000" w:themeColor="text1"/>
          <w:sz w:val="28"/>
          <w:szCs w:val="28"/>
          <w:lang w:val="uk-UA"/>
        </w:rPr>
        <w:t>] .</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Слід зазначити, також наявність чисельних взаємовпливів більшості ланок патогенезу, які мають як прямі, так й зворотні зв’язки. Завдяки цьому формуються чисельні «порочні кола», які сприяють прогресуванню та хронізації патологічних процесів.</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Таким чином, наявність НДСТ є додатковим, а в окремих випадках, можливо, основним</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фактором ураження судин у хворих на ЦД 2 типу та одним з важливих патогенетичних механізмів розвитку АГ та судинних ускладнень.</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Це свідчить про важливість своєчасного виявлення ознак НДСТ, з іншого </w:t>
      </w:r>
      <w:r w:rsidRPr="000A32AD">
        <w:rPr>
          <w:rFonts w:ascii="Times New Roman" w:hAnsi="Times New Roman" w:cs="Times New Roman"/>
          <w:color w:val="000000" w:themeColor="text1"/>
          <w:sz w:val="28"/>
          <w:szCs w:val="28"/>
          <w:lang w:val="uk-UA"/>
        </w:rPr>
        <w:lastRenderedPageBreak/>
        <w:t>боку, про можливість застосування цих ознак в якості предикторів розвитку АГ у хворих на ЦД 2 типу.</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Для визначення прогностичної значущості НДСТ у розвитку АГ був виконаний аналіз виписних епікризів після попереднього стаціонарного лікування (від двох до 5 років тому) у хворих з тривалістю ЦД 2 типу не менш 2 років. Під час аналізу перш за все звертали увагу на наявність АГ при попередніх госпіталізаціях, її ступінь та на наявність захворювань, що є характерними для НДСТ при останні госпіталізації. Хворі були розподілено на дві групи. У І групу увійшли хворі,</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у яких АГ не діагностувалась при попередніх госпіталізаціях та не виявилась під час останньої госпіталізації, а також хворі, у яких ступінь АГ під час попередньої та останньої госпіталізації не розрізнявся, тобто не спостерігалось прогресування АГ. Другу групу склали хворі, у яких АГ не діагностували під час попередньої госпіталізації, але під час останньої госпіталізації у них біло виявлено АГ, а також хворі, у яких ступінь АГ під час останньої госпіталізації збільшився у порівнянні з попередньою. Як видно, основною відмінністю груп було виникнення або прогресування АГ, чи відсутність АГ або її стабільний перебіг.</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 якості предиктора розглядалось лише наявність або відсутність ознак НДСТ під час останньої госпіталізації. Крім цього, в якості предиктора додано тривалість ЦД 2 типу у зв’язку з відомим збільшенням частоти АГ при збільшенні тривалості ЦД. Концентрацію FGF2 не розглядали в якості предиктора у зв’язку з відсутністю цих даних під час попередньої госпіталізації, також важливим є той факт, що це досить коштовне дослідження, яке не застосовується в рутинній клінічній практиці.</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З’ясування прогностичної значущості факторів, що були обрані для аналізу, виконано за допомогою регресійного аналізу з використанням бінарної логістичної регресії методом Вальда. В результаті аналізу у підсумкове рівняння визначення коефіцієнту z увійшли обидва фактор</w:t>
      </w:r>
      <w:r w:rsidR="007D665B" w:rsidRPr="000A32AD">
        <w:rPr>
          <w:rFonts w:ascii="Times New Roman" w:hAnsi="Times New Roman" w:cs="Times New Roman"/>
          <w:color w:val="000000" w:themeColor="text1"/>
          <w:sz w:val="28"/>
          <w:szCs w:val="28"/>
          <w:lang w:val="uk-UA"/>
        </w:rPr>
        <w:t>и</w:t>
      </w:r>
      <w:r w:rsidRPr="000A32AD">
        <w:rPr>
          <w:rFonts w:ascii="Times New Roman" w:hAnsi="Times New Roman" w:cs="Times New Roman"/>
          <w:color w:val="000000" w:themeColor="text1"/>
          <w:sz w:val="28"/>
          <w:szCs w:val="28"/>
          <w:lang w:val="uk-UA"/>
        </w:rPr>
        <w:t xml:space="preserve">: наявність ознак </w:t>
      </w:r>
      <w:r w:rsidRPr="000A32AD">
        <w:rPr>
          <w:rFonts w:ascii="Times New Roman" w:hAnsi="Times New Roman" w:cs="Times New Roman"/>
          <w:color w:val="000000" w:themeColor="text1"/>
          <w:sz w:val="28"/>
          <w:szCs w:val="28"/>
          <w:lang w:val="uk-UA"/>
        </w:rPr>
        <w:lastRenderedPageBreak/>
        <w:t>НДСТ – з коефіцієнтом 2,970 (при рівні достовірності p&lt;0,001), та тривалість ЦД 2 типу – з</w:t>
      </w:r>
      <w:r w:rsidR="00F17BD2" w:rsidRPr="000A32AD">
        <w:rPr>
          <w:rFonts w:ascii="Times New Roman" w:hAnsi="Times New Roman" w:cs="Times New Roman"/>
          <w:color w:val="000000" w:themeColor="text1"/>
          <w:sz w:val="28"/>
          <w:szCs w:val="28"/>
          <w:lang w:val="uk-UA"/>
        </w:rPr>
        <w:t xml:space="preserve"> </w:t>
      </w:r>
      <w:r w:rsidRPr="000A32AD">
        <w:rPr>
          <w:rFonts w:ascii="Times New Roman" w:hAnsi="Times New Roman" w:cs="Times New Roman"/>
          <w:color w:val="000000" w:themeColor="text1"/>
          <w:sz w:val="28"/>
          <w:szCs w:val="28"/>
          <w:lang w:val="uk-UA"/>
        </w:rPr>
        <w:t>коефіцієнтом 0,470 (при рівні достовірності p&lt;0,021). Це є доказом прямого впливу НДСТ на розвиток АГ, та більшої значимості цього фактор</w:t>
      </w:r>
      <w:r w:rsidR="007D665B" w:rsidRPr="000A32AD">
        <w:rPr>
          <w:rFonts w:ascii="Times New Roman" w:hAnsi="Times New Roman" w:cs="Times New Roman"/>
          <w:color w:val="000000" w:themeColor="text1"/>
          <w:sz w:val="28"/>
          <w:szCs w:val="28"/>
          <w:lang w:val="uk-UA"/>
        </w:rPr>
        <w:t>у</w:t>
      </w:r>
      <w:r w:rsidRPr="000A32AD">
        <w:rPr>
          <w:rFonts w:ascii="Times New Roman" w:hAnsi="Times New Roman" w:cs="Times New Roman"/>
          <w:color w:val="000000" w:themeColor="text1"/>
          <w:sz w:val="28"/>
          <w:szCs w:val="28"/>
          <w:lang w:val="uk-UA"/>
        </w:rPr>
        <w:t xml:space="preserve"> ніж тривалість ЦД 2 типу.</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Перевірка регресійної моделі на збіг прогнозованих та спостережених значень виявила, що її специфічність склала 87,2%, чутливість – 89,7%. Загальна прогностичність дорівнює 88,5%. Це досить високі показники, які дозволяють застосовувати запропоновану модель для визначення хворих на ЦД 2 типу з високим ризиком розвитку АГ.</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Однак слід зазначити, що дослідження має певні обмеження. Це обмежена вікова група (35–45 років), ретроспективний характер аналізу, відсутність у більшості випадків даних добового моніторування АТ, варіабельність глибини аналізу.</w:t>
      </w:r>
    </w:p>
    <w:p w:rsidR="00A33195" w:rsidRPr="000A32AD" w:rsidRDefault="00A33195" w:rsidP="00A33195">
      <w:pPr>
        <w:widowControl w:val="0"/>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Водночас ці обмеження визначають перспективи подальших досліджень у цьому напрямку. Доцільно більш широкомасштабне дослідження без вікових обмежень, із застосуванням сучасних методів об’єктивізації коливань АТ протягом доби, тривале дослідження з визначенням контрольних точок збору даних, а також визначення найбільш об’єктивних маркерів НДСТ.</w:t>
      </w:r>
    </w:p>
    <w:p w:rsidR="00A33195" w:rsidRPr="000A32AD" w:rsidRDefault="00A33195" w:rsidP="00A33195">
      <w:pPr>
        <w:spacing w:after="200" w:line="276" w:lineRule="auto"/>
        <w:rPr>
          <w:rFonts w:ascii="Times New Roman" w:hAnsi="Times New Roman" w:cs="Times New Roman"/>
          <w:b/>
          <w:color w:val="000000" w:themeColor="text1"/>
          <w:sz w:val="28"/>
          <w:szCs w:val="28"/>
          <w:lang w:val="uk-UA"/>
        </w:rPr>
      </w:pPr>
    </w:p>
    <w:p w:rsidR="00AC3463" w:rsidRPr="000A32AD" w:rsidRDefault="00AC3463">
      <w:pPr>
        <w:spacing w:after="160" w:line="259" w:lineRule="auto"/>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br w:type="page"/>
      </w:r>
    </w:p>
    <w:p w:rsidR="007D665B" w:rsidRDefault="007D665B" w:rsidP="007D665B">
      <w:pPr>
        <w:spacing w:after="200" w:line="276" w:lineRule="auto"/>
        <w:jc w:val="center"/>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lastRenderedPageBreak/>
        <w:t>ВИСНОВКИ</w:t>
      </w:r>
    </w:p>
    <w:p w:rsidR="00B24EC9" w:rsidRPr="000A32AD" w:rsidRDefault="00B24EC9" w:rsidP="007D665B">
      <w:pPr>
        <w:spacing w:after="200" w:line="276" w:lineRule="auto"/>
        <w:jc w:val="center"/>
        <w:rPr>
          <w:rFonts w:ascii="Times New Roman" w:hAnsi="Times New Roman" w:cs="Times New Roman"/>
          <w:b/>
          <w:color w:val="000000" w:themeColor="text1"/>
          <w:sz w:val="28"/>
          <w:szCs w:val="28"/>
          <w:lang w:val="uk-UA"/>
        </w:rPr>
      </w:pPr>
    </w:p>
    <w:p w:rsidR="00593806" w:rsidRPr="00842095" w:rsidRDefault="00593806" w:rsidP="00593806">
      <w:pPr>
        <w:spacing w:line="360" w:lineRule="auto"/>
        <w:ind w:firstLine="709"/>
        <w:jc w:val="both"/>
        <w:rPr>
          <w:rFonts w:ascii="Times New Roman" w:hAnsi="Times New Roman" w:cs="Times New Roman"/>
          <w:color w:val="auto"/>
          <w:sz w:val="28"/>
          <w:szCs w:val="28"/>
          <w:lang w:val="uk-UA"/>
        </w:rPr>
      </w:pPr>
      <w:r w:rsidRPr="00A252FE">
        <w:rPr>
          <w:rFonts w:ascii="Times New Roman" w:hAnsi="Times New Roman" w:cs="Times New Roman"/>
          <w:color w:val="000000" w:themeColor="text1"/>
          <w:sz w:val="28"/>
          <w:szCs w:val="28"/>
          <w:lang w:val="uk-UA"/>
        </w:rPr>
        <w:t xml:space="preserve">1. Дисертаційне дослідження присвячено актуальному питанню сучасної клінічної медицини, а саме підвищенню ефективності ранньої діагностики </w:t>
      </w:r>
      <w:r w:rsidRPr="00073FFA">
        <w:rPr>
          <w:rFonts w:ascii="Times New Roman" w:hAnsi="Times New Roman" w:cs="Times New Roman"/>
          <w:color w:val="000000" w:themeColor="text1"/>
          <w:sz w:val="28"/>
          <w:szCs w:val="28"/>
          <w:lang w:val="uk-UA"/>
        </w:rPr>
        <w:t>та прогнозування артеріальної гіпертензії у хворих на цукровий діабет 2 типу</w:t>
      </w:r>
      <w:r>
        <w:rPr>
          <w:rFonts w:ascii="Times New Roman" w:hAnsi="Times New Roman" w:cs="Times New Roman"/>
          <w:color w:val="000000" w:themeColor="text1"/>
          <w:sz w:val="28"/>
          <w:szCs w:val="28"/>
          <w:lang w:val="uk-UA"/>
        </w:rPr>
        <w:t xml:space="preserve">, що дозволило визначити </w:t>
      </w:r>
      <w:r w:rsidRPr="000A32AD">
        <w:rPr>
          <w:rFonts w:ascii="Times New Roman" w:hAnsi="Times New Roman" w:cs="Times New Roman"/>
          <w:color w:val="000000" w:themeColor="text1"/>
          <w:sz w:val="28"/>
          <w:szCs w:val="28"/>
          <w:lang w:val="uk-UA"/>
        </w:rPr>
        <w:t>патогенетичн</w:t>
      </w:r>
      <w:r>
        <w:rPr>
          <w:rFonts w:ascii="Times New Roman" w:hAnsi="Times New Roman" w:cs="Times New Roman"/>
          <w:color w:val="000000" w:themeColor="text1"/>
          <w:sz w:val="28"/>
          <w:szCs w:val="28"/>
          <w:lang w:val="uk-UA"/>
        </w:rPr>
        <w:t>у</w:t>
      </w:r>
      <w:r w:rsidRPr="000A32AD">
        <w:rPr>
          <w:rFonts w:ascii="Times New Roman" w:hAnsi="Times New Roman" w:cs="Times New Roman"/>
          <w:color w:val="000000" w:themeColor="text1"/>
          <w:sz w:val="28"/>
          <w:szCs w:val="28"/>
          <w:lang w:val="uk-UA"/>
        </w:rPr>
        <w:t xml:space="preserve"> рол</w:t>
      </w:r>
      <w:r>
        <w:rPr>
          <w:rFonts w:ascii="Times New Roman" w:hAnsi="Times New Roman" w:cs="Times New Roman"/>
          <w:color w:val="000000" w:themeColor="text1"/>
          <w:sz w:val="28"/>
          <w:szCs w:val="28"/>
          <w:lang w:val="uk-UA"/>
        </w:rPr>
        <w:t>ь</w:t>
      </w:r>
      <w:r w:rsidRPr="000A32AD">
        <w:rPr>
          <w:rFonts w:ascii="Times New Roman" w:hAnsi="Times New Roman" w:cs="Times New Roman"/>
          <w:color w:val="000000" w:themeColor="text1"/>
          <w:sz w:val="28"/>
          <w:szCs w:val="28"/>
          <w:lang w:val="uk-UA"/>
        </w:rPr>
        <w:t xml:space="preserve"> порушень метаболізму сполучної тканини </w:t>
      </w:r>
      <w:r>
        <w:rPr>
          <w:rFonts w:ascii="Times New Roman" w:hAnsi="Times New Roman" w:cs="Times New Roman"/>
          <w:color w:val="000000" w:themeColor="text1"/>
          <w:sz w:val="28"/>
          <w:szCs w:val="28"/>
          <w:lang w:val="uk-UA"/>
        </w:rPr>
        <w:t xml:space="preserve">та розробити метод прогнозування розвитку </w:t>
      </w:r>
      <w:r w:rsidRPr="000A32AD">
        <w:rPr>
          <w:rFonts w:ascii="Times New Roman" w:hAnsi="Times New Roman" w:cs="Times New Roman"/>
          <w:color w:val="000000" w:themeColor="text1"/>
          <w:sz w:val="28"/>
          <w:szCs w:val="28"/>
          <w:lang w:val="uk-UA"/>
        </w:rPr>
        <w:t>артеріальн</w:t>
      </w:r>
      <w:r>
        <w:rPr>
          <w:rFonts w:ascii="Times New Roman" w:hAnsi="Times New Roman" w:cs="Times New Roman"/>
          <w:color w:val="000000" w:themeColor="text1"/>
          <w:sz w:val="28"/>
          <w:szCs w:val="28"/>
          <w:lang w:val="uk-UA"/>
        </w:rPr>
        <w:t>ої</w:t>
      </w:r>
      <w:r w:rsidRPr="000A32AD">
        <w:rPr>
          <w:rFonts w:ascii="Times New Roman" w:hAnsi="Times New Roman" w:cs="Times New Roman"/>
          <w:color w:val="000000" w:themeColor="text1"/>
          <w:sz w:val="28"/>
          <w:szCs w:val="28"/>
          <w:lang w:val="uk-UA"/>
        </w:rPr>
        <w:t xml:space="preserve"> гіпертензі</w:t>
      </w:r>
      <w:r>
        <w:rPr>
          <w:rFonts w:ascii="Times New Roman" w:hAnsi="Times New Roman" w:cs="Times New Roman"/>
          <w:color w:val="000000" w:themeColor="text1"/>
          <w:sz w:val="28"/>
          <w:szCs w:val="28"/>
          <w:lang w:val="uk-UA"/>
        </w:rPr>
        <w:t xml:space="preserve">ї при наявності ознак недиференційованої </w:t>
      </w:r>
      <w:r w:rsidRPr="000A32AD">
        <w:rPr>
          <w:rFonts w:ascii="Times New Roman" w:hAnsi="Times New Roman" w:cs="Times New Roman"/>
          <w:color w:val="000000" w:themeColor="text1"/>
          <w:sz w:val="28"/>
          <w:szCs w:val="28"/>
          <w:lang w:val="uk-UA"/>
        </w:rPr>
        <w:t>дисплазі</w:t>
      </w:r>
      <w:r>
        <w:rPr>
          <w:rFonts w:ascii="Times New Roman" w:hAnsi="Times New Roman" w:cs="Times New Roman"/>
          <w:color w:val="000000" w:themeColor="text1"/>
          <w:sz w:val="28"/>
          <w:szCs w:val="28"/>
          <w:lang w:val="uk-UA"/>
        </w:rPr>
        <w:t>ї</w:t>
      </w:r>
      <w:r w:rsidRPr="000A32AD">
        <w:rPr>
          <w:rFonts w:ascii="Times New Roman" w:hAnsi="Times New Roman" w:cs="Times New Roman"/>
          <w:color w:val="000000" w:themeColor="text1"/>
          <w:sz w:val="28"/>
          <w:szCs w:val="28"/>
          <w:lang w:val="uk-UA"/>
        </w:rPr>
        <w:t xml:space="preserve"> сполучної тканини.</w:t>
      </w:r>
      <w:r>
        <w:rPr>
          <w:rFonts w:ascii="Times New Roman" w:hAnsi="Times New Roman" w:cs="Times New Roman"/>
          <w:color w:val="000000" w:themeColor="text1"/>
          <w:sz w:val="28"/>
          <w:szCs w:val="28"/>
          <w:lang w:val="uk-UA"/>
        </w:rPr>
        <w:t xml:space="preserve"> </w:t>
      </w:r>
    </w:p>
    <w:p w:rsidR="00593806" w:rsidRPr="000A32AD" w:rsidRDefault="00593806" w:rsidP="00593806">
      <w:pPr>
        <w:spacing w:line="360" w:lineRule="auto"/>
        <w:ind w:firstLine="709"/>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2. Супутню патологію виявлено у 77 (85,6%) хворих на </w:t>
      </w:r>
      <w:r w:rsidRPr="00073FFA">
        <w:rPr>
          <w:rFonts w:ascii="Times New Roman" w:hAnsi="Times New Roman" w:cs="Times New Roman"/>
          <w:color w:val="000000" w:themeColor="text1"/>
          <w:sz w:val="28"/>
          <w:szCs w:val="28"/>
          <w:lang w:val="uk-UA"/>
        </w:rPr>
        <w:t xml:space="preserve">цукровий діабет </w:t>
      </w:r>
      <w:r w:rsidRPr="000A32AD">
        <w:rPr>
          <w:rFonts w:ascii="Times New Roman" w:hAnsi="Times New Roman" w:cs="Times New Roman"/>
          <w:color w:val="000000" w:themeColor="text1"/>
          <w:sz w:val="28"/>
          <w:szCs w:val="28"/>
          <w:lang w:val="uk-UA"/>
        </w:rPr>
        <w:t xml:space="preserve">2 типу, найчастіше це була </w:t>
      </w:r>
      <w:r>
        <w:rPr>
          <w:rFonts w:ascii="Times New Roman" w:hAnsi="Times New Roman" w:cs="Times New Roman"/>
          <w:color w:val="000000" w:themeColor="text1"/>
          <w:sz w:val="28"/>
          <w:szCs w:val="28"/>
          <w:lang w:val="uk-UA"/>
        </w:rPr>
        <w:t xml:space="preserve">артеріальна гіпертензія </w:t>
      </w:r>
      <w:r w:rsidRPr="000A32AD">
        <w:rPr>
          <w:rFonts w:ascii="Times New Roman" w:hAnsi="Times New Roman" w:cs="Times New Roman"/>
          <w:color w:val="000000" w:themeColor="text1"/>
          <w:sz w:val="28"/>
          <w:szCs w:val="28"/>
          <w:lang w:val="uk-UA"/>
        </w:rPr>
        <w:t xml:space="preserve">(74,4%), малі аномалії розвитку серця (33,3%), хронічний холецистит та аномалії розвитку жовчного міхура (28,9% та 7,8% відповідно), хронічний панкреатит (24,4%), патологія печінки (21,1%) та патологія хребта та/або суглобів (17,8% та 8,9% відповідно). 54,4% хворих мали 2 та більше супутніх захворювання. Захворювання, що є фенотипічними ознаками </w:t>
      </w:r>
      <w:r>
        <w:rPr>
          <w:rFonts w:ascii="Times New Roman" w:hAnsi="Times New Roman" w:cs="Times New Roman"/>
          <w:color w:val="000000" w:themeColor="text1"/>
          <w:sz w:val="28"/>
          <w:szCs w:val="28"/>
          <w:lang w:val="uk-UA"/>
        </w:rPr>
        <w:t xml:space="preserve">недиференційованої дисплазії сполучної тканини </w:t>
      </w:r>
      <w:r w:rsidRPr="000A32AD">
        <w:rPr>
          <w:rFonts w:ascii="Times New Roman" w:hAnsi="Times New Roman" w:cs="Times New Roman"/>
          <w:color w:val="000000" w:themeColor="text1"/>
          <w:sz w:val="28"/>
          <w:szCs w:val="28"/>
          <w:lang w:val="uk-UA"/>
        </w:rPr>
        <w:t xml:space="preserve">(патологія хребта та суглобів, малі аномалії розвитку серця, аномалії розвитку жовчного міхура, варикозне розширення вен нижніх кінцівок, грижі різної локалізації та нефроптоз), діагностовано у 53,3 % хворих на </w:t>
      </w:r>
      <w:r>
        <w:rPr>
          <w:rFonts w:ascii="Times New Roman" w:hAnsi="Times New Roman" w:cs="Times New Roman"/>
          <w:color w:val="000000" w:themeColor="text1"/>
          <w:sz w:val="28"/>
          <w:szCs w:val="28"/>
          <w:lang w:val="uk-UA"/>
        </w:rPr>
        <w:t>цукровий діабет</w:t>
      </w:r>
      <w:r w:rsidRPr="000A32AD">
        <w:rPr>
          <w:rFonts w:ascii="Times New Roman" w:hAnsi="Times New Roman" w:cs="Times New Roman"/>
          <w:color w:val="000000" w:themeColor="text1"/>
          <w:sz w:val="28"/>
          <w:szCs w:val="28"/>
          <w:lang w:val="uk-UA"/>
        </w:rPr>
        <w:t xml:space="preserve"> 2 типу.</w:t>
      </w:r>
    </w:p>
    <w:p w:rsidR="00593806" w:rsidRPr="004573B9" w:rsidRDefault="00593806" w:rsidP="00593806">
      <w:pPr>
        <w:spacing w:line="360" w:lineRule="auto"/>
        <w:ind w:firstLine="709"/>
        <w:jc w:val="both"/>
        <w:rPr>
          <w:rFonts w:ascii="Times New Roman" w:hAnsi="Times New Roman" w:cs="Times New Roman"/>
          <w:color w:val="auto"/>
          <w:sz w:val="28"/>
          <w:szCs w:val="28"/>
          <w:lang w:val="uk-UA"/>
        </w:rPr>
      </w:pPr>
      <w:r w:rsidRPr="000A32AD">
        <w:rPr>
          <w:rFonts w:ascii="Times New Roman" w:hAnsi="Times New Roman" w:cs="Times New Roman"/>
          <w:color w:val="000000" w:themeColor="text1"/>
          <w:sz w:val="28"/>
          <w:szCs w:val="28"/>
          <w:lang w:val="uk-UA"/>
        </w:rPr>
        <w:t xml:space="preserve">3. У хворих на </w:t>
      </w:r>
      <w:r w:rsidRPr="00073FFA">
        <w:rPr>
          <w:rFonts w:ascii="Times New Roman" w:hAnsi="Times New Roman" w:cs="Times New Roman"/>
          <w:color w:val="000000" w:themeColor="text1"/>
          <w:sz w:val="28"/>
          <w:szCs w:val="28"/>
          <w:lang w:val="uk-UA"/>
        </w:rPr>
        <w:t xml:space="preserve">цукровий діабет </w:t>
      </w:r>
      <w:r w:rsidRPr="000A32AD">
        <w:rPr>
          <w:rFonts w:ascii="Times New Roman" w:hAnsi="Times New Roman" w:cs="Times New Roman"/>
          <w:color w:val="000000" w:themeColor="text1"/>
          <w:sz w:val="28"/>
          <w:szCs w:val="28"/>
          <w:lang w:val="uk-UA"/>
        </w:rPr>
        <w:t xml:space="preserve">2 типу при наявності фенотипічних ознак </w:t>
      </w:r>
      <w:r>
        <w:rPr>
          <w:rFonts w:ascii="Times New Roman" w:hAnsi="Times New Roman" w:cs="Times New Roman"/>
          <w:color w:val="000000" w:themeColor="text1"/>
          <w:sz w:val="28"/>
          <w:szCs w:val="28"/>
          <w:lang w:val="uk-UA"/>
        </w:rPr>
        <w:t xml:space="preserve">недиференційованої дисплазії сполучної тканини </w:t>
      </w:r>
      <w:r w:rsidRPr="000A32AD">
        <w:rPr>
          <w:rFonts w:ascii="Times New Roman" w:hAnsi="Times New Roman" w:cs="Times New Roman"/>
          <w:color w:val="000000" w:themeColor="text1"/>
          <w:sz w:val="28"/>
          <w:szCs w:val="28"/>
          <w:lang w:val="uk-UA"/>
        </w:rPr>
        <w:t>достовірно частіше виявля</w:t>
      </w:r>
      <w:r>
        <w:rPr>
          <w:rFonts w:ascii="Times New Roman" w:hAnsi="Times New Roman" w:cs="Times New Roman"/>
          <w:color w:val="000000" w:themeColor="text1"/>
          <w:sz w:val="28"/>
          <w:szCs w:val="28"/>
          <w:lang w:val="uk-UA"/>
        </w:rPr>
        <w:t>ється</w:t>
      </w:r>
      <w:r w:rsidRPr="000A32AD">
        <w:rPr>
          <w:rFonts w:ascii="Times New Roman" w:hAnsi="Times New Roman" w:cs="Times New Roman"/>
          <w:color w:val="000000" w:themeColor="text1"/>
          <w:sz w:val="28"/>
          <w:szCs w:val="28"/>
          <w:lang w:val="uk-UA"/>
        </w:rPr>
        <w:t xml:space="preserve"> діабетична </w:t>
      </w:r>
      <w:r w:rsidRPr="00A252FE">
        <w:rPr>
          <w:rFonts w:ascii="Times New Roman" w:hAnsi="Times New Roman" w:cs="Times New Roman"/>
          <w:color w:val="000000" w:themeColor="text1"/>
          <w:sz w:val="28"/>
          <w:szCs w:val="28"/>
          <w:lang w:val="uk-UA"/>
        </w:rPr>
        <w:t>нефропатія у тому числі, в стадії мікроальбумінурії (р&lt;0,05), спостеріга</w:t>
      </w:r>
      <w:r>
        <w:rPr>
          <w:rFonts w:ascii="Times New Roman" w:hAnsi="Times New Roman" w:cs="Times New Roman"/>
          <w:color w:val="000000" w:themeColor="text1"/>
          <w:sz w:val="28"/>
          <w:szCs w:val="28"/>
          <w:lang w:val="uk-UA"/>
        </w:rPr>
        <w:t>ється</w:t>
      </w:r>
      <w:r w:rsidRPr="00A252FE">
        <w:rPr>
          <w:rFonts w:ascii="Times New Roman" w:hAnsi="Times New Roman" w:cs="Times New Roman"/>
          <w:color w:val="000000" w:themeColor="text1"/>
          <w:sz w:val="28"/>
          <w:szCs w:val="28"/>
          <w:lang w:val="uk-UA"/>
        </w:rPr>
        <w:t xml:space="preserve"> тенденція до збільшення частоти діабетичної ретинопатії та нейропатії (</w:t>
      </w:r>
      <w:r w:rsidRPr="00A252FE">
        <w:rPr>
          <w:rFonts w:ascii="Times New Roman" w:hAnsi="Times New Roman" w:cs="Times New Roman"/>
          <w:color w:val="000000" w:themeColor="text1"/>
          <w:sz w:val="28"/>
          <w:szCs w:val="28"/>
          <w:lang w:val="en-US"/>
        </w:rPr>
        <w:t>p</w:t>
      </w:r>
      <w:r w:rsidRPr="00A252FE">
        <w:rPr>
          <w:rFonts w:ascii="Times New Roman" w:hAnsi="Times New Roman" w:cs="Times New Roman"/>
          <w:color w:val="000000" w:themeColor="text1"/>
          <w:sz w:val="28"/>
          <w:szCs w:val="28"/>
          <w:lang w:val="uk-UA"/>
        </w:rPr>
        <w:t>&gt;0,05), частіше виявля</w:t>
      </w:r>
      <w:r>
        <w:rPr>
          <w:rFonts w:ascii="Times New Roman" w:hAnsi="Times New Roman" w:cs="Times New Roman"/>
          <w:color w:val="000000" w:themeColor="text1"/>
          <w:sz w:val="28"/>
          <w:szCs w:val="28"/>
          <w:lang w:val="uk-UA"/>
        </w:rPr>
        <w:t>ється</w:t>
      </w:r>
      <w:r w:rsidRPr="00A252F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артеріальна гіпертензія</w:t>
      </w:r>
      <w:r w:rsidRPr="00A252FE">
        <w:rPr>
          <w:rFonts w:ascii="Times New Roman" w:hAnsi="Times New Roman" w:cs="Times New Roman"/>
          <w:color w:val="000000" w:themeColor="text1"/>
          <w:sz w:val="28"/>
          <w:szCs w:val="28"/>
          <w:lang w:val="uk-UA"/>
        </w:rPr>
        <w:t xml:space="preserve"> 2 та 3 </w:t>
      </w:r>
      <w:r w:rsidRPr="004573B9">
        <w:rPr>
          <w:rFonts w:ascii="Times New Roman" w:hAnsi="Times New Roman" w:cs="Times New Roman"/>
          <w:color w:val="auto"/>
          <w:sz w:val="28"/>
          <w:szCs w:val="28"/>
          <w:lang w:val="uk-UA"/>
        </w:rPr>
        <w:t xml:space="preserve">ступенів. </w:t>
      </w:r>
    </w:p>
    <w:p w:rsidR="00593806" w:rsidRPr="00690DD5" w:rsidRDefault="00593806" w:rsidP="00593806">
      <w:pPr>
        <w:spacing w:line="360" w:lineRule="auto"/>
        <w:ind w:firstLine="709"/>
        <w:jc w:val="both"/>
        <w:rPr>
          <w:rFonts w:ascii="Times New Roman" w:hAnsi="Times New Roman" w:cs="Times New Roman"/>
          <w:color w:val="auto"/>
          <w:sz w:val="28"/>
          <w:szCs w:val="28"/>
          <w:shd w:val="clear" w:color="auto" w:fill="FFFFFF"/>
          <w:lang w:val="uk-UA"/>
        </w:rPr>
      </w:pPr>
      <w:r>
        <w:rPr>
          <w:rFonts w:ascii="Times New Roman" w:hAnsi="Times New Roman" w:cs="Times New Roman"/>
          <w:color w:val="000000" w:themeColor="text1"/>
          <w:sz w:val="28"/>
          <w:szCs w:val="28"/>
          <w:lang w:val="uk-UA"/>
        </w:rPr>
        <w:t>4. У</w:t>
      </w:r>
      <w:r w:rsidRPr="00B9501F">
        <w:rPr>
          <w:rFonts w:ascii="Times New Roman" w:hAnsi="Times New Roman" w:cs="Times New Roman"/>
          <w:color w:val="000000" w:themeColor="text1"/>
          <w:sz w:val="28"/>
          <w:szCs w:val="28"/>
          <w:lang w:val="uk-UA"/>
        </w:rPr>
        <w:t xml:space="preserve"> хворих на цукровий діабет з ознаками недиференційованої дисплазії сполучної тканини </w:t>
      </w:r>
      <w:r>
        <w:rPr>
          <w:rFonts w:ascii="Times New Roman" w:hAnsi="Times New Roman" w:cs="Times New Roman"/>
          <w:color w:val="auto"/>
          <w:sz w:val="28"/>
          <w:szCs w:val="28"/>
          <w:lang w:val="uk-UA"/>
        </w:rPr>
        <w:t xml:space="preserve">виявлено збільшення </w:t>
      </w:r>
      <w:r w:rsidRPr="00B9501F">
        <w:rPr>
          <w:rFonts w:ascii="Times New Roman" w:hAnsi="Times New Roman" w:cs="Times New Roman"/>
          <w:color w:val="000000" w:themeColor="text1"/>
          <w:sz w:val="28"/>
          <w:szCs w:val="28"/>
          <w:lang w:val="uk-UA"/>
        </w:rPr>
        <w:t>вміст</w:t>
      </w:r>
      <w:r>
        <w:rPr>
          <w:rFonts w:ascii="Times New Roman" w:hAnsi="Times New Roman" w:cs="Times New Roman"/>
          <w:color w:val="000000" w:themeColor="text1"/>
          <w:sz w:val="28"/>
          <w:szCs w:val="28"/>
          <w:lang w:val="uk-UA"/>
        </w:rPr>
        <w:t>у</w:t>
      </w:r>
      <w:r w:rsidRPr="00B9501F">
        <w:rPr>
          <w:rFonts w:ascii="Times New Roman" w:hAnsi="Times New Roman" w:cs="Times New Roman"/>
          <w:color w:val="000000" w:themeColor="text1"/>
          <w:sz w:val="28"/>
          <w:szCs w:val="28"/>
          <w:lang w:val="uk-UA"/>
        </w:rPr>
        <w:t xml:space="preserve"> </w:t>
      </w:r>
      <w:r w:rsidRPr="00C257A6">
        <w:rPr>
          <w:rFonts w:ascii="Times New Roman" w:hAnsi="Times New Roman" w:cs="Times New Roman"/>
          <w:color w:val="000000" w:themeColor="text1"/>
          <w:sz w:val="28"/>
          <w:szCs w:val="28"/>
          <w:lang w:val="en-US"/>
        </w:rPr>
        <w:t>FGF</w:t>
      </w:r>
      <w:r w:rsidRPr="00C257A6">
        <w:rPr>
          <w:rFonts w:ascii="Times New Roman" w:hAnsi="Times New Roman" w:cs="Times New Roman"/>
          <w:color w:val="000000" w:themeColor="text1"/>
          <w:sz w:val="28"/>
          <w:szCs w:val="28"/>
          <w:lang w:val="uk-UA"/>
        </w:rPr>
        <w:t>2</w:t>
      </w:r>
      <w:r w:rsidRPr="00B9501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в крові, що  </w:t>
      </w:r>
      <w:r w:rsidRPr="00B9501F">
        <w:rPr>
          <w:rFonts w:ascii="Times New Roman" w:hAnsi="Times New Roman" w:cs="Times New Roman"/>
          <w:color w:val="000000" w:themeColor="text1"/>
          <w:sz w:val="28"/>
          <w:szCs w:val="28"/>
          <w:lang w:val="uk-UA"/>
        </w:rPr>
        <w:t>не залежить від тривалості цукрового діабету та віку хворих (</w:t>
      </w:r>
      <w:r w:rsidRPr="00B9501F">
        <w:rPr>
          <w:rFonts w:ascii="Times New Roman" w:hAnsi="Times New Roman" w:cs="Times New Roman"/>
          <w:color w:val="000000" w:themeColor="text1"/>
          <w:sz w:val="28"/>
          <w:szCs w:val="28"/>
          <w:lang w:val="en-US"/>
        </w:rPr>
        <w:t>r</w:t>
      </w:r>
      <w:r w:rsidRPr="00B9501F">
        <w:rPr>
          <w:rFonts w:ascii="Times New Roman" w:hAnsi="Times New Roman" w:cs="Times New Roman"/>
          <w:color w:val="000000" w:themeColor="text1"/>
          <w:sz w:val="28"/>
          <w:szCs w:val="28"/>
          <w:lang w:val="uk-UA"/>
        </w:rPr>
        <w:t xml:space="preserve">=0,107 та </w:t>
      </w:r>
      <w:r w:rsidRPr="00B9501F">
        <w:rPr>
          <w:rFonts w:ascii="Times New Roman" w:hAnsi="Times New Roman" w:cs="Times New Roman"/>
          <w:color w:val="000000" w:themeColor="text1"/>
          <w:sz w:val="28"/>
          <w:szCs w:val="28"/>
          <w:lang w:val="en-US"/>
        </w:rPr>
        <w:t>r</w:t>
      </w:r>
      <w:r w:rsidRPr="00B9501F">
        <w:rPr>
          <w:rFonts w:ascii="Times New Roman" w:hAnsi="Times New Roman" w:cs="Times New Roman"/>
          <w:color w:val="000000" w:themeColor="text1"/>
          <w:sz w:val="28"/>
          <w:szCs w:val="28"/>
          <w:lang w:val="uk-UA"/>
        </w:rPr>
        <w:t>=0,059 відповідно,</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lastRenderedPageBreak/>
        <w:t>р&gt;0,05) та</w:t>
      </w:r>
      <w:r w:rsidRPr="00690DD5">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 xml:space="preserve">має залежність зі </w:t>
      </w:r>
      <w:r w:rsidRPr="00690DD5">
        <w:rPr>
          <w:rFonts w:ascii="Times New Roman" w:hAnsi="Times New Roman" w:cs="Times New Roman"/>
          <w:color w:val="auto"/>
          <w:sz w:val="28"/>
          <w:szCs w:val="28"/>
          <w:lang w:val="uk-UA"/>
        </w:rPr>
        <w:t>зростання</w:t>
      </w:r>
      <w:r>
        <w:rPr>
          <w:rFonts w:ascii="Times New Roman" w:hAnsi="Times New Roman" w:cs="Times New Roman"/>
          <w:color w:val="auto"/>
          <w:sz w:val="28"/>
          <w:szCs w:val="28"/>
          <w:lang w:val="uk-UA"/>
        </w:rPr>
        <w:t>м</w:t>
      </w:r>
      <w:r w:rsidRPr="00690DD5">
        <w:rPr>
          <w:rFonts w:ascii="Times New Roman" w:hAnsi="Times New Roman" w:cs="Times New Roman"/>
          <w:color w:val="auto"/>
          <w:sz w:val="28"/>
          <w:szCs w:val="28"/>
          <w:lang w:val="uk-UA"/>
        </w:rPr>
        <w:t xml:space="preserve"> частоти та виразності артеріальної гіпертензії (</w:t>
      </w:r>
      <w:r w:rsidRPr="00690DD5">
        <w:rPr>
          <w:rFonts w:ascii="Times New Roman" w:hAnsi="Times New Roman" w:cs="Times New Roman"/>
          <w:i/>
          <w:color w:val="auto"/>
          <w:sz w:val="28"/>
          <w:szCs w:val="28"/>
          <w:shd w:val="clear" w:color="auto" w:fill="FFFFFF"/>
          <w:lang w:val="en-US"/>
        </w:rPr>
        <w:t>r</w:t>
      </w:r>
      <w:r w:rsidRPr="00690DD5">
        <w:rPr>
          <w:rFonts w:ascii="Times New Roman" w:hAnsi="Times New Roman" w:cs="Times New Roman"/>
          <w:color w:val="auto"/>
          <w:sz w:val="28"/>
          <w:szCs w:val="28"/>
          <w:shd w:val="clear" w:color="auto" w:fill="FFFFFF"/>
          <w:lang w:val="uk-UA"/>
        </w:rPr>
        <w:t>=0,564 (р=0,001), що</w:t>
      </w:r>
      <w:r>
        <w:rPr>
          <w:rFonts w:ascii="Times New Roman" w:hAnsi="Times New Roman" w:cs="Times New Roman"/>
          <w:color w:val="auto"/>
          <w:sz w:val="28"/>
          <w:szCs w:val="28"/>
          <w:shd w:val="clear" w:color="auto" w:fill="FFFFFF"/>
          <w:lang w:val="uk-UA"/>
        </w:rPr>
        <w:t xml:space="preserve"> може свідчити</w:t>
      </w:r>
      <w:r w:rsidRPr="00690DD5">
        <w:rPr>
          <w:rFonts w:ascii="Times New Roman" w:hAnsi="Times New Roman" w:cs="Times New Roman"/>
          <w:color w:val="auto"/>
          <w:sz w:val="28"/>
          <w:szCs w:val="28"/>
          <w:shd w:val="clear" w:color="auto" w:fill="FFFFFF"/>
          <w:lang w:val="uk-UA"/>
        </w:rPr>
        <w:t xml:space="preserve"> про суттєву роль </w:t>
      </w:r>
      <w:r w:rsidRPr="00690DD5">
        <w:rPr>
          <w:rFonts w:ascii="Times New Roman" w:hAnsi="Times New Roman" w:cs="Times New Roman"/>
          <w:color w:val="auto"/>
          <w:sz w:val="28"/>
          <w:szCs w:val="28"/>
          <w:lang w:val="en-US"/>
        </w:rPr>
        <w:t>FGF</w:t>
      </w:r>
      <w:r w:rsidRPr="00690DD5">
        <w:rPr>
          <w:rFonts w:ascii="Times New Roman" w:hAnsi="Times New Roman" w:cs="Times New Roman"/>
          <w:color w:val="auto"/>
          <w:sz w:val="28"/>
          <w:szCs w:val="28"/>
          <w:lang w:val="uk-UA"/>
        </w:rPr>
        <w:t xml:space="preserve">2 у виникненні </w:t>
      </w:r>
      <w:r>
        <w:rPr>
          <w:rFonts w:ascii="Times New Roman" w:hAnsi="Times New Roman" w:cs="Times New Roman"/>
          <w:color w:val="auto"/>
          <w:sz w:val="28"/>
          <w:szCs w:val="28"/>
          <w:lang w:val="uk-UA"/>
        </w:rPr>
        <w:t xml:space="preserve">артеріальної гіпертензії </w:t>
      </w:r>
      <w:r w:rsidRPr="00690DD5">
        <w:rPr>
          <w:rFonts w:ascii="Times New Roman" w:hAnsi="Times New Roman" w:cs="Times New Roman"/>
          <w:color w:val="auto"/>
          <w:sz w:val="28"/>
          <w:szCs w:val="28"/>
          <w:lang w:val="uk-UA"/>
        </w:rPr>
        <w:t>у хворих на</w:t>
      </w:r>
      <w:r>
        <w:rPr>
          <w:rFonts w:ascii="Times New Roman" w:hAnsi="Times New Roman" w:cs="Times New Roman"/>
          <w:color w:val="auto"/>
          <w:sz w:val="28"/>
          <w:szCs w:val="28"/>
          <w:lang w:val="uk-UA"/>
        </w:rPr>
        <w:t xml:space="preserve"> цукровий діабет</w:t>
      </w:r>
      <w:r w:rsidRPr="00690DD5">
        <w:rPr>
          <w:rFonts w:ascii="Times New Roman" w:hAnsi="Times New Roman" w:cs="Times New Roman"/>
          <w:color w:val="auto"/>
          <w:sz w:val="28"/>
          <w:szCs w:val="28"/>
          <w:lang w:val="uk-UA"/>
        </w:rPr>
        <w:t xml:space="preserve"> 2</w:t>
      </w:r>
      <w:r>
        <w:rPr>
          <w:rFonts w:ascii="Times New Roman" w:hAnsi="Times New Roman" w:cs="Times New Roman"/>
          <w:color w:val="auto"/>
          <w:sz w:val="28"/>
          <w:szCs w:val="28"/>
          <w:lang w:val="uk-UA"/>
        </w:rPr>
        <w:t xml:space="preserve"> типу.</w:t>
      </w:r>
    </w:p>
    <w:p w:rsidR="00593806" w:rsidRPr="00A252FE" w:rsidRDefault="00593806" w:rsidP="00593806">
      <w:pPr>
        <w:spacing w:line="360" w:lineRule="auto"/>
        <w:ind w:firstLine="709"/>
        <w:jc w:val="both"/>
        <w:rPr>
          <w:rFonts w:ascii="Times New Roman" w:hAnsi="Times New Roman" w:cs="Times New Roman"/>
          <w:color w:val="000000" w:themeColor="text1"/>
          <w:sz w:val="28"/>
          <w:szCs w:val="28"/>
          <w:lang w:val="uk-UA"/>
        </w:rPr>
      </w:pPr>
      <w:r w:rsidRPr="00A252FE">
        <w:rPr>
          <w:rFonts w:ascii="Times New Roman" w:hAnsi="Times New Roman" w:cs="Times New Roman"/>
          <w:color w:val="000000" w:themeColor="text1"/>
          <w:sz w:val="28"/>
          <w:szCs w:val="28"/>
          <w:lang w:val="uk-UA"/>
        </w:rPr>
        <w:t xml:space="preserve">5. За результатами патоморфологічного дослідження нирок у хворих з цукровим діабетом 2 типу встановлено, що при наявності фенотипічних ознак недиференційованої дисплазії сполучної тканини в анамнезі збільшена кількість склерозованих клубочків, на тлі значного розростання строми, </w:t>
      </w:r>
      <w:r w:rsidRPr="00A252FE">
        <w:rPr>
          <w:rFonts w:ascii="Times New Roman" w:eastAsia="Times New Roman" w:hAnsi="Times New Roman" w:cs="Times New Roman"/>
          <w:color w:val="000000" w:themeColor="text1"/>
          <w:sz w:val="28"/>
          <w:szCs w:val="28"/>
          <w:lang w:val="uk-UA"/>
        </w:rPr>
        <w:t xml:space="preserve">потовщенням стінки судин, аж до повної облітерації, а також масивне розростання міжканальцевої сполучної тканини, що можна пояснити </w:t>
      </w:r>
      <w:r>
        <w:rPr>
          <w:rFonts w:ascii="Times New Roman" w:hAnsi="Times New Roman" w:cs="Times New Roman"/>
          <w:color w:val="000000" w:themeColor="text1"/>
          <w:sz w:val="28"/>
          <w:szCs w:val="28"/>
          <w:lang w:val="uk-UA"/>
        </w:rPr>
        <w:t>порушеннями судинно-</w:t>
      </w:r>
      <w:r w:rsidRPr="00A252FE">
        <w:rPr>
          <w:rFonts w:ascii="Times New Roman" w:hAnsi="Times New Roman" w:cs="Times New Roman"/>
          <w:color w:val="000000" w:themeColor="text1"/>
          <w:sz w:val="28"/>
          <w:szCs w:val="28"/>
          <w:lang w:val="uk-UA"/>
        </w:rPr>
        <w:t>тромального компоненту нирки на фоні порушень метаболізму сполучної тканини</w:t>
      </w:r>
      <w:r>
        <w:rPr>
          <w:rFonts w:ascii="Times New Roman" w:hAnsi="Times New Roman" w:cs="Times New Roman"/>
          <w:color w:val="000000" w:themeColor="text1"/>
          <w:sz w:val="28"/>
          <w:szCs w:val="28"/>
          <w:lang w:val="uk-UA"/>
        </w:rPr>
        <w:t>.</w:t>
      </w:r>
    </w:p>
    <w:p w:rsidR="00593806" w:rsidRDefault="00593806" w:rsidP="00593806">
      <w:pPr>
        <w:spacing w:line="360" w:lineRule="auto"/>
        <w:ind w:firstLine="709"/>
        <w:jc w:val="both"/>
        <w:rPr>
          <w:rFonts w:ascii="Times New Roman" w:hAnsi="Times New Roman" w:cs="Times New Roman"/>
          <w:color w:val="000000" w:themeColor="text1"/>
          <w:sz w:val="28"/>
          <w:szCs w:val="28"/>
          <w:lang w:val="uk-UA"/>
        </w:rPr>
      </w:pPr>
      <w:r w:rsidRPr="00A252FE">
        <w:rPr>
          <w:rFonts w:ascii="Times New Roman" w:hAnsi="Times New Roman" w:cs="Times New Roman"/>
          <w:color w:val="000000" w:themeColor="text1"/>
          <w:sz w:val="28"/>
          <w:szCs w:val="28"/>
          <w:lang w:val="uk-UA"/>
        </w:rPr>
        <w:t xml:space="preserve">6. Наявність фенотипічних ознак недиференційованої дисплазії сполучної тканини та тривалість </w:t>
      </w:r>
      <w:r>
        <w:rPr>
          <w:rFonts w:ascii="Times New Roman" w:hAnsi="Times New Roman" w:cs="Times New Roman"/>
          <w:color w:val="000000" w:themeColor="text1"/>
          <w:sz w:val="28"/>
          <w:szCs w:val="28"/>
          <w:lang w:val="uk-UA"/>
        </w:rPr>
        <w:t>цукрового</w:t>
      </w:r>
      <w:r w:rsidRPr="00A252FE">
        <w:rPr>
          <w:rFonts w:ascii="Times New Roman" w:hAnsi="Times New Roman" w:cs="Times New Roman"/>
          <w:color w:val="000000" w:themeColor="text1"/>
          <w:sz w:val="28"/>
          <w:szCs w:val="28"/>
          <w:lang w:val="uk-UA"/>
        </w:rPr>
        <w:t xml:space="preserve"> діабету 2 типу є предикторами розвитку артеріальної гіпертензії. Запропонована регресійна модель прогнозу розвитку артеріальної гіпертензії у хворих на цукровий діабет 2 типу з оцінкою наявності ознак недиференційованої дисплазії сполучної </w:t>
      </w:r>
      <w:r>
        <w:rPr>
          <w:rFonts w:ascii="Times New Roman" w:hAnsi="Times New Roman" w:cs="Times New Roman"/>
          <w:color w:val="000000" w:themeColor="text1"/>
          <w:sz w:val="28"/>
          <w:szCs w:val="28"/>
          <w:lang w:val="uk-UA"/>
        </w:rPr>
        <w:t>тканини</w:t>
      </w:r>
      <w:r w:rsidRPr="000A32AD">
        <w:rPr>
          <w:rFonts w:ascii="Times New Roman" w:hAnsi="Times New Roman" w:cs="Times New Roman"/>
          <w:color w:val="000000" w:themeColor="text1"/>
          <w:sz w:val="28"/>
          <w:szCs w:val="28"/>
          <w:lang w:val="uk-UA"/>
        </w:rPr>
        <w:t xml:space="preserve"> та тривалості </w:t>
      </w:r>
      <w:r>
        <w:rPr>
          <w:rFonts w:ascii="Times New Roman" w:hAnsi="Times New Roman" w:cs="Times New Roman"/>
          <w:color w:val="000000" w:themeColor="text1"/>
          <w:sz w:val="28"/>
          <w:szCs w:val="28"/>
          <w:lang w:val="uk-UA"/>
        </w:rPr>
        <w:t xml:space="preserve">цукрового діабету </w:t>
      </w:r>
      <w:r w:rsidRPr="000A32AD">
        <w:rPr>
          <w:rFonts w:ascii="Times New Roman" w:hAnsi="Times New Roman" w:cs="Times New Roman"/>
          <w:color w:val="000000" w:themeColor="text1"/>
          <w:sz w:val="28"/>
          <w:szCs w:val="28"/>
          <w:lang w:val="uk-UA"/>
        </w:rPr>
        <w:t>володіє високою прогностичністю</w:t>
      </w:r>
      <w:r>
        <w:rPr>
          <w:rFonts w:ascii="Times New Roman" w:hAnsi="Times New Roman" w:cs="Times New Roman"/>
          <w:color w:val="000000" w:themeColor="text1"/>
          <w:sz w:val="28"/>
          <w:szCs w:val="28"/>
          <w:lang w:val="uk-UA"/>
        </w:rPr>
        <w:t xml:space="preserve"> </w:t>
      </w:r>
      <w:r w:rsidRPr="00A53B09">
        <w:rPr>
          <w:rFonts w:ascii="Times New Roman" w:hAnsi="Times New Roman" w:cs="Times New Roman"/>
          <w:color w:val="auto"/>
          <w:sz w:val="28"/>
          <w:szCs w:val="28"/>
          <w:lang w:val="uk-UA"/>
        </w:rPr>
        <w:t>(</w:t>
      </w:r>
      <w:r>
        <w:rPr>
          <w:rFonts w:ascii="Times New Roman" w:hAnsi="Times New Roman" w:cs="Times New Roman"/>
          <w:color w:val="auto"/>
          <w:sz w:val="28"/>
          <w:szCs w:val="28"/>
          <w:lang w:val="uk-UA"/>
        </w:rPr>
        <w:t>88,5%</w:t>
      </w:r>
      <w:r w:rsidRPr="00A53B09">
        <w:rPr>
          <w:rFonts w:ascii="Times New Roman" w:hAnsi="Times New Roman" w:cs="Times New Roman"/>
          <w:color w:val="auto"/>
          <w:sz w:val="28"/>
          <w:szCs w:val="28"/>
          <w:lang w:val="uk-UA"/>
        </w:rPr>
        <w:t xml:space="preserve">), </w:t>
      </w:r>
      <w:r w:rsidRPr="000A32AD">
        <w:rPr>
          <w:rFonts w:ascii="Times New Roman" w:hAnsi="Times New Roman" w:cs="Times New Roman"/>
          <w:color w:val="000000" w:themeColor="text1"/>
          <w:sz w:val="28"/>
          <w:szCs w:val="28"/>
          <w:lang w:val="uk-UA"/>
        </w:rPr>
        <w:t>специфічністю та чутливістю</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auto"/>
          <w:sz w:val="28"/>
          <w:szCs w:val="28"/>
          <w:lang w:val="uk-UA"/>
        </w:rPr>
        <w:t>(87,2% та 89,7%</w:t>
      </w:r>
      <w:r w:rsidRPr="00A53B09">
        <w:rPr>
          <w:rFonts w:ascii="Times New Roman" w:hAnsi="Times New Roman" w:cs="Times New Roman"/>
          <w:color w:val="auto"/>
          <w:sz w:val="28"/>
          <w:szCs w:val="28"/>
          <w:lang w:val="uk-UA"/>
        </w:rPr>
        <w:t xml:space="preserve">), </w:t>
      </w:r>
      <w:r w:rsidRPr="000A32AD">
        <w:rPr>
          <w:rFonts w:ascii="Times New Roman" w:hAnsi="Times New Roman" w:cs="Times New Roman"/>
          <w:color w:val="000000" w:themeColor="text1"/>
          <w:sz w:val="28"/>
          <w:szCs w:val="28"/>
          <w:lang w:val="uk-UA"/>
        </w:rPr>
        <w:t xml:space="preserve">що дає можливість застосування цього методу в клінічній практиці для визначення хворих з високим ризиком розвитку </w:t>
      </w:r>
      <w:r>
        <w:rPr>
          <w:rFonts w:ascii="Times New Roman" w:hAnsi="Times New Roman" w:cs="Times New Roman"/>
          <w:color w:val="000000" w:themeColor="text1"/>
          <w:sz w:val="28"/>
          <w:szCs w:val="28"/>
          <w:lang w:val="uk-UA"/>
        </w:rPr>
        <w:t>артеріальної гіпертензії</w:t>
      </w:r>
      <w:r w:rsidRPr="000A32AD">
        <w:rPr>
          <w:rFonts w:ascii="Times New Roman" w:hAnsi="Times New Roman" w:cs="Times New Roman"/>
          <w:color w:val="000000" w:themeColor="text1"/>
          <w:sz w:val="28"/>
          <w:szCs w:val="28"/>
          <w:lang w:val="uk-UA"/>
        </w:rPr>
        <w:t>.</w:t>
      </w:r>
    </w:p>
    <w:p w:rsidR="007D665B" w:rsidRPr="000A32AD" w:rsidRDefault="007D665B" w:rsidP="007D665B">
      <w:pPr>
        <w:spacing w:after="200" w:line="276" w:lineRule="auto"/>
        <w:jc w:val="center"/>
        <w:rPr>
          <w:rFonts w:ascii="Times New Roman" w:hAnsi="Times New Roman" w:cs="Times New Roman"/>
          <w:color w:val="000000" w:themeColor="text1"/>
          <w:sz w:val="28"/>
          <w:szCs w:val="28"/>
          <w:lang w:val="uk-UA"/>
        </w:rPr>
      </w:pPr>
    </w:p>
    <w:p w:rsidR="007D665B" w:rsidRPr="000A32AD" w:rsidRDefault="007D665B" w:rsidP="007D665B">
      <w:pPr>
        <w:spacing w:after="200" w:line="276"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br w:type="page"/>
      </w:r>
    </w:p>
    <w:p w:rsidR="007D665B" w:rsidRDefault="007D665B" w:rsidP="007D665B">
      <w:pPr>
        <w:spacing w:after="200" w:line="360" w:lineRule="auto"/>
        <w:jc w:val="center"/>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lastRenderedPageBreak/>
        <w:t>ПРАКТИЧНІ РЕКОМЕНДАЦІЇ</w:t>
      </w:r>
    </w:p>
    <w:p w:rsidR="00B24EC9" w:rsidRPr="000A32AD" w:rsidRDefault="00B24EC9" w:rsidP="007D665B">
      <w:pPr>
        <w:spacing w:after="200" w:line="360" w:lineRule="auto"/>
        <w:jc w:val="center"/>
        <w:rPr>
          <w:rFonts w:ascii="Times New Roman" w:hAnsi="Times New Roman" w:cs="Times New Roman"/>
          <w:b/>
          <w:color w:val="000000" w:themeColor="text1"/>
          <w:sz w:val="28"/>
          <w:szCs w:val="28"/>
          <w:lang w:val="uk-UA"/>
        </w:rPr>
      </w:pPr>
    </w:p>
    <w:p w:rsidR="00D15BB9" w:rsidRPr="00A252FE" w:rsidRDefault="00D15BB9" w:rsidP="00D15BB9">
      <w:pPr>
        <w:spacing w:line="360" w:lineRule="auto"/>
        <w:ind w:firstLine="709"/>
        <w:jc w:val="both"/>
        <w:rPr>
          <w:rFonts w:ascii="Times New Roman" w:hAnsi="Times New Roman" w:cs="Times New Roman"/>
          <w:color w:val="000000" w:themeColor="text1"/>
          <w:sz w:val="28"/>
          <w:szCs w:val="28"/>
          <w:lang w:val="uk-UA"/>
        </w:rPr>
      </w:pPr>
      <w:r w:rsidRPr="00A252FE">
        <w:rPr>
          <w:rFonts w:ascii="Times New Roman" w:hAnsi="Times New Roman" w:cs="Times New Roman"/>
          <w:color w:val="000000" w:themeColor="text1"/>
          <w:sz w:val="28"/>
          <w:szCs w:val="28"/>
          <w:lang w:val="uk-UA"/>
        </w:rPr>
        <w:t xml:space="preserve">1. Під час комплексного обстеження хворих на цукровий діабет 2 типу рекомендується </w:t>
      </w:r>
      <w:r w:rsidRPr="00710561">
        <w:rPr>
          <w:rFonts w:ascii="Times New Roman" w:hAnsi="Times New Roman" w:cs="Times New Roman"/>
          <w:color w:val="auto"/>
          <w:sz w:val="28"/>
          <w:szCs w:val="28"/>
          <w:lang w:val="uk-UA"/>
        </w:rPr>
        <w:t xml:space="preserve">приділяти увагу на наявність вісцеральних та скелетних ознак </w:t>
      </w:r>
      <w:r w:rsidRPr="00A252FE">
        <w:rPr>
          <w:rFonts w:ascii="Times New Roman" w:hAnsi="Times New Roman" w:cs="Times New Roman"/>
          <w:color w:val="000000" w:themeColor="text1"/>
          <w:sz w:val="28"/>
          <w:szCs w:val="28"/>
          <w:lang w:val="uk-UA"/>
        </w:rPr>
        <w:t xml:space="preserve">недиференційованої дисплазії сполучної тканини, як </w:t>
      </w:r>
      <w:r>
        <w:rPr>
          <w:rFonts w:ascii="Times New Roman" w:hAnsi="Times New Roman" w:cs="Times New Roman"/>
          <w:color w:val="auto"/>
          <w:sz w:val="28"/>
          <w:szCs w:val="28"/>
          <w:lang w:val="uk-UA"/>
        </w:rPr>
        <w:t xml:space="preserve">можливих предикторів </w:t>
      </w:r>
      <w:r w:rsidRPr="00A252FE">
        <w:rPr>
          <w:rFonts w:ascii="Times New Roman" w:hAnsi="Times New Roman" w:cs="Times New Roman"/>
          <w:color w:val="000000" w:themeColor="text1"/>
          <w:sz w:val="28"/>
          <w:szCs w:val="28"/>
          <w:lang w:val="uk-UA"/>
        </w:rPr>
        <w:t>розвитку артеріальної гіпертензії</w:t>
      </w:r>
      <w:r>
        <w:rPr>
          <w:rFonts w:ascii="Times New Roman" w:hAnsi="Times New Roman" w:cs="Times New Roman"/>
          <w:color w:val="000000" w:themeColor="text1"/>
          <w:sz w:val="28"/>
          <w:szCs w:val="28"/>
          <w:lang w:val="uk-UA"/>
        </w:rPr>
        <w:t xml:space="preserve"> та судинних ускладнень діабету, а саме розвитку діабетичної нефропатії.</w:t>
      </w:r>
    </w:p>
    <w:p w:rsidR="00D15BB9" w:rsidRPr="00A252FE" w:rsidRDefault="00D15BB9" w:rsidP="00D15BB9">
      <w:pPr>
        <w:spacing w:line="360" w:lineRule="auto"/>
        <w:ind w:firstLine="709"/>
        <w:jc w:val="both"/>
        <w:rPr>
          <w:rFonts w:ascii="Times New Roman" w:hAnsi="Times New Roman" w:cs="Times New Roman"/>
          <w:color w:val="000000" w:themeColor="text1"/>
          <w:sz w:val="28"/>
          <w:szCs w:val="28"/>
          <w:lang w:val="uk-UA"/>
        </w:rPr>
      </w:pPr>
      <w:r w:rsidRPr="00A252FE">
        <w:rPr>
          <w:rFonts w:ascii="Times New Roman" w:hAnsi="Times New Roman" w:cs="Times New Roman"/>
          <w:color w:val="000000" w:themeColor="text1"/>
          <w:sz w:val="28"/>
          <w:szCs w:val="28"/>
          <w:lang w:val="uk-UA"/>
        </w:rPr>
        <w:t xml:space="preserve">2. При наявності ознак недиференційованої дисплазії сполучної тканини </w:t>
      </w:r>
      <w:r>
        <w:rPr>
          <w:rFonts w:ascii="Times New Roman" w:hAnsi="Times New Roman" w:cs="Times New Roman"/>
          <w:color w:val="000000" w:themeColor="text1"/>
          <w:sz w:val="28"/>
          <w:szCs w:val="28"/>
          <w:lang w:val="uk-UA"/>
        </w:rPr>
        <w:t xml:space="preserve">у хворих на цукровий діабет 2 типу </w:t>
      </w:r>
      <w:r w:rsidRPr="003A491D">
        <w:rPr>
          <w:rFonts w:ascii="Times New Roman" w:hAnsi="Times New Roman" w:cs="Times New Roman"/>
          <w:color w:val="auto"/>
          <w:sz w:val="28"/>
          <w:szCs w:val="28"/>
          <w:lang w:val="uk-UA"/>
        </w:rPr>
        <w:t>рекомендується</w:t>
      </w:r>
      <w:r>
        <w:rPr>
          <w:rFonts w:ascii="Times New Roman" w:hAnsi="Times New Roman" w:cs="Times New Roman"/>
          <w:color w:val="000000" w:themeColor="text1"/>
          <w:sz w:val="28"/>
          <w:szCs w:val="28"/>
          <w:lang w:val="uk-UA"/>
        </w:rPr>
        <w:t xml:space="preserve"> </w:t>
      </w:r>
      <w:r w:rsidRPr="00A252FE">
        <w:rPr>
          <w:rFonts w:ascii="Times New Roman" w:hAnsi="Times New Roman" w:cs="Times New Roman"/>
          <w:color w:val="000000" w:themeColor="text1"/>
          <w:sz w:val="28"/>
          <w:szCs w:val="28"/>
          <w:lang w:val="uk-UA"/>
        </w:rPr>
        <w:t xml:space="preserve">дослідження вмісту </w:t>
      </w:r>
      <w:r w:rsidRPr="00A252FE">
        <w:rPr>
          <w:rFonts w:ascii="Times New Roman" w:hAnsi="Times New Roman" w:cs="Times New Roman"/>
          <w:color w:val="000000" w:themeColor="text1"/>
          <w:sz w:val="28"/>
          <w:szCs w:val="28"/>
          <w:lang w:val="en-US"/>
        </w:rPr>
        <w:t>FGF</w:t>
      </w:r>
      <w:r w:rsidRPr="00A252FE">
        <w:rPr>
          <w:rFonts w:ascii="Times New Roman" w:hAnsi="Times New Roman" w:cs="Times New Roman"/>
          <w:color w:val="000000" w:themeColor="text1"/>
          <w:sz w:val="28"/>
          <w:szCs w:val="28"/>
          <w:lang w:val="uk-UA"/>
        </w:rPr>
        <w:t xml:space="preserve">2 в плазмі крові: збільшення його концентрації до </w:t>
      </w:r>
      <w:r>
        <w:rPr>
          <w:rFonts w:ascii="Times New Roman" w:hAnsi="Times New Roman" w:cs="Times New Roman"/>
          <w:color w:val="000000" w:themeColor="text1"/>
          <w:sz w:val="28"/>
          <w:szCs w:val="28"/>
          <w:lang w:val="uk-UA"/>
        </w:rPr>
        <w:t>1</w:t>
      </w:r>
      <w:r w:rsidRPr="00A252FE">
        <w:rPr>
          <w:rFonts w:ascii="Times New Roman" w:hAnsi="Times New Roman" w:cs="Times New Roman"/>
          <w:color w:val="000000" w:themeColor="text1"/>
          <w:sz w:val="28"/>
          <w:szCs w:val="28"/>
          <w:lang w:val="uk-UA"/>
        </w:rPr>
        <w:t>9,0 пг/мл та більш</w:t>
      </w:r>
      <w:r>
        <w:rPr>
          <w:rFonts w:ascii="Times New Roman" w:hAnsi="Times New Roman" w:cs="Times New Roman"/>
          <w:color w:val="000000" w:themeColor="text1"/>
          <w:sz w:val="28"/>
          <w:szCs w:val="28"/>
          <w:lang w:val="uk-UA"/>
        </w:rPr>
        <w:t>е -</w:t>
      </w:r>
      <w:r w:rsidRPr="00A252FE">
        <w:rPr>
          <w:rFonts w:ascii="Times New Roman" w:hAnsi="Times New Roman" w:cs="Times New Roman"/>
          <w:color w:val="000000" w:themeColor="text1"/>
          <w:sz w:val="28"/>
          <w:szCs w:val="28"/>
          <w:lang w:val="uk-UA"/>
        </w:rPr>
        <w:t xml:space="preserve"> свідчить про наявність виразних порушень метаболізму сполучної тканини</w:t>
      </w:r>
      <w:r>
        <w:rPr>
          <w:rFonts w:ascii="Times New Roman" w:hAnsi="Times New Roman" w:cs="Times New Roman"/>
          <w:color w:val="000000" w:themeColor="text1"/>
          <w:sz w:val="28"/>
          <w:szCs w:val="28"/>
          <w:lang w:val="uk-UA"/>
        </w:rPr>
        <w:t>, розвитку артеріальної гіпертензії та діабетичної нефропатії.</w:t>
      </w:r>
    </w:p>
    <w:p w:rsidR="00D15BB9" w:rsidRPr="00214160" w:rsidRDefault="00D15BB9" w:rsidP="00D15BB9">
      <w:pPr>
        <w:spacing w:line="360" w:lineRule="auto"/>
        <w:ind w:firstLine="709"/>
        <w:jc w:val="both"/>
        <w:rPr>
          <w:rFonts w:ascii="Times New Roman" w:hAnsi="Times New Roman" w:cs="Times New Roman"/>
          <w:color w:val="auto"/>
          <w:sz w:val="28"/>
          <w:szCs w:val="28"/>
          <w:lang w:val="uk-UA"/>
        </w:rPr>
      </w:pPr>
      <w:r w:rsidRPr="00A252FE">
        <w:rPr>
          <w:rFonts w:ascii="Times New Roman" w:hAnsi="Times New Roman" w:cs="Times New Roman"/>
          <w:color w:val="000000" w:themeColor="text1"/>
          <w:sz w:val="28"/>
          <w:szCs w:val="28"/>
          <w:lang w:val="uk-UA"/>
        </w:rPr>
        <w:t xml:space="preserve">3. </w:t>
      </w:r>
      <w:r>
        <w:rPr>
          <w:rFonts w:ascii="Times New Roman" w:hAnsi="Times New Roman" w:cs="Times New Roman"/>
          <w:color w:val="000000" w:themeColor="text1"/>
          <w:sz w:val="28"/>
          <w:szCs w:val="28"/>
          <w:lang w:val="uk-UA"/>
        </w:rPr>
        <w:t>При визначенні</w:t>
      </w:r>
      <w:r w:rsidRPr="00A252FE">
        <w:rPr>
          <w:rFonts w:ascii="Times New Roman" w:hAnsi="Times New Roman" w:cs="Times New Roman"/>
          <w:color w:val="000000" w:themeColor="text1"/>
          <w:sz w:val="28"/>
          <w:szCs w:val="28"/>
          <w:lang w:val="uk-UA"/>
        </w:rPr>
        <w:t xml:space="preserve"> високого ризику розвитку артеріальної гіпертензії у хворих на цукровий діабет 2 типу за запропонованою регресійною моделлю, яка враховує наявність ознак недиференційованої дисплазії сполучної тканини та тривалість цукрового діабету, </w:t>
      </w:r>
      <w:r>
        <w:rPr>
          <w:rFonts w:ascii="Times New Roman" w:hAnsi="Times New Roman" w:cs="Times New Roman"/>
          <w:color w:val="000000" w:themeColor="text1"/>
          <w:sz w:val="28"/>
          <w:szCs w:val="28"/>
          <w:lang w:val="uk-UA"/>
        </w:rPr>
        <w:t>рекомендовано, цим хворим проводити</w:t>
      </w:r>
      <w:r w:rsidRPr="00A252FE">
        <w:rPr>
          <w:rFonts w:ascii="Times New Roman" w:hAnsi="Times New Roman" w:cs="Times New Roman"/>
          <w:color w:val="000000" w:themeColor="text1"/>
          <w:sz w:val="28"/>
          <w:szCs w:val="28"/>
          <w:lang w:val="uk-UA"/>
        </w:rPr>
        <w:t xml:space="preserve"> активн</w:t>
      </w:r>
      <w:r>
        <w:rPr>
          <w:rFonts w:ascii="Times New Roman" w:hAnsi="Times New Roman" w:cs="Times New Roman"/>
          <w:color w:val="000000" w:themeColor="text1"/>
          <w:sz w:val="28"/>
          <w:szCs w:val="28"/>
          <w:lang w:val="uk-UA"/>
        </w:rPr>
        <w:t>ий</w:t>
      </w:r>
      <w:r w:rsidRPr="00A252FE">
        <w:rPr>
          <w:rFonts w:ascii="Times New Roman" w:hAnsi="Times New Roman" w:cs="Times New Roman"/>
          <w:color w:val="000000" w:themeColor="text1"/>
          <w:sz w:val="28"/>
          <w:szCs w:val="28"/>
          <w:lang w:val="uk-UA"/>
        </w:rPr>
        <w:t xml:space="preserve"> моніторинг артеріального тиску з метою раннього виявлення, профілактики та лікування артеріальної гіпертензії.</w:t>
      </w:r>
    </w:p>
    <w:p w:rsidR="007D665B" w:rsidRPr="000A32AD" w:rsidRDefault="007D665B" w:rsidP="00D15BB9">
      <w:pPr>
        <w:spacing w:after="200" w:line="360" w:lineRule="auto"/>
        <w:ind w:firstLine="709"/>
        <w:jc w:val="center"/>
        <w:rPr>
          <w:rFonts w:ascii="Times New Roman" w:hAnsi="Times New Roman" w:cs="Times New Roman"/>
          <w:b/>
          <w:color w:val="000000" w:themeColor="text1"/>
          <w:sz w:val="28"/>
          <w:szCs w:val="28"/>
          <w:lang w:val="uk-UA"/>
        </w:rPr>
      </w:pPr>
    </w:p>
    <w:p w:rsidR="007D665B" w:rsidRPr="000A32AD" w:rsidRDefault="007D665B" w:rsidP="007D665B">
      <w:pPr>
        <w:spacing w:after="200" w:line="276"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br w:type="page"/>
      </w:r>
    </w:p>
    <w:p w:rsidR="007D665B" w:rsidRPr="000A32AD" w:rsidRDefault="007D665B" w:rsidP="007D665B">
      <w:pPr>
        <w:tabs>
          <w:tab w:val="left" w:pos="993"/>
        </w:tabs>
        <w:spacing w:line="360" w:lineRule="auto"/>
        <w:ind w:firstLine="709"/>
        <w:jc w:val="center"/>
        <w:rPr>
          <w:rFonts w:ascii="Times New Roman" w:hAnsi="Times New Roman" w:cs="Times New Roman"/>
          <w:b/>
          <w:color w:val="000000" w:themeColor="text1"/>
          <w:sz w:val="28"/>
          <w:szCs w:val="28"/>
          <w:lang w:val="uk-UA"/>
        </w:rPr>
      </w:pPr>
      <w:r w:rsidRPr="000A32AD">
        <w:rPr>
          <w:rFonts w:ascii="Times New Roman" w:hAnsi="Times New Roman" w:cs="Times New Roman"/>
          <w:b/>
          <w:color w:val="000000" w:themeColor="text1"/>
          <w:sz w:val="28"/>
          <w:szCs w:val="28"/>
          <w:lang w:val="uk-UA"/>
        </w:rPr>
        <w:lastRenderedPageBreak/>
        <w:t>СПИСОК ЛІТЕРАТУРИ</w:t>
      </w:r>
    </w:p>
    <w:p w:rsidR="007D665B" w:rsidRPr="000A32AD" w:rsidRDefault="007D665B" w:rsidP="007D665B">
      <w:pPr>
        <w:tabs>
          <w:tab w:val="left" w:pos="993"/>
        </w:tabs>
        <w:spacing w:line="360" w:lineRule="auto"/>
        <w:ind w:firstLine="709"/>
        <w:jc w:val="center"/>
        <w:rPr>
          <w:rFonts w:ascii="Times New Roman" w:hAnsi="Times New Roman" w:cs="Times New Roman"/>
          <w:b/>
          <w:color w:val="000000" w:themeColor="text1"/>
          <w:sz w:val="28"/>
          <w:szCs w:val="28"/>
          <w:lang w:val="uk-UA"/>
        </w:rPr>
      </w:pP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Автандилов ГГ. Основы количественной патологической анатомии. М.</w:t>
      </w:r>
      <w:r w:rsidRPr="000A32AD">
        <w:rPr>
          <w:rFonts w:ascii="Times New Roman" w:hAnsi="Times New Roman" w:cs="Times New Roman"/>
          <w:color w:val="000000" w:themeColor="text1"/>
          <w:lang w:val="uk-UA"/>
        </w:rPr>
        <w:t>,</w:t>
      </w:r>
      <w:r w:rsidRPr="000A32AD">
        <w:rPr>
          <w:rFonts w:ascii="Times New Roman" w:hAnsi="Times New Roman" w:cs="Times New Roman"/>
          <w:color w:val="000000" w:themeColor="text1"/>
        </w:rPr>
        <w:t xml:space="preserve"> Медицина, 2002, 240</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с</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bCs/>
          <w:color w:val="000000" w:themeColor="text1"/>
          <w:lang w:val="uk-UA"/>
        </w:rPr>
        <w:t xml:space="preserve">Алимова ИЛ, Пашинская НБ, Плескачевская ТА. </w:t>
      </w:r>
      <w:r w:rsidRPr="000A32AD">
        <w:rPr>
          <w:rFonts w:ascii="Times New Roman" w:hAnsi="Times New Roman" w:cs="Times New Roman"/>
          <w:bCs/>
          <w:color w:val="000000" w:themeColor="text1"/>
        </w:rPr>
        <w:t>Особенности течения сахарного диабета 1 типа у детей</w:t>
      </w:r>
      <w:r w:rsidRPr="000A32AD">
        <w:rPr>
          <w:rFonts w:ascii="Times New Roman" w:hAnsi="Times New Roman" w:cs="Times New Roman"/>
          <w:bCs/>
          <w:color w:val="000000" w:themeColor="text1"/>
          <w:lang w:val="uk-UA"/>
        </w:rPr>
        <w:t xml:space="preserve"> </w:t>
      </w:r>
      <w:r w:rsidRPr="000A32AD">
        <w:rPr>
          <w:rFonts w:ascii="Times New Roman" w:hAnsi="Times New Roman" w:cs="Times New Roman"/>
          <w:bCs/>
          <w:color w:val="000000" w:themeColor="text1"/>
        </w:rPr>
        <w:t>и подростков на фоне дисплазии соединительной ткани</w:t>
      </w:r>
      <w:r w:rsidRPr="000A32AD">
        <w:rPr>
          <w:rFonts w:ascii="Times New Roman" w:hAnsi="Times New Roman" w:cs="Times New Roman"/>
          <w:bCs/>
          <w:color w:val="000000" w:themeColor="text1"/>
          <w:lang w:val="uk-UA"/>
        </w:rPr>
        <w:t xml:space="preserve">. </w:t>
      </w:r>
      <w:r w:rsidRPr="000A32AD">
        <w:rPr>
          <w:rFonts w:ascii="Times New Roman" w:hAnsi="Times New Roman" w:cs="Times New Roman"/>
          <w:bCs/>
          <w:color w:val="000000" w:themeColor="text1"/>
        </w:rPr>
        <w:t xml:space="preserve">Медицинский вестник </w:t>
      </w:r>
      <w:r w:rsidRPr="000A32AD">
        <w:rPr>
          <w:rFonts w:ascii="Times New Roman" w:hAnsi="Times New Roman" w:cs="Times New Roman"/>
          <w:bCs/>
          <w:color w:val="000000" w:themeColor="text1"/>
          <w:lang w:val="uk-UA"/>
        </w:rPr>
        <w:t>С</w:t>
      </w:r>
      <w:r w:rsidRPr="000A32AD">
        <w:rPr>
          <w:rFonts w:ascii="Times New Roman" w:hAnsi="Times New Roman" w:cs="Times New Roman"/>
          <w:bCs/>
          <w:color w:val="000000" w:themeColor="text1"/>
        </w:rPr>
        <w:t xml:space="preserve">еверного </w:t>
      </w:r>
      <w:r w:rsidRPr="000A32AD">
        <w:rPr>
          <w:rFonts w:ascii="Times New Roman" w:hAnsi="Times New Roman" w:cs="Times New Roman"/>
          <w:bCs/>
          <w:color w:val="000000" w:themeColor="text1"/>
          <w:lang w:val="uk-UA"/>
        </w:rPr>
        <w:t>К</w:t>
      </w:r>
      <w:r w:rsidRPr="000A32AD">
        <w:rPr>
          <w:rFonts w:ascii="Times New Roman" w:hAnsi="Times New Roman" w:cs="Times New Roman"/>
          <w:bCs/>
          <w:color w:val="000000" w:themeColor="text1"/>
        </w:rPr>
        <w:t>авказа</w:t>
      </w:r>
      <w:r w:rsidRPr="000A32AD">
        <w:rPr>
          <w:rFonts w:ascii="Times New Roman" w:hAnsi="Times New Roman" w:cs="Times New Roman"/>
          <w:bCs/>
          <w:color w:val="000000" w:themeColor="text1"/>
          <w:lang w:val="uk-UA"/>
        </w:rPr>
        <w:t xml:space="preserve">. </w:t>
      </w:r>
      <w:r w:rsidRPr="000A32AD">
        <w:rPr>
          <w:rFonts w:ascii="Times New Roman" w:hAnsi="Times New Roman" w:cs="Times New Roman"/>
          <w:bCs/>
          <w:color w:val="000000" w:themeColor="text1"/>
        </w:rPr>
        <w:t>2016</w:t>
      </w:r>
      <w:r w:rsidRPr="000A32AD">
        <w:rPr>
          <w:rFonts w:ascii="Times New Roman" w:hAnsi="Times New Roman" w:cs="Times New Roman"/>
          <w:bCs/>
          <w:color w:val="000000" w:themeColor="text1"/>
          <w:lang w:val="uk-UA"/>
        </w:rPr>
        <w:t xml:space="preserve">; </w:t>
      </w:r>
      <w:r w:rsidRPr="000A32AD">
        <w:rPr>
          <w:rFonts w:ascii="Times New Roman" w:hAnsi="Times New Roman" w:cs="Times New Roman"/>
          <w:bCs/>
          <w:color w:val="000000" w:themeColor="text1"/>
        </w:rPr>
        <w:t>11</w:t>
      </w:r>
      <w:r w:rsidRPr="000A32AD">
        <w:rPr>
          <w:rFonts w:ascii="Times New Roman" w:hAnsi="Times New Roman" w:cs="Times New Roman"/>
          <w:bCs/>
          <w:color w:val="000000" w:themeColor="text1"/>
          <w:lang w:val="uk-UA"/>
        </w:rPr>
        <w:t>(</w:t>
      </w:r>
      <w:r w:rsidRPr="000A32AD">
        <w:rPr>
          <w:rFonts w:ascii="Times New Roman" w:hAnsi="Times New Roman" w:cs="Times New Roman"/>
          <w:bCs/>
          <w:color w:val="000000" w:themeColor="text1"/>
        </w:rPr>
        <w:t>2</w:t>
      </w:r>
      <w:r w:rsidRPr="000A32AD">
        <w:rPr>
          <w:rFonts w:ascii="Times New Roman" w:hAnsi="Times New Roman" w:cs="Times New Roman"/>
          <w:bCs/>
          <w:color w:val="000000" w:themeColor="text1"/>
          <w:lang w:val="uk-UA"/>
        </w:rPr>
        <w:t>): 272-275.</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Аникеева ТП, Волчанский ЕИ. Ранняя диагностика диабетической нефропатии у детей и подростков с сахарным диабетом 1 типа. Сахарный диабет. 2</w:t>
      </w:r>
      <w:r w:rsidRPr="000A32AD">
        <w:rPr>
          <w:rFonts w:ascii="Times New Roman" w:hAnsi="Times New Roman" w:cs="Times New Roman"/>
          <w:color w:val="000000" w:themeColor="text1"/>
          <w:lang w:val="uk-UA"/>
        </w:rPr>
        <w:t>011; 2: 78-81.</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Арсентьев ВГ, Староверов ЮИ, Шабалов НП. Особенности эхоструктуры сердца и почек при дисплазии соединительной ткани у детей. Нефрология. 2011; 15(4): 99</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Батюшин ММ, Кастанаян АА, Руденко ЛИ, Чистяков ВА. Фактор роста фибробластов 23. Физиологическая роль и участие в процессах сосудистой кальцификации при хронической почечной недостаточности Журнал фундаментальной медицины и биологии. 2014; 2: 4-8</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Беловол</w:t>
      </w:r>
      <w:r w:rsidRPr="000A32AD">
        <w:rPr>
          <w:rFonts w:ascii="Times New Roman" w:hAnsi="Times New Roman" w:cs="Times New Roman"/>
          <w:color w:val="000000" w:themeColor="text1"/>
          <w:lang w:val="uk-UA"/>
        </w:rPr>
        <w:t xml:space="preserve"> АН</w:t>
      </w:r>
      <w:r w:rsidRPr="000A32AD">
        <w:rPr>
          <w:rFonts w:ascii="Times New Roman" w:hAnsi="Times New Roman" w:cs="Times New Roman"/>
          <w:color w:val="000000" w:themeColor="text1"/>
        </w:rPr>
        <w:t>, Школьник</w:t>
      </w:r>
      <w:r w:rsidRPr="000A32AD">
        <w:rPr>
          <w:rFonts w:ascii="Times New Roman" w:hAnsi="Times New Roman" w:cs="Times New Roman"/>
          <w:color w:val="000000" w:themeColor="text1"/>
          <w:lang w:val="uk-UA"/>
        </w:rPr>
        <w:t xml:space="preserve"> ВВ</w:t>
      </w:r>
      <w:r w:rsidRPr="000A32AD">
        <w:rPr>
          <w:rFonts w:ascii="Times New Roman" w:hAnsi="Times New Roman" w:cs="Times New Roman"/>
          <w:color w:val="000000" w:themeColor="text1"/>
        </w:rPr>
        <w:t>, Немцова</w:t>
      </w:r>
      <w:r w:rsidRPr="000A32AD">
        <w:rPr>
          <w:rFonts w:ascii="Times New Roman" w:hAnsi="Times New Roman" w:cs="Times New Roman"/>
          <w:color w:val="000000" w:themeColor="text1"/>
          <w:lang w:val="uk-UA"/>
        </w:rPr>
        <w:t xml:space="preserve"> ВД.</w:t>
      </w:r>
      <w:r w:rsidRPr="000A32AD">
        <w:rPr>
          <w:rFonts w:ascii="Times New Roman" w:hAnsi="Times New Roman" w:cs="Times New Roman"/>
          <w:color w:val="000000" w:themeColor="text1"/>
        </w:rPr>
        <w:t xml:space="preserve"> Новые подходы к лечению больных гипертонической болезнью в сочетании с сахарным диабетом 2 типа. </w:t>
      </w:r>
      <w:r w:rsidRPr="000A32AD">
        <w:rPr>
          <w:rFonts w:ascii="Times New Roman" w:hAnsi="Times New Roman" w:cs="Times New Roman"/>
          <w:color w:val="000000" w:themeColor="text1"/>
          <w:lang w:val="uk-UA"/>
        </w:rPr>
        <w:t>Український терапевтичний журнал. 2012</w:t>
      </w:r>
      <w:r w:rsidRPr="000A32AD">
        <w:rPr>
          <w:rFonts w:ascii="Times New Roman" w:hAnsi="Times New Roman" w:cs="Times New Roman"/>
          <w:color w:val="000000" w:themeColor="text1"/>
        </w:rPr>
        <w:t>;</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2:</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32-38</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Беловол АН, Школьник ВВ, Фадеенко ГД, Тверетинов АБ. Гипертоническая болезнь и ожирение. Тернополь: ТГМУ. 2013, 344 с</w:t>
      </w:r>
      <w:r w:rsidRPr="000A32AD">
        <w:rPr>
          <w:rFonts w:ascii="Times New Roman" w:hAnsi="Times New Roman" w:cs="Times New Roman"/>
          <w:bCs/>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Бондарь ИА, Климонтов ВВ, Ким ЛБ, Березовская ГА, Коржавина ОА. Метаболизм коллагена и коллагенолитическая активность сыворотки крови у больных сахарным диабетом 1 типа с нефропатией. Сахарный диабет. 2004; 3: 10–</w:t>
      </w:r>
      <w:r w:rsidRPr="000A32AD">
        <w:rPr>
          <w:rFonts w:ascii="Times New Roman" w:hAnsi="Times New Roman" w:cs="Times New Roman"/>
          <w:color w:val="000000" w:themeColor="text1"/>
          <w:lang w:val="uk-UA"/>
        </w:rPr>
        <w:t>14.</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 xml:space="preserve">Бондарь ИА, Климонтов ВВ, Парфентьева ЕМ, Романов ВВ, Надеев </w:t>
      </w:r>
      <w:r w:rsidRPr="000A32AD">
        <w:rPr>
          <w:rFonts w:ascii="Times New Roman" w:hAnsi="Times New Roman" w:cs="Times New Roman"/>
          <w:color w:val="000000" w:themeColor="text1"/>
        </w:rPr>
        <w:lastRenderedPageBreak/>
        <w:t>АП. Мочевая экскреция коллагена IV типа – ранний маркер фиброзирования почек при сахарном диабете. Сахарный диабет. 2011; 4: 29-31</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 xml:space="preserve">Бондарь ИА, Климонтов ВВ. </w:t>
      </w:r>
      <w:r w:rsidRPr="000A32AD">
        <w:rPr>
          <w:rFonts w:ascii="Times New Roman" w:hAnsi="Times New Roman" w:cs="Times New Roman"/>
          <w:color w:val="000000" w:themeColor="text1"/>
        </w:rPr>
        <w:t>Почечная экскреция инсулино</w:t>
      </w:r>
      <w:r w:rsidRPr="000A32AD">
        <w:rPr>
          <w:rFonts w:ascii="Times New Roman" w:hAnsi="Times New Roman" w:cs="Times New Roman"/>
          <w:color w:val="000000" w:themeColor="text1"/>
        </w:rPr>
        <w:softHyphen/>
        <w:t>подобного фактора роста 1 и сосудистого эндотелиального фактора роста у пациентов с диабетом 1 типа с нефропатией. Пробл.эндокринол.</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2007; 53(6):3</w:t>
      </w:r>
      <w:r w:rsidRPr="000A32AD">
        <w:rPr>
          <w:rFonts w:ascii="Times New Roman" w:hAnsi="Times New Roman" w:cs="Times New Roman"/>
          <w:color w:val="000000" w:themeColor="text1"/>
          <w:lang w:val="uk-UA"/>
        </w:rPr>
        <w:t>-7.</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Вебер</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ВР, Рубанова</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МП, Жмайлова</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СВ, Губская</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ПМ, Копина</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МН, Румянцев</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ЕЕ, Атаев ИА.</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Особенности экспрессии факторов роста фибробластов (FGF-2 и ТGF-</w:t>
      </w:r>
      <w:r w:rsidRPr="000A32AD">
        <w:rPr>
          <w:rFonts w:ascii="Times New Roman" w:hAnsi="Times New Roman" w:cs="Times New Roman"/>
          <w:color w:val="000000" w:themeColor="text1"/>
        </w:rPr>
        <w:sym w:font="Symbol" w:char="F062"/>
      </w:r>
      <w:r w:rsidRPr="000A32AD">
        <w:rPr>
          <w:rFonts w:ascii="Times New Roman" w:hAnsi="Times New Roman" w:cs="Times New Roman"/>
          <w:color w:val="000000" w:themeColor="text1"/>
        </w:rPr>
        <w:t>1) в стенке брюшной аорты при экспериментальном моделировании различных вариантов хронического стресса</w:t>
      </w:r>
      <w:r w:rsidRPr="000A32AD">
        <w:rPr>
          <w:rFonts w:ascii="Times New Roman" w:hAnsi="Times New Roman" w:cs="Times New Roman"/>
          <w:color w:val="000000" w:themeColor="text1"/>
          <w:lang w:val="uk-UA"/>
        </w:rPr>
        <w:t>.</w:t>
      </w:r>
      <w:r w:rsidRPr="000A32AD">
        <w:rPr>
          <w:rFonts w:ascii="Times New Roman" w:hAnsi="Times New Roman" w:cs="Times New Roman"/>
          <w:color w:val="000000" w:themeColor="text1"/>
        </w:rPr>
        <w:t xml:space="preserve"> Вестник новгородского государственного университета</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2016</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6(97)</w:t>
      </w:r>
      <w:r w:rsidRPr="000A32AD">
        <w:rPr>
          <w:rFonts w:ascii="Times New Roman" w:hAnsi="Times New Roman" w:cs="Times New Roman"/>
          <w:color w:val="000000" w:themeColor="text1"/>
          <w:lang w:val="uk-UA"/>
        </w:rPr>
        <w:t>:</w:t>
      </w:r>
      <w:r w:rsidRPr="000A32AD">
        <w:rPr>
          <w:rFonts w:ascii="Times New Roman" w:hAnsi="Times New Roman" w:cs="Times New Roman"/>
          <w:color w:val="000000" w:themeColor="text1"/>
        </w:rPr>
        <w:t xml:space="preserve"> 25-28</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Гавриленко ТИ, Рыжкова НА</w:t>
      </w:r>
      <w:r w:rsidRPr="000A32AD">
        <w:rPr>
          <w:rFonts w:ascii="Times New Roman" w:hAnsi="Times New Roman" w:cs="Times New Roman"/>
          <w:color w:val="000000" w:themeColor="text1"/>
          <w:lang w:val="uk-UA"/>
        </w:rPr>
        <w:t>,</w:t>
      </w:r>
      <w:r w:rsidRPr="000A32AD">
        <w:rPr>
          <w:rFonts w:ascii="Times New Roman" w:hAnsi="Times New Roman" w:cs="Times New Roman"/>
          <w:color w:val="000000" w:themeColor="text1"/>
        </w:rPr>
        <w:t xml:space="preserve"> Пархоменко АН. Сосудистый эндотелиальный фактор роста в клинике внутренних заболеваний и его патогенетическое значение. Укр</w:t>
      </w:r>
      <w:r w:rsidRPr="000A32AD">
        <w:rPr>
          <w:rFonts w:ascii="Times New Roman" w:hAnsi="Times New Roman" w:cs="Times New Roman"/>
          <w:color w:val="000000" w:themeColor="text1"/>
          <w:lang w:val="uk-UA"/>
        </w:rPr>
        <w:t>.</w:t>
      </w:r>
      <w:r w:rsidRPr="000A32AD">
        <w:rPr>
          <w:rFonts w:ascii="Times New Roman" w:hAnsi="Times New Roman" w:cs="Times New Roman"/>
          <w:color w:val="000000" w:themeColor="text1"/>
        </w:rPr>
        <w:t xml:space="preserve"> кардіол</w:t>
      </w:r>
      <w:r w:rsidRPr="000A32AD">
        <w:rPr>
          <w:rFonts w:ascii="Times New Roman" w:hAnsi="Times New Roman" w:cs="Times New Roman"/>
          <w:color w:val="000000" w:themeColor="text1"/>
          <w:lang w:val="uk-UA"/>
        </w:rPr>
        <w:t>.</w:t>
      </w:r>
      <w:r w:rsidRPr="000A32AD">
        <w:rPr>
          <w:rFonts w:ascii="Times New Roman" w:hAnsi="Times New Roman" w:cs="Times New Roman"/>
          <w:color w:val="000000" w:themeColor="text1"/>
        </w:rPr>
        <w:t xml:space="preserve"> журнал. 2011</w:t>
      </w:r>
      <w:r w:rsidRPr="000A32AD">
        <w:rPr>
          <w:rFonts w:ascii="Times New Roman" w:hAnsi="Times New Roman" w:cs="Times New Roman"/>
          <w:color w:val="000000" w:themeColor="text1"/>
          <w:lang w:val="en-US"/>
        </w:rPr>
        <w:t xml:space="preserve">; </w:t>
      </w:r>
      <w:r w:rsidRPr="000A32AD">
        <w:rPr>
          <w:rFonts w:ascii="Times New Roman" w:hAnsi="Times New Roman" w:cs="Times New Roman"/>
          <w:color w:val="000000" w:themeColor="text1"/>
        </w:rPr>
        <w:t>8</w:t>
      </w:r>
      <w:r w:rsidRPr="000A32AD">
        <w:rPr>
          <w:rFonts w:ascii="Times New Roman" w:hAnsi="Times New Roman" w:cs="Times New Roman"/>
          <w:color w:val="000000" w:themeColor="text1"/>
          <w:lang w:val="en-US"/>
        </w:rPr>
        <w:t xml:space="preserve">: </w:t>
      </w:r>
      <w:r w:rsidRPr="000A32AD">
        <w:rPr>
          <w:rFonts w:ascii="Times New Roman" w:hAnsi="Times New Roman" w:cs="Times New Roman"/>
          <w:color w:val="000000" w:themeColor="text1"/>
        </w:rPr>
        <w:t>33-41</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Гаврилова НА, Тищенко ОЕ. Влияние сулодексида на функциональное состояние эндотелия у больных сахарным диабетом и диабетической ретинопатией</w:t>
      </w:r>
      <w:r w:rsidRPr="000A32AD">
        <w:rPr>
          <w:rFonts w:ascii="Times New Roman" w:hAnsi="Times New Roman" w:cs="Times New Roman"/>
          <w:color w:val="000000" w:themeColor="text1"/>
          <w:lang w:val="uk-UA"/>
        </w:rPr>
        <w:t>. Сахарный диабет. 2011;2: 66-68.</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iCs/>
          <w:color w:val="000000" w:themeColor="text1"/>
          <w:lang w:val="uk-UA"/>
        </w:rPr>
        <w:t>Гаджиев</w:t>
      </w:r>
      <w:r w:rsidRPr="000A32AD">
        <w:rPr>
          <w:rFonts w:ascii="Times New Roman" w:hAnsi="Times New Roman" w:cs="Times New Roman"/>
          <w:bCs/>
          <w:iCs/>
          <w:color w:val="000000" w:themeColor="text1"/>
          <w:lang w:val="uk-UA"/>
        </w:rPr>
        <w:t xml:space="preserve"> </w:t>
      </w:r>
      <w:r w:rsidRPr="000A32AD">
        <w:rPr>
          <w:rFonts w:ascii="Times New Roman" w:hAnsi="Times New Roman" w:cs="Times New Roman"/>
          <w:iCs/>
          <w:color w:val="000000" w:themeColor="text1"/>
          <w:lang w:val="uk-UA"/>
        </w:rPr>
        <w:t>ДН, Мамедов</w:t>
      </w:r>
      <w:r w:rsidRPr="000A32AD">
        <w:rPr>
          <w:rFonts w:ascii="Times New Roman" w:hAnsi="Times New Roman" w:cs="Times New Roman"/>
          <w:bCs/>
          <w:iCs/>
          <w:color w:val="000000" w:themeColor="text1"/>
          <w:lang w:val="uk-UA"/>
        </w:rPr>
        <w:t xml:space="preserve"> </w:t>
      </w:r>
      <w:r w:rsidRPr="000A32AD">
        <w:rPr>
          <w:rFonts w:ascii="Times New Roman" w:hAnsi="Times New Roman" w:cs="Times New Roman"/>
          <w:iCs/>
          <w:color w:val="000000" w:themeColor="text1"/>
          <w:lang w:val="uk-UA"/>
        </w:rPr>
        <w:t>ББ, Гаджиев</w:t>
      </w:r>
      <w:r w:rsidRPr="000A32AD">
        <w:rPr>
          <w:rFonts w:ascii="Times New Roman" w:hAnsi="Times New Roman" w:cs="Times New Roman"/>
          <w:bCs/>
          <w:iCs/>
          <w:color w:val="000000" w:themeColor="text1"/>
          <w:lang w:val="uk-UA"/>
        </w:rPr>
        <w:t xml:space="preserve"> </w:t>
      </w:r>
      <w:r w:rsidRPr="000A32AD">
        <w:rPr>
          <w:rFonts w:ascii="Times New Roman" w:hAnsi="Times New Roman" w:cs="Times New Roman"/>
          <w:iCs/>
          <w:color w:val="000000" w:themeColor="text1"/>
          <w:lang w:val="uk-UA"/>
        </w:rPr>
        <w:t>НД.</w:t>
      </w:r>
      <w:r w:rsidRPr="000A32AD">
        <w:rPr>
          <w:rFonts w:ascii="Times New Roman" w:hAnsi="Times New Roman" w:cs="Times New Roman"/>
          <w:bCs/>
          <w:iCs/>
          <w:color w:val="000000" w:themeColor="text1"/>
          <w:lang w:val="uk-UA"/>
        </w:rPr>
        <w:t xml:space="preserve"> </w:t>
      </w:r>
      <w:r w:rsidRPr="000A32AD">
        <w:rPr>
          <w:rFonts w:ascii="Times New Roman" w:hAnsi="Times New Roman" w:cs="Times New Roman"/>
          <w:color w:val="000000" w:themeColor="text1"/>
        </w:rPr>
        <w:t>Состояние метаболизма, тканевых факторов роста и апоптоза соединительной ткани при хроническом геморрое</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iCs/>
          <w:color w:val="000000" w:themeColor="text1"/>
        </w:rPr>
        <w:t>Цитоки</w:t>
      </w:r>
      <w:r w:rsidRPr="000A32AD">
        <w:rPr>
          <w:rFonts w:ascii="Times New Roman" w:hAnsi="Times New Roman" w:cs="Times New Roman"/>
          <w:bCs/>
          <w:iCs/>
          <w:color w:val="000000" w:themeColor="text1"/>
          <w:lang w:val="uk-UA"/>
        </w:rPr>
        <w:t>н</w:t>
      </w:r>
      <w:r w:rsidRPr="000A32AD">
        <w:rPr>
          <w:rFonts w:ascii="Times New Roman" w:hAnsi="Times New Roman" w:cs="Times New Roman"/>
          <w:iCs/>
          <w:color w:val="000000" w:themeColor="text1"/>
        </w:rPr>
        <w:t>ы и воспаление. 2011</w:t>
      </w:r>
      <w:r w:rsidRPr="000A32AD">
        <w:rPr>
          <w:rFonts w:ascii="Times New Roman" w:hAnsi="Times New Roman" w:cs="Times New Roman"/>
          <w:bCs/>
          <w:iCs/>
          <w:color w:val="000000" w:themeColor="text1"/>
          <w:lang w:val="uk-UA"/>
        </w:rPr>
        <w:t xml:space="preserve">; </w:t>
      </w:r>
      <w:r w:rsidRPr="000A32AD">
        <w:rPr>
          <w:rFonts w:ascii="Times New Roman" w:hAnsi="Times New Roman" w:cs="Times New Roman"/>
          <w:iCs/>
          <w:color w:val="000000" w:themeColor="text1"/>
        </w:rPr>
        <w:t>10</w:t>
      </w:r>
      <w:r w:rsidRPr="000A32AD">
        <w:rPr>
          <w:rFonts w:ascii="Times New Roman" w:hAnsi="Times New Roman" w:cs="Times New Roman"/>
          <w:bCs/>
          <w:iCs/>
          <w:color w:val="000000" w:themeColor="text1"/>
          <w:lang w:val="uk-UA"/>
        </w:rPr>
        <w:t>(</w:t>
      </w:r>
      <w:r w:rsidRPr="000A32AD">
        <w:rPr>
          <w:rFonts w:ascii="Times New Roman" w:hAnsi="Times New Roman" w:cs="Times New Roman"/>
          <w:iCs/>
          <w:color w:val="000000" w:themeColor="text1"/>
        </w:rPr>
        <w:t>4</w:t>
      </w:r>
      <w:r w:rsidRPr="000A32AD">
        <w:rPr>
          <w:rFonts w:ascii="Times New Roman" w:hAnsi="Times New Roman" w:cs="Times New Roman"/>
          <w:bCs/>
          <w:iCs/>
          <w:color w:val="000000" w:themeColor="text1"/>
          <w:lang w:val="uk-UA"/>
        </w:rPr>
        <w:t xml:space="preserve">): </w:t>
      </w:r>
      <w:r w:rsidRPr="000A32AD">
        <w:rPr>
          <w:rFonts w:ascii="Times New Roman" w:hAnsi="Times New Roman" w:cs="Times New Roman"/>
          <w:iCs/>
          <w:color w:val="000000" w:themeColor="text1"/>
        </w:rPr>
        <w:t>142–144</w:t>
      </w:r>
      <w:r w:rsidRPr="000A32AD">
        <w:rPr>
          <w:rFonts w:ascii="Times New Roman" w:hAnsi="Times New Roman" w:cs="Times New Roman"/>
          <w:iCs/>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bCs/>
          <w:color w:val="000000" w:themeColor="text1"/>
        </w:rPr>
        <w:t>Гладких</w:t>
      </w:r>
      <w:r w:rsidRPr="000A32AD">
        <w:rPr>
          <w:rFonts w:ascii="Times New Roman" w:hAnsi="Times New Roman" w:cs="Times New Roman"/>
          <w:bCs/>
          <w:color w:val="000000" w:themeColor="text1"/>
          <w:lang w:val="uk-UA"/>
        </w:rPr>
        <w:t xml:space="preserve"> </w:t>
      </w:r>
      <w:r w:rsidRPr="000A32AD">
        <w:rPr>
          <w:rFonts w:ascii="Times New Roman" w:hAnsi="Times New Roman" w:cs="Times New Roman"/>
          <w:bCs/>
          <w:color w:val="000000" w:themeColor="text1"/>
        </w:rPr>
        <w:t>ЛН. Молекулы адгезии и адаптационный потенциал</w:t>
      </w:r>
      <w:r w:rsidRPr="000A32AD">
        <w:rPr>
          <w:rFonts w:ascii="Times New Roman" w:hAnsi="Times New Roman" w:cs="Times New Roman"/>
          <w:bCs/>
          <w:color w:val="000000" w:themeColor="text1"/>
          <w:lang w:val="uk-UA"/>
        </w:rPr>
        <w:t xml:space="preserve"> </w:t>
      </w:r>
      <w:r w:rsidRPr="000A32AD">
        <w:rPr>
          <w:rFonts w:ascii="Times New Roman" w:hAnsi="Times New Roman" w:cs="Times New Roman"/>
          <w:bCs/>
          <w:color w:val="000000" w:themeColor="text1"/>
        </w:rPr>
        <w:t>кардиоваскулярной системы у пациентов</w:t>
      </w:r>
      <w:r w:rsidRPr="000A32AD">
        <w:rPr>
          <w:rFonts w:ascii="Times New Roman" w:hAnsi="Times New Roman" w:cs="Times New Roman"/>
          <w:bCs/>
          <w:color w:val="000000" w:themeColor="text1"/>
          <w:lang w:val="uk-UA"/>
        </w:rPr>
        <w:t xml:space="preserve"> </w:t>
      </w:r>
      <w:r w:rsidRPr="000A32AD">
        <w:rPr>
          <w:rFonts w:ascii="Times New Roman" w:hAnsi="Times New Roman" w:cs="Times New Roman"/>
          <w:bCs/>
          <w:color w:val="000000" w:themeColor="text1"/>
        </w:rPr>
        <w:t>с дисплазией соединительной ткани</w:t>
      </w:r>
      <w:r w:rsidRPr="000A32AD">
        <w:rPr>
          <w:rFonts w:ascii="Times New Roman" w:hAnsi="Times New Roman" w:cs="Times New Roman"/>
          <w:bCs/>
          <w:color w:val="000000" w:themeColor="text1"/>
          <w:lang w:val="uk-UA"/>
        </w:rPr>
        <w:t>. Вестник молодого ученого. 2015; 2: 3-7.</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eastAsia="Times New Roman" w:hAnsi="Times New Roman" w:cs="Times New Roman"/>
          <w:bCs/>
          <w:iCs/>
          <w:color w:val="000000" w:themeColor="text1"/>
          <w:lang w:eastAsia="ru-RU"/>
        </w:rPr>
        <w:t xml:space="preserve">Гладких НН, Ягода АВ. </w:t>
      </w:r>
      <w:r w:rsidRPr="000A32AD">
        <w:rPr>
          <w:rFonts w:ascii="Times New Roman" w:eastAsia="Times New Roman" w:hAnsi="Times New Roman" w:cs="Times New Roman"/>
          <w:bCs/>
          <w:color w:val="000000" w:themeColor="text1"/>
          <w:lang w:eastAsia="ru-RU"/>
        </w:rPr>
        <w:t>Состояние эндотелия и агрегация тромбоцитов у больных с впервые выявленным сахарным диабетом 1-го типа и недифференцированной дисплазией соединительной ткани</w:t>
      </w:r>
      <w:r w:rsidRPr="000A32AD">
        <w:rPr>
          <w:rFonts w:ascii="Times New Roman" w:eastAsia="Times New Roman" w:hAnsi="Times New Roman" w:cs="Times New Roman"/>
          <w:bCs/>
          <w:color w:val="000000" w:themeColor="text1"/>
          <w:lang w:val="uk-UA" w:eastAsia="ru-RU"/>
        </w:rPr>
        <w:t xml:space="preserve">. </w:t>
      </w:r>
      <w:r w:rsidRPr="000A32AD">
        <w:rPr>
          <w:rFonts w:ascii="Times New Roman" w:eastAsia="Times New Roman" w:hAnsi="Times New Roman" w:cs="Times New Roman"/>
          <w:bCs/>
          <w:color w:val="000000" w:themeColor="text1"/>
          <w:lang w:eastAsia="ru-RU"/>
        </w:rPr>
        <w:t>Клиническая медицина</w:t>
      </w:r>
      <w:r w:rsidRPr="000A32AD">
        <w:rPr>
          <w:rFonts w:ascii="Times New Roman" w:eastAsia="Times New Roman" w:hAnsi="Times New Roman" w:cs="Times New Roman"/>
          <w:bCs/>
          <w:color w:val="000000" w:themeColor="text1"/>
          <w:lang w:val="uk-UA" w:eastAsia="ru-RU"/>
        </w:rPr>
        <w:t>. 2009;</w:t>
      </w:r>
      <w:r w:rsidRPr="000A32AD">
        <w:rPr>
          <w:rFonts w:ascii="Times New Roman" w:eastAsia="Times New Roman" w:hAnsi="Times New Roman" w:cs="Times New Roman"/>
          <w:bCs/>
          <w:color w:val="000000" w:themeColor="text1"/>
          <w:lang w:eastAsia="ru-RU"/>
        </w:rPr>
        <w:t xml:space="preserve"> 5</w:t>
      </w:r>
      <w:r w:rsidRPr="000A32AD">
        <w:rPr>
          <w:rFonts w:ascii="Times New Roman" w:eastAsia="Times New Roman" w:hAnsi="Times New Roman" w:cs="Times New Roman"/>
          <w:bCs/>
          <w:color w:val="000000" w:themeColor="text1"/>
          <w:lang w:val="uk-UA" w:eastAsia="ru-RU"/>
        </w:rPr>
        <w:t>: 52-55.</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Гланц</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С. Медико-биологическая статистика. Пер. с англ. М., Практика, 1998</w:t>
      </w:r>
      <w:r w:rsidRPr="000A32AD">
        <w:rPr>
          <w:rFonts w:ascii="Times New Roman" w:hAnsi="Times New Roman" w:cs="Times New Roman"/>
          <w:color w:val="000000" w:themeColor="text1"/>
          <w:lang w:val="uk-UA"/>
        </w:rPr>
        <w:t>;</w:t>
      </w:r>
      <w:r w:rsidRPr="000A32AD">
        <w:rPr>
          <w:rFonts w:ascii="Times New Roman" w:hAnsi="Times New Roman" w:cs="Times New Roman"/>
          <w:color w:val="000000" w:themeColor="text1"/>
        </w:rPr>
        <w:t xml:space="preserve"> 459 с.</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lastRenderedPageBreak/>
        <w:t>Грачева С.А., Клефортова И.И., Шамхалова М.Ш. Распростра</w:t>
      </w:r>
      <w:r w:rsidRPr="000A32AD">
        <w:rPr>
          <w:rFonts w:ascii="Times New Roman" w:hAnsi="Times New Roman" w:cs="Times New Roman"/>
          <w:color w:val="000000" w:themeColor="text1"/>
        </w:rPr>
        <w:softHyphen/>
        <w:t>ненность сочетанного атеросклеротического поражения сосудов у больных сахарным диабетом. Сахарный диабет. 2012;(1):49–55</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Style w:val="hl"/>
          <w:rFonts w:ascii="Times New Roman" w:hAnsi="Times New Roman"/>
          <w:color w:val="000000" w:themeColor="text1"/>
        </w:rPr>
        <w:t>Громова</w:t>
      </w:r>
      <w:r w:rsidRPr="000A32AD">
        <w:rPr>
          <w:rFonts w:ascii="Times New Roman" w:hAnsi="Times New Roman" w:cs="Times New Roman"/>
          <w:color w:val="000000" w:themeColor="text1"/>
          <w:shd w:val="clear" w:color="auto" w:fill="FFFFFF"/>
        </w:rPr>
        <w:t xml:space="preserve"> </w:t>
      </w:r>
      <w:r w:rsidRPr="000A32AD">
        <w:rPr>
          <w:rFonts w:ascii="Times New Roman" w:hAnsi="Times New Roman" w:cs="Times New Roman"/>
          <w:color w:val="000000" w:themeColor="text1"/>
          <w:shd w:val="clear" w:color="auto" w:fill="FFFFFF"/>
          <w:lang w:val="en-US"/>
        </w:rPr>
        <w:t>OA</w:t>
      </w:r>
      <w:r w:rsidRPr="000A32AD">
        <w:rPr>
          <w:rFonts w:ascii="Times New Roman" w:hAnsi="Times New Roman" w:cs="Times New Roman"/>
          <w:color w:val="000000" w:themeColor="text1"/>
          <w:shd w:val="clear" w:color="auto" w:fill="FFFFFF"/>
        </w:rPr>
        <w:t xml:space="preserve">, </w:t>
      </w:r>
      <w:r w:rsidRPr="000A32AD">
        <w:rPr>
          <w:rFonts w:ascii="Times New Roman" w:hAnsi="Times New Roman" w:cs="Times New Roman"/>
          <w:color w:val="000000" w:themeColor="text1"/>
        </w:rPr>
        <w:t>Лисовский ЕВ, Евтушенко ОС.</w:t>
      </w:r>
      <w:r w:rsidRPr="000A32AD">
        <w:rPr>
          <w:rFonts w:ascii="Times New Roman" w:hAnsi="Times New Roman" w:cs="Times New Roman"/>
          <w:color w:val="000000" w:themeColor="text1"/>
          <w:shd w:val="clear" w:color="auto" w:fill="FFFFFF"/>
        </w:rPr>
        <w:t xml:space="preserve"> Дисплазия соединительной ткани, клеточная биология и молекулярные механизмы воздействия магния. Русский медицинский журнал. 2008</w:t>
      </w:r>
      <w:r w:rsidRPr="000A32AD">
        <w:rPr>
          <w:rFonts w:ascii="Times New Roman" w:hAnsi="Times New Roman" w:cs="Times New Roman"/>
          <w:color w:val="000000" w:themeColor="text1"/>
          <w:shd w:val="clear" w:color="auto" w:fill="FFFFFF"/>
          <w:lang w:val="en-US"/>
        </w:rPr>
        <w:t xml:space="preserve">; </w:t>
      </w:r>
      <w:r w:rsidRPr="000A32AD">
        <w:rPr>
          <w:rFonts w:ascii="Times New Roman" w:hAnsi="Times New Roman" w:cs="Times New Roman"/>
          <w:color w:val="000000" w:themeColor="text1"/>
          <w:shd w:val="clear" w:color="auto" w:fill="FFFFFF"/>
        </w:rPr>
        <w:t>16</w:t>
      </w:r>
      <w:r w:rsidRPr="000A32AD">
        <w:rPr>
          <w:rFonts w:ascii="Times New Roman" w:hAnsi="Times New Roman" w:cs="Times New Roman"/>
          <w:color w:val="000000" w:themeColor="text1"/>
          <w:shd w:val="clear" w:color="auto" w:fill="FFFFFF"/>
          <w:lang w:val="en-US"/>
        </w:rPr>
        <w:t>(</w:t>
      </w:r>
      <w:r w:rsidRPr="000A32AD">
        <w:rPr>
          <w:rFonts w:ascii="Times New Roman" w:hAnsi="Times New Roman" w:cs="Times New Roman"/>
          <w:color w:val="000000" w:themeColor="text1"/>
          <w:shd w:val="clear" w:color="auto" w:fill="FFFFFF"/>
        </w:rPr>
        <w:t>1</w:t>
      </w:r>
      <w:r w:rsidRPr="000A32AD">
        <w:rPr>
          <w:rFonts w:ascii="Times New Roman" w:hAnsi="Times New Roman" w:cs="Times New Roman"/>
          <w:color w:val="000000" w:themeColor="text1"/>
          <w:shd w:val="clear" w:color="auto" w:fill="FFFFFF"/>
          <w:lang w:val="en-US"/>
        </w:rPr>
        <w:t xml:space="preserve">): </w:t>
      </w:r>
      <w:r w:rsidRPr="000A32AD">
        <w:rPr>
          <w:rFonts w:ascii="Times New Roman" w:hAnsi="Times New Roman" w:cs="Times New Roman"/>
          <w:color w:val="000000" w:themeColor="text1"/>
          <w:shd w:val="clear" w:color="auto" w:fill="FFFFFF"/>
        </w:rPr>
        <w:t>1</w:t>
      </w:r>
      <w:r w:rsidRPr="000A32AD">
        <w:rPr>
          <w:rFonts w:ascii="Times New Roman" w:hAnsi="Times New Roman" w:cs="Times New Roman"/>
          <w:color w:val="000000" w:themeColor="text1"/>
          <w:shd w:val="clear" w:color="auto" w:fill="FFFFFF"/>
          <w:lang w:val="en-US"/>
        </w:rPr>
        <w:t>-</w:t>
      </w:r>
      <w:r w:rsidRPr="000A32AD">
        <w:rPr>
          <w:rFonts w:ascii="Times New Roman" w:hAnsi="Times New Roman" w:cs="Times New Roman"/>
          <w:color w:val="000000" w:themeColor="text1"/>
          <w:shd w:val="clear" w:color="auto" w:fill="FFFFFF"/>
        </w:rPr>
        <w:t>10</w:t>
      </w:r>
      <w:r w:rsidRPr="000A32AD">
        <w:rPr>
          <w:rFonts w:ascii="Times New Roman" w:hAnsi="Times New Roman" w:cs="Times New Roman"/>
          <w:color w:val="000000" w:themeColor="text1"/>
          <w:shd w:val="clear" w:color="auto" w:fill="FFFFFF"/>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Губанова М.В., Калашникова Л.А., Добрынина Л.А., Шамтиева КВ, Бердалин АБ. Маркеры дисплазии соединительной ткани при диссекции магистральных артерий головы и провоцирующие факторы диссекции. Анналы клинической и экспериментальной неврологии. 2017; 11(4): 19–28. DOI: 10.18454/ACEN.2017.4.2</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Гура ЕЮ. Зміни системної гемодинаміки у хворих на гіпертонічну хворобу у поєднанні з цукровим діабетом 2-го типу залежно від типу ремоделювання лівого шлуночка серця. Міжнар. ендокринолог. журн. 2014; 2(58): 126-132.</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Дедов ИИ, Шестакова МВ. Сахарный диабет и артериальная гипертензия. М.: Медицинское информационное агентство, 2006</w:t>
      </w:r>
      <w:r w:rsidRPr="000A32AD">
        <w:rPr>
          <w:rFonts w:ascii="Times New Roman" w:hAnsi="Times New Roman" w:cs="Times New Roman"/>
          <w:color w:val="000000" w:themeColor="text1"/>
          <w:lang w:val="en-US"/>
        </w:rPr>
        <w:t>;</w:t>
      </w:r>
      <w:r w:rsidRPr="000A32AD">
        <w:rPr>
          <w:rFonts w:ascii="Times New Roman" w:hAnsi="Times New Roman" w:cs="Times New Roman"/>
          <w:color w:val="000000" w:themeColor="text1"/>
        </w:rPr>
        <w:t xml:space="preserve"> 99–110</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Дедов ИИ, Шестаков</w:t>
      </w:r>
      <w:r w:rsidRPr="000A32AD">
        <w:rPr>
          <w:rFonts w:ascii="Times New Roman" w:hAnsi="Times New Roman" w:cs="Times New Roman"/>
          <w:color w:val="000000" w:themeColor="text1"/>
          <w:lang w:val="uk-UA"/>
        </w:rPr>
        <w:t>а</w:t>
      </w:r>
      <w:r w:rsidRPr="000A32AD">
        <w:rPr>
          <w:rFonts w:ascii="Times New Roman" w:hAnsi="Times New Roman" w:cs="Times New Roman"/>
          <w:color w:val="000000" w:themeColor="text1"/>
        </w:rPr>
        <w:t xml:space="preserve"> МВ</w:t>
      </w:r>
      <w:r w:rsidRPr="000A32AD">
        <w:rPr>
          <w:rFonts w:ascii="Times New Roman" w:hAnsi="Times New Roman" w:cs="Times New Roman"/>
          <w:color w:val="000000" w:themeColor="text1"/>
          <w:lang w:val="uk-UA"/>
        </w:rPr>
        <w:t xml:space="preserve">: ред. </w:t>
      </w:r>
      <w:r w:rsidRPr="000A32AD">
        <w:rPr>
          <w:rFonts w:ascii="Times New Roman" w:hAnsi="Times New Roman" w:cs="Times New Roman"/>
          <w:color w:val="000000" w:themeColor="text1"/>
        </w:rPr>
        <w:t>Осложнения сахарного диабета: лечение и профилактика. М.: Московское информационное агентство, 2017</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Демидова ЛА, Панова ТН, Демидов АА. Гипертоническая болезнь как исход нейроциркуляторной дистонии у пациентов с дисплазией соедини</w:t>
      </w:r>
      <w:r w:rsidRPr="000A32AD">
        <w:rPr>
          <w:rFonts w:ascii="Times New Roman" w:hAnsi="Times New Roman" w:cs="Times New Roman"/>
          <w:color w:val="000000" w:themeColor="text1"/>
        </w:rPr>
        <w:softHyphen/>
        <w:t>тельной ткани</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Научное обозрение. Медицинские науки. 2015</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1</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151-151</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lang w:val="uk-UA"/>
        </w:rPr>
        <w:t>Д</w:t>
      </w:r>
      <w:r w:rsidRPr="000A32AD">
        <w:rPr>
          <w:rFonts w:ascii="Times New Roman" w:hAnsi="Times New Roman" w:cs="Times New Roman"/>
          <w:color w:val="000000" w:themeColor="text1"/>
        </w:rPr>
        <w:t>енисова АГ, Татарченко ИП, Позднякова НВ. Структурно-функ</w:t>
      </w:r>
      <w:r w:rsidRPr="000A32AD">
        <w:rPr>
          <w:rFonts w:ascii="Times New Roman" w:hAnsi="Times New Roman" w:cs="Times New Roman"/>
          <w:color w:val="000000" w:themeColor="text1"/>
        </w:rPr>
        <w:softHyphen/>
        <w:t>цио</w:t>
      </w:r>
      <w:r w:rsidRPr="000A32AD">
        <w:rPr>
          <w:rFonts w:ascii="Times New Roman" w:hAnsi="Times New Roman" w:cs="Times New Roman"/>
          <w:color w:val="000000" w:themeColor="text1"/>
        </w:rPr>
        <w:softHyphen/>
      </w:r>
      <w:r w:rsidRPr="000A32AD">
        <w:rPr>
          <w:rFonts w:ascii="Times New Roman" w:hAnsi="Times New Roman" w:cs="Times New Roman"/>
          <w:color w:val="000000" w:themeColor="text1"/>
        </w:rPr>
        <w:softHyphen/>
        <w:t>нальное ремоделирование сердца при сахарном диабете: клинико-инстру</w:t>
      </w:r>
      <w:r w:rsidRPr="000A32AD">
        <w:rPr>
          <w:rFonts w:ascii="Times New Roman" w:hAnsi="Times New Roman" w:cs="Times New Roman"/>
          <w:color w:val="000000" w:themeColor="text1"/>
        </w:rPr>
        <w:softHyphen/>
        <w:t>мен</w:t>
      </w:r>
      <w:r w:rsidRPr="000A32AD">
        <w:rPr>
          <w:rFonts w:ascii="Times New Roman" w:hAnsi="Times New Roman" w:cs="Times New Roman"/>
          <w:color w:val="000000" w:themeColor="text1"/>
        </w:rPr>
        <w:softHyphen/>
        <w:t>тальная оценка. Эндокринология: новости, мнения, обучение. 2016; 3: 94-99</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lang w:val="uk-UA"/>
        </w:rPr>
        <w:t>Добронравов ВА. Гликозамино</w:t>
      </w:r>
      <w:r w:rsidRPr="000A32AD">
        <w:rPr>
          <w:rFonts w:ascii="Times New Roman" w:hAnsi="Times New Roman" w:cs="Times New Roman"/>
          <w:color w:val="000000" w:themeColor="text1"/>
        </w:rPr>
        <w:t>гликан</w:t>
      </w:r>
      <w:r w:rsidRPr="000A32AD">
        <w:rPr>
          <w:rFonts w:ascii="Times New Roman" w:hAnsi="Times New Roman" w:cs="Times New Roman"/>
          <w:color w:val="000000" w:themeColor="text1"/>
          <w:lang w:val="uk-UA"/>
        </w:rPr>
        <w:t>и</w:t>
      </w:r>
      <w:r w:rsidRPr="000A32AD">
        <w:rPr>
          <w:rFonts w:ascii="Times New Roman" w:hAnsi="Times New Roman" w:cs="Times New Roman"/>
          <w:color w:val="000000" w:themeColor="text1"/>
        </w:rPr>
        <w:t xml:space="preserve"> и диабетическая нефропатия. Нефрология. 2002; 6(2): 99-101</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 xml:space="preserve">Евтушенко СК. </w:t>
      </w:r>
      <w:r w:rsidRPr="000A32AD">
        <w:rPr>
          <w:rFonts w:ascii="Times New Roman" w:hAnsi="Times New Roman" w:cs="Times New Roman"/>
          <w:color w:val="000000" w:themeColor="text1"/>
        </w:rPr>
        <w:t xml:space="preserve">Дисплазия соединительной ткани в неврологии и </w:t>
      </w:r>
      <w:r w:rsidRPr="000A32AD">
        <w:rPr>
          <w:rFonts w:ascii="Times New Roman" w:hAnsi="Times New Roman" w:cs="Times New Roman"/>
          <w:color w:val="000000" w:themeColor="text1"/>
        </w:rPr>
        <w:lastRenderedPageBreak/>
        <w:t>педиатрии. Донецк: ИД Заславский, 2009</w:t>
      </w:r>
      <w:r w:rsidRPr="000A32AD">
        <w:rPr>
          <w:rFonts w:ascii="Times New Roman" w:hAnsi="Times New Roman" w:cs="Times New Roman"/>
          <w:color w:val="000000" w:themeColor="text1"/>
          <w:lang w:val="en-US"/>
        </w:rPr>
        <w:t>.</w:t>
      </w:r>
      <w:r w:rsidRPr="000A32AD">
        <w:rPr>
          <w:rFonts w:ascii="Times New Roman" w:hAnsi="Times New Roman" w:cs="Times New Roman"/>
          <w:color w:val="000000" w:themeColor="text1"/>
        </w:rPr>
        <w:t xml:space="preserve"> 361 с. </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 xml:space="preserve">Земцовский ЭВ, Малеев Э Г. Малые аномалии сердца и диспластические фенотипы. СПб, Изд–во ИВЭСЭП, 2011. 60 с. </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Иванникова ЕВ, Калашников ВЮ, Смирнова ОМ, Кузнецов АБ, Терёхин СА, Ильин АВ. Влияние факторов роста фибробластов и конечных продуктов гликирования на толщину комплекса интима-медиа у больных с ишемической болезнью сердца и сахарным диабетом 2 типа</w:t>
      </w:r>
      <w:r w:rsidRPr="000A32AD">
        <w:rPr>
          <w:rFonts w:ascii="Times New Roman" w:hAnsi="Times New Roman" w:cs="Times New Roman"/>
          <w:color w:val="000000" w:themeColor="text1"/>
          <w:lang w:val="uk-UA"/>
        </w:rPr>
        <w:t>.</w:t>
      </w:r>
      <w:r w:rsidRPr="000A32AD">
        <w:rPr>
          <w:rFonts w:ascii="Times New Roman" w:hAnsi="Times New Roman" w:cs="Times New Roman"/>
          <w:color w:val="000000" w:themeColor="text1"/>
        </w:rPr>
        <w:t xml:space="preserve"> Сахарный диабет. 2014;(2):47–55.</w:t>
      </w:r>
    </w:p>
    <w:p w:rsidR="00E85D19" w:rsidRPr="000A32AD" w:rsidRDefault="00E85D19" w:rsidP="00E85D19">
      <w:pPr>
        <w:pStyle w:val="a3"/>
        <w:widowControl w:val="0"/>
        <w:numPr>
          <w:ilvl w:val="0"/>
          <w:numId w:val="22"/>
        </w:numPr>
        <w:tabs>
          <w:tab w:val="left" w:pos="993"/>
        </w:tabs>
        <w:ind w:left="0" w:firstLine="709"/>
        <w:contextualSpacing/>
        <w:jc w:val="both"/>
        <w:rPr>
          <w:rStyle w:val="a5"/>
          <w:rFonts w:ascii="Times New Roman" w:hAnsi="Times New Roman" w:cs="Times New Roman"/>
          <w:color w:val="000000" w:themeColor="text1"/>
          <w:u w:val="none"/>
          <w:lang w:val="uk-UA"/>
        </w:rPr>
      </w:pPr>
      <w:r w:rsidRPr="000A32AD">
        <w:rPr>
          <w:rFonts w:ascii="Times New Roman" w:hAnsi="Times New Roman" w:cs="Times New Roman"/>
          <w:color w:val="000000" w:themeColor="text1"/>
          <w:lang w:val="uk-UA"/>
        </w:rPr>
        <w:t xml:space="preserve">Иванникова ЕВ, Мелкозёров КВ, Калашников ВЮ, Терёхин СА, Кононенко ИВ, Смирнова ОМ. </w:t>
      </w:r>
      <w:r w:rsidRPr="000A32AD">
        <w:rPr>
          <w:rFonts w:ascii="Times New Roman" w:hAnsi="Times New Roman" w:cs="Times New Roman"/>
          <w:color w:val="000000" w:themeColor="text1"/>
        </w:rPr>
        <w:t>Изучение роли факторов роста фибробластов (bFGF, TGFβ1), маркеров воспаления (IL-6, TNF-α, СRP) и конечных продуктов гликирования (AGE, RAGE) у пациентов с ишемической болезнью сердца и сахарным диабетом 2 типа</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Сахарный диабет. 2013;</w:t>
      </w:r>
      <w:r w:rsidRPr="000A32AD">
        <w:rPr>
          <w:rFonts w:ascii="Times New Roman" w:hAnsi="Times New Roman" w:cs="Times New Roman"/>
          <w:color w:val="000000" w:themeColor="text1"/>
          <w:lang w:val="en-US"/>
        </w:rPr>
        <w:t xml:space="preserve"> </w:t>
      </w:r>
      <w:r w:rsidRPr="000A32AD">
        <w:rPr>
          <w:rFonts w:ascii="Times New Roman" w:hAnsi="Times New Roman" w:cs="Times New Roman"/>
          <w:color w:val="000000" w:themeColor="text1"/>
        </w:rPr>
        <w:t>(3):64–70</w:t>
      </w:r>
      <w:r w:rsidRPr="000A32AD">
        <w:rPr>
          <w:rFonts w:ascii="Times New Roman" w:hAnsi="Times New Roman" w:cs="Times New Roman"/>
          <w:color w:val="000000" w:themeColor="text1"/>
          <w:lang w:val="en-US"/>
        </w:rPr>
        <w:t>.</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DOI: http://dx.doi.org/10.14341/2072-0351-819</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bCs/>
          <w:iCs/>
          <w:color w:val="000000" w:themeColor="text1"/>
        </w:rPr>
        <w:t>Искакова</w:t>
      </w:r>
      <w:r w:rsidRPr="000A32AD">
        <w:rPr>
          <w:rFonts w:ascii="Times New Roman" w:hAnsi="Times New Roman" w:cs="Times New Roman"/>
          <w:bCs/>
          <w:iCs/>
          <w:color w:val="000000" w:themeColor="text1"/>
          <w:lang w:val="uk-UA"/>
        </w:rPr>
        <w:t xml:space="preserve"> </w:t>
      </w:r>
      <w:r w:rsidRPr="000A32AD">
        <w:rPr>
          <w:rFonts w:ascii="Times New Roman" w:hAnsi="Times New Roman" w:cs="Times New Roman"/>
          <w:bCs/>
          <w:iCs/>
          <w:color w:val="000000" w:themeColor="text1"/>
        </w:rPr>
        <w:t>СС, Жармаханова</w:t>
      </w:r>
      <w:r w:rsidRPr="000A32AD">
        <w:rPr>
          <w:rFonts w:ascii="Times New Roman" w:hAnsi="Times New Roman" w:cs="Times New Roman"/>
          <w:bCs/>
          <w:iCs/>
          <w:color w:val="000000" w:themeColor="text1"/>
          <w:lang w:val="uk-UA"/>
        </w:rPr>
        <w:t xml:space="preserve"> </w:t>
      </w:r>
      <w:r w:rsidRPr="000A32AD">
        <w:rPr>
          <w:rFonts w:ascii="Times New Roman" w:hAnsi="Times New Roman" w:cs="Times New Roman"/>
          <w:bCs/>
          <w:iCs/>
          <w:color w:val="000000" w:themeColor="text1"/>
        </w:rPr>
        <w:t>ГМ, Дворацка</w:t>
      </w:r>
      <w:r w:rsidRPr="000A32AD">
        <w:rPr>
          <w:rFonts w:ascii="Times New Roman" w:hAnsi="Times New Roman" w:cs="Times New Roman"/>
          <w:bCs/>
          <w:iCs/>
          <w:color w:val="000000" w:themeColor="text1"/>
          <w:lang w:val="uk-UA"/>
        </w:rPr>
        <w:t xml:space="preserve"> </w:t>
      </w:r>
      <w:r w:rsidRPr="000A32AD">
        <w:rPr>
          <w:rFonts w:ascii="Times New Roman" w:hAnsi="Times New Roman" w:cs="Times New Roman"/>
          <w:bCs/>
          <w:iCs/>
          <w:color w:val="000000" w:themeColor="text1"/>
        </w:rPr>
        <w:t>М</w:t>
      </w:r>
      <w:r w:rsidRPr="000A32AD">
        <w:rPr>
          <w:rFonts w:ascii="Times New Roman" w:hAnsi="Times New Roman" w:cs="Times New Roman"/>
          <w:bCs/>
          <w:iCs/>
          <w:color w:val="000000" w:themeColor="text1"/>
          <w:lang w:val="uk-UA"/>
        </w:rPr>
        <w:t xml:space="preserve">. </w:t>
      </w:r>
      <w:r w:rsidRPr="000A32AD">
        <w:rPr>
          <w:rFonts w:ascii="Times New Roman" w:hAnsi="Times New Roman" w:cs="Times New Roman"/>
          <w:bCs/>
          <w:color w:val="000000" w:themeColor="text1"/>
        </w:rPr>
        <w:t>Характеристика проангиогенных факторов и их патогенетическая роль</w:t>
      </w:r>
      <w:r w:rsidRPr="000A32AD">
        <w:rPr>
          <w:rFonts w:ascii="Times New Roman" w:hAnsi="Times New Roman" w:cs="Times New Roman"/>
          <w:bCs/>
          <w:iCs/>
          <w:color w:val="000000" w:themeColor="text1"/>
          <w:lang w:val="uk-UA"/>
        </w:rPr>
        <w:t>.</w:t>
      </w:r>
      <w:r w:rsidRPr="000A32AD">
        <w:rPr>
          <w:rFonts w:ascii="Times New Roman" w:hAnsi="Times New Roman" w:cs="Times New Roman"/>
          <w:color w:val="000000" w:themeColor="text1"/>
        </w:rPr>
        <w:t xml:space="preserve"> </w:t>
      </w:r>
      <w:r w:rsidRPr="000A32AD">
        <w:rPr>
          <w:rFonts w:ascii="Times New Roman" w:hAnsi="Times New Roman" w:cs="Times New Roman"/>
          <w:bCs/>
          <w:color w:val="000000" w:themeColor="text1"/>
          <w:lang w:val="uk-UA"/>
        </w:rPr>
        <w:t>Н</w:t>
      </w:r>
      <w:r w:rsidRPr="000A32AD">
        <w:rPr>
          <w:rFonts w:ascii="Times New Roman" w:hAnsi="Times New Roman" w:cs="Times New Roman"/>
          <w:bCs/>
          <w:color w:val="000000" w:themeColor="text1"/>
        </w:rPr>
        <w:t>аука</w:t>
      </w:r>
      <w:r w:rsidRPr="000A32AD">
        <w:rPr>
          <w:rFonts w:ascii="Times New Roman" w:hAnsi="Times New Roman" w:cs="Times New Roman"/>
          <w:bCs/>
          <w:color w:val="000000" w:themeColor="text1"/>
          <w:lang w:val="en-US"/>
        </w:rPr>
        <w:t xml:space="preserve"> </w:t>
      </w:r>
      <w:r w:rsidRPr="000A32AD">
        <w:rPr>
          <w:rFonts w:ascii="Times New Roman" w:hAnsi="Times New Roman" w:cs="Times New Roman"/>
          <w:bCs/>
          <w:color w:val="000000" w:themeColor="text1"/>
        </w:rPr>
        <w:t>и</w:t>
      </w:r>
      <w:r w:rsidRPr="000A32AD">
        <w:rPr>
          <w:rFonts w:ascii="Times New Roman" w:hAnsi="Times New Roman" w:cs="Times New Roman"/>
          <w:bCs/>
          <w:color w:val="000000" w:themeColor="text1"/>
          <w:lang w:val="en-US"/>
        </w:rPr>
        <w:t xml:space="preserve"> </w:t>
      </w:r>
      <w:r w:rsidRPr="000A32AD">
        <w:rPr>
          <w:rFonts w:ascii="Times New Roman" w:hAnsi="Times New Roman" w:cs="Times New Roman"/>
          <w:bCs/>
          <w:color w:val="000000" w:themeColor="text1"/>
        </w:rPr>
        <w:t>здравоохранение</w:t>
      </w:r>
      <w:r w:rsidRPr="000A32AD">
        <w:rPr>
          <w:rFonts w:ascii="Times New Roman" w:hAnsi="Times New Roman" w:cs="Times New Roman"/>
          <w:bCs/>
          <w:color w:val="000000" w:themeColor="text1"/>
          <w:lang w:val="uk-UA"/>
        </w:rPr>
        <w:t xml:space="preserve">. 2013; </w:t>
      </w:r>
      <w:r w:rsidRPr="000A32AD">
        <w:rPr>
          <w:rFonts w:ascii="Times New Roman" w:hAnsi="Times New Roman" w:cs="Times New Roman"/>
          <w:color w:val="000000" w:themeColor="text1"/>
          <w:lang w:val="en-US"/>
        </w:rPr>
        <w:t>6</w:t>
      </w:r>
      <w:r w:rsidRPr="000A32AD">
        <w:rPr>
          <w:rFonts w:ascii="Times New Roman" w:hAnsi="Times New Roman" w:cs="Times New Roman"/>
          <w:color w:val="000000" w:themeColor="text1"/>
          <w:lang w:val="uk-UA"/>
        </w:rPr>
        <w:t>: 8-12.</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shd w:val="clear" w:color="auto" w:fill="FFFFFF" w:themeFill="background1"/>
          <w:lang w:val="uk-UA"/>
        </w:rPr>
        <w:t>Кадикова ОІ. Оцінка інсулінорезистентності, стану вуглеводного та ліпідного обмінів у хворих на цукровий діабет 2 типу та артеріальну гіпертензію з позиції підвищеного кардіоваскулярного ризику. Проблеми ендокринної патології. 2012;2:48-53.</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iCs/>
          <w:color w:val="000000" w:themeColor="text1"/>
        </w:rPr>
        <w:t xml:space="preserve">Кадурина ТИ, Горбунова ВН. </w:t>
      </w:r>
      <w:r w:rsidRPr="000A32AD">
        <w:rPr>
          <w:rFonts w:ascii="Times New Roman" w:hAnsi="Times New Roman" w:cs="Times New Roman"/>
          <w:color w:val="000000" w:themeColor="text1"/>
        </w:rPr>
        <w:t>Дисплазия соединительной ткани. Руководство для врачей. СПб., Элби-СПб, 2009. 704 с</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Style w:val="a8"/>
          <w:rFonts w:ascii="Times New Roman" w:hAnsi="Times New Roman" w:cs="Times New Roman"/>
          <w:i w:val="0"/>
          <w:iCs w:val="0"/>
          <w:color w:val="000000" w:themeColor="text1"/>
        </w:rPr>
      </w:pPr>
      <w:r w:rsidRPr="000A32AD">
        <w:rPr>
          <w:rStyle w:val="a8"/>
          <w:rFonts w:ascii="Times New Roman" w:hAnsi="Times New Roman" w:cs="Times New Roman"/>
          <w:i w:val="0"/>
          <w:color w:val="000000" w:themeColor="text1"/>
        </w:rPr>
        <w:t>Клейменов А. В. Внекардиальные проявления недиффиренциро</w:t>
      </w:r>
      <w:r w:rsidRPr="000A32AD">
        <w:rPr>
          <w:rStyle w:val="a8"/>
          <w:rFonts w:ascii="Times New Roman" w:hAnsi="Times New Roman" w:cs="Times New Roman"/>
          <w:i w:val="0"/>
          <w:color w:val="000000" w:themeColor="text1"/>
        </w:rPr>
        <w:softHyphen/>
        <w:t>ван</w:t>
      </w:r>
      <w:r w:rsidRPr="000A32AD">
        <w:rPr>
          <w:rStyle w:val="a8"/>
          <w:rFonts w:ascii="Times New Roman" w:hAnsi="Times New Roman" w:cs="Times New Roman"/>
          <w:i w:val="0"/>
          <w:color w:val="000000" w:themeColor="text1"/>
        </w:rPr>
        <w:softHyphen/>
        <w:t>ной дисплазии соединительной ткани. Клин. медицина. 2003; 10: 4–7</w:t>
      </w:r>
      <w:r w:rsidRPr="000A32AD">
        <w:rPr>
          <w:rStyle w:val="a8"/>
          <w:rFonts w:ascii="Times New Roman" w:hAnsi="Times New Roman" w:cs="Times New Roman"/>
          <w:i w:val="0"/>
          <w:color w:val="000000" w:themeColor="text1"/>
          <w:lang w:val="uk-UA"/>
        </w:rPr>
        <w:t>.</w:t>
      </w:r>
      <w:r w:rsidRPr="000A32AD">
        <w:rPr>
          <w:rStyle w:val="a8"/>
          <w:rFonts w:ascii="Times New Roman" w:hAnsi="Times New Roman" w:cs="Times New Roman"/>
          <w:i w:val="0"/>
          <w:color w:val="000000" w:themeColor="text1"/>
        </w:rPr>
        <w:t xml:space="preserve"> </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Ковалева ОН</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Сытина ИВ. Гипертрофия миокарда левого желудочка и показатели биоэнергетических процессов у пациентов с гипертонической болезнью, сочетанной с сахарным диабетом 2-го типа</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 xml:space="preserve">Кровообіг та гемостаз. </w:t>
      </w:r>
      <w:r w:rsidRPr="000A32AD">
        <w:rPr>
          <w:rFonts w:ascii="Times New Roman" w:hAnsi="Times New Roman" w:cs="Times New Roman"/>
          <w:color w:val="000000" w:themeColor="text1"/>
        </w:rPr>
        <w:lastRenderedPageBreak/>
        <w:t>2013</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3-4</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59-64</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Коваленко ВМ, Корнацький ВМ, ред. Проблеми здоров’я і тривалості життя в сучасних умовах (посібник). Київ, 2017. 300 с.</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Коваленко ВМ, Корнацький ВМ. Динаміка стану здоров’я народу України та регіональні особливості. Київ: Аналітично-статистичний посібник; 2012. 211 с.</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Коваленко ВМ, Корнацький ВМ. Регіональні медико-соціальні проблеми хвороб системи кровообігу. Київ: Аналітично-статистичний посібник; 2013. 239 с.</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 xml:space="preserve">Коваленко ВМ, Корнацький ВМ. Стрес і хвороби системи кровообігу : посібник. К, 2015. 354 с </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Коваль СН, Старченко ТГ. Особенности ремоделирования левого желудочка сердца у больных гипертонической болезнью, ассоциированной с сахарным диабетом 2 типа. Укр. терапевт. журн. 2010; 1: 68-72</w:t>
      </w:r>
      <w:r w:rsidRPr="000A32AD">
        <w:rPr>
          <w:rFonts w:ascii="Times New Roman" w:hAnsi="Times New Roman" w:cs="Times New Roman"/>
          <w:color w:val="000000" w:themeColor="text1"/>
          <w:lang w:val="uk-UA"/>
        </w:rPr>
        <w:t>.</w:t>
      </w:r>
      <w:r w:rsidRPr="000A32AD">
        <w:rPr>
          <w:rFonts w:ascii="Times New Roman" w:hAnsi="Times New Roman" w:cs="Times New Roman"/>
          <w:color w:val="000000" w:themeColor="text1"/>
          <w:spacing w:val="-5"/>
        </w:rPr>
        <w:t xml:space="preserve"> </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Козлова ЛВ, Хохлов РА. К</w:t>
      </w:r>
      <w:r w:rsidRPr="000A32AD">
        <w:rPr>
          <w:rFonts w:ascii="Times New Roman" w:hAnsi="Times New Roman" w:cs="Times New Roman"/>
          <w:color w:val="000000" w:themeColor="text1"/>
          <w:kern w:val="36"/>
        </w:rPr>
        <w:t>линическая эффективность применения гликозаминогликанов у больных сахарным диабетом и ишемической болезнью сердца. Р</w:t>
      </w:r>
      <w:r w:rsidRPr="000A32AD">
        <w:rPr>
          <w:rFonts w:ascii="Times New Roman" w:hAnsi="Times New Roman" w:cs="Times New Roman"/>
          <w:color w:val="000000" w:themeColor="text1"/>
        </w:rPr>
        <w:t xml:space="preserve">ациональная фармакотерапия в кардиологии. 2011; </w:t>
      </w:r>
      <w:r w:rsidRPr="000A32AD">
        <w:rPr>
          <w:rStyle w:val="num"/>
          <w:rFonts w:ascii="Times New Roman" w:hAnsi="Times New Roman" w:cs="Times New Roman"/>
          <w:color w:val="000000" w:themeColor="text1"/>
        </w:rPr>
        <w:t>5(7)</w:t>
      </w:r>
      <w:r w:rsidRPr="000A32AD">
        <w:rPr>
          <w:rFonts w:ascii="Times New Roman" w:hAnsi="Times New Roman" w:cs="Times New Roman"/>
          <w:color w:val="000000" w:themeColor="text1"/>
        </w:rPr>
        <w:t>: 584–590</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Коненков ВИ, Климонтов ВВ. Ангиогенез и васкулогенез при сахарном диабете: новые концепции патогенеза и лечения сосудистых осложнений. Diabetes mellitus. 2012;(4):17–27</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Королева ЕВ, Кратнов АЕ, Тимганова ЕВ. Диастолическая дисфункция и ремоделирование левого желудочка у больных сахарным диабетом II типа с коморбидными ожирением и артериальной гипертензией. Вестник современной клинической медицины. 2014; 7(3): 20-24</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Кособян ЕП, Ярек-Мартынова ИР, Парфёнов АС, Болотская ЛЛ, Шестакова МВ. Оценка состояния эндотелиальной функции и ригидности артериальной стенки у больных сахарным диабетом 1 типа на разных стадиях диабетической нефропатии. Сахарный диабет. 2011; 3: 55</w:t>
      </w:r>
      <w:r w:rsidRPr="000A32AD">
        <w:rPr>
          <w:rFonts w:ascii="Times New Roman" w:hAnsi="Times New Roman" w:cs="Times New Roman"/>
          <w:color w:val="000000" w:themeColor="text1"/>
          <w:lang w:val="uk-UA"/>
        </w:rPr>
        <w:t>-59.</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lastRenderedPageBreak/>
        <w:t xml:space="preserve">Кутырина ИМ, </w:t>
      </w:r>
      <w:r w:rsidRPr="000A32AD">
        <w:rPr>
          <w:rFonts w:ascii="Times New Roman" w:hAnsi="Times New Roman" w:cs="Times New Roman"/>
          <w:color w:val="000000" w:themeColor="text1"/>
        </w:rPr>
        <w:t>Руденко ТЕ, Савельева СА, Швецов МЮ, Шестакова МВ. Кардиоренальный синдром у больных хронической болезнью почек и сахарным диабетом. Сахарный диабет. 2013;(3):90</w:t>
      </w:r>
      <w:r w:rsidRPr="000A32AD">
        <w:rPr>
          <w:rFonts w:ascii="Times New Roman" w:hAnsi="Times New Roman" w:cs="Times New Roman"/>
          <w:color w:val="000000" w:themeColor="text1"/>
          <w:lang w:val="uk-UA"/>
        </w:rPr>
        <w:t>–96.</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Лаптев ДН. Повышение ригидности артериальной стенки у детей и подростков с сахарным диабетом 1 типа и автономной дисфункцией. Сахарный диабет. 2015;(1):94-100</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 xml:space="preserve">Лебедева НО, Викулова ОК. </w:t>
      </w:r>
      <w:r w:rsidRPr="000A32AD">
        <w:rPr>
          <w:rFonts w:ascii="Times New Roman" w:hAnsi="Times New Roman" w:cs="Times New Roman"/>
          <w:color w:val="000000" w:themeColor="text1"/>
        </w:rPr>
        <w:t>Маркеры доклинической диагностики диабетической нефропатии у пациентов с сахарным диабетом 1 типа. Сахарный диабет. 2012;(2</w:t>
      </w:r>
      <w:r w:rsidRPr="000A32AD">
        <w:rPr>
          <w:rFonts w:ascii="Times New Roman" w:hAnsi="Times New Roman" w:cs="Times New Roman"/>
          <w:color w:val="000000" w:themeColor="text1"/>
          <w:lang w:val="uk-UA"/>
        </w:rPr>
        <w:t>):38–45.</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Маркова ТН, Садовская ВВ, Беспятова МЮ. Современные возможности диагностики хронической болезни почек при сахарном диабете. Сахарный диабет.</w:t>
      </w:r>
      <w:r w:rsidRPr="000A32AD">
        <w:rPr>
          <w:rFonts w:ascii="Times New Roman" w:hAnsi="Times New Roman" w:cs="Times New Roman"/>
          <w:color w:val="000000" w:themeColor="text1"/>
          <w:lang w:val="uk-UA"/>
        </w:rPr>
        <w:t xml:space="preserve"> 2017;20(6):454-460.</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Мартынова</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АИ, Нечаев</w:t>
      </w:r>
      <w:r w:rsidRPr="000A32AD">
        <w:rPr>
          <w:rFonts w:ascii="Times New Roman" w:hAnsi="Times New Roman" w:cs="Times New Roman"/>
          <w:color w:val="000000" w:themeColor="text1"/>
          <w:lang w:val="uk-UA"/>
        </w:rPr>
        <w:t>а</w:t>
      </w:r>
      <w:r w:rsidRPr="000A32AD">
        <w:rPr>
          <w:rFonts w:ascii="Times New Roman" w:hAnsi="Times New Roman" w:cs="Times New Roman"/>
          <w:color w:val="000000" w:themeColor="text1"/>
        </w:rPr>
        <w:t xml:space="preserve"> Г И</w:t>
      </w:r>
      <w:r w:rsidRPr="000A32AD">
        <w:rPr>
          <w:rFonts w:ascii="Times New Roman" w:hAnsi="Times New Roman" w:cs="Times New Roman"/>
          <w:color w:val="000000" w:themeColor="text1"/>
          <w:lang w:val="uk-UA"/>
        </w:rPr>
        <w:t>: ред.</w:t>
      </w:r>
      <w:r w:rsidRPr="000A32AD">
        <w:rPr>
          <w:rFonts w:ascii="Times New Roman" w:hAnsi="Times New Roman" w:cs="Times New Roman"/>
          <w:color w:val="000000" w:themeColor="text1"/>
        </w:rPr>
        <w:t xml:space="preserve"> Национальные рекомендации российского научного медицинского общества терапевтов по диагностике, лечению и реабилитации пациентов с дисплазиями соединительной ткани. М.: ООО «Бионика-Медиа», 2016. 80 </w:t>
      </w:r>
      <w:r w:rsidRPr="000A32AD">
        <w:rPr>
          <w:rFonts w:ascii="Times New Roman" w:hAnsi="Times New Roman" w:cs="Times New Roman"/>
          <w:color w:val="000000" w:themeColor="text1"/>
          <w:lang w:val="uk-UA"/>
        </w:rPr>
        <w:t>.</w:t>
      </w:r>
      <w:r w:rsidRPr="000A32AD">
        <w:rPr>
          <w:rFonts w:ascii="Times New Roman" w:hAnsi="Times New Roman" w:cs="Times New Roman"/>
          <w:color w:val="000000" w:themeColor="text1"/>
        </w:rPr>
        <w:t>с</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Маслова ИС, Курникова ИА.</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Особенности течения сахарного диабета типа 2 в сочетании с патологией соединительной ткани. Фундаментальные исследования. 2010; 8: 41-45. Доступно на: https://www.fundamental-research.ru/pdf/2010/8/5.pdf</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Маслова ОВ, Сунцов ЮИ, Шестакова МВ. и др. Распро</w:t>
      </w:r>
      <w:r w:rsidRPr="000A32AD">
        <w:rPr>
          <w:rFonts w:ascii="Times New Roman" w:hAnsi="Times New Roman" w:cs="Times New Roman"/>
          <w:color w:val="000000" w:themeColor="text1"/>
        </w:rPr>
        <w:softHyphen/>
        <w:t>стра</w:t>
      </w:r>
      <w:r w:rsidRPr="000A32AD">
        <w:rPr>
          <w:rFonts w:ascii="Times New Roman" w:hAnsi="Times New Roman" w:cs="Times New Roman"/>
          <w:color w:val="000000" w:themeColor="text1"/>
        </w:rPr>
        <w:softHyphen/>
        <w:t>нен</w:t>
      </w:r>
      <w:r w:rsidRPr="000A32AD">
        <w:rPr>
          <w:rFonts w:ascii="Times New Roman" w:hAnsi="Times New Roman" w:cs="Times New Roman"/>
          <w:color w:val="000000" w:themeColor="text1"/>
        </w:rPr>
        <w:softHyphen/>
        <w:t>ность диабетической нефропатии и хронической болезни почек при сахарном диабете в Российской Федерации</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Клиническая нефрология. 2010</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3</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45-50</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Маслова ОВ, Сунцов ЮИ. Эпидемиология сахарного диабета и микрососудистых осложнений. Сахарный диабет. 2011; 3</w:t>
      </w:r>
      <w:r w:rsidRPr="000A32AD">
        <w:rPr>
          <w:rFonts w:ascii="Times New Roman" w:hAnsi="Times New Roman" w:cs="Times New Roman"/>
          <w:color w:val="000000" w:themeColor="text1"/>
          <w:lang w:val="uk-UA"/>
        </w:rPr>
        <w:t>: 6-11.</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Мельник АА. Белок Klotho и фактор роста фибробластов FGF23 как маркеры хронической болезни почек</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Pochki</w:t>
      </w:r>
      <w:r w:rsidRPr="000A32AD">
        <w:rPr>
          <w:rFonts w:ascii="Times New Roman" w:hAnsi="Times New Roman" w:cs="Times New Roman"/>
          <w:color w:val="000000" w:themeColor="text1"/>
          <w:lang w:val="uk-UA"/>
        </w:rPr>
        <w:t xml:space="preserve">. 2017; 6: 132-138. </w:t>
      </w:r>
      <w:r w:rsidRPr="000A32AD">
        <w:rPr>
          <w:rFonts w:ascii="Times New Roman" w:hAnsi="Times New Roman" w:cs="Times New Roman"/>
          <w:color w:val="000000" w:themeColor="text1"/>
        </w:rPr>
        <w:t>doi</w:t>
      </w:r>
      <w:r w:rsidRPr="000A32AD">
        <w:rPr>
          <w:rFonts w:ascii="Times New Roman" w:hAnsi="Times New Roman" w:cs="Times New Roman"/>
          <w:color w:val="000000" w:themeColor="text1"/>
          <w:lang w:val="uk-UA"/>
        </w:rPr>
        <w:t>: 10.22141/2307-1257.6.3.2017.109027</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lastRenderedPageBreak/>
        <w:t>Милованова ЛЮ, Козловская ЛВ, Маркина ММ, Милованова СЮ, Борисов AA, Мухин НА</w:t>
      </w:r>
      <w:r w:rsidRPr="000A32AD">
        <w:rPr>
          <w:rFonts w:ascii="Times New Roman" w:hAnsi="Times New Roman" w:cs="Times New Roman"/>
          <w:color w:val="000000" w:themeColor="text1"/>
          <w:lang w:val="uk-UA"/>
        </w:rPr>
        <w:t xml:space="preserve"> и др</w:t>
      </w:r>
      <w:r w:rsidRPr="000A32AD">
        <w:rPr>
          <w:rFonts w:ascii="Times New Roman" w:hAnsi="Times New Roman" w:cs="Times New Roman"/>
          <w:color w:val="000000" w:themeColor="text1"/>
        </w:rPr>
        <w:t xml:space="preserve">. Мoрфогенетические белки </w:t>
      </w:r>
      <w:r w:rsidRPr="000A32AD">
        <w:rPr>
          <w:rFonts w:ascii="Times New Roman" w:hAnsi="Times New Roman" w:cs="Times New Roman"/>
          <w:color w:val="000000" w:themeColor="text1"/>
          <w:lang w:val="uk-UA"/>
        </w:rPr>
        <w:t>–</w:t>
      </w:r>
      <w:r w:rsidRPr="000A32AD">
        <w:rPr>
          <w:rFonts w:ascii="Times New Roman" w:hAnsi="Times New Roman" w:cs="Times New Roman"/>
          <w:color w:val="000000" w:themeColor="text1"/>
        </w:rPr>
        <w:t xml:space="preserve"> фактор роста фибробластов-23 и </w:t>
      </w:r>
      <w:r w:rsidRPr="000A32AD">
        <w:rPr>
          <w:rFonts w:ascii="Times New Roman" w:hAnsi="Times New Roman" w:cs="Times New Roman"/>
          <w:color w:val="000000" w:themeColor="text1"/>
          <w:lang w:val="uk-UA"/>
        </w:rPr>
        <w:t>К</w:t>
      </w:r>
      <w:r w:rsidRPr="000A32AD">
        <w:rPr>
          <w:rFonts w:ascii="Times New Roman" w:hAnsi="Times New Roman" w:cs="Times New Roman"/>
          <w:color w:val="000000" w:themeColor="text1"/>
        </w:rPr>
        <w:t>лото в сыворотке крови больных c хронической болезнью почек Клин. мед. 2015; 93 (12): 32</w:t>
      </w:r>
      <w:r w:rsidRPr="000A32AD">
        <w:rPr>
          <w:rFonts w:ascii="Times New Roman" w:hAnsi="Times New Roman" w:cs="Times New Roman"/>
          <w:color w:val="000000" w:themeColor="text1"/>
          <w:lang w:val="uk-UA"/>
        </w:rPr>
        <w:t>–</w:t>
      </w:r>
      <w:r w:rsidRPr="000A32AD">
        <w:rPr>
          <w:rFonts w:ascii="Times New Roman" w:hAnsi="Times New Roman" w:cs="Times New Roman"/>
          <w:color w:val="000000" w:themeColor="text1"/>
        </w:rPr>
        <w:t>38</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Могильницкая Л.А, Маньковский Б.Н. Содержание эндотелиального моноцитактивирующего пептида-</w:t>
      </w:r>
      <w:r w:rsidRPr="000A32AD">
        <w:rPr>
          <w:rFonts w:ascii="Times New Roman" w:hAnsi="Times New Roman" w:cs="Times New Roman"/>
          <w:color w:val="000000" w:themeColor="text1"/>
          <w:lang w:val="en-US"/>
        </w:rPr>
        <w:t>II</w:t>
      </w:r>
      <w:r w:rsidRPr="000A32AD">
        <w:rPr>
          <w:rFonts w:ascii="Times New Roman" w:hAnsi="Times New Roman" w:cs="Times New Roman"/>
          <w:color w:val="000000" w:themeColor="text1"/>
        </w:rPr>
        <w:t xml:space="preserve"> у больных сахарным диабетом 1 типа с микроангиопатиями и артериальной гипертензией. Сахарный</w:t>
      </w:r>
      <w:r w:rsidRPr="000A32AD">
        <w:rPr>
          <w:rFonts w:ascii="Times New Roman" w:hAnsi="Times New Roman" w:cs="Times New Roman"/>
          <w:color w:val="000000" w:themeColor="text1"/>
          <w:lang w:val="en-US"/>
        </w:rPr>
        <w:t xml:space="preserve"> </w:t>
      </w:r>
      <w:r w:rsidRPr="000A32AD">
        <w:rPr>
          <w:rFonts w:ascii="Times New Roman" w:hAnsi="Times New Roman" w:cs="Times New Roman"/>
          <w:color w:val="000000" w:themeColor="text1"/>
        </w:rPr>
        <w:t>диабет</w:t>
      </w:r>
      <w:r w:rsidRPr="000A32AD">
        <w:rPr>
          <w:rFonts w:ascii="Times New Roman" w:hAnsi="Times New Roman" w:cs="Times New Roman"/>
          <w:color w:val="000000" w:themeColor="text1"/>
          <w:lang w:val="en-US"/>
        </w:rPr>
        <w:t>. 2016;19(4):309-314 doi: 10.14341/DM7674</w:t>
      </w:r>
      <w:r w:rsidRPr="000A32AD">
        <w:rPr>
          <w:rFonts w:ascii="Times New Roman" w:hAnsi="Times New Roman" w:cs="Times New Roman"/>
          <w:color w:val="000000" w:themeColor="text1"/>
          <w:lang w:val="uk-UA"/>
        </w:rPr>
        <w:t xml:space="preserve">. </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Моругова И.В., Загидуллин Ш.З. Обмен гликозаминогликанов у больных сахарным диабетом с диабетической нефропатией. Сахарный диабет. 2005; 1: 34-36</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lang w:val="uk-UA" w:eastAsia="ar-SA"/>
        </w:rPr>
        <w:t xml:space="preserve">Наказ МОЗ України №1118 від 21.12.2012 р. "Уніфікований клінічний протокол первинної та вторинної (спеціалізованої) медичної допомоги. Цукровий діабет 2 типу". </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lang w:val="uk-UA"/>
        </w:rPr>
        <w:t>Наказ МОЗ України №384 від 24.05.2012 р. "Артеріальна гіпертензія. Оновлена та адаптована клінічна настанова, заснована на доказах".</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bCs/>
          <w:iCs/>
          <w:color w:val="000000" w:themeColor="text1"/>
        </w:rPr>
        <w:t>Нестеренко ЗВ.</w:t>
      </w:r>
      <w:r w:rsidRPr="000A32AD">
        <w:rPr>
          <w:rFonts w:ascii="Times New Roman" w:hAnsi="Times New Roman" w:cs="Times New Roman"/>
          <w:bCs/>
          <w:color w:val="000000" w:themeColor="text1"/>
        </w:rPr>
        <w:t xml:space="preserve"> Дисплазия соединительной ткани – медико-социальный феномен XXI века. Боль, суставы, позвоночник. 2012; 1(5): 17-23</w:t>
      </w:r>
      <w:r w:rsidRPr="000A32AD">
        <w:rPr>
          <w:rFonts w:ascii="Times New Roman" w:hAnsi="Times New Roman" w:cs="Times New Roman"/>
          <w:bCs/>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Оскола ЕВ, Шубина АТ, Заирова АР, Андреевская МВ, Богиева РМ, Погорелова ОА</w:t>
      </w:r>
      <w:r w:rsidRPr="000A32AD">
        <w:rPr>
          <w:rFonts w:ascii="Times New Roman" w:hAnsi="Times New Roman" w:cs="Times New Roman"/>
          <w:color w:val="000000" w:themeColor="text1"/>
          <w:lang w:val="uk-UA"/>
        </w:rPr>
        <w:t xml:space="preserve"> и др.</w:t>
      </w:r>
      <w:r w:rsidRPr="000A32AD">
        <w:rPr>
          <w:rFonts w:ascii="Times New Roman" w:hAnsi="Times New Roman" w:cs="Times New Roman"/>
          <w:color w:val="000000" w:themeColor="text1"/>
        </w:rPr>
        <w:t xml:space="preserve"> Эластические свойства сосудов, показатели функционального состояния почек и почечного кровотока у больных с ишемической болезнью сердца, гипертонической болезнью и сопутствующим сахарным диабетом 2 типа. Сахарный диабет. 2014;(3):96–106. DOI: 10.14341/DM2014396-106</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 xml:space="preserve">Повещенко АФ, Коненков ВИ. Механизмы и факторы ангиогенеза. Успехи физиологических наук. 2010; 41(2): </w:t>
      </w:r>
      <w:r w:rsidRPr="000A32AD">
        <w:rPr>
          <w:rFonts w:ascii="Times New Roman" w:hAnsi="Times New Roman" w:cs="Times New Roman"/>
          <w:color w:val="000000" w:themeColor="text1"/>
          <w:lang w:val="en-US"/>
        </w:rPr>
        <w:t>68-89</w:t>
      </w:r>
      <w:r w:rsidRPr="000A32AD">
        <w:rPr>
          <w:rFonts w:ascii="Times New Roman" w:hAnsi="Times New Roman" w:cs="Times New Roman"/>
          <w:color w:val="000000" w:themeColor="text1"/>
        </w:rPr>
        <w:t>.</w:t>
      </w:r>
      <w:r w:rsidRPr="000A32AD">
        <w:rPr>
          <w:rFonts w:ascii="Times New Roman" w:hAnsi="Times New Roman" w:cs="Times New Roman"/>
          <w:color w:val="000000" w:themeColor="text1"/>
          <w:lang w:val="uk-UA"/>
        </w:rPr>
        <w:t xml:space="preserve"> </w:t>
      </w:r>
    </w:p>
    <w:p w:rsidR="00E85D19" w:rsidRPr="000A32AD" w:rsidRDefault="00E85D19" w:rsidP="00E85D19">
      <w:pPr>
        <w:pStyle w:val="a3"/>
        <w:widowControl w:val="0"/>
        <w:numPr>
          <w:ilvl w:val="0"/>
          <w:numId w:val="22"/>
        </w:numPr>
        <w:tabs>
          <w:tab w:val="left" w:pos="993"/>
        </w:tabs>
        <w:ind w:left="0" w:firstLine="709"/>
        <w:contextualSpacing/>
        <w:jc w:val="both"/>
        <w:rPr>
          <w:rStyle w:val="a8"/>
          <w:rFonts w:ascii="Times New Roman" w:hAnsi="Times New Roman" w:cs="Times New Roman"/>
          <w:i w:val="0"/>
          <w:iCs w:val="0"/>
          <w:color w:val="000000" w:themeColor="text1"/>
          <w:lang w:val="uk-UA"/>
        </w:rPr>
      </w:pPr>
      <w:r w:rsidRPr="000A32AD">
        <w:rPr>
          <w:rStyle w:val="a8"/>
          <w:rFonts w:ascii="Times New Roman" w:hAnsi="Times New Roman" w:cs="Times New Roman"/>
          <w:i w:val="0"/>
          <w:color w:val="000000" w:themeColor="text1"/>
          <w:lang w:val="uk-UA"/>
        </w:rPr>
        <w:t>Полівода СМ, Черепос ОО. Дисфункція сполучної тканини та пато</w:t>
      </w:r>
      <w:r w:rsidRPr="000A32AD">
        <w:rPr>
          <w:rStyle w:val="a8"/>
          <w:rFonts w:ascii="Times New Roman" w:hAnsi="Times New Roman" w:cs="Times New Roman"/>
          <w:i w:val="0"/>
          <w:color w:val="000000" w:themeColor="text1"/>
          <w:lang w:val="uk-UA"/>
        </w:rPr>
        <w:softHyphen/>
        <w:t xml:space="preserve">фізіологічний механізм ремоделювання артерій еластичного типу у пацієнтів з </w:t>
      </w:r>
      <w:r w:rsidRPr="000A32AD">
        <w:rPr>
          <w:rStyle w:val="a8"/>
          <w:rFonts w:ascii="Times New Roman" w:hAnsi="Times New Roman" w:cs="Times New Roman"/>
          <w:i w:val="0"/>
          <w:color w:val="000000" w:themeColor="text1"/>
          <w:lang w:val="uk-UA"/>
        </w:rPr>
        <w:lastRenderedPageBreak/>
        <w:t xml:space="preserve">гіпертонічною хворобою. Укр. кардіологічний журнал. 2004; 4: 64–71. </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Семенова АБ</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Клинико-диагностическое значение некоторых цитокинов и аутоантител к коллагенам при недифференцированной дисплазии соединительной ткани</w:t>
      </w:r>
      <w:r w:rsidRPr="000A32AD">
        <w:rPr>
          <w:rFonts w:ascii="Times New Roman" w:hAnsi="Times New Roman" w:cs="Times New Roman"/>
          <w:color w:val="000000" w:themeColor="text1"/>
          <w:lang w:val="uk-UA"/>
        </w:rPr>
        <w:t xml:space="preserve">: автореф. дис. ... канд. мед наук, </w:t>
      </w:r>
      <w:r w:rsidRPr="000A32AD">
        <w:rPr>
          <w:rFonts w:ascii="Times New Roman" w:hAnsi="Times New Roman" w:cs="Times New Roman"/>
          <w:color w:val="000000" w:themeColor="text1"/>
        </w:rPr>
        <w:t>14.00.05 - внутренние болезни</w:t>
      </w:r>
      <w:r w:rsidRPr="000A32AD">
        <w:rPr>
          <w:rFonts w:ascii="Times New Roman" w:hAnsi="Times New Roman" w:cs="Times New Roman"/>
          <w:color w:val="000000" w:themeColor="text1"/>
          <w:lang w:val="uk-UA"/>
        </w:rPr>
        <w:t>. Ставрополь, 2007. 16 с.</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Семенова ИВ, Чугунова ЛА, Ильин АВ, Князева АП, Чиркова ЛД, Шестакова МВ, Дедов ИИ. Влияние гликозаминогликанов на течение диабетической нефропатии на стадии микроальбуминурии у больных сахарным диабетом 2 типа</w:t>
      </w:r>
      <w:r w:rsidRPr="000A32AD">
        <w:rPr>
          <w:rFonts w:ascii="Times New Roman" w:hAnsi="Times New Roman" w:cs="Times New Roman"/>
          <w:color w:val="000000" w:themeColor="text1"/>
          <w:lang w:val="uk-UA"/>
        </w:rPr>
        <w:t>.</w:t>
      </w:r>
      <w:r w:rsidRPr="000A32AD">
        <w:rPr>
          <w:rFonts w:ascii="Times New Roman" w:hAnsi="Times New Roman" w:cs="Times New Roman"/>
          <w:color w:val="000000" w:themeColor="text1"/>
        </w:rPr>
        <w:t xml:space="preserve"> Сахарный диабет. 2010; 2: 34–39</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 xml:space="preserve">Сидоренко НК. </w:t>
      </w:r>
      <w:r w:rsidRPr="000A32AD">
        <w:rPr>
          <w:rFonts w:ascii="Times New Roman" w:hAnsi="Times New Roman" w:cs="Times New Roman"/>
          <w:color w:val="000000" w:themeColor="text1"/>
        </w:rPr>
        <w:t>Фактор роста фибробластов у больных сахарным диабетом 1 типа</w:t>
      </w:r>
      <w:r w:rsidRPr="000A32AD">
        <w:rPr>
          <w:rFonts w:ascii="Times New Roman" w:hAnsi="Times New Roman" w:cs="Times New Roman"/>
          <w:color w:val="000000" w:themeColor="text1"/>
          <w:lang w:val="uk-UA"/>
        </w:rPr>
        <w:t>. Бюллетень ВСНЦ СО РАМН</w:t>
      </w:r>
      <w:r w:rsidRPr="000A32AD">
        <w:rPr>
          <w:rFonts w:ascii="Times New Roman" w:hAnsi="Times New Roman" w:cs="Times New Roman"/>
          <w:color w:val="000000" w:themeColor="text1"/>
        </w:rPr>
        <w:t>, 2007, 1 (53)</w:t>
      </w:r>
      <w:r w:rsidRPr="000A32AD">
        <w:rPr>
          <w:rFonts w:ascii="Times New Roman" w:hAnsi="Times New Roman" w:cs="Times New Roman"/>
          <w:color w:val="000000" w:themeColor="text1"/>
          <w:lang w:val="uk-UA"/>
        </w:rPr>
        <w:t>: 29-34.</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eastAsia="x-none"/>
        </w:rPr>
        <w:t>С</w:t>
      </w:r>
      <w:r w:rsidRPr="000A32AD">
        <w:rPr>
          <w:rFonts w:ascii="Times New Roman" w:hAnsi="Times New Roman" w:cs="Times New Roman"/>
          <w:color w:val="000000" w:themeColor="text1"/>
          <w:lang w:eastAsia="x-none"/>
        </w:rPr>
        <w:t>иренко ЮН, Радченко АД, Слащева ТГ. Стратификация риска пациентов с артериальной гипертензией и сахарным диабетом 2</w:t>
      </w:r>
      <w:r w:rsidRPr="000A32AD">
        <w:rPr>
          <w:rFonts w:ascii="Times New Roman" w:hAnsi="Times New Roman" w:cs="Times New Roman"/>
          <w:color w:val="000000" w:themeColor="text1"/>
          <w:lang w:val="uk-UA" w:eastAsia="x-none"/>
        </w:rPr>
        <w:t>-</w:t>
      </w:r>
      <w:r w:rsidRPr="000A32AD">
        <w:rPr>
          <w:rFonts w:ascii="Times New Roman" w:hAnsi="Times New Roman" w:cs="Times New Roman"/>
          <w:color w:val="000000" w:themeColor="text1"/>
          <w:lang w:eastAsia="x-none"/>
        </w:rPr>
        <w:t>го типа: результаты украинского многоцентрового обсервационного исследования Статус. Артериальная гипертензия. 2014; 2: 9-19</w:t>
      </w:r>
      <w:r w:rsidRPr="000A32AD">
        <w:rPr>
          <w:rFonts w:ascii="Times New Roman" w:hAnsi="Times New Roman" w:cs="Times New Roman"/>
          <w:color w:val="000000" w:themeColor="text1"/>
          <w:lang w:val="uk-UA" w:eastAsia="x-none"/>
        </w:rPr>
        <w:t>.</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Солейко ОВ, Рикало НА, Осипенко ІП, Солейко ЛП. Синдром недиференційованої дисплазії сполучної тканини: від концепції патогенезу до стратегії лікування: навчальний посібник для студ. вищих мед. закладів ІІІ-І</w:t>
      </w:r>
      <w:r w:rsidRPr="000A32AD">
        <w:rPr>
          <w:rFonts w:ascii="Times New Roman" w:hAnsi="Times New Roman" w:cs="Times New Roman"/>
          <w:color w:val="000000" w:themeColor="text1"/>
          <w:lang w:val="en-US"/>
        </w:rPr>
        <w:t>V</w:t>
      </w:r>
      <w:r w:rsidRPr="000A32AD">
        <w:rPr>
          <w:rFonts w:ascii="Times New Roman" w:hAnsi="Times New Roman" w:cs="Times New Roman"/>
          <w:color w:val="000000" w:themeColor="text1"/>
          <w:lang w:val="uk-UA"/>
        </w:rPr>
        <w:t xml:space="preserve"> рівнів акред. Винниця, Нова книга, 2014, 168 с.</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Тюзиков ИА. Инсулинорезистентность как системный фактор патогенеза заболеваний почек. Сахарный диабет. 2014;(1):47–56</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s>
        <w:ind w:left="0" w:firstLine="709"/>
        <w:contextualSpacing/>
        <w:jc w:val="both"/>
        <w:rPr>
          <w:rStyle w:val="a5"/>
          <w:rFonts w:ascii="Times New Roman" w:hAnsi="Times New Roman" w:cs="Times New Roman"/>
          <w:color w:val="000000" w:themeColor="text1"/>
          <w:u w:val="none"/>
          <w:lang w:val="uk-UA"/>
        </w:rPr>
      </w:pPr>
      <w:r w:rsidRPr="000A32AD">
        <w:rPr>
          <w:rFonts w:ascii="Times New Roman" w:hAnsi="Times New Roman" w:cs="Times New Roman"/>
          <w:color w:val="000000" w:themeColor="text1"/>
          <w:lang w:val="uk-UA" w:eastAsia="ar-SA"/>
        </w:rPr>
        <w:t>Хуторська ЛА. Порівняльний аналіз структури смертності хворих на цукровий діабет 1-го та 2-го типів. Медицина неотложных состояний. 2012; 7-8. Доступно на: http://www.mif-ua.com/archive/article/34696</w:t>
      </w:r>
    </w:p>
    <w:p w:rsidR="00E85D19" w:rsidRPr="000A32AD" w:rsidRDefault="00E85D19" w:rsidP="00E85D19">
      <w:pPr>
        <w:pStyle w:val="a3"/>
        <w:widowControl w:val="0"/>
        <w:numPr>
          <w:ilvl w:val="0"/>
          <w:numId w:val="22"/>
        </w:numPr>
        <w:tabs>
          <w:tab w:val="left" w:pos="993"/>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Шамхалова МШ, Викулова ОК, Железнякова АВ, Исаков МА, Шестакова МВ, Дедов ИИ. Эпидемиология хронической болезни почек в российской федерации по данным федерального регистра взрослых пациентов с сахарным диабетом (2013–2016 гг.). Сахарный диабет. 2018;21(3):160-169</w:t>
      </w:r>
      <w:r w:rsidRPr="000A32AD">
        <w:rPr>
          <w:rFonts w:ascii="Times New Roman" w:hAnsi="Times New Roman" w:cs="Times New Roman"/>
          <w:color w:val="000000" w:themeColor="text1"/>
          <w:lang w:val="uk-UA"/>
        </w:rPr>
        <w:t>.</w:t>
      </w:r>
    </w:p>
    <w:p w:rsidR="00E85D19" w:rsidRPr="000A32AD" w:rsidRDefault="00E85D19" w:rsidP="00E85D19">
      <w:pPr>
        <w:pStyle w:val="a3"/>
        <w:numPr>
          <w:ilvl w:val="0"/>
          <w:numId w:val="22"/>
        </w:numPr>
        <w:tabs>
          <w:tab w:val="left" w:pos="993"/>
          <w:tab w:val="left" w:pos="1134"/>
        </w:tabs>
        <w:ind w:left="0" w:firstLine="709"/>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lastRenderedPageBreak/>
        <w:t>Шерстюк Л. Л. Прогностичне значення недиференційованої дисплазії сполучної тканини у розвитку коморбідної патології. Український журнал медицини, біології та спорту. 2019; 4 (20): 158-164.</w:t>
      </w:r>
    </w:p>
    <w:p w:rsidR="00E85D19" w:rsidRPr="000A32AD" w:rsidRDefault="00E85D19" w:rsidP="00E85D19">
      <w:pPr>
        <w:pStyle w:val="a3"/>
        <w:numPr>
          <w:ilvl w:val="0"/>
          <w:numId w:val="22"/>
        </w:numPr>
        <w:tabs>
          <w:tab w:val="left" w:pos="993"/>
          <w:tab w:val="left" w:pos="1134"/>
        </w:tabs>
        <w:ind w:left="0" w:firstLine="709"/>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uk-UA"/>
        </w:rPr>
        <w:t xml:space="preserve">Шерстюк Л.Л. Місце та Роль серцево-судинних захворювань, цукрового діабету та дисплазії сполучної тканини у коморбідній патології. (огляд літератури). В зб.: </w:t>
      </w:r>
      <w:r w:rsidRPr="000A32AD">
        <w:rPr>
          <w:rFonts w:ascii="Times New Roman" w:hAnsi="Times New Roman" w:cs="Times New Roman"/>
          <w:color w:val="000000" w:themeColor="text1"/>
          <w:lang w:val="en-US"/>
        </w:rPr>
        <w:t>ADVANCES OF SCIENCE: Proceedings of articles the international scientific conference. Czech Republic, Karlovy Vary – Ukraine, Kyiv, 16 November 2018 [Electronic resource] / Editors prof. L.N. Katjuhin, I.A. Salov, I.S. Danilova, N.S. Burina. – Electron. txt. d. (1 файл 1 MB). – Czech Republic, Karlovy Vary: Skleněný Můstek – Ukraine, Kyiv: MCNIP, 2018: 16-25.</w:t>
      </w:r>
    </w:p>
    <w:p w:rsidR="00E85D19" w:rsidRPr="000A32AD" w:rsidRDefault="00E85D19" w:rsidP="00E85D19">
      <w:pPr>
        <w:pStyle w:val="a3"/>
        <w:numPr>
          <w:ilvl w:val="0"/>
          <w:numId w:val="22"/>
        </w:numPr>
        <w:tabs>
          <w:tab w:val="left" w:pos="993"/>
          <w:tab w:val="left" w:pos="1134"/>
        </w:tabs>
        <w:ind w:left="0" w:firstLine="709"/>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shd w:val="clear" w:color="auto" w:fill="FFFFFF"/>
        </w:rPr>
        <w:t>Шерстюк ЛЛ, Н</w:t>
      </w:r>
      <w:r w:rsidRPr="000A32AD">
        <w:rPr>
          <w:rFonts w:ascii="Times New Roman" w:hAnsi="Times New Roman" w:cs="Times New Roman"/>
          <w:color w:val="000000" w:themeColor="text1"/>
          <w:shd w:val="clear" w:color="auto" w:fill="FFFFFF"/>
          <w:lang w:val="uk-UA"/>
        </w:rPr>
        <w:t>и</w:t>
      </w:r>
      <w:r w:rsidRPr="000A32AD">
        <w:rPr>
          <w:rFonts w:ascii="Times New Roman" w:hAnsi="Times New Roman" w:cs="Times New Roman"/>
          <w:color w:val="000000" w:themeColor="text1"/>
          <w:shd w:val="clear" w:color="auto" w:fill="FFFFFF"/>
        </w:rPr>
        <w:t xml:space="preserve">коленко </w:t>
      </w:r>
      <w:r w:rsidRPr="000A32AD">
        <w:rPr>
          <w:rFonts w:ascii="Times New Roman" w:hAnsi="Times New Roman" w:cs="Times New Roman"/>
          <w:color w:val="000000" w:themeColor="text1"/>
          <w:shd w:val="clear" w:color="auto" w:fill="FFFFFF"/>
          <w:lang w:val="uk-UA"/>
        </w:rPr>
        <w:t>Е</w:t>
      </w:r>
      <w:r w:rsidRPr="000A32AD">
        <w:rPr>
          <w:rFonts w:ascii="Times New Roman" w:hAnsi="Times New Roman" w:cs="Times New Roman"/>
          <w:color w:val="000000" w:themeColor="text1"/>
          <w:shd w:val="clear" w:color="auto" w:fill="FFFFFF"/>
        </w:rPr>
        <w:t>Я. Морфологическая характеристика почки больных сахарным диабетом 2 типа средней степени тяжести на фоне дисплазии соединительной ткани</w:t>
      </w:r>
      <w:r w:rsidRPr="000A32AD">
        <w:rPr>
          <w:rFonts w:ascii="Times New Roman" w:hAnsi="Times New Roman" w:cs="Times New Roman"/>
          <w:color w:val="000000" w:themeColor="text1"/>
          <w:shd w:val="clear" w:color="auto" w:fill="FFFFFF"/>
          <w:lang w:val="uk-UA"/>
        </w:rPr>
        <w:t>.</w:t>
      </w:r>
      <w:r w:rsidRPr="000A32AD">
        <w:rPr>
          <w:rFonts w:ascii="Times New Roman" w:hAnsi="Times New Roman" w:cs="Times New Roman"/>
          <w:color w:val="000000" w:themeColor="text1"/>
          <w:shd w:val="clear" w:color="auto" w:fill="FFFFFF"/>
        </w:rPr>
        <w:t xml:space="preserve"> </w:t>
      </w:r>
      <w:r w:rsidRPr="000A32AD">
        <w:rPr>
          <w:rFonts w:ascii="Times New Roman" w:hAnsi="Times New Roman" w:cs="Times New Roman"/>
          <w:color w:val="000000" w:themeColor="text1"/>
          <w:shd w:val="clear" w:color="auto" w:fill="FFFFFF"/>
          <w:lang w:val="uk-UA"/>
        </w:rPr>
        <w:t>Вісник проблем біології і медицини.</w:t>
      </w:r>
      <w:r w:rsidRPr="000A32AD">
        <w:rPr>
          <w:rFonts w:ascii="Times New Roman" w:hAnsi="Times New Roman" w:cs="Times New Roman"/>
          <w:color w:val="000000" w:themeColor="text1"/>
          <w:shd w:val="clear" w:color="auto" w:fill="FFFFFF"/>
        </w:rPr>
        <w:t xml:space="preserve"> 2013</w:t>
      </w:r>
      <w:r w:rsidRPr="000A32AD">
        <w:rPr>
          <w:rFonts w:ascii="Times New Roman" w:hAnsi="Times New Roman" w:cs="Times New Roman"/>
          <w:color w:val="000000" w:themeColor="text1"/>
          <w:shd w:val="clear" w:color="auto" w:fill="FFFFFF"/>
          <w:lang w:val="uk-UA"/>
        </w:rPr>
        <w:t xml:space="preserve">; </w:t>
      </w:r>
      <w:r w:rsidRPr="000A32AD">
        <w:rPr>
          <w:rFonts w:ascii="Times New Roman" w:hAnsi="Times New Roman" w:cs="Times New Roman"/>
          <w:color w:val="000000" w:themeColor="text1"/>
          <w:shd w:val="clear" w:color="auto" w:fill="FFFFFF"/>
        </w:rPr>
        <w:t>4, 1 (104)</w:t>
      </w:r>
      <w:r w:rsidRPr="000A32AD">
        <w:rPr>
          <w:rFonts w:ascii="Times New Roman" w:hAnsi="Times New Roman" w:cs="Times New Roman"/>
          <w:color w:val="000000" w:themeColor="text1"/>
          <w:shd w:val="clear" w:color="auto" w:fill="FFFFFF"/>
          <w:lang w:val="uk-UA"/>
        </w:rPr>
        <w:t xml:space="preserve">: </w:t>
      </w:r>
      <w:r w:rsidRPr="000A32AD">
        <w:rPr>
          <w:rFonts w:ascii="Times New Roman" w:hAnsi="Times New Roman" w:cs="Times New Roman"/>
          <w:color w:val="000000" w:themeColor="text1"/>
          <w:shd w:val="clear" w:color="auto" w:fill="FFFFFF"/>
        </w:rPr>
        <w:t>302-306.</w:t>
      </w:r>
    </w:p>
    <w:p w:rsidR="00E85D19" w:rsidRPr="000A32AD" w:rsidRDefault="00E85D19" w:rsidP="00E85D19">
      <w:pPr>
        <w:pStyle w:val="a3"/>
        <w:numPr>
          <w:ilvl w:val="0"/>
          <w:numId w:val="22"/>
        </w:numPr>
        <w:tabs>
          <w:tab w:val="left" w:pos="993"/>
          <w:tab w:val="left" w:pos="1134"/>
        </w:tabs>
        <w:ind w:left="0" w:firstLine="709"/>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shd w:val="clear" w:color="auto" w:fill="FFFFFF"/>
        </w:rPr>
        <w:t>Шерстюк ЛЛ, Н</w:t>
      </w:r>
      <w:r w:rsidRPr="000A32AD">
        <w:rPr>
          <w:rFonts w:ascii="Times New Roman" w:hAnsi="Times New Roman" w:cs="Times New Roman"/>
          <w:color w:val="000000" w:themeColor="text1"/>
          <w:shd w:val="clear" w:color="auto" w:fill="FFFFFF"/>
          <w:lang w:val="uk-UA"/>
        </w:rPr>
        <w:t>и</w:t>
      </w:r>
      <w:r w:rsidRPr="000A32AD">
        <w:rPr>
          <w:rFonts w:ascii="Times New Roman" w:hAnsi="Times New Roman" w:cs="Times New Roman"/>
          <w:color w:val="000000" w:themeColor="text1"/>
          <w:shd w:val="clear" w:color="auto" w:fill="FFFFFF"/>
        </w:rPr>
        <w:t xml:space="preserve">коленко </w:t>
      </w:r>
      <w:r w:rsidRPr="000A32AD">
        <w:rPr>
          <w:rFonts w:ascii="Times New Roman" w:hAnsi="Times New Roman" w:cs="Times New Roman"/>
          <w:color w:val="000000" w:themeColor="text1"/>
          <w:shd w:val="clear" w:color="auto" w:fill="FFFFFF"/>
          <w:lang w:val="uk-UA"/>
        </w:rPr>
        <w:t>Е</w:t>
      </w:r>
      <w:r w:rsidRPr="000A32AD">
        <w:rPr>
          <w:rFonts w:ascii="Times New Roman" w:hAnsi="Times New Roman" w:cs="Times New Roman"/>
          <w:color w:val="000000" w:themeColor="text1"/>
          <w:shd w:val="clear" w:color="auto" w:fill="FFFFFF"/>
        </w:rPr>
        <w:t>Я. Морфологическая характеристика почки больных сахарным диабетом 2 типа легкой степени тяжести на фоне дисплазии соединительной ткани</w:t>
      </w:r>
      <w:r w:rsidRPr="000A32AD">
        <w:rPr>
          <w:rFonts w:ascii="Times New Roman" w:hAnsi="Times New Roman" w:cs="Times New Roman"/>
          <w:color w:val="000000" w:themeColor="text1"/>
          <w:shd w:val="clear" w:color="auto" w:fill="FFFFFF"/>
          <w:lang w:val="uk-UA"/>
        </w:rPr>
        <w:t>.</w:t>
      </w:r>
      <w:r w:rsidRPr="000A32AD">
        <w:rPr>
          <w:rFonts w:ascii="Times New Roman" w:hAnsi="Times New Roman" w:cs="Times New Roman"/>
          <w:color w:val="000000" w:themeColor="text1"/>
          <w:shd w:val="clear" w:color="auto" w:fill="FFFFFF"/>
        </w:rPr>
        <w:t xml:space="preserve"> Медицинские новости </w:t>
      </w:r>
      <w:r w:rsidRPr="000A32AD">
        <w:rPr>
          <w:rFonts w:ascii="Times New Roman" w:hAnsi="Times New Roman" w:cs="Times New Roman"/>
          <w:color w:val="000000" w:themeColor="text1"/>
          <w:shd w:val="clear" w:color="auto" w:fill="FFFFFF"/>
          <w:lang w:val="uk-UA"/>
        </w:rPr>
        <w:t>(</w:t>
      </w:r>
      <w:r w:rsidRPr="000A32AD">
        <w:rPr>
          <w:rFonts w:ascii="Times New Roman" w:hAnsi="Times New Roman" w:cs="Times New Roman"/>
          <w:color w:val="000000" w:themeColor="text1"/>
          <w:shd w:val="clear" w:color="auto" w:fill="FFFFFF"/>
        </w:rPr>
        <w:t>Meditsinskie novosti</w:t>
      </w:r>
      <w:r w:rsidRPr="000A32AD">
        <w:rPr>
          <w:rFonts w:ascii="Times New Roman" w:hAnsi="Times New Roman" w:cs="Times New Roman"/>
          <w:color w:val="000000" w:themeColor="text1"/>
          <w:shd w:val="clear" w:color="auto" w:fill="FFFFFF"/>
          <w:lang w:val="uk-UA"/>
        </w:rPr>
        <w:t>).</w:t>
      </w:r>
      <w:r w:rsidRPr="000A32AD">
        <w:rPr>
          <w:rFonts w:ascii="Times New Roman" w:hAnsi="Times New Roman" w:cs="Times New Roman"/>
          <w:color w:val="000000" w:themeColor="text1"/>
          <w:shd w:val="clear" w:color="auto" w:fill="FFFFFF"/>
        </w:rPr>
        <w:t xml:space="preserve"> 2014</w:t>
      </w:r>
      <w:r w:rsidRPr="000A32AD">
        <w:rPr>
          <w:rFonts w:ascii="Times New Roman" w:hAnsi="Times New Roman" w:cs="Times New Roman"/>
          <w:color w:val="000000" w:themeColor="text1"/>
          <w:shd w:val="clear" w:color="auto" w:fill="FFFFFF"/>
          <w:lang w:val="uk-UA"/>
        </w:rPr>
        <w:t>;</w:t>
      </w:r>
      <w:r w:rsidRPr="000A32AD">
        <w:rPr>
          <w:rFonts w:ascii="Times New Roman" w:hAnsi="Times New Roman" w:cs="Times New Roman"/>
          <w:color w:val="000000" w:themeColor="text1"/>
          <w:shd w:val="clear" w:color="auto" w:fill="FFFFFF"/>
        </w:rPr>
        <w:t xml:space="preserve"> 3 (234)</w:t>
      </w:r>
      <w:r w:rsidRPr="000A32AD">
        <w:rPr>
          <w:rFonts w:ascii="Times New Roman" w:hAnsi="Times New Roman" w:cs="Times New Roman"/>
          <w:color w:val="000000" w:themeColor="text1"/>
          <w:shd w:val="clear" w:color="auto" w:fill="FFFFFF"/>
          <w:lang w:val="uk-UA"/>
        </w:rPr>
        <w:t xml:space="preserve">: </w:t>
      </w:r>
      <w:r w:rsidRPr="000A32AD">
        <w:rPr>
          <w:rFonts w:ascii="Times New Roman" w:hAnsi="Times New Roman" w:cs="Times New Roman"/>
          <w:color w:val="000000" w:themeColor="text1"/>
          <w:shd w:val="clear" w:color="auto" w:fill="FFFFFF"/>
        </w:rPr>
        <w:t>72-73</w:t>
      </w:r>
      <w:r w:rsidRPr="000A32AD">
        <w:rPr>
          <w:rFonts w:ascii="Times New Roman" w:hAnsi="Times New Roman" w:cs="Times New Roman"/>
          <w:color w:val="000000" w:themeColor="text1"/>
          <w:shd w:val="clear" w:color="auto" w:fill="FFFFFF"/>
          <w:lang w:val="uk-UA"/>
        </w:rPr>
        <w:t>.</w:t>
      </w:r>
    </w:p>
    <w:p w:rsidR="00E85D19" w:rsidRPr="000A32AD" w:rsidRDefault="00E85D19" w:rsidP="00E85D19">
      <w:pPr>
        <w:pStyle w:val="a3"/>
        <w:numPr>
          <w:ilvl w:val="0"/>
          <w:numId w:val="22"/>
        </w:numPr>
        <w:tabs>
          <w:tab w:val="left" w:pos="993"/>
          <w:tab w:val="left" w:pos="1134"/>
        </w:tabs>
        <w:ind w:left="0" w:firstLine="709"/>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Шерстюк ЛЛ, Ніколенко ЄЯ. Вміст основного фактору росту фібробластів в крові хворих на цукровий діабет та його залежність від наявності дисплазії сполучної тканини та інших показників. В зб.</w:t>
      </w:r>
      <w:r w:rsidRPr="000A32AD">
        <w:rPr>
          <w:rFonts w:ascii="Times New Roman" w:hAnsi="Times New Roman" w:cs="Times New Roman"/>
          <w:color w:val="000000" w:themeColor="text1"/>
          <w:lang w:val="en-US"/>
        </w:rPr>
        <w:t>: Science and society. Proceedings of the 8th International conference. Accent Graphics Communications &amp; Publishing. Hamilton, Canada. 2018: 276-284.</w:t>
      </w:r>
    </w:p>
    <w:p w:rsidR="00E85D19" w:rsidRPr="000A32AD" w:rsidRDefault="00E85D19" w:rsidP="00E85D19">
      <w:pPr>
        <w:pStyle w:val="a3"/>
        <w:numPr>
          <w:ilvl w:val="0"/>
          <w:numId w:val="22"/>
        </w:numPr>
        <w:tabs>
          <w:tab w:val="left" w:pos="993"/>
          <w:tab w:val="left" w:pos="1134"/>
        </w:tabs>
        <w:ind w:left="0" w:firstLine="709"/>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Шерстюк ЛЛ, Ніколенко ЄЯ. Значення основного фактору росту фібробластів в розвитку артеріальної гіпертензії у хворих на цукровий діабет 2 типу залежно від наявності дисплазії сполучної тканини. Медицина невідкладних станів. 2018; 8(95):49-54.</w:t>
      </w:r>
    </w:p>
    <w:p w:rsidR="00E85D19" w:rsidRPr="000A32AD" w:rsidRDefault="00E85D19" w:rsidP="00E85D19">
      <w:pPr>
        <w:pStyle w:val="a3"/>
        <w:numPr>
          <w:ilvl w:val="0"/>
          <w:numId w:val="22"/>
        </w:numPr>
        <w:tabs>
          <w:tab w:val="left" w:pos="993"/>
          <w:tab w:val="left" w:pos="1134"/>
        </w:tabs>
        <w:ind w:left="0" w:firstLine="709"/>
        <w:jc w:val="both"/>
        <w:rPr>
          <w:rFonts w:ascii="Times New Roman" w:hAnsi="Times New Roman" w:cs="Times New Roman"/>
          <w:color w:val="000000" w:themeColor="text1"/>
          <w:lang w:val="uk-UA" w:eastAsia="ar-SA"/>
        </w:rPr>
      </w:pPr>
      <w:r w:rsidRPr="000A32AD">
        <w:rPr>
          <w:rFonts w:ascii="Times New Roman" w:hAnsi="Times New Roman" w:cs="Times New Roman"/>
          <w:color w:val="000000" w:themeColor="text1"/>
        </w:rPr>
        <w:lastRenderedPageBreak/>
        <w:t>Шерстюк ЛЛ. Морфологическая характеристика почки больных СД 2 типа легкой степени тяжести на фоне дисплазии соединительной ткани</w:t>
      </w:r>
      <w:r w:rsidRPr="000A32AD">
        <w:rPr>
          <w:rFonts w:ascii="Times New Roman" w:hAnsi="Times New Roman" w:cs="Times New Roman"/>
          <w:color w:val="000000" w:themeColor="text1"/>
          <w:lang w:val="uk-UA"/>
        </w:rPr>
        <w:t xml:space="preserve">. В кн.: </w:t>
      </w:r>
      <w:r w:rsidRPr="000A32AD">
        <w:rPr>
          <w:rFonts w:ascii="Times New Roman" w:hAnsi="Times New Roman" w:cs="Times New Roman"/>
          <w:color w:val="000000" w:themeColor="text1"/>
          <w:lang w:val="en-US"/>
        </w:rPr>
        <w:t>The development of nature sciences: problems and solutions: Conference</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Proceedings, April 27-28, 2018. Brno: Baltija Publishing, 244 pages</w:t>
      </w:r>
      <w:r w:rsidRPr="000A32AD">
        <w:rPr>
          <w:rFonts w:ascii="Times New Roman" w:hAnsi="Times New Roman" w:cs="Times New Roman"/>
          <w:color w:val="000000" w:themeColor="text1"/>
          <w:lang w:val="uk-UA"/>
        </w:rPr>
        <w:t>; 228-230.</w:t>
      </w:r>
    </w:p>
    <w:p w:rsidR="00E85D19" w:rsidRPr="000A32AD" w:rsidRDefault="00E85D19" w:rsidP="00E85D19">
      <w:pPr>
        <w:pStyle w:val="a3"/>
        <w:numPr>
          <w:ilvl w:val="0"/>
          <w:numId w:val="22"/>
        </w:numPr>
        <w:tabs>
          <w:tab w:val="left" w:pos="993"/>
          <w:tab w:val="left" w:pos="1134"/>
        </w:tabs>
        <w:ind w:left="0" w:firstLine="709"/>
        <w:jc w:val="both"/>
        <w:rPr>
          <w:rFonts w:ascii="Times New Roman" w:hAnsi="Times New Roman" w:cs="Times New Roman"/>
          <w:color w:val="000000" w:themeColor="text1"/>
          <w:lang w:val="uk-UA" w:eastAsia="ar-SA"/>
        </w:rPr>
      </w:pPr>
      <w:r w:rsidRPr="000A32AD">
        <w:rPr>
          <w:rFonts w:ascii="Times New Roman" w:hAnsi="Times New Roman" w:cs="Times New Roman"/>
          <w:color w:val="000000" w:themeColor="text1"/>
          <w:lang w:val="uk-UA"/>
        </w:rPr>
        <w:t xml:space="preserve">Шерстюк ЛЛ. Недиференційована дисплазія сполучної тканини як потенційний предиктор розвитку артеріальної гіпертензії у хворих на цукровий діабет 2 типу. 358-368. В кн.: </w:t>
      </w:r>
      <w:r w:rsidRPr="000A32AD">
        <w:rPr>
          <w:rFonts w:ascii="Times New Roman" w:hAnsi="Times New Roman" w:cs="Times New Roman"/>
          <w:color w:val="000000" w:themeColor="text1"/>
          <w:lang w:val="en-US"/>
        </w:rPr>
        <w:t>Perspectives of science and education. Proceedings of the 6</w:t>
      </w:r>
      <w:r w:rsidRPr="000A32AD">
        <w:rPr>
          <w:rFonts w:ascii="Times New Roman" w:hAnsi="Times New Roman" w:cs="Times New Roman"/>
          <w:color w:val="000000" w:themeColor="text1"/>
          <w:vertAlign w:val="superscript"/>
          <w:lang w:val="en-US"/>
        </w:rPr>
        <w:t>th</w:t>
      </w:r>
      <w:r w:rsidRPr="000A32AD">
        <w:rPr>
          <w:rFonts w:ascii="Times New Roman" w:hAnsi="Times New Roman" w:cs="Times New Roman"/>
          <w:color w:val="000000" w:themeColor="text1"/>
          <w:lang w:val="en-US"/>
        </w:rPr>
        <w:t xml:space="preserve"> International youth conference. SLOVO\WORD, New York, USA. 2018. Pp. 12–17.</w:t>
      </w:r>
    </w:p>
    <w:p w:rsidR="00E85D19" w:rsidRPr="000A32AD" w:rsidRDefault="00E85D19" w:rsidP="00E85D19">
      <w:pPr>
        <w:pStyle w:val="a3"/>
        <w:numPr>
          <w:ilvl w:val="0"/>
          <w:numId w:val="22"/>
        </w:numPr>
        <w:tabs>
          <w:tab w:val="left" w:pos="993"/>
          <w:tab w:val="left" w:pos="1134"/>
        </w:tabs>
        <w:ind w:left="0" w:firstLine="709"/>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rPr>
        <w:t>Шерстюк ЛЛ. Особенности артериальной гипертензии у лиц с сахарным диабетом 2 типа на фоне недифференцированной дисплазии соединительной ткани</w:t>
      </w:r>
      <w:r w:rsidRPr="000A32AD">
        <w:rPr>
          <w:rFonts w:ascii="Times New Roman" w:hAnsi="Times New Roman" w:cs="Times New Roman"/>
          <w:color w:val="000000" w:themeColor="text1"/>
          <w:lang w:val="uk-UA"/>
        </w:rPr>
        <w:t xml:space="preserve">. В зб.: </w:t>
      </w:r>
      <w:r w:rsidRPr="000A32AD">
        <w:rPr>
          <w:rFonts w:ascii="Times New Roman" w:hAnsi="Times New Roman" w:cs="Times New Roman"/>
          <w:color w:val="000000" w:themeColor="text1"/>
          <w:lang w:val="en-US"/>
        </w:rPr>
        <w:t>ADVANCES</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OF</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SCIENCE</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Proceedings</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of</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articles</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the</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international</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scientific</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conference</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Czech Republic, Karlovy Vary – Ukraine, Kyiv, 6 April 2018 [Electronic resource] / Editors prof. L.N. Katjuhin, I.A. Salov, I.S. Danilova, N.S. Burina. – Electron. txt. d. (1 файл 3 MB). – Czech Republic, Karlovy Vary: Skleněný Můstek – Ukraine, Kyiv: MCNIP, 2018</w:t>
      </w:r>
      <w:r w:rsidRPr="000A32AD">
        <w:rPr>
          <w:rFonts w:ascii="Times New Roman" w:hAnsi="Times New Roman" w:cs="Times New Roman"/>
          <w:color w:val="000000" w:themeColor="text1"/>
          <w:lang w:val="uk-UA"/>
        </w:rPr>
        <w:t>; 330-334.</w:t>
      </w:r>
    </w:p>
    <w:p w:rsidR="00E85D19" w:rsidRPr="000A32AD" w:rsidRDefault="00E85D19" w:rsidP="00E85D19">
      <w:pPr>
        <w:pStyle w:val="a3"/>
        <w:numPr>
          <w:ilvl w:val="0"/>
          <w:numId w:val="22"/>
        </w:numPr>
        <w:tabs>
          <w:tab w:val="left" w:pos="993"/>
          <w:tab w:val="left" w:pos="1134"/>
        </w:tabs>
        <w:ind w:left="0" w:firstLine="709"/>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Шерстюк ЛЛ. Особливості перебігу цукрового діабету 2 типу та супутньої патології залежно від наявності недиференційованої дисплазії спо</w:t>
      </w:r>
      <w:r w:rsidRPr="000A32AD">
        <w:rPr>
          <w:rFonts w:ascii="Times New Roman" w:hAnsi="Times New Roman" w:cs="Times New Roman"/>
          <w:color w:val="000000" w:themeColor="text1"/>
          <w:lang w:val="uk-UA"/>
        </w:rPr>
        <w:softHyphen/>
        <w:t>лучної тканини. В кн.: Нові досягнення у галузі медичних та фармацевтичних наук: мат. міжнар. наук.-практ. конф. (м. Одеса 16–17 листопада 2018 року). – Одеса: ГО «Південна фундація медицини», 2018: 108-111.</w:t>
      </w:r>
    </w:p>
    <w:p w:rsidR="00E85D19" w:rsidRPr="000A32AD" w:rsidRDefault="00E85D19" w:rsidP="00E85D19">
      <w:pPr>
        <w:pStyle w:val="a3"/>
        <w:numPr>
          <w:ilvl w:val="0"/>
          <w:numId w:val="22"/>
        </w:numPr>
        <w:tabs>
          <w:tab w:val="left" w:pos="993"/>
          <w:tab w:val="left" w:pos="1134"/>
        </w:tabs>
        <w:ind w:left="0" w:firstLine="709"/>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Шерстюк ЛЛ. Роль недиференційованої дисплазії сполучної тканини у розвитку артеріальної гіпертензії у хворих на цукровий діабет 2 типу. Медицина невідкладних станів. 2018; 7(94): 94-98.</w:t>
      </w:r>
    </w:p>
    <w:p w:rsidR="00E85D19" w:rsidRPr="000A32AD" w:rsidRDefault="00E85D19" w:rsidP="00E85D19">
      <w:pPr>
        <w:pStyle w:val="a3"/>
        <w:widowControl w:val="0"/>
        <w:numPr>
          <w:ilvl w:val="0"/>
          <w:numId w:val="22"/>
        </w:numPr>
        <w:tabs>
          <w:tab w:val="left" w:pos="1134"/>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 xml:space="preserve">Шестакова МВ, Шамхалова МШ, Ярек-Мартынова ИЯ, Клефортова ИИ, Сухарева ОЮ, Викулова ОК. и др. </w:t>
      </w:r>
      <w:r w:rsidRPr="000A32AD">
        <w:rPr>
          <w:rFonts w:ascii="Times New Roman" w:hAnsi="Times New Roman" w:cs="Times New Roman"/>
          <w:color w:val="000000" w:themeColor="text1"/>
        </w:rPr>
        <w:t>Сахарный диабет и хроническая болезнь почек: достижения, нерешенные проблемы и перспективы лечения. Сахарный диабет. 2011; 1: 81–88</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 w:val="left" w:pos="1134"/>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lastRenderedPageBreak/>
        <w:t xml:space="preserve">Шестакова МВ, Ярек-Мартынова ИР, Иванишина НС. </w:t>
      </w:r>
      <w:r w:rsidRPr="000A32AD">
        <w:rPr>
          <w:rFonts w:ascii="Times New Roman" w:hAnsi="Times New Roman" w:cs="Times New Roman"/>
          <w:color w:val="000000" w:themeColor="text1"/>
        </w:rPr>
        <w:t>Кардиоренальная патология при сахарном диабете 1 типа: механизмы развития и возможности медикаментозной коррекции. Терапевтический архив.</w:t>
      </w:r>
      <w:r w:rsidRPr="000A32AD">
        <w:rPr>
          <w:rFonts w:ascii="Times New Roman" w:hAnsi="Times New Roman" w:cs="Times New Roman"/>
          <w:color w:val="000000" w:themeColor="text1"/>
          <w:lang w:val="uk-UA"/>
        </w:rPr>
        <w:t xml:space="preserve"> 2005;77(6):40–45.</w:t>
      </w:r>
    </w:p>
    <w:p w:rsidR="00E85D19" w:rsidRPr="000A32AD" w:rsidRDefault="00E85D19" w:rsidP="00E85D19">
      <w:pPr>
        <w:pStyle w:val="a3"/>
        <w:widowControl w:val="0"/>
        <w:numPr>
          <w:ilvl w:val="0"/>
          <w:numId w:val="22"/>
        </w:numPr>
        <w:tabs>
          <w:tab w:val="left" w:pos="993"/>
          <w:tab w:val="left" w:pos="1134"/>
        </w:tabs>
        <w:ind w:left="0" w:firstLine="709"/>
        <w:contextualSpacing/>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uk-UA"/>
        </w:rPr>
        <w:t xml:space="preserve">Шурыгин МГ, Дремина НН, Шурыгина ИА, Мачхин ИН. </w:t>
      </w:r>
      <w:r w:rsidRPr="000A32AD">
        <w:rPr>
          <w:rFonts w:ascii="Times New Roman" w:hAnsi="Times New Roman" w:cs="Times New Roman"/>
          <w:color w:val="000000" w:themeColor="text1"/>
        </w:rPr>
        <w:t>Основные активаторы ангиогенеза и их</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применение в кардиологии</w:t>
      </w:r>
      <w:r w:rsidRPr="000A32AD">
        <w:rPr>
          <w:rFonts w:ascii="Times New Roman" w:hAnsi="Times New Roman" w:cs="Times New Roman"/>
          <w:color w:val="000000" w:themeColor="text1"/>
          <w:lang w:val="uk-UA"/>
        </w:rPr>
        <w:t>.</w:t>
      </w:r>
      <w:r w:rsidRPr="000A32AD">
        <w:rPr>
          <w:rFonts w:ascii="Times New Roman" w:hAnsi="Times New Roman" w:cs="Times New Roman"/>
          <w:color w:val="000000" w:themeColor="text1"/>
        </w:rPr>
        <w:t xml:space="preserve"> Бюллетень ВСНЦ СО</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РАМН. 2005</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6 (44)</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rPr>
        <w:t>199-207</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 w:val="left" w:pos="1134"/>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Шурыгин МГ, Шурыгина ИА, Дремина НН. Влияние фактора роста фибробластов на механоморфоз левого желудочка при эксперимен</w:t>
      </w:r>
      <w:r w:rsidRPr="000A32AD">
        <w:rPr>
          <w:rFonts w:ascii="Times New Roman" w:hAnsi="Times New Roman" w:cs="Times New Roman"/>
          <w:color w:val="000000" w:themeColor="text1"/>
        </w:rPr>
        <w:softHyphen/>
        <w:t>тальном постинфарктном кардиосклерозе. Бюллетень СО РАМН. 2008; 2 (130): 73-77</w:t>
      </w:r>
    </w:p>
    <w:p w:rsidR="00E85D19" w:rsidRPr="000A32AD" w:rsidRDefault="00E85D19" w:rsidP="00E85D19">
      <w:pPr>
        <w:pStyle w:val="a3"/>
        <w:widowControl w:val="0"/>
        <w:numPr>
          <w:ilvl w:val="0"/>
          <w:numId w:val="22"/>
        </w:numPr>
        <w:tabs>
          <w:tab w:val="left" w:pos="993"/>
          <w:tab w:val="left" w:pos="1134"/>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Шурыгин МГ, Шурыгина ИА. Фактор роста фибробластов как стимулятор ангиогенеза при инфаркте миокарда. Бюллетень СО РАМН. 2010; 30(6): 89-92</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 w:val="left" w:pos="1134"/>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Шурыгина ИА, Шурыгин МГ, Аюшинова НИ, Каня ОВ. Фибробласты и их роль в развитии соединительной ткани. Сибирский медицинский журнал. 2012; 3: 8-12</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 w:val="left" w:pos="1134"/>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Щава С.В. Значение основного фактора роста фибробластов в постишемическом неоангиогенезе: автореф. …канд.мед.наук: 03.00.25. Владивосток, 2008. 22 с</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 w:val="left" w:pos="1134"/>
        </w:tabs>
        <w:ind w:left="0" w:firstLine="709"/>
        <w:contextualSpacing/>
        <w:jc w:val="both"/>
        <w:rPr>
          <w:rFonts w:ascii="Times New Roman" w:hAnsi="Times New Roman" w:cs="Times New Roman"/>
          <w:color w:val="000000" w:themeColor="text1"/>
        </w:rPr>
      </w:pPr>
      <w:r w:rsidRPr="000A32AD">
        <w:rPr>
          <w:rFonts w:ascii="Times New Roman" w:hAnsi="Times New Roman" w:cs="Times New Roman"/>
          <w:color w:val="000000" w:themeColor="text1"/>
        </w:rPr>
        <w:t>Ягода АВ</w:t>
      </w:r>
      <w:r w:rsidRPr="000A32AD">
        <w:rPr>
          <w:rStyle w:val="a5"/>
          <w:rFonts w:ascii="Times New Roman" w:hAnsi="Times New Roman" w:cs="Times New Roman"/>
          <w:color w:val="000000" w:themeColor="text1"/>
          <w:u w:val="none"/>
        </w:rPr>
        <w:t xml:space="preserve">, </w:t>
      </w:r>
      <w:r w:rsidRPr="000A32AD">
        <w:rPr>
          <w:rFonts w:ascii="Times New Roman" w:hAnsi="Times New Roman" w:cs="Times New Roman"/>
          <w:color w:val="000000" w:themeColor="text1"/>
        </w:rPr>
        <w:t>Гладких НН</w:t>
      </w:r>
      <w:r w:rsidRPr="000A32AD">
        <w:rPr>
          <w:rStyle w:val="a5"/>
          <w:rFonts w:ascii="Times New Roman" w:hAnsi="Times New Roman" w:cs="Times New Roman"/>
          <w:color w:val="000000" w:themeColor="text1"/>
          <w:u w:val="none"/>
        </w:rPr>
        <w:t xml:space="preserve">, </w:t>
      </w:r>
      <w:r w:rsidRPr="000A32AD">
        <w:rPr>
          <w:rFonts w:ascii="Times New Roman" w:hAnsi="Times New Roman" w:cs="Times New Roman"/>
          <w:color w:val="000000" w:themeColor="text1"/>
        </w:rPr>
        <w:t>Байбанова АБ.</w:t>
      </w:r>
      <w:r w:rsidRPr="000A32AD">
        <w:rPr>
          <w:rStyle w:val="a5"/>
          <w:rFonts w:ascii="Times New Roman" w:hAnsi="Times New Roman" w:cs="Times New Roman"/>
          <w:color w:val="000000" w:themeColor="text1"/>
          <w:u w:val="none"/>
        </w:rPr>
        <w:t xml:space="preserve"> </w:t>
      </w:r>
      <w:r w:rsidRPr="000A32AD">
        <w:rPr>
          <w:rStyle w:val="af2"/>
          <w:rFonts w:ascii="Times New Roman" w:hAnsi="Times New Roman" w:cs="Times New Roman"/>
          <w:b w:val="0"/>
          <w:color w:val="000000" w:themeColor="text1"/>
        </w:rPr>
        <w:t>Экспрессия фактора роста фибробластов у пациентов с синдромом гипермобильности суставов на фоне недифференцированной дисплазии соединительной ткани</w:t>
      </w:r>
      <w:r w:rsidRPr="000A32AD">
        <w:rPr>
          <w:rFonts w:ascii="Times New Roman" w:hAnsi="Times New Roman" w:cs="Times New Roman"/>
          <w:color w:val="000000" w:themeColor="text1"/>
        </w:rPr>
        <w:t>. Медицинский вестник Северного Кавказа. 2006; 1: 4-7</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 w:val="left" w:pos="1134"/>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Amann K, Wanner C, Ritz E. Cross-talk between the kidney and the cardiovascular system. Journal of the American Society of Nephrology. 2006;17(8):2112–2119. DOI: http://dx.doi.org/10.1681/asn.2006030204</w:t>
      </w:r>
    </w:p>
    <w:p w:rsidR="00E85D19" w:rsidRPr="000A32AD" w:rsidRDefault="00E85D19" w:rsidP="00E85D19">
      <w:pPr>
        <w:pStyle w:val="a3"/>
        <w:widowControl w:val="0"/>
        <w:numPr>
          <w:ilvl w:val="0"/>
          <w:numId w:val="22"/>
        </w:numPr>
        <w:tabs>
          <w:tab w:val="left" w:pos="993"/>
          <w:tab w:val="left" w:pos="1134"/>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Araki S, Haneda M, Koya D, Isshiki K, Kume S, Sugimoto T et al. Association between urinary type IV collagen level and deterioration of renal function </w:t>
      </w:r>
      <w:r w:rsidRPr="000A32AD">
        <w:rPr>
          <w:rFonts w:ascii="Times New Roman" w:hAnsi="Times New Roman" w:cs="Times New Roman"/>
          <w:color w:val="000000" w:themeColor="text1"/>
          <w:lang w:val="en-US"/>
        </w:rPr>
        <w:lastRenderedPageBreak/>
        <w:t>in type 2 diabetic patients without overt proteinuria. Diabetes Care. 2010; 33(8): 1805–1810</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993"/>
          <w:tab w:val="left" w:pos="1134"/>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Bansal S, Chawla D, Siddarth M, Banerjee BD, Madhu SV, Tripathi AK. A study on serum advanced glycation end products and its association with oxidative stress and paraoxonase activity in type 2 diabetic patients with vascular complications. Clin Biochem. 2013 Jan;46(1-2):109-14. doi: 10.1016/j.clinbiochem.2012.10.019</w:t>
      </w:r>
    </w:p>
    <w:p w:rsidR="00E85D19" w:rsidRPr="000A32AD" w:rsidRDefault="00E85D19" w:rsidP="00E85D19">
      <w:pPr>
        <w:pStyle w:val="a3"/>
        <w:widowControl w:val="0"/>
        <w:numPr>
          <w:ilvl w:val="0"/>
          <w:numId w:val="22"/>
        </w:numPr>
        <w:tabs>
          <w:tab w:val="left" w:pos="993"/>
          <w:tab w:val="left" w:pos="1134"/>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shd w:val="clear" w:color="auto" w:fill="FFFFFF"/>
          <w:lang w:val="en-US"/>
        </w:rPr>
        <w:t>Baron-Franco B, McLean G, Mair FS, Roger VL, Guthrie B, Mercer SW.</w:t>
      </w:r>
      <w:r w:rsidRPr="000A32AD">
        <w:rPr>
          <w:rFonts w:ascii="Times New Roman" w:hAnsi="Times New Roman" w:cs="Times New Roman"/>
          <w:color w:val="000000" w:themeColor="text1"/>
          <w:lang w:val="en-US"/>
        </w:rPr>
        <w:t xml:space="preserve"> Comorbidity and polypharmacy in chronic heart failure: a large cross–sectional study in primary care. </w:t>
      </w:r>
      <w:r w:rsidRPr="000A32AD">
        <w:rPr>
          <w:rFonts w:ascii="Times New Roman" w:hAnsi="Times New Roman" w:cs="Times New Roman"/>
          <w:color w:val="000000" w:themeColor="text1"/>
          <w:shd w:val="clear" w:color="auto" w:fill="FFFFFF"/>
          <w:lang w:val="en-US"/>
        </w:rPr>
        <w:t>Br J Gen Pract. 2017;67(658):e314-e320. doi: 10.3399/bjgp17X690533</w:t>
      </w:r>
    </w:p>
    <w:p w:rsidR="00E85D19" w:rsidRPr="000A32AD" w:rsidRDefault="00E85D19" w:rsidP="00E85D19">
      <w:pPr>
        <w:pStyle w:val="a3"/>
        <w:widowControl w:val="0"/>
        <w:numPr>
          <w:ilvl w:val="0"/>
          <w:numId w:val="22"/>
        </w:numPr>
        <w:tabs>
          <w:tab w:val="left" w:pos="993"/>
          <w:tab w:val="left" w:pos="1134"/>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Beenken A, Mohammadi M. The FGF family: biology, pathophysiology and therapy. Nat Rev Drug Discov 2009, 8:235–253/</w:t>
      </w:r>
    </w:p>
    <w:p w:rsidR="00E85D19" w:rsidRPr="000A32AD" w:rsidRDefault="00E85D19" w:rsidP="00E85D19">
      <w:pPr>
        <w:pStyle w:val="a3"/>
        <w:widowControl w:val="0"/>
        <w:numPr>
          <w:ilvl w:val="0"/>
          <w:numId w:val="22"/>
        </w:numPr>
        <w:tabs>
          <w:tab w:val="left" w:pos="993"/>
          <w:tab w:val="left" w:pos="1134"/>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Belov AA, Mohammadi M. Molecular mechanisms of Fibroblast Growth Factor signaling in physiology and pathology. Cold Spring Harb Perspect Biol 2013, 5:1–24.</w:t>
      </w:r>
    </w:p>
    <w:p w:rsidR="00E85D19" w:rsidRPr="000A32AD" w:rsidRDefault="00E85D19" w:rsidP="00E85D19">
      <w:pPr>
        <w:pStyle w:val="a3"/>
        <w:widowControl w:val="0"/>
        <w:numPr>
          <w:ilvl w:val="0"/>
          <w:numId w:val="22"/>
        </w:numPr>
        <w:tabs>
          <w:tab w:val="left" w:pos="993"/>
          <w:tab w:val="left" w:pos="1134"/>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Belovol A, Shalimova A, Kochueva M. Structural and functional changes of heart and vessels in patients with essential hypertension and type 2 diabetes. Georgian Med News. 2014; 3(228): 45-51.</w:t>
      </w:r>
    </w:p>
    <w:p w:rsidR="00E85D19" w:rsidRPr="000A32AD" w:rsidRDefault="00E85D19" w:rsidP="00E85D19">
      <w:pPr>
        <w:pStyle w:val="a3"/>
        <w:widowControl w:val="0"/>
        <w:numPr>
          <w:ilvl w:val="0"/>
          <w:numId w:val="22"/>
        </w:numPr>
        <w:tabs>
          <w:tab w:val="left" w:pos="993"/>
          <w:tab w:val="left" w:pos="1134"/>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Benham V, Chakraborty D, Bullard B, Bernard JJ. A role for FGF2 in visceral adiposity-associated mammary epithelial transformation. Adipocyte. 2018;7(2):113-120. doi: 10.1080/21623945.2018.1445889</w:t>
      </w:r>
    </w:p>
    <w:p w:rsidR="00E85D19" w:rsidRPr="000A32AD" w:rsidRDefault="00E85D19" w:rsidP="00E85D19">
      <w:pPr>
        <w:pStyle w:val="a3"/>
        <w:widowControl w:val="0"/>
        <w:numPr>
          <w:ilvl w:val="0"/>
          <w:numId w:val="22"/>
        </w:numPr>
        <w:tabs>
          <w:tab w:val="left" w:pos="993"/>
          <w:tab w:val="left" w:pos="1134"/>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shd w:val="clear" w:color="auto" w:fill="FFFFFF"/>
          <w:lang w:val="en-US"/>
        </w:rPr>
        <w:t xml:space="preserve">Benjamin I, Brown N, Burke G. et al. </w:t>
      </w:r>
      <w:r w:rsidRPr="000A32AD">
        <w:rPr>
          <w:rStyle w:val="ref-title"/>
          <w:rFonts w:ascii="Times New Roman" w:hAnsi="Times New Roman" w:cs="Times New Roman"/>
          <w:color w:val="000000" w:themeColor="text1"/>
          <w:lang w:val="en-US"/>
        </w:rPr>
        <w:t>Cardiovascular Genome-Phenome Study: foundational basis and program</w:t>
      </w:r>
      <w:r w:rsidRPr="000A32AD">
        <w:rPr>
          <w:rFonts w:ascii="Times New Roman" w:hAnsi="Times New Roman" w:cs="Times New Roman"/>
          <w:color w:val="000000" w:themeColor="text1"/>
          <w:shd w:val="clear" w:color="auto" w:fill="FFFFFF"/>
          <w:lang w:val="en-US"/>
        </w:rPr>
        <w:t xml:space="preserve">. </w:t>
      </w:r>
      <w:r w:rsidRPr="000A32AD">
        <w:rPr>
          <w:rStyle w:val="ref-journal"/>
          <w:rFonts w:ascii="Times New Roman" w:hAnsi="Times New Roman" w:cs="Times New Roman"/>
          <w:color w:val="000000" w:themeColor="text1"/>
          <w:shd w:val="clear" w:color="auto" w:fill="FFFFFF"/>
          <w:lang w:val="en-US"/>
        </w:rPr>
        <w:t>Circulation</w:t>
      </w:r>
      <w:r w:rsidRPr="000A32AD">
        <w:rPr>
          <w:rFonts w:ascii="Times New Roman" w:hAnsi="Times New Roman" w:cs="Times New Roman"/>
          <w:color w:val="000000" w:themeColor="text1"/>
          <w:shd w:val="clear" w:color="auto" w:fill="FFFFFF"/>
          <w:lang w:val="en-US"/>
        </w:rPr>
        <w:t xml:space="preserve">. 2015; </w:t>
      </w:r>
      <w:r w:rsidRPr="000A32AD">
        <w:rPr>
          <w:rStyle w:val="ref-vol"/>
          <w:rFonts w:ascii="Times New Roman" w:hAnsi="Times New Roman"/>
          <w:color w:val="000000" w:themeColor="text1"/>
          <w:lang w:val="en-US"/>
        </w:rPr>
        <w:t>131</w:t>
      </w:r>
      <w:r w:rsidRPr="000A32AD">
        <w:rPr>
          <w:rFonts w:ascii="Times New Roman" w:hAnsi="Times New Roman" w:cs="Times New Roman"/>
          <w:color w:val="000000" w:themeColor="text1"/>
          <w:shd w:val="clear" w:color="auto" w:fill="FFFFFF"/>
          <w:lang w:val="en-US"/>
        </w:rPr>
        <w:t>: 100–112.</w:t>
      </w:r>
    </w:p>
    <w:p w:rsidR="00E85D19" w:rsidRPr="000A32AD" w:rsidRDefault="00E85D19" w:rsidP="00E85D19">
      <w:pPr>
        <w:pStyle w:val="a3"/>
        <w:widowControl w:val="0"/>
        <w:numPr>
          <w:ilvl w:val="0"/>
          <w:numId w:val="22"/>
        </w:numPr>
        <w:tabs>
          <w:tab w:val="left" w:pos="993"/>
          <w:tab w:val="left" w:pos="1134"/>
        </w:tabs>
        <w:ind w:left="0" w:firstLine="709"/>
        <w:contextualSpacing/>
        <w:jc w:val="both"/>
        <w:rPr>
          <w:rFonts w:ascii="Times New Roman" w:hAnsi="Times New Roman" w:cs="Times New Roman"/>
          <w:color w:val="000000" w:themeColor="text1"/>
          <w:shd w:val="clear" w:color="auto" w:fill="FFFFFF"/>
          <w:lang w:val="en-US"/>
        </w:rPr>
      </w:pPr>
      <w:r w:rsidRPr="000A32AD">
        <w:rPr>
          <w:rFonts w:ascii="Times New Roman" w:hAnsi="Times New Roman" w:cs="Times New Roman"/>
          <w:color w:val="000000" w:themeColor="text1"/>
          <w:lang w:val="en-US"/>
        </w:rPr>
        <w:t xml:space="preserve">Bhalla IP, Rosenheck RA. A change in perspective: from dual diagnosis to multimorbidity. </w:t>
      </w:r>
      <w:r w:rsidRPr="000A32AD">
        <w:rPr>
          <w:rFonts w:ascii="Times New Roman" w:hAnsi="Times New Roman" w:cs="Times New Roman"/>
          <w:color w:val="000000" w:themeColor="text1"/>
          <w:shd w:val="clear" w:color="auto" w:fill="FFFFFF"/>
          <w:lang w:val="en-US"/>
        </w:rPr>
        <w:t>Psychiatr Serv. 2018;69(1):112-116. doi: 10.1176/appi.ps.201700194</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eastAsia="Times New Roman" w:hAnsi="Times New Roman" w:cs="Times New Roman"/>
          <w:color w:val="000000" w:themeColor="text1"/>
          <w:lang w:val="en-US" w:eastAsia="ru-RU"/>
        </w:rPr>
        <w:t xml:space="preserve">Bobik A. The structural basis of hypertension: vascular remodelling, rarefaction and angiogenesis/arteriogenesis. J Hypertens. 2005;23: 1473–1475.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lastRenderedPageBreak/>
        <w:t xml:space="preserve">Bouchi R, Babazono T, Mugishima M, Yoshida N, Nyumura I, Toya K, et al. Arterial stiffness is associated with incident albuminuria and decreased glomerular filtration rate in type 2 diabetic patients. Diabetes Care. 2011;34(12):2570–2575. doi: 10.2337/dc11-1020.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eastAsia="Times New Roman" w:hAnsi="Times New Roman" w:cs="Times New Roman"/>
          <w:color w:val="000000" w:themeColor="text1"/>
          <w:lang w:val="en-US" w:eastAsia="ru-RU"/>
        </w:rPr>
        <w:t xml:space="preserve">Brewer JR, Mazot P, Soriano P. Genetic insights into the mechanisms of Fgf signaling. </w:t>
      </w:r>
      <w:r w:rsidRPr="000A32AD">
        <w:rPr>
          <w:rFonts w:ascii="Times New Roman" w:eastAsia="Times New Roman" w:hAnsi="Times New Roman" w:cs="Times New Roman"/>
          <w:iCs/>
          <w:color w:val="000000" w:themeColor="text1"/>
          <w:lang w:val="en-US" w:eastAsia="ru-RU"/>
        </w:rPr>
        <w:t>Genes Dev.</w:t>
      </w:r>
      <w:r w:rsidRPr="000A32AD">
        <w:rPr>
          <w:rFonts w:ascii="Times New Roman" w:eastAsia="Times New Roman" w:hAnsi="Times New Roman" w:cs="Times New Roman"/>
          <w:color w:val="000000" w:themeColor="text1"/>
          <w:lang w:val="en-US" w:eastAsia="ru-RU"/>
        </w:rPr>
        <w:t xml:space="preserve"> 2016; 30: 751–771. doi: 10.1101/gad.277137.115</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eastAsia="Times New Roman" w:hAnsi="Times New Roman" w:cs="Times New Roman"/>
          <w:color w:val="000000" w:themeColor="text1"/>
          <w:lang w:val="en-US" w:eastAsia="ru-RU"/>
        </w:rPr>
        <w:t xml:space="preserve">Brooks AN, Kilgour E, Smith PD. Molecular pathways: fibroblast growth factor signaling: a new therapeutic opportunity in cancer. </w:t>
      </w:r>
      <w:r w:rsidRPr="000A32AD">
        <w:rPr>
          <w:rFonts w:ascii="Times New Roman" w:eastAsia="Times New Roman" w:hAnsi="Times New Roman" w:cs="Times New Roman"/>
          <w:iCs/>
          <w:color w:val="000000" w:themeColor="text1"/>
          <w:lang w:val="en-US" w:eastAsia="ru-RU"/>
        </w:rPr>
        <w:t>Clinical Cancer Research</w:t>
      </w:r>
      <w:r w:rsidRPr="000A32AD">
        <w:rPr>
          <w:rFonts w:ascii="Times New Roman" w:eastAsia="Times New Roman" w:hAnsi="Times New Roman" w:cs="Times New Roman"/>
          <w:color w:val="000000" w:themeColor="text1"/>
          <w:lang w:val="en-US" w:eastAsia="ru-RU"/>
        </w:rPr>
        <w:t>. 2012;18(7):1855–1862. doi: 10.1158/1078-0432.ccr-11-0699.</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Cai W, Schaper W. Mechanisms of аrteriogenesis. Acta Bioch. Bioph. Sin. 2008; 40(8): 681-692</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Carmeliet P, Eelen G, Kalucka G. Arteriogenesis versus angiogenesis. The ESC Textbook of Vascular Biology, edited by Kram R., Back M. Oxford University Press, 2017: 105-122.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eastAsia="Times New Roman" w:hAnsi="Times New Roman" w:cs="Times New Roman"/>
          <w:color w:val="000000" w:themeColor="text1"/>
          <w:lang w:val="en-US" w:eastAsia="ru-RU"/>
        </w:rPr>
        <w:t xml:space="preserve">Carter EP, Fearon AE, Grose RP. Careless talk costs lives: fibroblast growth factor receptor signalling and the consequences of pathway malfunction. </w:t>
      </w:r>
      <w:r w:rsidRPr="000A32AD">
        <w:rPr>
          <w:rFonts w:ascii="Times New Roman" w:eastAsia="Times New Roman" w:hAnsi="Times New Roman" w:cs="Times New Roman"/>
          <w:iCs/>
          <w:color w:val="000000" w:themeColor="text1"/>
          <w:lang w:val="en-US" w:eastAsia="ru-RU"/>
        </w:rPr>
        <w:t>Trends Cell Biol.</w:t>
      </w:r>
      <w:r w:rsidRPr="000A32AD">
        <w:rPr>
          <w:rFonts w:ascii="Times New Roman" w:eastAsia="Times New Roman" w:hAnsi="Times New Roman" w:cs="Times New Roman"/>
          <w:color w:val="000000" w:themeColor="text1"/>
          <w:lang w:val="en-US" w:eastAsia="ru-RU"/>
        </w:rPr>
        <w:t xml:space="preserve"> 2015; 25: 221–233. doi: 10.1016/j.tcb.2014.11.003</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Cavalera M, Wang J, Frangogiannis NG. Obesity, metabolic dysfunction, and cardiac fibrosis: pathophysiological pathways, molecular mechanisms, and therapeutic opportunities. Translational Research. 2014; 164(4): 323-335. doi: 10.1016/j.trsl.2014.05.001</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eastAsia="ar-SA"/>
        </w:rPr>
        <w:t>Charvát J. What is the significance of the phenomenon of hypertension in disguise in patients with type 2 diabetes mellitus treated for long-lasting hypertension?. [Article in Czech]. Vnitr Lek. 2016 Mar;62(3):215-7. Available on: http://www.ncbi.nlm.nih.gov/pubmed/27180672</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Chawla D, Bansal S, Banerjee BD, Madhu SV, Kalra OP, Tripathi AK. Role of advanced glycation end product (AGE)-induced receptor (RAGE) expression in diabetic vascular complications. Microvasc Res. 2014; 95:1-6. doi: </w:t>
      </w:r>
      <w:r w:rsidRPr="000A32AD">
        <w:rPr>
          <w:rFonts w:ascii="Times New Roman" w:hAnsi="Times New Roman" w:cs="Times New Roman"/>
          <w:color w:val="000000" w:themeColor="text1"/>
          <w:lang w:val="en-US"/>
        </w:rPr>
        <w:lastRenderedPageBreak/>
        <w:t>10.1016/j.mvr.2014.06.010</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Chlebova K, Bryja V, Dvorak P, Kozubik A, Wilcox WR, Krejci P. High molecular weight FGF2: the biology of a nuclear growth factor. Cell Mol Life Sci. 2009; 66(2): 225-235.</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Cifkova R. Epidemiology of hypertension. Manual of hypertension of the European Society of Hypertension. Ed. by G. Mancia, G. Grassi and J. Redon. 2014: 1-13.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Cottone S, Mulè G, Amato F, Riccobene R, Vadalà A, Lorito MC, Raspanti F, Cerasola G. Amplified biochemical activation of endothelial function in </w:t>
      </w:r>
      <w:r w:rsidRPr="000A32AD">
        <w:rPr>
          <w:rStyle w:val="highlight"/>
          <w:rFonts w:ascii="Times New Roman" w:hAnsi="Times New Roman" w:cs="Times New Roman"/>
          <w:color w:val="000000" w:themeColor="text1"/>
          <w:lang w:val="en-US"/>
        </w:rPr>
        <w:t>hypertension</w:t>
      </w:r>
      <w:r w:rsidRPr="000A32AD">
        <w:rPr>
          <w:rFonts w:ascii="Times New Roman" w:hAnsi="Times New Roman" w:cs="Times New Roman"/>
          <w:color w:val="000000" w:themeColor="text1"/>
          <w:lang w:val="en-US"/>
        </w:rPr>
        <w:t xml:space="preserve"> associated with moderate to severe renal failure. J Nephrol. 2002; 15(6): 643-648.</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eastAsia="Times New Roman" w:hAnsi="Times New Roman" w:cs="Times New Roman"/>
          <w:color w:val="000000" w:themeColor="text1"/>
          <w:lang w:val="en-US" w:eastAsia="ru-RU"/>
        </w:rPr>
        <w:t xml:space="preserve">Coutu DL, Galipeau J. Roles of FGF signaling in stem cell self-renewal, senescence and aging. </w:t>
      </w:r>
      <w:r w:rsidRPr="000A32AD">
        <w:rPr>
          <w:rFonts w:ascii="Times New Roman" w:eastAsia="Times New Roman" w:hAnsi="Times New Roman" w:cs="Times New Roman"/>
          <w:iCs/>
          <w:color w:val="000000" w:themeColor="text1"/>
          <w:lang w:val="en-US" w:eastAsia="ru-RU"/>
        </w:rPr>
        <w:t>Aging</w:t>
      </w:r>
      <w:r w:rsidRPr="000A32AD">
        <w:rPr>
          <w:rFonts w:ascii="Times New Roman" w:eastAsia="Times New Roman" w:hAnsi="Times New Roman" w:cs="Times New Roman"/>
          <w:color w:val="000000" w:themeColor="text1"/>
          <w:lang w:val="en-US" w:eastAsia="ru-RU"/>
        </w:rPr>
        <w:t>. 2011; 3 (10): 920–933. doi: 10.18632/aging.100369</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Dabbs</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DJ</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Diagnostic</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immunohistochemistry</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Churchill</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Livingstone</w:t>
      </w:r>
      <w:r w:rsidRPr="000A32AD">
        <w:rPr>
          <w:rFonts w:ascii="Times New Roman" w:hAnsi="Times New Roman" w:cs="Times New Roman"/>
          <w:color w:val="000000" w:themeColor="text1"/>
          <w:lang w:val="uk-UA"/>
        </w:rPr>
        <w:t xml:space="preserve">, 2006.  828 </w:t>
      </w:r>
      <w:r w:rsidRPr="000A32AD">
        <w:rPr>
          <w:rFonts w:ascii="Times New Roman" w:hAnsi="Times New Roman" w:cs="Times New Roman"/>
          <w:color w:val="000000" w:themeColor="text1"/>
          <w:lang w:val="en-US"/>
        </w:rPr>
        <w:t>p</w:t>
      </w:r>
      <w:r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Dabelea D, Talton JW, D’Agostino R, et al. Cardiovascular risk factors are associated with increased arterial stiffness in youth with type 1 diabetes: the SEARCH CVD study. Diabetes care. 2013; 36(12): 3938–3943. doi: 10.2337/dc13-0851;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eastAsia="ar-SA"/>
        </w:rPr>
        <w:t xml:space="preserve">De Cosmo S, Viazzi F, Piscitelli P, Giorda C, Ceriello A, Genovese S, </w:t>
      </w:r>
      <w:r w:rsidRPr="000A32AD">
        <w:rPr>
          <w:rFonts w:ascii="Times New Roman" w:hAnsi="Times New Roman" w:cs="Times New Roman"/>
          <w:color w:val="000000" w:themeColor="text1"/>
          <w:lang w:val="en-US"/>
        </w:rPr>
        <w:t xml:space="preserve">et al. </w:t>
      </w:r>
      <w:r w:rsidRPr="000A32AD">
        <w:rPr>
          <w:rFonts w:ascii="Times New Roman" w:hAnsi="Times New Roman" w:cs="Times New Roman"/>
          <w:color w:val="000000" w:themeColor="text1"/>
          <w:lang w:val="en-US" w:eastAsia="ar-SA"/>
        </w:rPr>
        <w:t>AMD-Annals Study Group Blood pressure status and the incidence of diabetic kidney disease in patients with hypertension and type 2 diabetes. J Hypertens. 2016. Available on: http://www.ncbi.nlm.nih.gov/pubmed/27457667</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Deckert T., Feldt-Rasmussen B., Borch-Johnsen K., Jensen T., Kofoed-Enevoldsen A. Albuminuria reflects widespread vascular damage. The Steno hypothesis // Diabetologia. – 1989. – 32(4). – P. 219–226.</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Della-Morte D, Ricordi C, Guadagni F, Rundek T. Measurement of subclinical carotid atherosclerosis may help in predicting risk for stroke in patients with diabetes. Metab Brain Dis. 2013;28(3):337–339. doi: 10.1007/s11011-013-9385-</w:t>
      </w:r>
      <w:r w:rsidRPr="000A32AD">
        <w:rPr>
          <w:rFonts w:ascii="Times New Roman" w:hAnsi="Times New Roman" w:cs="Times New Roman"/>
          <w:color w:val="000000" w:themeColor="text1"/>
          <w:lang w:val="en-US"/>
        </w:rPr>
        <w:lastRenderedPageBreak/>
        <w:t xml:space="preserve">3. </w:t>
      </w:r>
    </w:p>
    <w:p w:rsidR="00E85D19" w:rsidRPr="000A32AD" w:rsidRDefault="00E85D19" w:rsidP="00E85D19">
      <w:pPr>
        <w:pStyle w:val="a3"/>
        <w:widowControl w:val="0"/>
        <w:numPr>
          <w:ilvl w:val="0"/>
          <w:numId w:val="22"/>
        </w:numPr>
        <w:tabs>
          <w:tab w:val="left" w:pos="1276"/>
        </w:tabs>
        <w:ind w:left="0" w:firstLine="709"/>
        <w:contextualSpacing/>
        <w:jc w:val="both"/>
        <w:rPr>
          <w:rStyle w:val="31"/>
          <w:rFonts w:eastAsiaTheme="minorHAnsi"/>
          <w:color w:val="000000" w:themeColor="text1"/>
          <w:sz w:val="28"/>
          <w:szCs w:val="28"/>
          <w:lang w:val="en-US"/>
        </w:rPr>
      </w:pPr>
      <w:r w:rsidRPr="000A32AD">
        <w:rPr>
          <w:rStyle w:val="31"/>
          <w:rFonts w:eastAsiaTheme="minorHAnsi"/>
          <w:color w:val="000000" w:themeColor="text1"/>
          <w:sz w:val="28"/>
          <w:szCs w:val="28"/>
          <w:lang w:val="en-US"/>
        </w:rPr>
        <w:t xml:space="preserve">Dinh T, Tecilazich F, Kafanas A. et al., Mechanisms involved in the development and healing of diabetic foot ulceration. </w:t>
      </w:r>
      <w:r w:rsidRPr="000A32AD">
        <w:rPr>
          <w:rStyle w:val="32"/>
          <w:rFonts w:eastAsiaTheme="minorHAnsi"/>
          <w:i w:val="0"/>
          <w:color w:val="000000" w:themeColor="text1"/>
          <w:sz w:val="28"/>
          <w:szCs w:val="28"/>
          <w:lang w:val="en-US"/>
        </w:rPr>
        <w:t xml:space="preserve">Diabetes. </w:t>
      </w:r>
      <w:r w:rsidRPr="000A32AD">
        <w:rPr>
          <w:rStyle w:val="31"/>
          <w:rFonts w:eastAsiaTheme="minorHAnsi"/>
          <w:color w:val="000000" w:themeColor="text1"/>
          <w:sz w:val="28"/>
          <w:szCs w:val="28"/>
          <w:lang w:val="en-US"/>
        </w:rPr>
        <w:t>2012; 61(11): 2937-2947.</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Dolivo DM, Larson SA, Dominko T. FGF2-mediated attenuation of myofibroblast activation is modulated by distinct MAPK signaling pathways in human dermal fibroblasts. J Dermatol Sci. 2017; 88(3): 339-348. doi: 10.1016/j.jdermsci.2017.08.013.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Dolivo DM, Larson SA, Dominko T. </w:t>
      </w:r>
      <w:r w:rsidRPr="000A32AD">
        <w:rPr>
          <w:rStyle w:val="highlight"/>
          <w:rFonts w:ascii="Times New Roman" w:hAnsi="Times New Roman" w:cs="Times New Roman"/>
          <w:color w:val="000000" w:themeColor="text1"/>
          <w:lang w:val="en-US"/>
        </w:rPr>
        <w:t>Fibroblast growth factor 2</w:t>
      </w:r>
      <w:r w:rsidRPr="000A32AD">
        <w:rPr>
          <w:rFonts w:ascii="Times New Roman" w:hAnsi="Times New Roman" w:cs="Times New Roman"/>
          <w:color w:val="000000" w:themeColor="text1"/>
          <w:lang w:val="en-US"/>
        </w:rPr>
        <w:t xml:space="preserve"> as an antifibrotic: antagonism of myofibroblast differentiation and suppression of pro-fibrotic gene expression. Cytokine Growth Factor Rev. 2017; 38: 49-58. doi: 10.1016/j.cytogfr.2017.09.003.</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Doneen AL, Bale BF. Carotid intima-media thickness testing as an asymptomatic cardiovascular disease identifier and method for making therapeutic decisions. Postgrad Med. 2013;125:108–123. doi:10.3810/pgm.2013.03.2645.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Eto K, Tumenbayar B, Nagashima S-i, et al. Distinct association of serum FGF21 or adiponectin levels with clinical parameters in patients with type 2 diabetes. Diabetes Research and Clinical Practice. 2010; 89(1): 52-57. doi: 10.1016/j.diabres.2010.03.019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Faber JE, Chilian WM, Deindl E, van Royen N, Simons MA. Вrief etymology of the collateral circulation. Arterioscl. Thromb. Vasc. Biol. 2014; 39(9): 1854-1859.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Farkas K, Jermendy G, Herold M, et al. Impairment of the NO/cGMP pathway in the fasting and postprandial state in type 1 diabetes mellitus. Experiment. Сlin. Еndocr. and Diabetes. 2004;112(5):258–263. doi: 10.1055/s-2004-817973</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Ferroni P, Della-Morte D, Palmirotta R, Guadagni F, Rundek T, Roselli M. Angiogenesis and hypertension: the dual role of anti-hypertensive and anti-angiogenic therapies. Current Vascular Pharmacology. 2012; 10(4): 479-493.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lastRenderedPageBreak/>
        <w:t>Furumatsu Y, Nagasawa Y, Shoji T, Yamamoto R, Iio K, Matsui I et al. Urinary type IV collagen in nondiabetic kidney disease. Nephron. Clin. Pract.  2011: 117(2): 160–166.</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Giannini C, Mohn A, Chiarelli F, Kelnar CJ. Macrovascular angiopathy in children and adolescents with type 1 diabetes. Diabetes Metab Res Rev. 2011;27(5):436-460. doi: 10.1002/dmrr.1195</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González-Chica DA, Hill CL, Gill TK. et al. Individual diseases or clustering of health conditions? Association between multiple chronic diseases and health–related quality of life in adults. Health Qual Life Outcomes. 2017; 15(1): 244.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Grose R, Werner S. Wound healing studies in transgenic and knockout mice: a review. Methods Mol Med 2003, 78:191–216.</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eastAsia="uk-UA"/>
        </w:rPr>
        <w:t>Gupta-Malhotra M, Hashmi SS, Barratt MS, Milewicz DM Familial aggregation of first degree relatives of children with essential hypertension. Blood Press.</w:t>
      </w:r>
      <w:r w:rsidRPr="000A32AD">
        <w:rPr>
          <w:rFonts w:ascii="Times New Roman" w:hAnsi="Times New Roman" w:cs="Times New Roman"/>
          <w:color w:val="000000" w:themeColor="text1"/>
          <w:lang w:val="en-US"/>
        </w:rPr>
        <w:t xml:space="preserve"> </w:t>
      </w:r>
      <w:r w:rsidRPr="000A32AD">
        <w:rPr>
          <w:rFonts w:ascii="Times New Roman" w:hAnsi="Times New Roman" w:cs="Times New Roman"/>
          <w:color w:val="000000" w:themeColor="text1"/>
          <w:lang w:val="en-US" w:eastAsia="uk-UA"/>
        </w:rPr>
        <w:t>2018; 26: 1</w:t>
      </w:r>
      <w:r w:rsidRPr="000A32AD">
        <w:rPr>
          <w:rFonts w:ascii="Times New Roman" w:hAnsi="Times New Roman" w:cs="Times New Roman"/>
          <w:color w:val="000000" w:themeColor="text1"/>
          <w:lang w:val="en-US"/>
        </w:rPr>
        <w:t>–</w:t>
      </w:r>
      <w:r w:rsidRPr="000A32AD">
        <w:rPr>
          <w:rFonts w:ascii="Times New Roman" w:hAnsi="Times New Roman" w:cs="Times New Roman"/>
          <w:color w:val="000000" w:themeColor="text1"/>
          <w:lang w:val="en-US" w:eastAsia="uk-UA"/>
        </w:rPr>
        <w:t>8.</w:t>
      </w:r>
      <w:r w:rsidRPr="000A32AD">
        <w:rPr>
          <w:rFonts w:ascii="Times New Roman" w:hAnsi="Times New Roman" w:cs="Times New Roman"/>
          <w:color w:val="000000" w:themeColor="text1"/>
          <w:lang w:val="en-US"/>
        </w:rPr>
        <w:t xml:space="preserve"> </w:t>
      </w:r>
      <w:r w:rsidRPr="000A32AD">
        <w:rPr>
          <w:rFonts w:ascii="Times New Roman" w:hAnsi="Times New Roman" w:cs="Times New Roman"/>
          <w:color w:val="000000" w:themeColor="text1"/>
          <w:lang w:val="en-US" w:eastAsia="uk-UA"/>
        </w:rPr>
        <w:t>DOI:</w:t>
      </w:r>
      <w:r w:rsidRPr="000A32AD">
        <w:rPr>
          <w:rFonts w:ascii="Times New Roman" w:hAnsi="Times New Roman" w:cs="Times New Roman"/>
          <w:color w:val="000000" w:themeColor="text1"/>
          <w:lang w:val="en-US"/>
        </w:rPr>
        <w:t xml:space="preserve"> https://</w:t>
      </w:r>
      <w:r w:rsidRPr="000A32AD">
        <w:rPr>
          <w:rFonts w:ascii="Times New Roman" w:hAnsi="Times New Roman" w:cs="Times New Roman"/>
          <w:color w:val="000000" w:themeColor="text1"/>
          <w:lang w:val="en-US" w:eastAsia="uk-UA"/>
        </w:rPr>
        <w:t xml:space="preserve">doi: 10.1080/08037051.2018.1463818.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shd w:val="clear" w:color="auto" w:fill="FFFFFF"/>
          <w:lang w:val="en-US"/>
        </w:rPr>
      </w:pPr>
      <w:r w:rsidRPr="000A32AD">
        <w:rPr>
          <w:rFonts w:ascii="Times New Roman" w:hAnsi="Times New Roman" w:cs="Times New Roman"/>
          <w:color w:val="000000" w:themeColor="text1"/>
          <w:shd w:val="clear" w:color="auto" w:fill="FFFFFF"/>
          <w:lang w:val="en-US"/>
        </w:rPr>
        <w:t>Gurwitz JH, Magid DJ, Smith DH, Tabada GH, Sung SH, Allen LA</w:t>
      </w:r>
      <w:r w:rsidRPr="000A32AD">
        <w:rPr>
          <w:rFonts w:ascii="Times New Roman" w:hAnsi="Times New Roman" w:cs="Times New Roman"/>
          <w:color w:val="000000" w:themeColor="text1"/>
          <w:lang w:val="en-US"/>
        </w:rPr>
        <w:t xml:space="preserve">. et al. Treatment effectiveness in heart failure with comorbidity: lung disease and kidney disease. J. Am. Geriatr. Soc. 2017; 65 (12): 2610–2618. </w:t>
      </w:r>
      <w:r w:rsidRPr="000A32AD">
        <w:rPr>
          <w:rFonts w:ascii="Times New Roman" w:hAnsi="Times New Roman" w:cs="Times New Roman"/>
          <w:color w:val="000000" w:themeColor="text1"/>
          <w:shd w:val="clear" w:color="auto" w:fill="FFFFFF"/>
          <w:lang w:val="en-US"/>
        </w:rPr>
        <w:t>doi: 10.1111/jgs.15062</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Guzy RD, Stoilov I, Elton TJ, Mecham RP, Ornitz DM. FGF2 is required for epithelial recovery, but not for pulmonary fibrosis, in response to bleomycin. Am J Respir Cell Mol Biol. 2015, 52:116–128.</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Hakanpaa L, Sipila T, Leppanen VM. et al. Endothelial destabilization by angiopoetin-2 via integrin beta 1 activation. Nat. Commun. 2015; 6: 59-62.</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Hamano K, Nitta A, Ohtake T, Kobayashi S. Associations of renal vascular resistance with albuminuria and other macroangiopathy in type 2 diabetic patients. Diabetes Care. 2008;31(9):1853–1857. doi: 10.2337/dc08-0168</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Han J, Hiebert LM. Alteration of endothelial proteoglycan and heparanase gene expression by high glucose, insulin and heparin. Vascul Pharmacol. 2013; 59(3-4):112-118. doi: 10.1016/j.vph.2013.08.001</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lastRenderedPageBreak/>
        <w:t>Hartlapp I., Abe R., Saeed R.W. Fibrocytes induce anangiogenic phenotype in cultured endothelial cells and promote angiogenesis in vivo. FASEB J. 2001; 15: 2215-2224.</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Hashimoto J, Ito S. Central pulse pressure and aortic stiffness determine renal hemodynamics: pathophysiological implication for microalbuminuria in hypertension. Hypertension. 2011;58(5):839–846. doi: 10.1161/HYPERTENSIONAHA.111.177469</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bCs/>
          <w:color w:val="000000" w:themeColor="text1"/>
          <w:lang w:val="en-US"/>
        </w:rPr>
        <w:t xml:space="preserve">Hennings A, Hannemann A, Rettig R. </w:t>
      </w:r>
      <w:r w:rsidRPr="000A32AD">
        <w:rPr>
          <w:rFonts w:ascii="Times New Roman" w:hAnsi="Times New Roman" w:cs="Times New Roman"/>
          <w:color w:val="000000" w:themeColor="text1"/>
          <w:lang w:val="en-US"/>
        </w:rPr>
        <w:t xml:space="preserve">Circulating angiopoietin-2 and its soluble receptor Tie-2 concentrations are related to renal function in two population-based cohorts. PLOS ONE. 2016; 11 (28): 1-14.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Hiebert LM, Han J, Mandal AK. Glycosaminoglycans, hyperglycemia, and disease. Antioxid Redox Signal. 2014 Sep 1;21(7):1032-43. doi: 10.1089/ars.2013.5695</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High Blood Pressure: Why prevention and control are urgent and important: a 2014 fact sheet from the World Hypertension League and the International Society of Hypertension. Available from: http://ish-world.com/news/a/WHL-and-ISH-Hypertension-Fact-Sheet</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Hinz B. The myofibroblast: Paradigm for a mechanically active cell. J. Biomechanics. 2010; 43: 146-155.</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eastAsia="Times New Roman" w:hAnsi="Times New Roman" w:cs="Times New Roman"/>
          <w:color w:val="000000" w:themeColor="text1"/>
          <w:lang w:val="en-US" w:eastAsia="ru-RU"/>
        </w:rPr>
        <w:t xml:space="preserve">Hong B-Z, Park S-A, Kim H-N, Ma T-Z, Kim H-G, Kang H-S et al. </w:t>
      </w:r>
      <w:r w:rsidRPr="000A32AD">
        <w:rPr>
          <w:rFonts w:ascii="Times New Roman" w:eastAsia="Times New Roman" w:hAnsi="Times New Roman" w:cs="Times New Roman"/>
          <w:color w:val="000000" w:themeColor="text1"/>
          <w:kern w:val="36"/>
          <w:lang w:val="en-US" w:eastAsia="ru-RU"/>
        </w:rPr>
        <w:t xml:space="preserve">Basic fibroblast growth factor increases intracellular magnesium concentration through the specific signaling pathways. </w:t>
      </w:r>
      <w:hyperlink r:id="rId20" w:tooltip="Molecules and Cells" w:history="1">
        <w:r w:rsidRPr="000A32AD">
          <w:rPr>
            <w:rFonts w:ascii="Times New Roman" w:eastAsia="Times New Roman" w:hAnsi="Times New Roman" w:cs="Times New Roman"/>
            <w:color w:val="000000" w:themeColor="text1"/>
            <w:lang w:val="en-US" w:eastAsia="ru-RU"/>
          </w:rPr>
          <w:t>Mol. Cel</w:t>
        </w:r>
      </w:hyperlink>
      <w:r w:rsidRPr="000A32AD">
        <w:rPr>
          <w:rFonts w:ascii="Times New Roman" w:eastAsia="Times New Roman" w:hAnsi="Times New Roman" w:cs="Times New Roman"/>
          <w:color w:val="000000" w:themeColor="text1"/>
          <w:lang w:val="en-US" w:eastAsia="ru-RU"/>
        </w:rPr>
        <w:t>. 2009, 28 (1):13–17. https://doi.org/10.1007/s10059-009-0103-2</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eastAsia="ar-SA"/>
        </w:rPr>
        <w:t xml:space="preserve">Horr S, Nissen S. Managing hypertension in type 2 diabetes mellitus. Best Pract Res Clin Endocrinol Metab. 2016; 30(3): 445-454. doi: 10.1016/j.beem.2016. 06.001.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Hou FF, Ren H, Owen WF, Guo ZJ, Chen PY, Schmidt AM, et al. Enhanced expression of receptor for advanced glycation end products in chronic </w:t>
      </w:r>
      <w:r w:rsidRPr="000A32AD">
        <w:rPr>
          <w:rFonts w:ascii="Times New Roman" w:hAnsi="Times New Roman" w:cs="Times New Roman"/>
          <w:color w:val="000000" w:themeColor="text1"/>
          <w:lang w:val="en-US"/>
        </w:rPr>
        <w:lastRenderedPageBreak/>
        <w:t xml:space="preserve">kidney disease. J Am Soc Nephrol 2007;15(7):1889–1896.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eastAsia="Times New Roman" w:hAnsi="Times New Roman" w:cs="Times New Roman"/>
          <w:color w:val="000000" w:themeColor="text1"/>
          <w:lang w:val="en-US" w:eastAsia="ru-RU"/>
        </w:rPr>
        <w:t xml:space="preserve">House SL, House BE, Glascock B, Kimball T, Nusayr E, Schultz JEJ et al. Fibroblast growth factor 2 mediates isoproterenol-induced cardiac hypertrophy through activation of the extracellular regulated kinase. </w:t>
      </w:r>
      <w:r w:rsidRPr="000A32AD">
        <w:rPr>
          <w:rFonts w:ascii="Times New Roman" w:eastAsia="Times New Roman" w:hAnsi="Times New Roman" w:cs="Times New Roman"/>
          <w:iCs/>
          <w:color w:val="000000" w:themeColor="text1"/>
          <w:lang w:val="en-US" w:eastAsia="ru-RU"/>
        </w:rPr>
        <w:t>Mol. Cell. Pharmacol.</w:t>
      </w:r>
      <w:r w:rsidRPr="000A32AD">
        <w:rPr>
          <w:rFonts w:ascii="Times New Roman" w:eastAsia="Times New Roman" w:hAnsi="Times New Roman" w:cs="Times New Roman"/>
          <w:color w:val="000000" w:themeColor="text1"/>
          <w:lang w:val="en-US" w:eastAsia="ru-RU"/>
        </w:rPr>
        <w:t xml:space="preserve"> 2010; 2:143-154. doi: 10.4255/mcpharmacol.10.20</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eastAsia="Times New Roman" w:hAnsi="Times New Roman" w:cs="Times New Roman"/>
          <w:color w:val="000000" w:themeColor="text1"/>
          <w:lang w:val="en-US" w:eastAsia="ru-RU"/>
        </w:rPr>
        <w:t xml:space="preserve">House SL, Wang J, Castro AM., Weinheimer C, Kovacs A, Ornitz DM. Fibroblast growth factor 2 is an essential cardioprotective factor in a closed-chest model of cardiac ischemia-reperfusion injury. </w:t>
      </w:r>
      <w:r w:rsidRPr="000A32AD">
        <w:rPr>
          <w:rFonts w:ascii="Times New Roman" w:eastAsia="Times New Roman" w:hAnsi="Times New Roman" w:cs="Times New Roman"/>
          <w:iCs/>
          <w:color w:val="000000" w:themeColor="text1"/>
          <w:lang w:val="en-US" w:eastAsia="ru-RU"/>
        </w:rPr>
        <w:t>Physiol. Rep. 2015;</w:t>
      </w:r>
      <w:r w:rsidRPr="000A32AD">
        <w:rPr>
          <w:rFonts w:ascii="Times New Roman" w:eastAsia="Times New Roman" w:hAnsi="Times New Roman" w:cs="Times New Roman"/>
          <w:color w:val="000000" w:themeColor="text1"/>
          <w:lang w:val="en-US" w:eastAsia="ru-RU"/>
        </w:rPr>
        <w:t xml:space="preserve"> 3:e12278. doi: 10.14814/phy2.12278</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eastAsia="Times New Roman" w:hAnsi="Times New Roman" w:cs="Times New Roman"/>
          <w:color w:val="000000" w:themeColor="text1"/>
          <w:lang w:val="en-US" w:eastAsia="ru-RU"/>
        </w:rPr>
        <w:t xml:space="preserve">Humar R, Zimmerli L, Battegay E. Angiogenesis and hypertension: an update. J Hum Hypertens. 2009;23: 773–782. doi: </w:t>
      </w:r>
      <w:hyperlink r:id="rId21" w:tgtFrame="_blank" w:history="1">
        <w:r w:rsidRPr="000A32AD">
          <w:rPr>
            <w:rFonts w:ascii="Times New Roman" w:eastAsia="Times New Roman" w:hAnsi="Times New Roman" w:cs="Times New Roman"/>
            <w:color w:val="000000" w:themeColor="text1"/>
            <w:lang w:val="en-US" w:eastAsia="ru-RU"/>
          </w:rPr>
          <w:t>10.1038/jhh.2009.63</w:t>
        </w:r>
      </w:hyperlink>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IDF Diabetes Atlas, 7th edition. Brussels: International Diabetes Federation; 2015. Available from: http://www.diabetesatlas.org</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Ix JH, Shlipak MG, Wassel CL, Whooley MA. Fibroblast growth factor-23 and early decrements in kidney function: The Heart and Soul Study. Nephrol. Dial. Transplant. 2010; 25: 993–997.</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James PA, Oparil S, Carter BL. et al. Evidence-based guideline for the management of high blood pressure in adults: report from the panel members appointed to the Eighth Joint National Committee (JNC 8). JAMA. 2014; 311 (5): 507-520.</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 Jarad G, Miner J. Update on the glomerular filtration barrier. Curr. Opin. Nephrol. Hypertens. 2009; 18(3): 226–232.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Kannel W.B. Framingham study insights on diabetes and cardiovascular disease. Clin. Chem. 2011; 57 (2): 338–339.</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Kardami E, Detillieux K, Ma X, Jiang Z, Santiago JJ, Jimenez SK, Cattini PA. Fibroblast Growth Factor-2 and cardioprotection. Heart Fail Rev 2007, 12:267–277.</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Keeley EC, Mehrad B, Strieter RM. Fibrocytes: bringing new insights into </w:t>
      </w:r>
      <w:r w:rsidRPr="000A32AD">
        <w:rPr>
          <w:rFonts w:ascii="Times New Roman" w:hAnsi="Times New Roman" w:cs="Times New Roman"/>
          <w:color w:val="000000" w:themeColor="text1"/>
          <w:lang w:val="en-US"/>
        </w:rPr>
        <w:lastRenderedPageBreak/>
        <w:t>mechanisms of inflammation and fibrosis. Int. J. Biochem. Cell Biol. 2010; 42(4): 535-542.</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shd w:val="clear" w:color="auto" w:fill="FFFFFF"/>
          <w:lang w:val="en-US"/>
        </w:rPr>
      </w:pPr>
      <w:r w:rsidRPr="000A32AD">
        <w:rPr>
          <w:rFonts w:ascii="Times New Roman" w:hAnsi="Times New Roman" w:cs="Times New Roman"/>
          <w:color w:val="000000" w:themeColor="text1"/>
          <w:shd w:val="clear" w:color="auto" w:fill="FFFFFF"/>
          <w:lang w:val="en-US"/>
        </w:rPr>
        <w:t>Kendir C, van den Akker M, Vos R, Metsemakers J.</w:t>
      </w:r>
      <w:r w:rsidRPr="000A32AD">
        <w:rPr>
          <w:rFonts w:ascii="Times New Roman" w:hAnsi="Times New Roman" w:cs="Times New Roman"/>
          <w:color w:val="000000" w:themeColor="text1"/>
          <w:lang w:val="en-US"/>
        </w:rPr>
        <w:t xml:space="preserve"> Cardiovascular disease patients have increased risk for comorbidity: A cross-sectional study in the Netherlands. </w:t>
      </w:r>
      <w:r w:rsidRPr="000A32AD">
        <w:rPr>
          <w:rFonts w:ascii="Times New Roman" w:hAnsi="Times New Roman" w:cs="Times New Roman"/>
          <w:color w:val="000000" w:themeColor="text1"/>
          <w:shd w:val="clear" w:color="auto" w:fill="FFFFFF"/>
          <w:lang w:val="en-US"/>
        </w:rPr>
        <w:t>Eur J Gen Pract. 2018; 24(1): 45-50. doi: 10.1080/13814788.2017.1398318</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Kieć-Wilk B, Stolarz-Skrzypek K, Śliwa A, Zdzienicka A, Kawecka-Jaszcz K. Peripheral blood concentrations of TGFb1, IGF−1 and bFGF and remodelling of the left ventricle and blood vessels in hypertensive patients. Kardiol Pol. 2010; 68, 9: 996–1002</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eastAsia="Times New Roman" w:hAnsi="Times New Roman" w:cs="Times New Roman"/>
          <w:color w:val="000000" w:themeColor="text1"/>
          <w:lang w:val="en-US" w:eastAsia="ru-RU"/>
        </w:rPr>
        <w:t>Kim MS, Song HJ, Lee SH, Lee CK. Comparative study of various growth factors and cytokines on type I collagen and hyaluronan production in human dermal fibroblasts. J Cosmet Dermatol. 2014; 13:44–51. doi: 10.1111/jocd.12073</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Kimura K, Hashiguchi T, Deguchi T. et al. Serum VEGF-as a prognostic factor of atherosclerosis. Atherosclerosis. 2007; 194 (1): 182-188.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Kinoshita T, Ishikawa Y, Arita M, Akishima-Fukasawa Y, Fujita K, Inomata N et al. Antifibrotic response of cardiac fibroblasts in hypertensive hearts through enhanced TIMP-1 expression by basic fibroblast growth factor. Cardiovasc Pathol. 2014; 23(2):92-100. doi: 10.1016/j.carpath.2013.11.001.</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shd w:val="clear" w:color="auto" w:fill="FFFFFF"/>
          <w:lang w:val="en-US"/>
        </w:rPr>
      </w:pPr>
      <w:r w:rsidRPr="000A32AD">
        <w:rPr>
          <w:rFonts w:ascii="Times New Roman" w:hAnsi="Times New Roman" w:cs="Times New Roman"/>
          <w:color w:val="000000" w:themeColor="text1"/>
          <w:lang w:val="en-US"/>
        </w:rPr>
        <w:t xml:space="preserve">Knowles S, Hays R, Senra H. et al. Empowering people to help speak up about safety in primary care: Using codesign to involve patients and professionals in developing new interventions for patients with multimorbidity. </w:t>
      </w:r>
      <w:r w:rsidRPr="000A32AD">
        <w:rPr>
          <w:rFonts w:ascii="Times New Roman" w:hAnsi="Times New Roman" w:cs="Times New Roman"/>
          <w:color w:val="000000" w:themeColor="text1"/>
          <w:shd w:val="clear" w:color="auto" w:fill="FFFFFF"/>
          <w:lang w:val="en-US"/>
        </w:rPr>
        <w:t xml:space="preserve">Health Expect. 2018;21(2):539-548. doi: 10.1111/hex.12648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 </w:t>
      </w:r>
      <w:r w:rsidRPr="000A32AD">
        <w:rPr>
          <w:rFonts w:ascii="Times New Roman" w:eastAsia="Times New Roman" w:hAnsi="Times New Roman" w:cs="Times New Roman"/>
          <w:color w:val="000000" w:themeColor="text1"/>
          <w:lang w:val="en-US" w:eastAsia="ru-RU"/>
        </w:rPr>
        <w:t xml:space="preserve">Koo HY, El-Baz LM, House S, Cilvik SN, Dorry SJ, Shoukry NM et al. </w:t>
      </w:r>
      <w:r w:rsidRPr="000A32AD">
        <w:rPr>
          <w:rFonts w:ascii="Times New Roman" w:eastAsia="Times New Roman" w:hAnsi="Times New Roman" w:cs="Times New Roman"/>
          <w:bCs/>
          <w:color w:val="000000" w:themeColor="text1"/>
          <w:kern w:val="36"/>
          <w:lang w:val="en-US" w:eastAsia="ru-RU"/>
        </w:rPr>
        <w:t xml:space="preserve">Fibroblast growth factor 2 decreases bleomycin-induced pulmonary fibrosis and inhibits fibroblast collagen production and myofibroblast differentiation. </w:t>
      </w:r>
      <w:r w:rsidRPr="000A32AD">
        <w:rPr>
          <w:rFonts w:ascii="Times New Roman" w:eastAsia="Times New Roman" w:hAnsi="Times New Roman" w:cs="Times New Roman"/>
          <w:color w:val="000000" w:themeColor="text1"/>
          <w:lang w:val="en-US" w:eastAsia="ru-RU"/>
        </w:rPr>
        <w:t xml:space="preserve">J Pathol. 2018; 246(1):54-66. doi: 10.1002/path.5106.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Korhonen EA, Lampinen A, Giri H, Anisimov A, Kim M, Allen B, Fang </w:t>
      </w:r>
      <w:r w:rsidRPr="000A32AD">
        <w:rPr>
          <w:rFonts w:ascii="Times New Roman" w:hAnsi="Times New Roman" w:cs="Times New Roman"/>
          <w:color w:val="000000" w:themeColor="text1"/>
          <w:lang w:val="en-US"/>
        </w:rPr>
        <w:lastRenderedPageBreak/>
        <w:t xml:space="preserve">S. Tie1 controls angiopoietin function in vascular remodeling and inflammation. J Clin Invest. 2016; 126(9): 3495-3510.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Kotajima N, Kimura T, Kanda T, Obata K, Kuwabara A, Fukumura Y, Kobayashi I. Type IV collagen as an early marker for diabetic nephropathy in non-insulin-dependent diabetes mellitus. J. Diabetes Complications. 2000; 14: 13–17.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Kucukardali Y, Aydogdu S, Ozmen N. </w:t>
      </w:r>
      <w:r w:rsidRPr="000A32AD">
        <w:rPr>
          <w:rFonts w:ascii="Times New Roman" w:hAnsi="Times New Roman" w:cs="Times New Roman"/>
          <w:color w:val="000000" w:themeColor="text1"/>
          <w:lang w:val="en-US" w:bidi="or-IN"/>
        </w:rPr>
        <w:t xml:space="preserve">et al. </w:t>
      </w:r>
      <w:r w:rsidRPr="000A32AD">
        <w:rPr>
          <w:rFonts w:ascii="Times New Roman" w:hAnsi="Times New Roman" w:cs="Times New Roman"/>
          <w:color w:val="000000" w:themeColor="text1"/>
          <w:lang w:val="en-US"/>
        </w:rPr>
        <w:t xml:space="preserve">The relationship between severity of coronary artery disease and plasma level of vascular endothelial growth factor. Cardiovasc. Revasc. Med. 2008; 9(2): 66-70.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Larsson A, Sköldenberg E, Ericson H. </w:t>
      </w:r>
      <w:r w:rsidRPr="000A32AD">
        <w:rPr>
          <w:rStyle w:val="highlight"/>
          <w:rFonts w:ascii="Times New Roman" w:hAnsi="Times New Roman" w:cs="Times New Roman"/>
          <w:color w:val="000000" w:themeColor="text1"/>
          <w:lang w:val="en-US"/>
        </w:rPr>
        <w:t>Serum</w:t>
      </w:r>
      <w:r w:rsidRPr="000A32AD">
        <w:rPr>
          <w:rFonts w:ascii="Times New Roman" w:hAnsi="Times New Roman" w:cs="Times New Roman"/>
          <w:color w:val="000000" w:themeColor="text1"/>
          <w:lang w:val="en-US"/>
        </w:rPr>
        <w:t xml:space="preserve"> and </w:t>
      </w:r>
      <w:r w:rsidRPr="000A32AD">
        <w:rPr>
          <w:rStyle w:val="highlight"/>
          <w:rFonts w:ascii="Times New Roman" w:hAnsi="Times New Roman" w:cs="Times New Roman"/>
          <w:color w:val="000000" w:themeColor="text1"/>
          <w:lang w:val="en-US"/>
        </w:rPr>
        <w:t>plasma</w:t>
      </w:r>
      <w:r w:rsidRPr="000A32AD">
        <w:rPr>
          <w:rFonts w:ascii="Times New Roman" w:hAnsi="Times New Roman" w:cs="Times New Roman"/>
          <w:color w:val="000000" w:themeColor="text1"/>
          <w:lang w:val="en-US"/>
        </w:rPr>
        <w:t xml:space="preserve"> </w:t>
      </w:r>
      <w:r w:rsidRPr="000A32AD">
        <w:rPr>
          <w:rStyle w:val="highlight"/>
          <w:rFonts w:ascii="Times New Roman" w:hAnsi="Times New Roman" w:cs="Times New Roman"/>
          <w:color w:val="000000" w:themeColor="text1"/>
          <w:lang w:val="en-US"/>
        </w:rPr>
        <w:t>levels</w:t>
      </w:r>
      <w:r w:rsidRPr="000A32AD">
        <w:rPr>
          <w:rFonts w:ascii="Times New Roman" w:hAnsi="Times New Roman" w:cs="Times New Roman"/>
          <w:color w:val="000000" w:themeColor="text1"/>
          <w:lang w:val="en-US"/>
        </w:rPr>
        <w:t xml:space="preserve"> of </w:t>
      </w:r>
      <w:r w:rsidRPr="000A32AD">
        <w:rPr>
          <w:rStyle w:val="highlight"/>
          <w:rFonts w:ascii="Times New Roman" w:hAnsi="Times New Roman" w:cs="Times New Roman"/>
          <w:color w:val="000000" w:themeColor="text1"/>
          <w:lang w:val="en-US"/>
        </w:rPr>
        <w:t>FGF-2</w:t>
      </w:r>
      <w:r w:rsidRPr="000A32AD">
        <w:rPr>
          <w:rFonts w:ascii="Times New Roman" w:hAnsi="Times New Roman" w:cs="Times New Roman"/>
          <w:color w:val="000000" w:themeColor="text1"/>
          <w:lang w:val="en-US"/>
        </w:rPr>
        <w:t xml:space="preserve"> and VEGF in healthy blood donors. Angiogenesis. 2002;5(1-2):107-110.</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eastAsia="Times New Roman" w:hAnsi="Times New Roman" w:cs="Times New Roman"/>
          <w:color w:val="000000" w:themeColor="text1"/>
          <w:lang w:val="en-US" w:eastAsia="ru-RU"/>
        </w:rPr>
        <w:t xml:space="preserve">Lee IY, Kim J, Ko E.-M, Jeoung EJ, Kwon Y.-G, Choe J. </w:t>
      </w:r>
      <w:r w:rsidRPr="000A32AD">
        <w:rPr>
          <w:rFonts w:ascii="Times New Roman" w:eastAsia="Times New Roman" w:hAnsi="Times New Roman" w:cs="Times New Roman"/>
          <w:bCs/>
          <w:color w:val="000000" w:themeColor="text1"/>
          <w:lang w:val="en-US" w:eastAsia="ru-RU"/>
        </w:rPr>
        <w:t xml:space="preserve">Interleukin-4 Inhibits the Vascular Endothelial Growth Factor- and Basic Fibroblast Growth Factor-induced Angiogenesis in vitro. </w:t>
      </w:r>
      <w:r w:rsidRPr="000A32AD">
        <w:rPr>
          <w:rFonts w:ascii="Times New Roman" w:eastAsia="Times New Roman" w:hAnsi="Times New Roman" w:cs="Times New Roman"/>
          <w:color w:val="000000" w:themeColor="text1"/>
          <w:lang w:val="en-US" w:eastAsia="ru-RU"/>
        </w:rPr>
        <w:t>Mol. Cells. 2002; 14(1): 115–121.</w:t>
      </w:r>
    </w:p>
    <w:p w:rsidR="00E85D19" w:rsidRPr="000A32AD" w:rsidRDefault="00E85D19" w:rsidP="00E85D19">
      <w:pPr>
        <w:pStyle w:val="a3"/>
        <w:widowControl w:val="0"/>
        <w:numPr>
          <w:ilvl w:val="0"/>
          <w:numId w:val="22"/>
        </w:numPr>
        <w:tabs>
          <w:tab w:val="left" w:pos="1276"/>
        </w:tabs>
        <w:ind w:left="0" w:firstLine="709"/>
        <w:contextualSpacing/>
        <w:jc w:val="both"/>
        <w:rPr>
          <w:rStyle w:val="31"/>
          <w:rFonts w:eastAsiaTheme="minorHAnsi"/>
          <w:color w:val="000000" w:themeColor="text1"/>
          <w:sz w:val="28"/>
          <w:szCs w:val="28"/>
          <w:lang w:val="en-US"/>
        </w:rPr>
      </w:pPr>
      <w:r w:rsidRPr="000A32AD">
        <w:rPr>
          <w:rStyle w:val="31"/>
          <w:rFonts w:eastAsiaTheme="minorHAnsi"/>
          <w:color w:val="000000" w:themeColor="text1"/>
          <w:sz w:val="28"/>
          <w:szCs w:val="28"/>
          <w:lang w:val="en-US"/>
        </w:rPr>
        <w:t>Lennon FE, Singleton PA. Hyaluronan regulation of vascular integrity.</w:t>
      </w:r>
      <w:r w:rsidRPr="000A32AD">
        <w:rPr>
          <w:rStyle w:val="32"/>
          <w:rFonts w:eastAsiaTheme="minorHAnsi"/>
          <w:i w:val="0"/>
          <w:color w:val="000000" w:themeColor="text1"/>
          <w:sz w:val="28"/>
          <w:szCs w:val="28"/>
          <w:lang w:val="en-US"/>
        </w:rPr>
        <w:t xml:space="preserve"> Am J Cardiovasc Dis. 2011; </w:t>
      </w:r>
      <w:r w:rsidRPr="000A32AD">
        <w:rPr>
          <w:rStyle w:val="31"/>
          <w:rFonts w:eastAsiaTheme="minorHAnsi"/>
          <w:color w:val="000000" w:themeColor="text1"/>
          <w:sz w:val="28"/>
          <w:szCs w:val="28"/>
          <w:lang w:val="en-US"/>
        </w:rPr>
        <w:t>1(3): 200-213.</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Liao S, Porter D, Scott A, Newman G, Doetschman T, Schultz Jel J. The cardioprotective effect of the low molecular weight isoform of Fibroblast Growth Factor-2: the role of JNK signaling. J Mol Cell Cardiol 2007, 42:106–120.</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Linden E, Cai W, He JC, Xue C, Li Z, Winston J, et al. Endothelial dysfunction in patients with chronic kidney disease results from advanced glycation end products (AGE)-mediated inhibition of endothelial nitric oxide synthase through RAGE activation. Clin J Amer Soc Nephrol. 2008; 3(3):691–698. DOI: http://dx.doi.org/10.2215/CJN.04291007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 Liu J-W, Liu D, Cui K-Z, et al. Recent advances in understanding the biochemical and molecular mechanism of diabetic cardiomyopathy. Biochem. Biophys. Res. Commun. 2012;427(3):441-443. doi: 10.1016/j.bbrc.2012.09.058</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eastAsia="Times New Roman" w:hAnsi="Times New Roman" w:cs="Times New Roman"/>
          <w:color w:val="000000" w:themeColor="text1"/>
          <w:lang w:val="en-US" w:eastAsia="ru-RU"/>
        </w:rPr>
        <w:t xml:space="preserve">Liu Y, Liu Y, Liu X, Chen J, Zhang K, Huang F, et al. Apocynin attenuates cardiac injury in type 4 cardiorenal syndrome via suppressing cardiac </w:t>
      </w:r>
      <w:r w:rsidRPr="000A32AD">
        <w:rPr>
          <w:rFonts w:ascii="Times New Roman" w:eastAsia="Times New Roman" w:hAnsi="Times New Roman" w:cs="Times New Roman"/>
          <w:color w:val="000000" w:themeColor="text1"/>
          <w:lang w:val="en-US" w:eastAsia="ru-RU"/>
        </w:rPr>
        <w:lastRenderedPageBreak/>
        <w:t xml:space="preserve">fibroblast growth factor-2 with oxidative stress inhibition. </w:t>
      </w:r>
      <w:r w:rsidRPr="000A32AD">
        <w:rPr>
          <w:rFonts w:ascii="Times New Roman" w:eastAsia="Times New Roman" w:hAnsi="Times New Roman" w:cs="Times New Roman"/>
          <w:iCs/>
          <w:color w:val="000000" w:themeColor="text1"/>
          <w:lang w:val="en-US" w:eastAsia="ru-RU"/>
        </w:rPr>
        <w:t>J. Am. Heart Assoc.</w:t>
      </w:r>
      <w:r w:rsidRPr="000A32AD">
        <w:rPr>
          <w:rFonts w:ascii="Times New Roman" w:eastAsia="Times New Roman" w:hAnsi="Times New Roman" w:cs="Times New Roman"/>
          <w:color w:val="000000" w:themeColor="text1"/>
          <w:lang w:val="en-US" w:eastAsia="ru-RU"/>
        </w:rPr>
        <w:t xml:space="preserve"> 2015; 4:e001598. doi: 10.1161/JAHA.114.001598</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Lopes-Virella MF, Hunt KJ, Baker NL, Lachin J, Nathan DM, Virella G. Levels of oxidized LDL and advanced glycation end products-modified LDL in circulating immune complexes are strongly associated with increased levels of carotid intima-media thickness and its progression in type 1 diabetes. Diabetes. 2010;60(2):582–589. DOI: http://dx.doi.org/10.2337/db10-0915</w:t>
      </w:r>
    </w:p>
    <w:p w:rsidR="00E85D19" w:rsidRPr="000A32AD" w:rsidRDefault="0029061A" w:rsidP="00E85D19">
      <w:pPr>
        <w:pStyle w:val="a3"/>
        <w:widowControl w:val="0"/>
        <w:numPr>
          <w:ilvl w:val="0"/>
          <w:numId w:val="22"/>
        </w:numPr>
        <w:tabs>
          <w:tab w:val="left" w:pos="1276"/>
        </w:tabs>
        <w:ind w:left="0" w:firstLine="709"/>
        <w:contextualSpacing/>
        <w:jc w:val="both"/>
        <w:rPr>
          <w:rStyle w:val="slug-doi"/>
          <w:rFonts w:ascii="Times New Roman" w:hAnsi="Times New Roman" w:cs="Times New Roman"/>
          <w:color w:val="000000" w:themeColor="text1"/>
          <w:lang w:val="en-US"/>
        </w:rPr>
      </w:pPr>
      <w:hyperlink r:id="rId22" w:history="1">
        <w:r w:rsidR="00E85D19" w:rsidRPr="000A32AD">
          <w:rPr>
            <w:rFonts w:ascii="Times New Roman" w:hAnsi="Times New Roman" w:cs="Times New Roman"/>
            <w:color w:val="000000" w:themeColor="text1"/>
            <w:lang w:val="en-US"/>
          </w:rPr>
          <w:t>Lorbeer</w:t>
        </w:r>
      </w:hyperlink>
      <w:r w:rsidR="00E85D19" w:rsidRPr="000A32AD">
        <w:rPr>
          <w:rFonts w:ascii="Times New Roman" w:hAnsi="Times New Roman" w:cs="Times New Roman"/>
          <w:color w:val="000000" w:themeColor="text1"/>
          <w:lang w:val="en-US"/>
        </w:rPr>
        <w:t xml:space="preserve"> R, </w:t>
      </w:r>
      <w:hyperlink r:id="rId23" w:history="1">
        <w:r w:rsidR="00E85D19" w:rsidRPr="000A32AD">
          <w:rPr>
            <w:rFonts w:ascii="Times New Roman" w:hAnsi="Times New Roman" w:cs="Times New Roman"/>
            <w:color w:val="000000" w:themeColor="text1"/>
            <w:lang w:val="en-US"/>
          </w:rPr>
          <w:t>Baumeister</w:t>
        </w:r>
      </w:hyperlink>
      <w:r w:rsidR="00E85D19" w:rsidRPr="000A32AD">
        <w:rPr>
          <w:rFonts w:ascii="Times New Roman" w:hAnsi="Times New Roman" w:cs="Times New Roman"/>
          <w:color w:val="000000" w:themeColor="text1"/>
          <w:lang w:val="en-US"/>
        </w:rPr>
        <w:t xml:space="preserve"> SE, </w:t>
      </w:r>
      <w:hyperlink r:id="rId24" w:history="1">
        <w:r w:rsidR="00E85D19" w:rsidRPr="000A32AD">
          <w:rPr>
            <w:rFonts w:ascii="Times New Roman" w:hAnsi="Times New Roman" w:cs="Times New Roman"/>
            <w:color w:val="000000" w:themeColor="text1"/>
            <w:lang w:val="en-US"/>
          </w:rPr>
          <w:t>Dörr</w:t>
        </w:r>
      </w:hyperlink>
      <w:r w:rsidR="00E85D19" w:rsidRPr="000A32AD">
        <w:rPr>
          <w:rFonts w:ascii="Times New Roman" w:hAnsi="Times New Roman" w:cs="Times New Roman"/>
          <w:color w:val="000000" w:themeColor="text1"/>
          <w:lang w:val="en-US"/>
        </w:rPr>
        <w:t xml:space="preserve"> M. et al.</w:t>
      </w:r>
      <w:r w:rsidR="00E85D19" w:rsidRPr="000A32AD">
        <w:rPr>
          <w:rFonts w:ascii="Times New Roman" w:hAnsi="Times New Roman" w:cs="Times New Roman"/>
          <w:bCs/>
          <w:color w:val="000000" w:themeColor="text1"/>
          <w:kern w:val="36"/>
          <w:lang w:val="en-US"/>
        </w:rPr>
        <w:t xml:space="preserve"> Circulating angiopoietin-2, its soluble receptor Tie-2, and mortality in the general population. </w:t>
      </w:r>
      <w:r w:rsidR="00E85D19" w:rsidRPr="000A32AD">
        <w:rPr>
          <w:rStyle w:val="HTML2"/>
          <w:rFonts w:ascii="Times New Roman" w:hAnsi="Times New Roman" w:cs="Times New Roman"/>
          <w:i w:val="0"/>
          <w:color w:val="000000" w:themeColor="text1"/>
          <w:lang w:val="en-US"/>
        </w:rPr>
        <w:t xml:space="preserve">Eur. J. Heart Fail. </w:t>
      </w:r>
      <w:r w:rsidR="00E85D19" w:rsidRPr="000A32AD">
        <w:rPr>
          <w:rFonts w:ascii="Times New Roman" w:hAnsi="Times New Roman" w:cs="Times New Roman"/>
          <w:color w:val="000000" w:themeColor="text1"/>
          <w:lang w:val="en-US"/>
        </w:rPr>
        <w:t xml:space="preserve">2013; </w:t>
      </w:r>
      <w:r w:rsidR="00E85D19" w:rsidRPr="000A32AD">
        <w:rPr>
          <w:rStyle w:val="slug-doi"/>
          <w:rFonts w:ascii="Times New Roman" w:hAnsi="Times New Roman" w:cs="Times New Roman"/>
          <w:color w:val="000000" w:themeColor="text1"/>
          <w:lang w:val="en-US"/>
        </w:rPr>
        <w:t>10: 1093-1117</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eastAsia="Times New Roman" w:hAnsi="Times New Roman" w:cs="Times New Roman"/>
          <w:color w:val="000000" w:themeColor="text1"/>
          <w:lang w:val="en-US" w:eastAsia="ru-RU"/>
        </w:rPr>
        <w:t>Maitland ML, Bakris GL, Black HR, Chen HX, Durand JB, Elliott WJ, et al. Initial assessment, surveillance and management of blood pressure patients receiving vascular endothelial growth factor signalling pathway inhibitors. J Natl Cancer Inst. 2010;102: 596–604. doi: 10.1093/jnci/djq091</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Makarenkova HP, Hoffman MP, Beenken A, Eliseenkova AV, Meech R, Tsau C et al. Differential interactions of FGFs with heparan sulfate control gradient formation and branching morphogenesis. Sci Signal 2009, 2: ra55</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eastAsia="uk-UA"/>
        </w:rPr>
        <w:t>Manson JE, Bassuk SS. Invited Commentary: The Framingham offspring study-a pioneering investigation into familial aggregation of cardiovascular risk. 2017; 185 (11): 1103-1108. DOI:</w:t>
      </w:r>
      <w:r w:rsidRPr="000A32AD">
        <w:rPr>
          <w:rFonts w:ascii="Times New Roman" w:hAnsi="Times New Roman" w:cs="Times New Roman"/>
          <w:color w:val="000000" w:themeColor="text1"/>
          <w:lang w:val="en-US"/>
        </w:rPr>
        <w:t xml:space="preserve"> https://</w:t>
      </w:r>
      <w:r w:rsidRPr="000A32AD">
        <w:rPr>
          <w:rFonts w:ascii="Times New Roman" w:hAnsi="Times New Roman" w:cs="Times New Roman"/>
          <w:color w:val="000000" w:themeColor="text1"/>
          <w:lang w:val="en-US" w:eastAsia="uk-UA"/>
        </w:rPr>
        <w:t xml:space="preserve">doi:10.1093/aje/kwx068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Marek-Trzonkowska N,</w:t>
      </w:r>
      <w:r w:rsidRPr="000A32AD">
        <w:rPr>
          <w:rFonts w:ascii="Times New Roman" w:hAnsi="Times New Roman" w:cs="Times New Roman"/>
          <w:color w:val="000000" w:themeColor="text1"/>
          <w:vertAlign w:val="superscript"/>
          <w:lang w:val="en-US"/>
        </w:rPr>
        <w:t xml:space="preserve"> </w:t>
      </w:r>
      <w:r w:rsidRPr="000A32AD">
        <w:rPr>
          <w:rFonts w:ascii="Times New Roman" w:hAnsi="Times New Roman" w:cs="Times New Roman"/>
          <w:color w:val="000000" w:themeColor="text1"/>
          <w:lang w:val="en-US"/>
        </w:rPr>
        <w:t>Kwieczyńska A,</w:t>
      </w:r>
      <w:r w:rsidRPr="000A32AD">
        <w:rPr>
          <w:rFonts w:ascii="Times New Roman" w:hAnsi="Times New Roman" w:cs="Times New Roman"/>
          <w:color w:val="000000" w:themeColor="text1"/>
          <w:vertAlign w:val="superscript"/>
          <w:lang w:val="en-US"/>
        </w:rPr>
        <w:t xml:space="preserve"> </w:t>
      </w:r>
      <w:r w:rsidRPr="000A32AD">
        <w:rPr>
          <w:rFonts w:ascii="Times New Roman" w:hAnsi="Times New Roman" w:cs="Times New Roman"/>
          <w:color w:val="000000" w:themeColor="text1"/>
          <w:lang w:val="en-US"/>
        </w:rPr>
        <w:t>Reiwer-Gostomska M,</w:t>
      </w:r>
      <w:r w:rsidRPr="000A32AD">
        <w:rPr>
          <w:rFonts w:ascii="Times New Roman" w:hAnsi="Times New Roman" w:cs="Times New Roman"/>
          <w:color w:val="000000" w:themeColor="text1"/>
          <w:vertAlign w:val="superscript"/>
          <w:lang w:val="en-US"/>
        </w:rPr>
        <w:t xml:space="preserve"> </w:t>
      </w:r>
      <w:r w:rsidRPr="000A32AD">
        <w:rPr>
          <w:rFonts w:ascii="Times New Roman" w:hAnsi="Times New Roman" w:cs="Times New Roman"/>
          <w:color w:val="000000" w:themeColor="text1"/>
          <w:lang w:val="en-US"/>
        </w:rPr>
        <w:t>Koliński T,</w:t>
      </w:r>
      <w:r w:rsidRPr="000A32AD">
        <w:rPr>
          <w:rFonts w:ascii="Times New Roman" w:hAnsi="Times New Roman" w:cs="Times New Roman"/>
          <w:color w:val="000000" w:themeColor="text1"/>
          <w:vertAlign w:val="superscript"/>
          <w:lang w:val="en-US"/>
        </w:rPr>
        <w:t xml:space="preserve"> </w:t>
      </w:r>
      <w:r w:rsidRPr="000A32AD">
        <w:rPr>
          <w:rFonts w:ascii="Times New Roman" w:hAnsi="Times New Roman" w:cs="Times New Roman"/>
          <w:color w:val="000000" w:themeColor="text1"/>
          <w:lang w:val="en-US"/>
        </w:rPr>
        <w:t>Molisz A, Siebert</w:t>
      </w:r>
      <w:r w:rsidRPr="000A32AD">
        <w:rPr>
          <w:rFonts w:ascii="Times New Roman" w:hAnsi="Times New Roman" w:cs="Times New Roman"/>
          <w:color w:val="000000" w:themeColor="text1"/>
          <w:vertAlign w:val="superscript"/>
          <w:lang w:val="en-US"/>
        </w:rPr>
        <w:t xml:space="preserve"> </w:t>
      </w:r>
      <w:r w:rsidRPr="000A32AD">
        <w:rPr>
          <w:rFonts w:ascii="Times New Roman" w:hAnsi="Times New Roman" w:cs="Times New Roman"/>
          <w:color w:val="000000" w:themeColor="text1"/>
          <w:lang w:val="en-US"/>
        </w:rPr>
        <w:t xml:space="preserve">J. Arterial hypertension is characterized by imbalance of pro-angiogenic versus anti-angiogenic factors. </w:t>
      </w:r>
      <w:hyperlink r:id="rId25" w:history="1">
        <w:r w:rsidRPr="000A32AD">
          <w:rPr>
            <w:rFonts w:ascii="Times New Roman" w:hAnsi="Times New Roman" w:cs="Times New Roman"/>
            <w:color w:val="000000" w:themeColor="text1"/>
            <w:lang w:val="en-US"/>
          </w:rPr>
          <w:t>PLoS One</w:t>
        </w:r>
      </w:hyperlink>
      <w:r w:rsidRPr="000A32AD">
        <w:rPr>
          <w:rFonts w:ascii="Times New Roman" w:hAnsi="Times New Roman" w:cs="Times New Roman"/>
          <w:color w:val="000000" w:themeColor="text1"/>
          <w:lang w:val="en-US"/>
        </w:rPr>
        <w:t xml:space="preserve">. 2015; 10(5): e0126190. doi: </w:t>
      </w:r>
      <w:hyperlink r:id="rId26" w:tgtFrame="pmc_ext" w:history="1">
        <w:r w:rsidRPr="000A32AD">
          <w:rPr>
            <w:rFonts w:ascii="Times New Roman" w:hAnsi="Times New Roman" w:cs="Times New Roman"/>
            <w:color w:val="000000" w:themeColor="text1"/>
            <w:lang w:val="en-US"/>
          </w:rPr>
          <w:t>10.1371/journal.pone.0126190</w:t>
        </w:r>
      </w:hyperlink>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Matsumoto E, Sasaki S, Kinoshita H, Kito T, Ohta H, Konishi M et al. Angiotensin II-induced cardiac hypertrophy and fibrosis are promoted in mice lacking Fgf16. Genes Cells 2013, 18:544–553.</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Matsuo I, Kimura-Yoshida C. Extracellular modulation of Fibroblast </w:t>
      </w:r>
      <w:r w:rsidRPr="000A32AD">
        <w:rPr>
          <w:rFonts w:ascii="Times New Roman" w:hAnsi="Times New Roman" w:cs="Times New Roman"/>
          <w:color w:val="000000" w:themeColor="text1"/>
          <w:lang w:val="en-US"/>
        </w:rPr>
        <w:lastRenderedPageBreak/>
        <w:t>Growth Factor signaling through heparan sulfate proteoglycans in mammalian development. Curr Opin Genet Dev 2013, 23:399–407.</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Merrill AE, Sarukhanov A, Krejci P, Idoni B, Camacho N, Estrada KD,  et al. Bent bone dysplasia-FGFR2 type, a distinct skeletal disorder, has deficient canonical FGF signaling. Am J Hum Genet. 2012, 90:550–557.</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Mohyl’nyts’ka LA. Serum levels of endothelial monocyte-activating polypeptide-II in type 2 diabetes mellitus. Fiziol Zh. 2014;60(1):84-90.</w:t>
      </w:r>
    </w:p>
    <w:p w:rsidR="00E85D19" w:rsidRPr="000A32AD" w:rsidRDefault="00E85D19" w:rsidP="00E85D19">
      <w:pPr>
        <w:pStyle w:val="a3"/>
        <w:widowControl w:val="0"/>
        <w:numPr>
          <w:ilvl w:val="0"/>
          <w:numId w:val="22"/>
        </w:numPr>
        <w:tabs>
          <w:tab w:val="left" w:pos="1276"/>
        </w:tabs>
        <w:ind w:left="0" w:firstLine="709"/>
        <w:contextualSpacing/>
        <w:jc w:val="both"/>
        <w:rPr>
          <w:rStyle w:val="a5"/>
          <w:rFonts w:ascii="Times New Roman" w:hAnsi="Times New Roman" w:cs="Times New Roman"/>
          <w:color w:val="000000" w:themeColor="text1"/>
          <w:u w:val="none"/>
          <w:lang w:val="en-US"/>
        </w:rPr>
      </w:pPr>
      <w:r w:rsidRPr="000A32AD">
        <w:rPr>
          <w:rFonts w:ascii="Times New Roman" w:hAnsi="Times New Roman" w:cs="Times New Roman"/>
          <w:bCs/>
          <w:color w:val="000000" w:themeColor="text1"/>
          <w:lang w:val="en-US"/>
        </w:rPr>
        <w:t xml:space="preserve">Moretto P, Karousou E, Viola M, Caon I, D’Angelo ML, De Luca G, et al. Regulation of Hyaluronan Synthesis in Vascular Diseases and Diabetes. </w:t>
      </w:r>
      <w:r w:rsidRPr="000A32AD">
        <w:rPr>
          <w:rFonts w:ascii="Times New Roman" w:hAnsi="Times New Roman" w:cs="Times New Roman"/>
          <w:color w:val="000000" w:themeColor="text1"/>
          <w:lang w:val="en-US"/>
        </w:rPr>
        <w:t>J Diabetes Res. 2015, Article ID 167283, 9 p. http://dx.doi.org/10.1155/2015/167283</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Movahed MR, Lee JZ, Lim WY, Hashemzadeh M. Strong independent association between obesity and essential hypertension. Clin Obes. 2016; 6(3): 189-192.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Muller AK, Meyer M, Werner S. The roles of receptor tyrosine kinases and their ligands in the wound repair process. Semin Cell Dev Biol. 2012, 23:963–970.</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Nakajima H, Sakakibara Y, Tambara K, Iwakura A, Doi K, Marui A et al. herapeutic angiogenesis by the controlled release of basic fibroblast growth factor for ischemic limb and heart injury: toward safety and minimal invasiveness. J Artif Organs. 2004;7(2):58-61.</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National Chronic Kidney Disease Fact Sheet. [updated 2017 July 05; cited 2017 October 02] Available from: https:// www.cdc.gov/diabetes/programs/initiatives/</w:t>
      </w:r>
      <w:r w:rsidR="00792540"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 xml:space="preserve">ckd-fact-sheet.html.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eastAsia="Times New Roman" w:hAnsi="Times New Roman" w:cs="Times New Roman"/>
          <w:color w:val="000000" w:themeColor="text1"/>
          <w:lang w:val="en-US" w:eastAsia="ru-RU"/>
        </w:rPr>
        <w:t>Nawrocka D,</w:t>
      </w:r>
      <w:r w:rsidRPr="000A32AD">
        <w:rPr>
          <w:rFonts w:ascii="Times New Roman" w:eastAsia="Times New Roman" w:hAnsi="Times New Roman" w:cs="Times New Roman"/>
          <w:color w:val="000000" w:themeColor="text1"/>
          <w:vertAlign w:val="superscript"/>
          <w:lang w:val="en-US" w:eastAsia="ru-RU"/>
        </w:rPr>
        <w:t xml:space="preserve"> </w:t>
      </w:r>
      <w:r w:rsidRPr="000A32AD">
        <w:rPr>
          <w:rFonts w:ascii="Times New Roman" w:eastAsia="Times New Roman" w:hAnsi="Times New Roman" w:cs="Times New Roman"/>
          <w:color w:val="000000" w:themeColor="text1"/>
          <w:lang w:val="en-US" w:eastAsia="ru-RU"/>
        </w:rPr>
        <w:t>Kornicka K,</w:t>
      </w:r>
      <w:r w:rsidRPr="000A32AD">
        <w:rPr>
          <w:rFonts w:ascii="Times New Roman" w:eastAsia="Times New Roman" w:hAnsi="Times New Roman" w:cs="Times New Roman"/>
          <w:color w:val="000000" w:themeColor="text1"/>
          <w:vertAlign w:val="superscript"/>
          <w:lang w:val="en-US" w:eastAsia="ru-RU"/>
        </w:rPr>
        <w:t xml:space="preserve"> </w:t>
      </w:r>
      <w:r w:rsidRPr="000A32AD">
        <w:rPr>
          <w:rFonts w:ascii="Times New Roman" w:eastAsia="Times New Roman" w:hAnsi="Times New Roman" w:cs="Times New Roman"/>
          <w:color w:val="000000" w:themeColor="text1"/>
          <w:lang w:val="en-US" w:eastAsia="ru-RU"/>
        </w:rPr>
        <w:t>Szydlarska J,</w:t>
      </w:r>
      <w:r w:rsidRPr="000A32AD">
        <w:rPr>
          <w:rFonts w:ascii="Times New Roman" w:eastAsia="Times New Roman" w:hAnsi="Times New Roman" w:cs="Times New Roman"/>
          <w:color w:val="000000" w:themeColor="text1"/>
          <w:vertAlign w:val="superscript"/>
          <w:lang w:val="en-US" w:eastAsia="ru-RU"/>
        </w:rPr>
        <w:t xml:space="preserve"> </w:t>
      </w:r>
      <w:r w:rsidRPr="000A32AD">
        <w:rPr>
          <w:rFonts w:ascii="Times New Roman" w:eastAsia="Times New Roman" w:hAnsi="Times New Roman" w:cs="Times New Roman"/>
          <w:color w:val="000000" w:themeColor="text1"/>
          <w:lang w:val="en-US" w:eastAsia="ru-RU"/>
        </w:rPr>
        <w:t>Marycz</w:t>
      </w:r>
      <w:r w:rsidRPr="000A32AD">
        <w:rPr>
          <w:rFonts w:ascii="Times New Roman" w:eastAsia="Times New Roman" w:hAnsi="Times New Roman" w:cs="Times New Roman"/>
          <w:color w:val="000000" w:themeColor="text1"/>
          <w:vertAlign w:val="superscript"/>
          <w:lang w:val="en-US" w:eastAsia="ru-RU"/>
        </w:rPr>
        <w:t xml:space="preserve"> </w:t>
      </w:r>
      <w:r w:rsidRPr="000A32AD">
        <w:rPr>
          <w:rFonts w:ascii="Times New Roman" w:eastAsia="Times New Roman" w:hAnsi="Times New Roman" w:cs="Times New Roman"/>
          <w:color w:val="000000" w:themeColor="text1"/>
          <w:lang w:val="en-US" w:eastAsia="ru-RU"/>
        </w:rPr>
        <w:t xml:space="preserve">K. </w:t>
      </w:r>
      <w:r w:rsidRPr="000A32AD">
        <w:rPr>
          <w:rFonts w:ascii="Times New Roman" w:eastAsia="Times New Roman" w:hAnsi="Times New Roman" w:cs="Times New Roman"/>
          <w:color w:val="000000" w:themeColor="text1"/>
          <w:kern w:val="36"/>
          <w:lang w:val="en-US" w:eastAsia="ru-RU"/>
        </w:rPr>
        <w:t xml:space="preserve">Basic fibroblast growth factor inhibits apoptosis and promotes proliferation of adipose-derived mesenchymal stromal cells isolated from patients with type 2 diabetes by reducing cellular oxidative stress. </w:t>
      </w:r>
      <w:r w:rsidRPr="000A32AD">
        <w:rPr>
          <w:rFonts w:ascii="Times New Roman" w:eastAsia="Times New Roman" w:hAnsi="Times New Roman" w:cs="Times New Roman"/>
          <w:color w:val="000000" w:themeColor="text1"/>
          <w:lang w:val="en-US" w:eastAsia="ru-RU"/>
        </w:rPr>
        <w:t>Oxid Med Cell Longev. 2017; 2017: 3027109. doi: 10.1155/2017/3027109</w:t>
      </w:r>
    </w:p>
    <w:p w:rsidR="00E85D19" w:rsidRPr="000A32AD" w:rsidRDefault="00E85D19" w:rsidP="0083259B">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eastAsia="ar-SA"/>
        </w:rPr>
        <w:t>Nibouche WN, Biad A.</w:t>
      </w:r>
      <w:r w:rsidRPr="000A32AD">
        <w:rPr>
          <w:rFonts w:ascii="Times New Roman" w:hAnsi="Times New Roman" w:cs="Times New Roman"/>
          <w:color w:val="000000" w:themeColor="text1"/>
          <w:vertAlign w:val="superscript"/>
          <w:lang w:val="en-US" w:eastAsia="ar-SA"/>
        </w:rPr>
        <w:t>.</w:t>
      </w:r>
      <w:r w:rsidRPr="000A32AD">
        <w:rPr>
          <w:rFonts w:ascii="Times New Roman" w:hAnsi="Times New Roman" w:cs="Times New Roman"/>
          <w:color w:val="000000" w:themeColor="text1"/>
          <w:lang w:val="en-US" w:eastAsia="ar-SA"/>
        </w:rPr>
        <w:t xml:space="preserve"> Arterial hypertension at the time of diagnosis of </w:t>
      </w:r>
      <w:r w:rsidRPr="000A32AD">
        <w:rPr>
          <w:rFonts w:ascii="Times New Roman" w:hAnsi="Times New Roman" w:cs="Times New Roman"/>
          <w:color w:val="000000" w:themeColor="text1"/>
          <w:lang w:val="en-US" w:eastAsia="ar-SA"/>
        </w:rPr>
        <w:lastRenderedPageBreak/>
        <w:t xml:space="preserve">type 2 diabetes in adults. Ann Cardiol Angeiol (Paris). 2016;65(3):152-158. doi: 10.1016/j.ancard.2016.04.017. Available on: </w:t>
      </w:r>
      <w:hyperlink r:id="rId27" w:history="1">
        <w:r w:rsidRPr="000A32AD">
          <w:rPr>
            <w:rFonts w:ascii="Times New Roman" w:hAnsi="Times New Roman" w:cs="Times New Roman"/>
            <w:color w:val="000000" w:themeColor="text1"/>
            <w:lang w:val="en-US" w:eastAsia="ar-SA"/>
          </w:rPr>
          <w:t>http://www.ncbi.nlm.nih.gov/pubmed/27234335</w:t>
        </w:r>
      </w:hyperlink>
    </w:p>
    <w:p w:rsidR="00E85D19" w:rsidRPr="000A32AD" w:rsidRDefault="00E85D19" w:rsidP="00E85D19">
      <w:pPr>
        <w:pStyle w:val="a3"/>
        <w:widowControl w:val="0"/>
        <w:numPr>
          <w:ilvl w:val="0"/>
          <w:numId w:val="22"/>
        </w:numPr>
        <w:tabs>
          <w:tab w:val="left" w:pos="1276"/>
        </w:tabs>
        <w:ind w:left="0" w:firstLine="709"/>
        <w:contextualSpacing/>
        <w:jc w:val="both"/>
        <w:rPr>
          <w:rStyle w:val="31"/>
          <w:rFonts w:eastAsiaTheme="minorHAnsi"/>
          <w:color w:val="000000" w:themeColor="text1"/>
          <w:sz w:val="28"/>
          <w:szCs w:val="28"/>
          <w:lang w:val="en-US"/>
        </w:rPr>
      </w:pPr>
      <w:r w:rsidRPr="000A32AD">
        <w:rPr>
          <w:rStyle w:val="31"/>
          <w:rFonts w:eastAsiaTheme="minorHAnsi"/>
          <w:color w:val="000000" w:themeColor="text1"/>
          <w:sz w:val="28"/>
          <w:szCs w:val="28"/>
          <w:lang w:val="en-US"/>
        </w:rPr>
        <w:t>Nieuwdorp M, Holleman F, de Groot E. et al. Perturbation of hyaluronan metabolism predisposes patients with type 1 diabetes mellitus to atherosclerosis.</w:t>
      </w:r>
      <w:r w:rsidRPr="000A32AD">
        <w:rPr>
          <w:rStyle w:val="32"/>
          <w:rFonts w:eastAsiaTheme="minorHAnsi"/>
          <w:i w:val="0"/>
          <w:color w:val="000000" w:themeColor="text1"/>
          <w:sz w:val="28"/>
          <w:szCs w:val="28"/>
          <w:lang w:val="en-US"/>
        </w:rPr>
        <w:t xml:space="preserve"> Diabetologia. 2007; </w:t>
      </w:r>
      <w:r w:rsidRPr="000A32AD">
        <w:rPr>
          <w:rStyle w:val="31"/>
          <w:rFonts w:eastAsiaTheme="minorHAnsi"/>
          <w:color w:val="000000" w:themeColor="text1"/>
          <w:sz w:val="28"/>
          <w:szCs w:val="28"/>
          <w:lang w:val="en-US"/>
        </w:rPr>
        <w:t>50(6): 1288-1293.</w:t>
      </w:r>
    </w:p>
    <w:p w:rsidR="00E85D19" w:rsidRPr="000A32AD" w:rsidRDefault="00E85D19" w:rsidP="00E85D19">
      <w:pPr>
        <w:pStyle w:val="a3"/>
        <w:widowControl w:val="0"/>
        <w:numPr>
          <w:ilvl w:val="0"/>
          <w:numId w:val="22"/>
        </w:numPr>
        <w:tabs>
          <w:tab w:val="left" w:pos="1276"/>
        </w:tabs>
        <w:ind w:left="0" w:firstLine="709"/>
        <w:contextualSpacing/>
        <w:jc w:val="both"/>
        <w:rPr>
          <w:rStyle w:val="31"/>
          <w:rFonts w:eastAsiaTheme="minorHAnsi"/>
          <w:color w:val="000000" w:themeColor="text1"/>
          <w:sz w:val="28"/>
          <w:szCs w:val="28"/>
          <w:lang w:val="en-US"/>
        </w:rPr>
      </w:pPr>
      <w:r w:rsidRPr="000A32AD">
        <w:rPr>
          <w:rStyle w:val="31"/>
          <w:rFonts w:eastAsiaTheme="minorHAnsi"/>
          <w:color w:val="000000" w:themeColor="text1"/>
          <w:sz w:val="28"/>
          <w:szCs w:val="28"/>
          <w:lang w:val="en-US"/>
        </w:rPr>
        <w:t>Nieuwdorp M, van Haeften TW, Gouverneur MCLG. et al. Loss of endothelial glycocalyx during acute hyperglycemia coincides with endothelial dysfunction and coagulation activa</w:t>
      </w:r>
      <w:r w:rsidRPr="000A32AD">
        <w:rPr>
          <w:rStyle w:val="31"/>
          <w:rFonts w:eastAsiaTheme="minorHAnsi"/>
          <w:color w:val="000000" w:themeColor="text1"/>
          <w:sz w:val="28"/>
          <w:szCs w:val="28"/>
          <w:lang w:val="en-US"/>
        </w:rPr>
        <w:softHyphen/>
        <w:t>tion in vivo.</w:t>
      </w:r>
      <w:r w:rsidRPr="000A32AD">
        <w:rPr>
          <w:rStyle w:val="32"/>
          <w:rFonts w:eastAsiaTheme="minorHAnsi"/>
          <w:i w:val="0"/>
          <w:color w:val="000000" w:themeColor="text1"/>
          <w:sz w:val="28"/>
          <w:szCs w:val="28"/>
          <w:lang w:val="en-US"/>
        </w:rPr>
        <w:t xml:space="preserve"> Diabetes. 2006; </w:t>
      </w:r>
      <w:r w:rsidRPr="000A32AD">
        <w:rPr>
          <w:rStyle w:val="31"/>
          <w:rFonts w:eastAsiaTheme="minorHAnsi"/>
          <w:color w:val="000000" w:themeColor="text1"/>
          <w:sz w:val="28"/>
          <w:szCs w:val="28"/>
          <w:lang w:val="en-US"/>
        </w:rPr>
        <w:t xml:space="preserve">55(2): 480-486.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Nin JW, Jorsal A, Ferreira I, Schalkwijk CG, Prins MH, Parving HH, et al. Higher plasma levels of advanced glycation end products are associated with incident cardiovascular disease and all-cause mortality in type 1 diabetes: a 12- year follow-up study. Diabetes Care. 2011;34(2):442–447. DOI: http://dx.doi.org/10.2337/dc10-1087.</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Nissen NN, Shankar R, Gamelli RL, Singh A, Dipietro LA. </w:t>
      </w:r>
      <w:r w:rsidRPr="000A32AD">
        <w:rPr>
          <w:rFonts w:ascii="Times New Roman" w:hAnsi="Times New Roman" w:cs="Times New Roman"/>
          <w:iCs/>
          <w:color w:val="000000" w:themeColor="text1"/>
          <w:lang w:val="en-US"/>
        </w:rPr>
        <w:t xml:space="preserve">Heparin and heparan sulphate protect basic fibroblast growth factor from non-enzymic glycosylation. </w:t>
      </w:r>
      <w:r w:rsidRPr="000A32AD">
        <w:rPr>
          <w:rFonts w:ascii="Times New Roman" w:hAnsi="Times New Roman" w:cs="Times New Roman"/>
          <w:color w:val="000000" w:themeColor="text1"/>
          <w:lang w:val="en-US"/>
        </w:rPr>
        <w:t xml:space="preserve">Biochem. J. (1999) </w:t>
      </w:r>
      <w:r w:rsidRPr="000A32AD">
        <w:rPr>
          <w:rFonts w:ascii="Times New Roman" w:hAnsi="Times New Roman" w:cs="Times New Roman"/>
          <w:iCs/>
          <w:color w:val="000000" w:themeColor="text1"/>
          <w:lang w:val="en-US"/>
        </w:rPr>
        <w:t>338</w:t>
      </w:r>
      <w:r w:rsidRPr="000A32AD">
        <w:rPr>
          <w:rFonts w:ascii="Times New Roman" w:hAnsi="Times New Roman" w:cs="Times New Roman"/>
          <w:color w:val="000000" w:themeColor="text1"/>
          <w:lang w:val="en-US"/>
        </w:rPr>
        <w:t>, 637–642</w:t>
      </w:r>
    </w:p>
    <w:p w:rsidR="00E85D19" w:rsidRPr="000A32AD" w:rsidRDefault="00E85D19" w:rsidP="00E85D19">
      <w:pPr>
        <w:pStyle w:val="a3"/>
        <w:widowControl w:val="0"/>
        <w:numPr>
          <w:ilvl w:val="0"/>
          <w:numId w:val="22"/>
        </w:numPr>
        <w:tabs>
          <w:tab w:val="left" w:pos="1276"/>
        </w:tabs>
        <w:ind w:left="0" w:firstLine="709"/>
        <w:contextualSpacing/>
        <w:jc w:val="both"/>
        <w:rPr>
          <w:rStyle w:val="a5"/>
          <w:rFonts w:ascii="Times New Roman" w:hAnsi="Times New Roman" w:cs="Times New Roman"/>
          <w:color w:val="000000" w:themeColor="text1"/>
          <w:u w:val="none"/>
          <w:lang w:val="en-US"/>
        </w:rPr>
      </w:pPr>
      <w:r w:rsidRPr="000A32AD">
        <w:rPr>
          <w:rFonts w:ascii="Times New Roman" w:hAnsi="Times New Roman" w:cs="Times New Roman"/>
          <w:color w:val="000000" w:themeColor="text1"/>
          <w:lang w:val="en-US"/>
        </w:rPr>
        <w:t>Nobakhthaghighi N, Kamgar M, Bekheirnia MR, McFann K, Estacio R, Schrier RW. Relationship between Urinary Albumin Excretion and Left Ventricular Mass with Mortality in Patients with Type 2 Diabetes. Clinical Journal of the American Society of Nephrology. 2006;1(6):1187–1190. DOI: http://dx.doi.org/10.2215/cjn.00750306</w:t>
      </w:r>
    </w:p>
    <w:p w:rsidR="00E85D19" w:rsidRPr="000A32AD" w:rsidRDefault="00E85D19" w:rsidP="00E85D19">
      <w:pPr>
        <w:pStyle w:val="a3"/>
        <w:widowControl w:val="0"/>
        <w:numPr>
          <w:ilvl w:val="0"/>
          <w:numId w:val="22"/>
        </w:numPr>
        <w:tabs>
          <w:tab w:val="left" w:pos="1276"/>
        </w:tabs>
        <w:ind w:left="0" w:firstLine="709"/>
        <w:contextualSpacing/>
        <w:jc w:val="both"/>
        <w:rPr>
          <w:rStyle w:val="a5"/>
          <w:rFonts w:ascii="Times New Roman" w:hAnsi="Times New Roman" w:cs="Times New Roman"/>
          <w:color w:val="000000" w:themeColor="text1"/>
          <w:u w:val="none"/>
          <w:lang w:val="en-US"/>
        </w:rPr>
      </w:pPr>
      <w:r w:rsidRPr="000A32AD">
        <w:rPr>
          <w:rFonts w:ascii="Times New Roman" w:hAnsi="Times New Roman" w:cs="Times New Roman"/>
          <w:color w:val="000000" w:themeColor="text1"/>
          <w:lang w:val="en-US"/>
        </w:rPr>
        <w:t>Ohgi S, Johnson PW. Glucose modulates growth of gingival fibroblasts and periodontal ligament cells: correlation with expression of basic fibroblast growth factor. Abstract. J Periodontal Res. 1996; 31(8): 579-588. https://www.ncbi.nlm.nih.gov/pubmed/8971657</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Okada-Ban, M., Thiery, J. P., and Jouanneau, J. (2000) Fibroblast growth factor-2. Int. J. Biochem. Cell. Biol. 32, 263− 267.</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lastRenderedPageBreak/>
        <w:t>Olsnes S, Klingenberg O, Wiedlocha A. Transport of exogenous growth factors and cytokines to the cytosol and to the nucleus. Physiol Rev 2003, 83:163–182.</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Ornitz DM, Itoh N. </w:t>
      </w:r>
      <w:r w:rsidRPr="000A32AD">
        <w:rPr>
          <w:rFonts w:ascii="Times New Roman" w:hAnsi="Times New Roman" w:cs="Times New Roman"/>
          <w:bCs/>
          <w:color w:val="000000" w:themeColor="text1"/>
          <w:lang w:val="en-US"/>
        </w:rPr>
        <w:t xml:space="preserve">The Fibroblast Growth Factor signaling pathway. </w:t>
      </w:r>
      <w:r w:rsidRPr="000A32AD">
        <w:rPr>
          <w:rFonts w:ascii="Times New Roman" w:hAnsi="Times New Roman" w:cs="Times New Roman"/>
          <w:color w:val="000000" w:themeColor="text1"/>
          <w:lang w:val="en-US"/>
        </w:rPr>
        <w:t>Wiley Interdiscip Rev Dev Biol</w:t>
      </w:r>
      <w:r w:rsidRPr="000A32AD">
        <w:rPr>
          <w:rStyle w:val="cit"/>
          <w:rFonts w:ascii="Times New Roman" w:hAnsi="Times New Roman" w:cs="Times New Roman"/>
          <w:color w:val="000000" w:themeColor="text1"/>
          <w:lang w:val="en-US"/>
        </w:rPr>
        <w:t xml:space="preserve">. 2015 May; 4(3): 215–266. </w:t>
      </w:r>
      <w:r w:rsidRPr="000A32AD">
        <w:rPr>
          <w:rStyle w:val="doi"/>
          <w:rFonts w:ascii="Times New Roman" w:hAnsi="Times New Roman" w:cs="Times New Roman"/>
          <w:color w:val="000000" w:themeColor="text1"/>
          <w:lang w:val="en-US"/>
        </w:rPr>
        <w:t xml:space="preserve">doi: </w:t>
      </w:r>
      <w:r w:rsidRPr="000A32AD">
        <w:rPr>
          <w:rFonts w:ascii="Times New Roman" w:hAnsi="Times New Roman" w:cs="Times New Roman"/>
          <w:color w:val="000000" w:themeColor="text1"/>
          <w:lang w:val="en-US"/>
        </w:rPr>
        <w:t>10.1002/wdev.176</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Ornitz DM. FGFs, heparan sulfate and FGFRs: complex interactions essential for development. Bioessays 2000, 22: 108–112.</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Palatini P, Casiglia E, Gąsowski J, et al. Arterial stiffness, central hemodynamics, and cardiovascular risk in hypertension. Vascular Health and Risk Management. 2011;7:725–739. doi: 10.2147/VHRM.S25270</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Paneni F, Beckman JA, M. Creager A, Cosentino F. Diabetes and vascular disease: pathophysiology, clinical consequences, and medical therapy: part I. Eur Heart J. 2013; 34(31): 2436–2443</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Poplawska-Kita A, Mierzejewska-Iwanowska B, Szelachowska M, Siewko K, Nikołajuk A, Kinalska I, Górska M. Glycosaminoglycans urinary excretion as a marker of the early stages of diabetic nephropathy and the disease progression. Diabetes Metab Res Rev. 2008;24(4):310–317.</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Potente M, Gerhardt H, Carmeliet P. Basic and therapeutic aspects of angiogenesis. Cell. 2011; 146(6): 873-887.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Przybylski M. A review of the current research on the role of bFGF and VEGF in angiogenesis // J Wound Care. - 2009. - Vol.18(12). - P. 516-519.</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Raj T, Kanellakis P, Pomilio G, Jennings G, Bobik A, Agrotis A. </w:t>
      </w:r>
      <w:r w:rsidRPr="000A32AD">
        <w:rPr>
          <w:rFonts w:ascii="Times New Roman" w:hAnsi="Times New Roman" w:cs="Times New Roman"/>
          <w:bCs/>
          <w:color w:val="000000" w:themeColor="text1"/>
          <w:lang w:val="en-US"/>
        </w:rPr>
        <w:t xml:space="preserve">Inhibition of fibroblast growth factor receptor signaling attenuates atherosclerosis in apolipoprotein E–deficient mice. </w:t>
      </w:r>
      <w:r w:rsidRPr="000A32AD">
        <w:rPr>
          <w:rFonts w:ascii="Times New Roman" w:hAnsi="Times New Roman" w:cs="Times New Roman"/>
          <w:bCs/>
          <w:iCs/>
          <w:color w:val="000000" w:themeColor="text1"/>
          <w:lang w:val="en-US"/>
        </w:rPr>
        <w:t>Arterioscler Thromb Vasc Biol. 2006; 26: 1845-1851.</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Rapraeger AC, Krufka A, Olwin BB. Requirement of heparan sulfate for bFGF-mediated fibroblast growth and myoblast differentiation. Science 1991, 252:1705–1708. </w:t>
      </w:r>
    </w:p>
    <w:p w:rsidR="00E85D19" w:rsidRPr="000A32AD" w:rsidRDefault="00E85D19" w:rsidP="00E85D19">
      <w:pPr>
        <w:pStyle w:val="a3"/>
        <w:widowControl w:val="0"/>
        <w:numPr>
          <w:ilvl w:val="0"/>
          <w:numId w:val="22"/>
        </w:numPr>
        <w:tabs>
          <w:tab w:val="left" w:pos="1276"/>
        </w:tabs>
        <w:ind w:left="0" w:firstLine="709"/>
        <w:contextualSpacing/>
        <w:jc w:val="both"/>
        <w:rPr>
          <w:rStyle w:val="a5"/>
          <w:rFonts w:ascii="Times New Roman" w:hAnsi="Times New Roman" w:cs="Times New Roman"/>
          <w:color w:val="000000" w:themeColor="text1"/>
          <w:u w:val="none"/>
          <w:lang w:val="en-US"/>
        </w:rPr>
      </w:pPr>
      <w:r w:rsidRPr="000A32AD">
        <w:rPr>
          <w:rFonts w:ascii="Times New Roman" w:hAnsi="Times New Roman" w:cs="Times New Roman"/>
          <w:color w:val="000000" w:themeColor="text1"/>
          <w:lang w:val="en-US"/>
        </w:rPr>
        <w:lastRenderedPageBreak/>
        <w:t>Rask-Madsen C, King GL. Vascular complications of diabetes: mechanisms of injury and protective factors. Cell Metabolism. 2013; 17: 20-33. doi: http://dx.doi.org/10.1016/j.cmet.2012.11.012</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Redon J, Martinez F, Fabia MJ. The metabolic syndrom in hypertension. Manual of hypertension of the European Society of Hypertension. Еdited by G. Mancia, G. Grassi and J. Redon. CRC Press, 2014: 433-442.</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eastAsia="Times New Roman" w:hAnsi="Times New Roman" w:cs="Times New Roman"/>
          <w:color w:val="000000" w:themeColor="text1"/>
          <w:lang w:val="en-US" w:eastAsia="ru-RU"/>
        </w:rPr>
        <w:t>Roelofs LA, Oosterwijk E, Kortmann BB, Daamen WF, Tiemessen DM, Brouwer KM, et al. Bladder regeneration using a smart acellular collagen scaffold with growth factors VEGF, FGF2 and HB-EGF. Tissue Eng Part A. 2016;22:83–92. doi: 10.1089/ten.TEA.2015.0096</w:t>
      </w:r>
    </w:p>
    <w:p w:rsidR="00E85D19" w:rsidRPr="000A32AD" w:rsidRDefault="00E85D19" w:rsidP="00E85D19">
      <w:pPr>
        <w:pStyle w:val="a3"/>
        <w:widowControl w:val="0"/>
        <w:numPr>
          <w:ilvl w:val="0"/>
          <w:numId w:val="22"/>
        </w:numPr>
        <w:tabs>
          <w:tab w:val="left" w:pos="1276"/>
        </w:tabs>
        <w:ind w:left="0" w:firstLine="709"/>
        <w:contextualSpacing/>
        <w:jc w:val="both"/>
        <w:rPr>
          <w:rStyle w:val="a5"/>
          <w:rFonts w:ascii="Times New Roman" w:hAnsi="Times New Roman" w:cs="Times New Roman"/>
          <w:color w:val="000000" w:themeColor="text1"/>
          <w:u w:val="none"/>
          <w:lang w:val="en-US"/>
        </w:rPr>
      </w:pPr>
      <w:r w:rsidRPr="000A32AD">
        <w:rPr>
          <w:rFonts w:ascii="Times New Roman" w:hAnsi="Times New Roman" w:cs="Times New Roman"/>
          <w:color w:val="000000" w:themeColor="text1"/>
          <w:lang w:val="en-US"/>
        </w:rPr>
        <w:t>Ronco C, Haapio M, House AA, Anavekar N, Bellomo R. Cardiorenal Syndrome. Journal of the American College of Cardiology. 2008;52(19):1527–1539. DOI: http://dx.doi.org/10.1016/j.jacc.2008.07.051</w:t>
      </w:r>
    </w:p>
    <w:p w:rsidR="00E85D19" w:rsidRPr="000A32AD" w:rsidRDefault="00E85D19" w:rsidP="00E85D19">
      <w:pPr>
        <w:pStyle w:val="a3"/>
        <w:widowControl w:val="0"/>
        <w:numPr>
          <w:ilvl w:val="0"/>
          <w:numId w:val="22"/>
        </w:numPr>
        <w:tabs>
          <w:tab w:val="left" w:pos="1276"/>
        </w:tabs>
        <w:ind w:left="0" w:firstLine="709"/>
        <w:contextualSpacing/>
        <w:jc w:val="both"/>
        <w:rPr>
          <w:rStyle w:val="a5"/>
          <w:rFonts w:ascii="Times New Roman" w:hAnsi="Times New Roman" w:cs="Times New Roman"/>
          <w:color w:val="000000" w:themeColor="text1"/>
          <w:u w:val="none"/>
          <w:lang w:val="en-US"/>
        </w:rPr>
      </w:pPr>
      <w:r w:rsidRPr="000A32AD">
        <w:rPr>
          <w:rFonts w:ascii="Times New Roman" w:hAnsi="Times New Roman" w:cs="Times New Roman"/>
          <w:color w:val="000000" w:themeColor="text1"/>
          <w:lang w:val="en-US"/>
        </w:rPr>
        <w:t>Ruggenenti P, Remuzzi G. Time to abandon microalbuminuria? Kidney International. 2006;70(7):1214–1222. DOI: http://dx.doi.org/10.1038/sj.ki.5001729</w:t>
      </w:r>
    </w:p>
    <w:p w:rsidR="00E85D19" w:rsidRPr="000A32AD" w:rsidRDefault="00E85D19" w:rsidP="00E85D19">
      <w:pPr>
        <w:pStyle w:val="a3"/>
        <w:widowControl w:val="0"/>
        <w:numPr>
          <w:ilvl w:val="0"/>
          <w:numId w:val="22"/>
        </w:numPr>
        <w:tabs>
          <w:tab w:val="left" w:pos="1276"/>
        </w:tabs>
        <w:ind w:left="0" w:firstLine="709"/>
        <w:contextualSpacing/>
        <w:jc w:val="both"/>
        <w:rPr>
          <w:rStyle w:val="31"/>
          <w:rFonts w:eastAsiaTheme="minorHAnsi"/>
          <w:color w:val="000000" w:themeColor="text1"/>
          <w:sz w:val="28"/>
          <w:szCs w:val="28"/>
          <w:lang w:val="en-US"/>
        </w:rPr>
      </w:pPr>
      <w:r w:rsidRPr="000A32AD">
        <w:rPr>
          <w:rStyle w:val="31"/>
          <w:rFonts w:eastAsiaTheme="minorHAnsi"/>
          <w:color w:val="000000" w:themeColor="text1"/>
          <w:sz w:val="28"/>
          <w:szCs w:val="28"/>
          <w:lang w:val="en-US"/>
        </w:rPr>
        <w:t>Sainio A, Jokela T, Tammi MI, Jarvelainen H. Hyperglycemic conditions modulate connective tissue reorganization by human vascular smooth muscle cells through stimulation of hyaluronan synthesis.</w:t>
      </w:r>
      <w:r w:rsidRPr="000A32AD">
        <w:rPr>
          <w:rStyle w:val="32"/>
          <w:rFonts w:eastAsiaTheme="minorHAnsi"/>
          <w:i w:val="0"/>
          <w:color w:val="000000" w:themeColor="text1"/>
          <w:sz w:val="28"/>
          <w:szCs w:val="28"/>
          <w:lang w:val="en-US"/>
        </w:rPr>
        <w:t xml:space="preserve"> Glycobiology. 2010; </w:t>
      </w:r>
      <w:r w:rsidRPr="000A32AD">
        <w:rPr>
          <w:rStyle w:val="31"/>
          <w:rFonts w:eastAsiaTheme="minorHAnsi"/>
          <w:color w:val="000000" w:themeColor="text1"/>
          <w:sz w:val="28"/>
          <w:szCs w:val="28"/>
          <w:lang w:val="en-US"/>
        </w:rPr>
        <w:t xml:space="preserve">20(9): 1117-1126. </w:t>
      </w:r>
    </w:p>
    <w:p w:rsidR="00E85D19" w:rsidRPr="000A32AD" w:rsidRDefault="00E85D19" w:rsidP="00E85D19">
      <w:pPr>
        <w:pStyle w:val="a3"/>
        <w:widowControl w:val="0"/>
        <w:numPr>
          <w:ilvl w:val="0"/>
          <w:numId w:val="22"/>
        </w:numPr>
        <w:tabs>
          <w:tab w:val="left" w:pos="1276"/>
        </w:tabs>
        <w:ind w:left="0" w:firstLine="709"/>
        <w:contextualSpacing/>
        <w:jc w:val="both"/>
        <w:rPr>
          <w:rStyle w:val="a5"/>
          <w:rFonts w:ascii="Times New Roman" w:hAnsi="Times New Roman" w:cs="Times New Roman"/>
          <w:color w:val="000000" w:themeColor="text1"/>
          <w:u w:val="none"/>
          <w:lang w:val="en-US"/>
        </w:rPr>
      </w:pPr>
      <w:r w:rsidRPr="000A32AD">
        <w:rPr>
          <w:rFonts w:ascii="Times New Roman" w:hAnsi="Times New Roman" w:cs="Times New Roman"/>
          <w:color w:val="000000" w:themeColor="text1"/>
          <w:lang w:val="en-US"/>
        </w:rPr>
        <w:t>Saito A, Kaseda R, Hosojima M, Sato H. Proximal tubule cell hypothesis for cardiorenal syndrome in diabetes. Int J Nephrol. 2010;2011:957164. DOI: http://dx.doi.org/10.4061/2011/957164</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Salehi E. Angiogenesis in health and disease: role of vascular endothelial growth factor (VEGF)/ E.Salehi, M.Khazaei, F.S.Amjadi. J Isfahan Med School. 2011; 29 (132): 345-353.</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Salmon A, Neal C, Harper S. New aspects of glomerular filtration barrier structure and function: five layers (at least) not three. Curr. Opin. Nephrol. Hypertens. 2009; 18(3): 197–205.</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Samir MP. The Angiopoietin-Tie2 Signaling Axis in Systemic </w:t>
      </w:r>
      <w:r w:rsidRPr="000A32AD">
        <w:rPr>
          <w:rFonts w:ascii="Times New Roman" w:hAnsi="Times New Roman" w:cs="Times New Roman"/>
          <w:color w:val="000000" w:themeColor="text1"/>
          <w:lang w:val="en-US"/>
        </w:rPr>
        <w:lastRenderedPageBreak/>
        <w:t>Inflammation. J Am Soc Nephrol. 2017; 28(7): 456-468.</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Sarrazin S, Lamanna WC, Esko JD. Heparan sulfate proteoglycans. Cold Spring Harb Perspect Biol 2011, 3:1–33 197-201.</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Saydah S., Eberhardt M., Rios-Burrows N., Milliams D., Geiss L., Dorsey R. Prevalence of chronic kidney disease and associated risk factors – United States, 1999 – 2004. MMWR. 2007; 56 (8): 161–165.</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shd w:val="clear" w:color="auto" w:fill="FFFFFF"/>
          <w:lang w:val="en-US"/>
        </w:rPr>
        <w:t>Shad B, Ashouri A, Hasandokht T, Rajati F, Salari A, Naghshbandi M, Mirbolouk F.</w:t>
      </w:r>
      <w:r w:rsidRPr="000A32AD">
        <w:rPr>
          <w:rFonts w:ascii="Times New Roman" w:hAnsi="Times New Roman" w:cs="Times New Roman"/>
          <w:color w:val="000000" w:themeColor="text1"/>
          <w:lang w:val="en-US"/>
        </w:rPr>
        <w:t xml:space="preserve"> Effect of multimorbidity on quality of life in adult with cardiovascular disease: a cross–sectional study. Health Qual. Life Outcomes. 2017; 15(1): 240. </w:t>
      </w:r>
      <w:r w:rsidRPr="000A32AD">
        <w:rPr>
          <w:rFonts w:ascii="Times New Roman" w:hAnsi="Times New Roman" w:cs="Times New Roman"/>
          <w:color w:val="000000" w:themeColor="text1"/>
          <w:shd w:val="clear" w:color="auto" w:fill="FFFFFF"/>
          <w:lang w:val="en-US"/>
        </w:rPr>
        <w:t>doi: 10.1186/s12955-017-0820-8</w:t>
      </w:r>
      <w:r w:rsidRPr="000A32AD">
        <w:rPr>
          <w:rFonts w:ascii="Times New Roman" w:hAnsi="Times New Roman" w:cs="Times New Roman"/>
          <w:color w:val="000000" w:themeColor="text1"/>
          <w:lang w:val="en-US"/>
        </w:rPr>
        <w:t xml:space="preserve"> </w:t>
      </w:r>
    </w:p>
    <w:p w:rsidR="00E85D19" w:rsidRPr="000A32AD" w:rsidRDefault="00E85D19" w:rsidP="00E85D19">
      <w:pPr>
        <w:pStyle w:val="a3"/>
        <w:widowControl w:val="0"/>
        <w:numPr>
          <w:ilvl w:val="0"/>
          <w:numId w:val="22"/>
        </w:numPr>
        <w:tabs>
          <w:tab w:val="left" w:pos="1276"/>
        </w:tabs>
        <w:ind w:left="0" w:firstLine="709"/>
        <w:contextualSpacing/>
        <w:jc w:val="both"/>
        <w:rPr>
          <w:rStyle w:val="a5"/>
          <w:rFonts w:ascii="Times New Roman" w:hAnsi="Times New Roman" w:cs="Times New Roman"/>
          <w:color w:val="000000" w:themeColor="text1"/>
          <w:u w:val="none"/>
          <w:lang w:val="en-US"/>
        </w:rPr>
      </w:pPr>
      <w:r w:rsidRPr="000A32AD">
        <w:rPr>
          <w:rFonts w:ascii="Times New Roman" w:hAnsi="Times New Roman" w:cs="Times New Roman"/>
          <w:bCs/>
          <w:color w:val="000000" w:themeColor="text1"/>
          <w:lang w:val="en-US"/>
        </w:rPr>
        <w:t xml:space="preserve">Shakya S, Wang Y, Mack JA, Maytin EV. Hyperglycemia-induced changes in hyaluronan contribute to impaired skin wound healing in diabetes: review and perspective. </w:t>
      </w:r>
      <w:r w:rsidRPr="000A32AD">
        <w:rPr>
          <w:rFonts w:ascii="Times New Roman" w:hAnsi="Times New Roman" w:cs="Times New Roman"/>
          <w:color w:val="000000" w:themeColor="text1"/>
          <w:lang w:val="en-US"/>
        </w:rPr>
        <w:t>Int J Cell Biol. 2015, Article ID 701738, 11 pages. http://dx.doi.org/10.1155/2015/701738</w:t>
      </w:r>
    </w:p>
    <w:p w:rsidR="00E85D19" w:rsidRPr="000A32AD" w:rsidRDefault="00E85D19" w:rsidP="00E85D19">
      <w:pPr>
        <w:pStyle w:val="a3"/>
        <w:numPr>
          <w:ilvl w:val="0"/>
          <w:numId w:val="22"/>
        </w:numPr>
        <w:tabs>
          <w:tab w:val="left" w:pos="1134"/>
          <w:tab w:val="left" w:pos="1276"/>
        </w:tabs>
        <w:ind w:left="0" w:firstLine="709"/>
        <w:jc w:val="both"/>
        <w:rPr>
          <w:rFonts w:ascii="Times New Roman" w:hAnsi="Times New Roman" w:cs="Times New Roman"/>
          <w:color w:val="000000" w:themeColor="text1"/>
          <w:lang w:val="uk-UA"/>
        </w:rPr>
      </w:pPr>
      <w:r w:rsidRPr="000A32AD">
        <w:rPr>
          <w:rFonts w:ascii="Times New Roman" w:hAnsi="Times New Roman" w:cs="Times New Roman"/>
          <w:color w:val="000000" w:themeColor="text1"/>
          <w:lang w:val="en-US"/>
        </w:rPr>
        <w:t>Sherstyuk LL., Nikolenko Y</w:t>
      </w:r>
      <w:r w:rsidRPr="000A32AD">
        <w:rPr>
          <w:rFonts w:ascii="Times New Roman" w:hAnsi="Times New Roman" w:cs="Times New Roman"/>
          <w:color w:val="000000" w:themeColor="text1"/>
          <w:lang w:val="uk-UA"/>
        </w:rPr>
        <w:t>е.</w:t>
      </w:r>
      <w:r w:rsidRPr="000A32AD">
        <w:rPr>
          <w:rFonts w:ascii="Times New Roman" w:hAnsi="Times New Roman" w:cs="Times New Roman"/>
          <w:color w:val="000000" w:themeColor="text1"/>
          <w:lang w:val="en-US"/>
        </w:rPr>
        <w:t>Ya. Undifferentiated connective tissue dysplasia as a potential predictor of arterial hypertension development in patients with type 2 diabetes mellitus. J of V. N. Karazin` KhNU. 2018; 36: 23-32.</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Siervo M, Ruggiero D, Sorice R. et al. Angiogenesis and biomarkers of cardiovascular risk in adults with metabolic syndromeю J. Intern. Med. 2010; 268(4): 338-347.</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Skaletz-Rorowski A, Pinkernell K, Sindermann JR, Schriever C, Müller JG, Eschert H, Breithardt G. Angiotensin AT1 receptor upregulates expression of basic fibroblast growth factor, basic fibroblast growth factor receptor and coreceptor in human coronary smooth muscle cells. Basic Res Cardiol. 2004; 99(4): 272-278.</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Srivastava S, Terjung RL, Yang HT. Basic fibroblast growth factor increases collateral blood flow in spontaneously hypertensive rats. Am J Physiol Heart Circ Physiol. 2003; 285(3):H1190-7.</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Strutz F. The role of FGF-2 in renal fibrogenesis. Front. Biosci. 2009; </w:t>
      </w:r>
      <w:r w:rsidRPr="000A32AD">
        <w:rPr>
          <w:rFonts w:ascii="Times New Roman" w:hAnsi="Times New Roman" w:cs="Times New Roman"/>
          <w:color w:val="000000" w:themeColor="text1"/>
          <w:lang w:val="en-US"/>
        </w:rPr>
        <w:lastRenderedPageBreak/>
        <w:t xml:space="preserve">1(1): 125-131. </w:t>
      </w:r>
    </w:p>
    <w:p w:rsidR="00E85D19" w:rsidRPr="000A32AD" w:rsidRDefault="00E85D19" w:rsidP="00E85D19">
      <w:pPr>
        <w:pStyle w:val="a3"/>
        <w:widowControl w:val="0"/>
        <w:numPr>
          <w:ilvl w:val="0"/>
          <w:numId w:val="22"/>
        </w:numPr>
        <w:tabs>
          <w:tab w:val="left" w:pos="1276"/>
        </w:tabs>
        <w:ind w:left="0" w:firstLine="709"/>
        <w:contextualSpacing/>
        <w:jc w:val="both"/>
        <w:rPr>
          <w:rStyle w:val="a5"/>
          <w:rFonts w:ascii="Times New Roman" w:hAnsi="Times New Roman" w:cs="Times New Roman"/>
          <w:color w:val="000000" w:themeColor="text1"/>
          <w:u w:val="none"/>
          <w:lang w:val="en-US"/>
        </w:rPr>
      </w:pPr>
      <w:r w:rsidRPr="000A32AD">
        <w:rPr>
          <w:rStyle w:val="authorsname"/>
          <w:rFonts w:ascii="Times New Roman" w:hAnsi="Times New Roman" w:cs="Times New Roman"/>
          <w:color w:val="000000" w:themeColor="text1"/>
          <w:lang w:val="en-US"/>
        </w:rPr>
        <w:t xml:space="preserve">Sun L.-Y, Qu X, Chen L.-Z, Chen X.-X, Zheng G.-S, Wang Z.-T et al. </w:t>
      </w:r>
      <w:r w:rsidRPr="000A32AD">
        <w:rPr>
          <w:rFonts w:ascii="Times New Roman" w:hAnsi="Times New Roman" w:cs="Times New Roman"/>
          <w:bCs/>
          <w:color w:val="000000" w:themeColor="text1"/>
          <w:lang w:val="en-US"/>
        </w:rPr>
        <w:t xml:space="preserve">High molecular weight fibroblast growth factor-2 as a promising prognostic biomarker to predict the occurrence of heart failure in atrial fibrillation patients. </w:t>
      </w:r>
      <w:r w:rsidRPr="000A32AD">
        <w:rPr>
          <w:rStyle w:val="journaltitle"/>
          <w:rFonts w:ascii="Times New Roman" w:hAnsi="Times New Roman" w:cs="Times New Roman"/>
          <w:color w:val="000000" w:themeColor="text1"/>
          <w:lang w:val="en-US"/>
        </w:rPr>
        <w:t>Heart and Vessels</w:t>
      </w:r>
      <w:r w:rsidRPr="000A32AD">
        <w:rPr>
          <w:rFonts w:ascii="Times New Roman" w:hAnsi="Times New Roman" w:cs="Times New Roman"/>
          <w:color w:val="000000" w:themeColor="text1"/>
          <w:lang w:val="en-US"/>
        </w:rPr>
        <w:t xml:space="preserve">. </w:t>
      </w:r>
      <w:r w:rsidRPr="000A32AD">
        <w:rPr>
          <w:rStyle w:val="articlecitationyear"/>
          <w:rFonts w:ascii="Times New Roman" w:hAnsi="Times New Roman" w:cs="Times New Roman"/>
          <w:color w:val="000000" w:themeColor="text1"/>
          <w:lang w:val="en-US"/>
        </w:rPr>
        <w:t xml:space="preserve">2017; </w:t>
      </w:r>
      <w:r w:rsidRPr="000A32AD">
        <w:rPr>
          <w:rStyle w:val="articlecitationvolume"/>
          <w:rFonts w:ascii="Times New Roman" w:eastAsiaTheme="majorEastAsia" w:hAnsi="Times New Roman" w:cs="Times New Roman"/>
          <w:color w:val="000000" w:themeColor="text1"/>
          <w:lang w:val="en-US"/>
        </w:rPr>
        <w:t>32(</w:t>
      </w:r>
      <w:r w:rsidRPr="000A32AD">
        <w:rPr>
          <w:rFonts w:ascii="Times New Roman" w:hAnsi="Times New Roman" w:cs="Times New Roman"/>
          <w:color w:val="000000" w:themeColor="text1"/>
          <w:lang w:val="en-US"/>
        </w:rPr>
        <w:t xml:space="preserve">12): </w:t>
      </w:r>
      <w:r w:rsidRPr="000A32AD">
        <w:rPr>
          <w:rStyle w:val="articlecitationpages"/>
          <w:rFonts w:ascii="Times New Roman" w:hAnsi="Times New Roman" w:cs="Times New Roman"/>
          <w:color w:val="000000" w:themeColor="text1"/>
          <w:lang w:val="en-US"/>
        </w:rPr>
        <w:t>1506–1512</w:t>
      </w:r>
      <w:r w:rsidRPr="000A32AD">
        <w:rPr>
          <w:rStyle w:val="u-inline-block"/>
          <w:rFonts w:ascii="Times New Roman" w:eastAsiaTheme="majorEastAsia" w:hAnsi="Times New Roman" w:cs="Times New Roman"/>
          <w:color w:val="000000" w:themeColor="text1"/>
          <w:lang w:val="en-US"/>
        </w:rPr>
        <w:t xml:space="preserve">. </w:t>
      </w:r>
      <w:r w:rsidRPr="000A32AD">
        <w:rPr>
          <w:rFonts w:ascii="Times New Roman" w:hAnsi="Times New Roman" w:cs="Times New Roman"/>
          <w:color w:val="000000" w:themeColor="text1"/>
          <w:lang w:val="en-US"/>
        </w:rPr>
        <w:t>Heart Vessels (2017) 32: 1506. https://doi.org/10.1007/s00380-017-1019-y</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Suzuki T, Akasaka Y, Namiki A, Ito K, Ishikawa Y, Yamazaki J, Ishii T. Basic fibroblast growth factor inhibits ventricular remodeling in Dahl salt-sensitive hypertensive rats. J Hypertens. 2008; 26(12): 2436-44. doi: 10.1097/HJH.0b013e328312c889</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eastAsia="Times New Roman" w:hAnsi="Times New Roman" w:cs="Times New Roman"/>
          <w:color w:val="000000" w:themeColor="text1"/>
          <w:lang w:val="en-US" w:eastAsia="ru-RU"/>
        </w:rPr>
        <w:t xml:space="preserve">Svystonyuk DA, Ngu, JM, Mewhort HE, Lipon BD, Teng G, Guzzardi DG et al. Fibroblast growth factor-2 regulates human cardiac myofibroblast-mediated extracellular matrix remodeling. </w:t>
      </w:r>
      <w:r w:rsidRPr="000A32AD">
        <w:rPr>
          <w:rFonts w:ascii="Times New Roman" w:eastAsia="Times New Roman" w:hAnsi="Times New Roman" w:cs="Times New Roman"/>
          <w:iCs/>
          <w:color w:val="000000" w:themeColor="text1"/>
          <w:lang w:val="en-US" w:eastAsia="ru-RU"/>
        </w:rPr>
        <w:t>J. Transl. Med.</w:t>
      </w:r>
      <w:r w:rsidRPr="000A32AD">
        <w:rPr>
          <w:rFonts w:ascii="Times New Roman" w:eastAsia="Times New Roman" w:hAnsi="Times New Roman" w:cs="Times New Roman"/>
          <w:color w:val="000000" w:themeColor="text1"/>
          <w:lang w:val="en-US" w:eastAsia="ru-RU"/>
        </w:rPr>
        <w:t xml:space="preserve"> 2015; 13: 147. doi: 10.1186/s12967-015-0510-4</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Uribarri J, Cai W, Peppa M, Goodman S, Ferrucci L, Striker G, et al. Circulating glycotoxins and dietary advanced glycation endproducts: two links to inflammatory response, oxidative stress, and aging. J Gerontol A Biol Sci Med Sci 2007;62(4):427–433. PubMed PMID: 17452738</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van der Leeuw J, Beulens JW, van Dieren S, Schalkwijk CG, Glatz JF, Hofker MH et al. Novel Biomarkers to Improve the Prediction of Cardiovascular Event Risk in Type 2 </w:t>
      </w:r>
      <w:r w:rsidRPr="000A32AD">
        <w:rPr>
          <w:rStyle w:val="highlight"/>
          <w:rFonts w:ascii="Times New Roman" w:hAnsi="Times New Roman" w:cs="Times New Roman"/>
          <w:color w:val="000000" w:themeColor="text1"/>
          <w:lang w:val="en-US"/>
        </w:rPr>
        <w:t>Diabetes Mellitus</w:t>
      </w:r>
      <w:r w:rsidRPr="000A32AD">
        <w:rPr>
          <w:rFonts w:ascii="Times New Roman" w:hAnsi="Times New Roman" w:cs="Times New Roman"/>
          <w:color w:val="000000" w:themeColor="text1"/>
          <w:lang w:val="en-US"/>
        </w:rPr>
        <w:t>. J Am Heart Assoc. 2016; 31;5(6). pii: e003048. doi: 10.1161/JAHA.115.003048</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Van Royen N, Piek JJ, Schaper W, Fulton WF. A critical review of clinical arteriogenesis research. J. Am. Coll. Cardiol. 2009; 55 (1): 17-25.</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Vanholder R, Massy Z, Argiles A, Spasovski G, Verbeke F, Lameire N, et al. Chronic kidney disease as cause of cardiovascular morbidity and mortality. Nephrology Dialysis Transplantation. 2005;20(6):1048–1056. DOI: http://dx.doi.org/10.1093/ndt/gfh813</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lastRenderedPageBreak/>
        <w:t>Vasko R, Koziolek M, Ikehata M. et al. Role of basic fibroblast growth factor (FGF-2) in diabetic nephropathy and mechanisms of its induction by hyperglycemia in human renal fibroblasts. Am. J. Physiol. Renal. Physiol. 2009; 296(6): 1452-1463.</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Veron D, Bertuccio CA, Marlier A, Reidy K, Garcia AM, Jimenez J, Velazquez H, Kashgarian M, Moeckel GW, Tufro A. Podocyte vascular endothelial growth factor (Vegf164) overexpression causes severe nodular glomerulosclerosis in a mouse model of type 1 diabetes. Diabetologia. 2011; 54(5): 1227-1241.</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shd w:val="clear" w:color="auto" w:fill="FFFFFF"/>
          <w:lang w:val="en-US"/>
        </w:rPr>
      </w:pPr>
      <w:r w:rsidRPr="000A32AD">
        <w:rPr>
          <w:rFonts w:ascii="Times New Roman" w:hAnsi="Times New Roman" w:cs="Times New Roman"/>
          <w:color w:val="000000" w:themeColor="text1"/>
          <w:shd w:val="clear" w:color="auto" w:fill="FFFFFF"/>
          <w:lang w:val="en-US"/>
        </w:rPr>
        <w:t>Vetrano DL, Calderón-Larrañaga A, Marengoni A, Onder G, Bauer JM, Cesari M, Ferrucci L</w:t>
      </w:r>
      <w:r w:rsidRPr="000A32AD">
        <w:rPr>
          <w:rFonts w:ascii="Times New Roman" w:hAnsi="Times New Roman" w:cs="Times New Roman"/>
          <w:color w:val="000000" w:themeColor="text1"/>
          <w:shd w:val="clear" w:color="auto" w:fill="FFFFFF"/>
          <w:vertAlign w:val="superscript"/>
          <w:lang w:val="en-US"/>
        </w:rPr>
        <w:t>7</w:t>
      </w:r>
      <w:r w:rsidRPr="000A32AD">
        <w:rPr>
          <w:rFonts w:ascii="Times New Roman" w:hAnsi="Times New Roman" w:cs="Times New Roman"/>
          <w:color w:val="000000" w:themeColor="text1"/>
          <w:shd w:val="clear" w:color="auto" w:fill="FFFFFF"/>
          <w:lang w:val="en-US"/>
        </w:rPr>
        <w:t xml:space="preserve">, Fratiglioni L. </w:t>
      </w:r>
      <w:r w:rsidRPr="000A32AD">
        <w:rPr>
          <w:rFonts w:ascii="Times New Roman" w:hAnsi="Times New Roman" w:cs="Times New Roman"/>
          <w:color w:val="000000" w:themeColor="text1"/>
          <w:lang w:val="en-US"/>
        </w:rPr>
        <w:t xml:space="preserve">et al. An international perspective on chronic multimorbidity: approaching the elephant in the room. </w:t>
      </w:r>
      <w:r w:rsidRPr="000A32AD">
        <w:rPr>
          <w:rFonts w:ascii="Times New Roman" w:hAnsi="Times New Roman" w:cs="Times New Roman"/>
          <w:color w:val="000000" w:themeColor="text1"/>
          <w:shd w:val="clear" w:color="auto" w:fill="FFFFFF"/>
          <w:lang w:val="en-US"/>
        </w:rPr>
        <w:t xml:space="preserve">J Gerontol A Biol Sci Med Sci. 2018;73(10):1350-1356. doi: 10.1093/gerona/glx178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Virag JA, Rolle ML, Reece J, Hardouin S, Feigl EO, Murry CE. Fibroblast Growth Factor-2 regulates myocardial infarct repair: effects on cell proliferation, scar contraction, and ventricular function. Am J Pathol 2007, 171:1431–1440.</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Vlachopoulos C, Aznaouridis K, Stefanadis C. Prediction of cardiovascular events and all-cause mortality with arterial stiffness: a systematic review and meta-analysis. J Am Coll Cardiol. 2010;55(13):1318–1327. doi: 10.1016/j.jacc.2009.10.061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Wang F, Wan A, Rodrigues B. The function of heparanase in diabetes and its complications. Can J Diabetes. 2013 Oct;37(5):332-8. doi: 10.1016/j.jcjd.2013.05.008</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Wang HJ, Lo WY. Identification of </w:t>
      </w:r>
      <w:r w:rsidRPr="000A32AD">
        <w:rPr>
          <w:rStyle w:val="highlight"/>
          <w:rFonts w:ascii="Times New Roman" w:hAnsi="Times New Roman" w:cs="Times New Roman"/>
          <w:color w:val="000000" w:themeColor="text1"/>
          <w:lang w:val="en-US"/>
        </w:rPr>
        <w:t>basic</w:t>
      </w:r>
      <w:r w:rsidRPr="000A32AD">
        <w:rPr>
          <w:rFonts w:ascii="Times New Roman" w:hAnsi="Times New Roman" w:cs="Times New Roman"/>
          <w:color w:val="000000" w:themeColor="text1"/>
          <w:lang w:val="en-US"/>
        </w:rPr>
        <w:t xml:space="preserve"> </w:t>
      </w:r>
      <w:r w:rsidRPr="000A32AD">
        <w:rPr>
          <w:rStyle w:val="highlight"/>
          <w:rFonts w:ascii="Times New Roman" w:hAnsi="Times New Roman" w:cs="Times New Roman"/>
          <w:color w:val="000000" w:themeColor="text1"/>
          <w:lang w:val="en-US"/>
        </w:rPr>
        <w:t>fibroblast</w:t>
      </w:r>
      <w:r w:rsidRPr="000A32AD">
        <w:rPr>
          <w:rFonts w:ascii="Times New Roman" w:hAnsi="Times New Roman" w:cs="Times New Roman"/>
          <w:color w:val="000000" w:themeColor="text1"/>
          <w:lang w:val="en-US"/>
        </w:rPr>
        <w:t xml:space="preserve"> </w:t>
      </w:r>
      <w:r w:rsidRPr="000A32AD">
        <w:rPr>
          <w:rStyle w:val="highlight"/>
          <w:rFonts w:ascii="Times New Roman" w:hAnsi="Times New Roman" w:cs="Times New Roman"/>
          <w:color w:val="000000" w:themeColor="text1"/>
          <w:lang w:val="en-US"/>
        </w:rPr>
        <w:t>growth</w:t>
      </w:r>
      <w:r w:rsidRPr="000A32AD">
        <w:rPr>
          <w:rFonts w:ascii="Times New Roman" w:hAnsi="Times New Roman" w:cs="Times New Roman"/>
          <w:color w:val="000000" w:themeColor="text1"/>
          <w:lang w:val="en-US"/>
        </w:rPr>
        <w:t xml:space="preserve"> </w:t>
      </w:r>
      <w:r w:rsidRPr="000A32AD">
        <w:rPr>
          <w:rStyle w:val="highlight"/>
          <w:rFonts w:ascii="Times New Roman" w:hAnsi="Times New Roman" w:cs="Times New Roman"/>
          <w:color w:val="000000" w:themeColor="text1"/>
          <w:lang w:val="en-US"/>
        </w:rPr>
        <w:t>factor</w:t>
      </w:r>
      <w:r w:rsidRPr="000A32AD">
        <w:rPr>
          <w:rFonts w:ascii="Times New Roman" w:hAnsi="Times New Roman" w:cs="Times New Roman"/>
          <w:color w:val="000000" w:themeColor="text1"/>
          <w:lang w:val="en-US"/>
        </w:rPr>
        <w:t xml:space="preserve"> as the dominant protector of laminar shear medium from the modified shear device in tumor necrosis </w:t>
      </w:r>
      <w:r w:rsidRPr="000A32AD">
        <w:rPr>
          <w:rStyle w:val="highlight"/>
          <w:rFonts w:ascii="Times New Roman" w:hAnsi="Times New Roman" w:cs="Times New Roman"/>
          <w:color w:val="000000" w:themeColor="text1"/>
          <w:lang w:val="en-US"/>
        </w:rPr>
        <w:t>factor</w:t>
      </w:r>
      <w:r w:rsidRPr="000A32AD">
        <w:rPr>
          <w:rFonts w:ascii="Times New Roman" w:hAnsi="Times New Roman" w:cs="Times New Roman"/>
          <w:color w:val="000000" w:themeColor="text1"/>
          <w:lang w:val="en-US"/>
        </w:rPr>
        <w:t xml:space="preserve">-α induced endothelial dysfunction. Front Physiol. 2018; 8: 1095. doi: 10.3389/fphys.2017.01095.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Wang L, Palmer AJ, Cocker F, </w:t>
      </w:r>
      <w:r w:rsidRPr="000A32AD">
        <w:rPr>
          <w:rFonts w:ascii="Times New Roman" w:hAnsi="Times New Roman" w:cs="Times New Roman"/>
          <w:color w:val="000000" w:themeColor="text1"/>
          <w:shd w:val="clear" w:color="auto" w:fill="FFFFFF"/>
          <w:lang w:val="en-US"/>
        </w:rPr>
        <w:t xml:space="preserve">Sanderson K. </w:t>
      </w:r>
      <w:r w:rsidRPr="000A32AD">
        <w:rPr>
          <w:rFonts w:ascii="Times New Roman" w:hAnsi="Times New Roman" w:cs="Times New Roman"/>
          <w:color w:val="000000" w:themeColor="text1"/>
          <w:lang w:val="en-US"/>
        </w:rPr>
        <w:t xml:space="preserve">et al. Multimorbidity and health–related quality of life (HRQoL) in a nationally representative population </w:t>
      </w:r>
      <w:r w:rsidRPr="000A32AD">
        <w:rPr>
          <w:rFonts w:ascii="Times New Roman" w:hAnsi="Times New Roman" w:cs="Times New Roman"/>
          <w:color w:val="000000" w:themeColor="text1"/>
          <w:lang w:val="en-US"/>
        </w:rPr>
        <w:lastRenderedPageBreak/>
        <w:t xml:space="preserve">sample: implications of count versus cluster method for defining multimorbidity on HRQoL. Health Qual. Life Outcomes. </w:t>
      </w:r>
      <w:r w:rsidRPr="000A32AD">
        <w:rPr>
          <w:rFonts w:ascii="Times New Roman" w:hAnsi="Times New Roman" w:cs="Times New Roman"/>
          <w:color w:val="000000" w:themeColor="text1"/>
          <w:shd w:val="clear" w:color="auto" w:fill="FFFFFF"/>
          <w:lang w:val="en-US"/>
        </w:rPr>
        <w:t>2017;15 (1):7. doi: 10.1186/s12955-016-0580-x</w:t>
      </w:r>
      <w:r w:rsidRPr="000A32AD">
        <w:rPr>
          <w:rFonts w:ascii="Times New Roman" w:hAnsi="Times New Roman" w:cs="Times New Roman"/>
          <w:color w:val="000000" w:themeColor="text1"/>
          <w:lang w:val="en-US"/>
        </w:rPr>
        <w:t xml:space="preserve">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 Wang Y, Fu C, Wu Z, Chen L, Chen X, Wei Y, et al. A chitin film containing basic fibroblast growth factor with a chitin-binding domain as wound dressings. Carbohydr Polym. 2017;174:723–30.doi: 10.1016/j.carbpol.2017.05.087</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eastAsia="Times New Roman" w:hAnsi="Times New Roman" w:cs="Times New Roman"/>
          <w:color w:val="000000" w:themeColor="text1"/>
          <w:lang w:val="en-US" w:eastAsia="ru-RU"/>
        </w:rPr>
        <w:t xml:space="preserve">Wang ZG, Wang Y, Huang Y, Lu Q, Zheng L, Hu D et al. bFGF regulates autophagy and ubiquitinated protein accumulation induced by myocardial ischemia/reperfusion via the activation of the PI3K/Akt/mTOR pathway. </w:t>
      </w:r>
      <w:r w:rsidRPr="000A32AD">
        <w:rPr>
          <w:rFonts w:ascii="Times New Roman" w:eastAsia="Times New Roman" w:hAnsi="Times New Roman" w:cs="Times New Roman"/>
          <w:iCs/>
          <w:color w:val="000000" w:themeColor="text1"/>
          <w:lang w:val="en-US" w:eastAsia="ru-RU"/>
        </w:rPr>
        <w:t>Sci. Rep.</w:t>
      </w:r>
      <w:r w:rsidRPr="000A32AD">
        <w:rPr>
          <w:rFonts w:ascii="Times New Roman" w:eastAsia="Times New Roman" w:hAnsi="Times New Roman" w:cs="Times New Roman"/>
          <w:color w:val="000000" w:themeColor="text1"/>
          <w:lang w:val="en-US" w:eastAsia="ru-RU"/>
        </w:rPr>
        <w:t xml:space="preserve"> 2015; 5:9287. doi: 10.1038/srep09287</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 Warburton D. Developmental responses to lung injury: repair or fibrosis. Fibrogenesis Tissue Repair 2012, 5(Suppl 1):S2</w:t>
      </w:r>
      <w:r w:rsidR="00792540" w:rsidRPr="000A32AD">
        <w:rPr>
          <w:rFonts w:ascii="Times New Roman" w:hAnsi="Times New Roman" w:cs="Times New Roman"/>
          <w:color w:val="000000" w:themeColor="text1"/>
          <w:lang w:val="uk-UA"/>
        </w:rPr>
        <w:t>.</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shd w:val="clear" w:color="auto" w:fill="FFFFFF"/>
          <w:lang w:val="en-US"/>
        </w:rPr>
        <w:t>Woodward M, Huxley R, Ueshima H, Fang X</w:t>
      </w:r>
      <w:r w:rsidRPr="000A32AD">
        <w:rPr>
          <w:rFonts w:ascii="Times New Roman" w:hAnsi="Times New Roman" w:cs="Times New Roman"/>
          <w:color w:val="000000" w:themeColor="text1"/>
          <w:lang w:val="en-US"/>
        </w:rPr>
        <w:t>. The Asia pacific cohort studies collaboration: a decade of achievements.</w:t>
      </w:r>
      <w:r w:rsidRPr="000A32AD">
        <w:rPr>
          <w:rFonts w:ascii="Times New Roman" w:hAnsi="Times New Roman" w:cs="Times New Roman"/>
          <w:color w:val="000000" w:themeColor="text1"/>
          <w:shd w:val="clear" w:color="auto" w:fill="FFFFFF"/>
          <w:lang w:val="en-US"/>
        </w:rPr>
        <w:t xml:space="preserve"> Glob Heart. 2012;7(4):343-51. doi: 10.1016/j.gheart.2012.10.001</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Wynn TA. Common and unique mechanisms regulate fibrosis in various fibroproliferative diseases. J. Clin. Invest. 2007; 117: 524-529.</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Xiao L, Du Y, Shen Y, He Y, Zhao H, Li Z. TGF-beta 1 induced fibroblast proliferation is mediated by the FGF-2/ERK pathway. Front Biosci (Landmark Ed) 2012, 17:2667–2674.</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Xu A, Lin Z, Wu Z, et al. Serum levels of FGF-21 are increased in coronary heart disease patients and are independently associated with adverse lipid profile. PLoS ONE. 2010;5(12):e15534. doi: 10.1371/journal.pone.0015534</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Yan SF, D'Agati V, Schmidt AM, Ramasamy R. Receptor for Advanced Glycation Endproducts (RAGE): a formidable force in the pathogenesis of the cardiovascular complications of diabetes &amp; aging. Curr Mol Med 2007;7(8):699–710. PubMed PMID: 18331228</w:t>
      </w:r>
      <w:r w:rsidRPr="000A32AD">
        <w:rPr>
          <w:rFonts w:ascii="Times New Roman" w:hAnsi="Times New Roman" w:cs="Times New Roman"/>
          <w:color w:val="000000" w:themeColor="text1"/>
          <w:lang w:val="uk-UA"/>
        </w:rPr>
        <w:t>.</w:t>
      </w:r>
      <w:r w:rsidRPr="000A32AD">
        <w:rPr>
          <w:rFonts w:ascii="Times New Roman" w:hAnsi="Times New Roman" w:cs="Times New Roman"/>
          <w:color w:val="000000" w:themeColor="text1"/>
          <w:lang w:val="en-US"/>
        </w:rPr>
        <w:t xml:space="preserve"> </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Yang SN, Burch ML, Tannock LR, Evanko S, Osman N, Little PJ. </w:t>
      </w:r>
      <w:r w:rsidRPr="000A32AD">
        <w:rPr>
          <w:rFonts w:ascii="Times New Roman" w:hAnsi="Times New Roman" w:cs="Times New Roman"/>
          <w:color w:val="000000" w:themeColor="text1"/>
          <w:lang w:val="en-US"/>
        </w:rPr>
        <w:lastRenderedPageBreak/>
        <w:t>Transforming growth factor-</w:t>
      </w:r>
      <w:r w:rsidRPr="000A32AD">
        <w:rPr>
          <w:rFonts w:ascii="Times New Roman" w:hAnsi="Times New Roman" w:cs="Times New Roman"/>
          <w:iCs/>
          <w:color w:val="000000" w:themeColor="text1"/>
          <w:lang w:val="en-US"/>
        </w:rPr>
        <w:t xml:space="preserve">β </w:t>
      </w:r>
      <w:r w:rsidRPr="000A32AD">
        <w:rPr>
          <w:rFonts w:ascii="Times New Roman" w:hAnsi="Times New Roman" w:cs="Times New Roman"/>
          <w:color w:val="000000" w:themeColor="text1"/>
          <w:lang w:val="en-US"/>
        </w:rPr>
        <w:t>regulation of proteoglycan synthesis in vascular smooth muscle: contribution to lipid binding and accelerated atherosclerosis in diabetes. J Diabetes. 2010; 2(4): 233–242.</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Yoon JM. Dyslipidemia in children and adolescents: when and how to diagnose and treat? Pediatric Gastroenterology, Hepatology &amp; Nutrition. 2014;17(2):85–92. doi: 10.5223/pghn.2014.17.2.85</w:t>
      </w:r>
    </w:p>
    <w:p w:rsidR="00E85D1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 xml:space="preserve">Zimering MB, Anderson RJ, </w:t>
      </w:r>
      <w:hyperlink r:id="rId28" w:history="1">
        <w:r w:rsidRPr="000A32AD">
          <w:rPr>
            <w:rFonts w:ascii="Times New Roman" w:hAnsi="Times New Roman" w:cs="Times New Roman"/>
            <w:color w:val="000000" w:themeColor="text1"/>
            <w:lang w:val="en-US"/>
          </w:rPr>
          <w:t>Ge L</w:t>
        </w:r>
      </w:hyperlink>
      <w:r w:rsidRPr="000A32AD">
        <w:rPr>
          <w:rFonts w:ascii="Times New Roman" w:hAnsi="Times New Roman" w:cs="Times New Roman"/>
          <w:color w:val="000000" w:themeColor="text1"/>
          <w:lang w:val="en-US"/>
        </w:rPr>
        <w:t xml:space="preserve">, Moritz TE, Duckworth WC. </w:t>
      </w:r>
      <w:r w:rsidRPr="000A32AD">
        <w:rPr>
          <w:rStyle w:val="highlight"/>
          <w:rFonts w:ascii="Times New Roman" w:hAnsi="Times New Roman" w:cs="Times New Roman"/>
          <w:color w:val="000000" w:themeColor="text1"/>
          <w:lang w:val="en-US"/>
        </w:rPr>
        <w:t>Basic fibroblast growth factor</w:t>
      </w:r>
      <w:r w:rsidRPr="000A32AD">
        <w:rPr>
          <w:rFonts w:ascii="Times New Roman" w:hAnsi="Times New Roman" w:cs="Times New Roman"/>
          <w:color w:val="000000" w:themeColor="text1"/>
          <w:lang w:val="en-US"/>
        </w:rPr>
        <w:t xml:space="preserve"> predicts cardiovascular disease occurrence in participants from the veterans affairs diabetes trial. Front Endocrinol (Lausanne). 2013; 4:183. doi: 10.3389/fendo.2013.00183</w:t>
      </w:r>
    </w:p>
    <w:p w:rsidR="006147E9" w:rsidRPr="000A32AD" w:rsidRDefault="00E85D19" w:rsidP="00E85D19">
      <w:pPr>
        <w:pStyle w:val="a3"/>
        <w:widowControl w:val="0"/>
        <w:numPr>
          <w:ilvl w:val="0"/>
          <w:numId w:val="22"/>
        </w:numPr>
        <w:tabs>
          <w:tab w:val="left" w:pos="1276"/>
        </w:tabs>
        <w:ind w:left="0" w:firstLine="709"/>
        <w:contextualSpacing/>
        <w:jc w:val="both"/>
        <w:rPr>
          <w:rFonts w:ascii="Times New Roman" w:hAnsi="Times New Roman" w:cs="Times New Roman"/>
          <w:color w:val="000000" w:themeColor="text1"/>
          <w:lang w:val="en-US"/>
        </w:rPr>
      </w:pPr>
      <w:r w:rsidRPr="000A32AD">
        <w:rPr>
          <w:rFonts w:ascii="Times New Roman" w:hAnsi="Times New Roman" w:cs="Times New Roman"/>
          <w:color w:val="000000" w:themeColor="text1"/>
          <w:lang w:val="en-US"/>
        </w:rPr>
        <w:t>Zimering MB, Anderson RJ, Ge L, Moritz TE</w:t>
      </w:r>
      <w:r w:rsidRPr="000A32AD">
        <w:rPr>
          <w:rFonts w:ascii="Times New Roman" w:hAnsi="Times New Roman" w:cs="Times New Roman"/>
          <w:color w:val="000000" w:themeColor="text1"/>
          <w:lang w:val="uk-UA"/>
        </w:rPr>
        <w:t>.</w:t>
      </w:r>
      <w:r w:rsidRPr="000A32AD">
        <w:rPr>
          <w:rFonts w:ascii="Times New Roman" w:hAnsi="Times New Roman" w:cs="Times New Roman"/>
          <w:color w:val="000000" w:themeColor="text1"/>
          <w:lang w:val="en-US"/>
        </w:rPr>
        <w:t xml:space="preserve"> Increased plasma basic fibroblast growth factor is associated with coronary heart disease in adult type 2 diabetes mellitus. Metabolism. 2011; 60(2): 284-91. doi: 10.1016/j.metabol.2010.02.003</w:t>
      </w:r>
    </w:p>
    <w:p w:rsidR="006147E9" w:rsidRPr="000A32AD" w:rsidRDefault="006147E9" w:rsidP="006147E9">
      <w:pPr>
        <w:widowControl w:val="0"/>
        <w:tabs>
          <w:tab w:val="left" w:pos="993"/>
        </w:tabs>
        <w:spacing w:line="360" w:lineRule="auto"/>
        <w:ind w:firstLine="709"/>
        <w:jc w:val="both"/>
        <w:rPr>
          <w:rFonts w:ascii="Times New Roman" w:hAnsi="Times New Roman" w:cs="Times New Roman"/>
          <w:color w:val="000000" w:themeColor="text1"/>
          <w:sz w:val="28"/>
          <w:szCs w:val="28"/>
          <w:lang w:val="uk-UA"/>
        </w:rPr>
      </w:pPr>
    </w:p>
    <w:p w:rsidR="003701DC" w:rsidRPr="000A32AD" w:rsidRDefault="003701DC" w:rsidP="006147E9">
      <w:pPr>
        <w:widowControl w:val="0"/>
        <w:tabs>
          <w:tab w:val="left" w:pos="993"/>
        </w:tabs>
        <w:spacing w:line="360" w:lineRule="auto"/>
        <w:ind w:firstLine="709"/>
        <w:jc w:val="both"/>
        <w:rPr>
          <w:rFonts w:ascii="Times New Roman" w:hAnsi="Times New Roman" w:cs="Times New Roman"/>
          <w:color w:val="000000" w:themeColor="text1"/>
          <w:sz w:val="28"/>
          <w:szCs w:val="28"/>
          <w:lang w:val="uk-UA"/>
        </w:rPr>
      </w:pPr>
    </w:p>
    <w:p w:rsidR="003701DC" w:rsidRPr="000A32AD" w:rsidRDefault="003701DC">
      <w:pPr>
        <w:spacing w:after="160" w:line="259" w:lineRule="auto"/>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br w:type="page"/>
      </w:r>
    </w:p>
    <w:p w:rsidR="00A67FEC" w:rsidRDefault="00A67FEC" w:rsidP="00A67FEC">
      <w:pPr>
        <w:spacing w:after="160" w:line="259" w:lineRule="auto"/>
        <w:rPr>
          <w:rFonts w:ascii="Times New Roman" w:hAnsi="Times New Roman" w:cs="Times New Roman"/>
          <w:b/>
          <w:bCs/>
          <w:color w:val="000000" w:themeColor="text1"/>
          <w:sz w:val="28"/>
          <w:szCs w:val="28"/>
          <w:lang w:val="uk-UA" w:eastAsia="en-US"/>
        </w:rPr>
      </w:pPr>
    </w:p>
    <w:p w:rsidR="00A67FEC" w:rsidRDefault="00A67FEC" w:rsidP="00A67FEC">
      <w:pPr>
        <w:spacing w:after="160" w:line="259" w:lineRule="auto"/>
        <w:rPr>
          <w:rFonts w:ascii="Times New Roman" w:hAnsi="Times New Roman" w:cs="Times New Roman"/>
          <w:b/>
          <w:bCs/>
          <w:color w:val="000000" w:themeColor="text1"/>
          <w:sz w:val="28"/>
          <w:szCs w:val="28"/>
          <w:lang w:val="uk-UA" w:eastAsia="en-US"/>
        </w:rPr>
      </w:pPr>
    </w:p>
    <w:p w:rsidR="00A67FEC" w:rsidRDefault="00A67FEC" w:rsidP="00A67FEC">
      <w:pPr>
        <w:spacing w:after="160" w:line="259" w:lineRule="auto"/>
        <w:rPr>
          <w:rFonts w:ascii="Times New Roman" w:hAnsi="Times New Roman" w:cs="Times New Roman"/>
          <w:b/>
          <w:bCs/>
          <w:color w:val="000000" w:themeColor="text1"/>
          <w:sz w:val="28"/>
          <w:szCs w:val="28"/>
          <w:lang w:val="uk-UA" w:eastAsia="en-US"/>
        </w:rPr>
      </w:pPr>
    </w:p>
    <w:p w:rsidR="00A67FEC" w:rsidRDefault="00A67FEC" w:rsidP="00A67FEC">
      <w:pPr>
        <w:spacing w:after="160" w:line="259" w:lineRule="auto"/>
        <w:rPr>
          <w:rFonts w:ascii="Times New Roman" w:hAnsi="Times New Roman" w:cs="Times New Roman"/>
          <w:b/>
          <w:bCs/>
          <w:color w:val="000000" w:themeColor="text1"/>
          <w:sz w:val="28"/>
          <w:szCs w:val="28"/>
          <w:lang w:val="uk-UA" w:eastAsia="en-US"/>
        </w:rPr>
      </w:pPr>
    </w:p>
    <w:p w:rsidR="00A67FEC" w:rsidRDefault="00A67FEC" w:rsidP="00A67FEC">
      <w:pPr>
        <w:spacing w:after="160" w:line="259" w:lineRule="auto"/>
        <w:rPr>
          <w:rFonts w:ascii="Times New Roman" w:hAnsi="Times New Roman" w:cs="Times New Roman"/>
          <w:b/>
          <w:bCs/>
          <w:color w:val="000000" w:themeColor="text1"/>
          <w:sz w:val="28"/>
          <w:szCs w:val="28"/>
          <w:lang w:val="uk-UA" w:eastAsia="en-US"/>
        </w:rPr>
      </w:pPr>
    </w:p>
    <w:p w:rsidR="00A67FEC" w:rsidRDefault="00A67FEC" w:rsidP="00A67FEC">
      <w:pPr>
        <w:spacing w:after="160" w:line="259" w:lineRule="auto"/>
        <w:rPr>
          <w:rFonts w:ascii="Times New Roman" w:hAnsi="Times New Roman" w:cs="Times New Roman"/>
          <w:b/>
          <w:bCs/>
          <w:color w:val="000000" w:themeColor="text1"/>
          <w:sz w:val="28"/>
          <w:szCs w:val="28"/>
          <w:lang w:val="uk-UA" w:eastAsia="en-US"/>
        </w:rPr>
      </w:pPr>
    </w:p>
    <w:p w:rsidR="00A67FEC" w:rsidRDefault="00A67FEC" w:rsidP="00A67FEC">
      <w:pPr>
        <w:spacing w:after="160" w:line="259" w:lineRule="auto"/>
        <w:rPr>
          <w:rFonts w:ascii="Times New Roman" w:hAnsi="Times New Roman" w:cs="Times New Roman"/>
          <w:b/>
          <w:bCs/>
          <w:color w:val="000000" w:themeColor="text1"/>
          <w:sz w:val="28"/>
          <w:szCs w:val="28"/>
          <w:lang w:val="uk-UA" w:eastAsia="en-US"/>
        </w:rPr>
      </w:pPr>
    </w:p>
    <w:p w:rsidR="00A67FEC" w:rsidRDefault="00A67FEC" w:rsidP="00A67FEC">
      <w:pPr>
        <w:spacing w:after="160" w:line="259" w:lineRule="auto"/>
        <w:rPr>
          <w:rFonts w:ascii="Times New Roman" w:hAnsi="Times New Roman" w:cs="Times New Roman"/>
          <w:b/>
          <w:bCs/>
          <w:color w:val="000000" w:themeColor="text1"/>
          <w:sz w:val="28"/>
          <w:szCs w:val="28"/>
          <w:lang w:val="uk-UA" w:eastAsia="en-US"/>
        </w:rPr>
      </w:pPr>
    </w:p>
    <w:p w:rsidR="00A67FEC" w:rsidRDefault="00A67FEC" w:rsidP="00A67FEC">
      <w:pPr>
        <w:spacing w:after="160" w:line="259" w:lineRule="auto"/>
        <w:rPr>
          <w:rFonts w:ascii="Times New Roman" w:hAnsi="Times New Roman" w:cs="Times New Roman"/>
          <w:b/>
          <w:bCs/>
          <w:color w:val="000000" w:themeColor="text1"/>
          <w:sz w:val="28"/>
          <w:szCs w:val="28"/>
          <w:lang w:val="uk-UA" w:eastAsia="en-US"/>
        </w:rPr>
      </w:pPr>
    </w:p>
    <w:p w:rsidR="00A67FEC" w:rsidRDefault="00A67FEC" w:rsidP="00A67FEC">
      <w:pPr>
        <w:spacing w:after="160" w:line="259" w:lineRule="auto"/>
        <w:rPr>
          <w:rFonts w:ascii="Times New Roman" w:hAnsi="Times New Roman" w:cs="Times New Roman"/>
          <w:b/>
          <w:bCs/>
          <w:color w:val="000000" w:themeColor="text1"/>
          <w:sz w:val="28"/>
          <w:szCs w:val="28"/>
          <w:lang w:val="uk-UA" w:eastAsia="en-US"/>
        </w:rPr>
      </w:pPr>
    </w:p>
    <w:p w:rsidR="00A67FEC" w:rsidRPr="00A67FEC" w:rsidRDefault="00A67FEC" w:rsidP="00A67FEC">
      <w:pPr>
        <w:spacing w:after="160" w:line="259" w:lineRule="auto"/>
        <w:rPr>
          <w:rFonts w:ascii="Times New Roman" w:hAnsi="Times New Roman" w:cs="Times New Roman"/>
          <w:b/>
          <w:bCs/>
          <w:color w:val="000000" w:themeColor="text1"/>
          <w:sz w:val="96"/>
          <w:szCs w:val="96"/>
          <w:lang w:val="uk-UA" w:eastAsia="en-US"/>
        </w:rPr>
      </w:pPr>
      <w:r>
        <w:rPr>
          <w:rFonts w:ascii="Times New Roman" w:hAnsi="Times New Roman" w:cs="Times New Roman"/>
          <w:b/>
          <w:bCs/>
          <w:color w:val="000000" w:themeColor="text1"/>
          <w:sz w:val="72"/>
          <w:szCs w:val="72"/>
          <w:lang w:val="uk-UA" w:eastAsia="en-US"/>
        </w:rPr>
        <w:t xml:space="preserve">             </w:t>
      </w:r>
      <w:r w:rsidRPr="00A67FEC">
        <w:rPr>
          <w:rFonts w:ascii="Times New Roman" w:hAnsi="Times New Roman" w:cs="Times New Roman"/>
          <w:b/>
          <w:bCs/>
          <w:color w:val="000000" w:themeColor="text1"/>
          <w:sz w:val="96"/>
          <w:szCs w:val="96"/>
          <w:lang w:val="uk-UA" w:eastAsia="en-US"/>
        </w:rPr>
        <w:t xml:space="preserve">ДОДАТКИ </w:t>
      </w:r>
    </w:p>
    <w:p w:rsidR="00A67FEC" w:rsidRDefault="00A67FEC" w:rsidP="00A67FEC">
      <w:pPr>
        <w:spacing w:after="160" w:line="259" w:lineRule="auto"/>
        <w:rPr>
          <w:rFonts w:ascii="Times New Roman" w:hAnsi="Times New Roman" w:cs="Times New Roman"/>
          <w:b/>
          <w:bCs/>
          <w:color w:val="000000" w:themeColor="text1"/>
          <w:sz w:val="28"/>
          <w:szCs w:val="28"/>
          <w:lang w:val="uk-UA" w:eastAsia="en-US"/>
        </w:rPr>
      </w:pPr>
      <w:r>
        <w:rPr>
          <w:rFonts w:ascii="Times New Roman" w:hAnsi="Times New Roman" w:cs="Times New Roman"/>
          <w:b/>
          <w:bCs/>
          <w:color w:val="000000" w:themeColor="text1"/>
          <w:sz w:val="28"/>
          <w:szCs w:val="28"/>
          <w:lang w:val="uk-UA" w:eastAsia="en-US"/>
        </w:rPr>
        <w:br w:type="page"/>
      </w:r>
    </w:p>
    <w:p w:rsidR="00764216" w:rsidRDefault="003701DC" w:rsidP="003701DC">
      <w:pPr>
        <w:widowControl w:val="0"/>
        <w:tabs>
          <w:tab w:val="left" w:pos="993"/>
        </w:tabs>
        <w:spacing w:line="360" w:lineRule="auto"/>
        <w:ind w:firstLine="709"/>
        <w:jc w:val="both"/>
        <w:rPr>
          <w:rFonts w:ascii="Times New Roman" w:hAnsi="Times New Roman" w:cs="Times New Roman"/>
          <w:b/>
          <w:bCs/>
          <w:color w:val="000000" w:themeColor="text1"/>
          <w:sz w:val="28"/>
          <w:szCs w:val="28"/>
          <w:lang w:val="uk-UA" w:eastAsia="en-US"/>
        </w:rPr>
      </w:pPr>
      <w:r w:rsidRPr="000A32AD">
        <w:rPr>
          <w:rFonts w:ascii="Times New Roman" w:hAnsi="Times New Roman" w:cs="Times New Roman"/>
          <w:b/>
          <w:bCs/>
          <w:color w:val="000000" w:themeColor="text1"/>
          <w:sz w:val="28"/>
          <w:szCs w:val="28"/>
          <w:lang w:val="uk-UA" w:eastAsia="en-US"/>
        </w:rPr>
        <w:lastRenderedPageBreak/>
        <w:t>Додаток А.</w:t>
      </w:r>
    </w:p>
    <w:p w:rsidR="003701DC" w:rsidRPr="000A32AD" w:rsidRDefault="00764216" w:rsidP="003701DC">
      <w:pPr>
        <w:widowControl w:val="0"/>
        <w:tabs>
          <w:tab w:val="left" w:pos="993"/>
        </w:tabs>
        <w:spacing w:line="360" w:lineRule="auto"/>
        <w:ind w:firstLine="709"/>
        <w:jc w:val="both"/>
        <w:rPr>
          <w:rFonts w:ascii="Times New Roman" w:hAnsi="Times New Roman" w:cs="Times New Roman"/>
          <w:b/>
          <w:bCs/>
          <w:color w:val="000000" w:themeColor="text1"/>
          <w:sz w:val="28"/>
          <w:szCs w:val="28"/>
          <w:lang w:val="uk-UA" w:eastAsia="en-US"/>
        </w:rPr>
      </w:pPr>
      <w:r w:rsidRPr="000A32AD">
        <w:rPr>
          <w:rFonts w:ascii="Times New Roman" w:hAnsi="Times New Roman" w:cs="Times New Roman"/>
          <w:b/>
          <w:bCs/>
          <w:color w:val="000000" w:themeColor="text1"/>
          <w:sz w:val="28"/>
          <w:szCs w:val="28"/>
          <w:lang w:val="uk-UA" w:eastAsia="en-US"/>
        </w:rPr>
        <w:t xml:space="preserve">СПИСОК </w:t>
      </w:r>
      <w:r>
        <w:rPr>
          <w:rFonts w:ascii="Times New Roman" w:hAnsi="Times New Roman" w:cs="Times New Roman"/>
          <w:b/>
          <w:bCs/>
          <w:color w:val="000000" w:themeColor="text1"/>
          <w:sz w:val="28"/>
          <w:szCs w:val="28"/>
          <w:lang w:val="uk-UA" w:eastAsia="en-US"/>
        </w:rPr>
        <w:t>ОПУБЛІКОВАНИХ ПРАЦЬ ЗА ТЕМОЮ ДИСЕРТАЦІЇ</w:t>
      </w:r>
    </w:p>
    <w:p w:rsidR="00764216" w:rsidRDefault="00764216" w:rsidP="001016A9">
      <w:pPr>
        <w:widowControl w:val="0"/>
        <w:tabs>
          <w:tab w:val="left" w:pos="993"/>
        </w:tabs>
        <w:spacing w:line="360" w:lineRule="auto"/>
        <w:ind w:firstLine="709"/>
        <w:jc w:val="center"/>
        <w:rPr>
          <w:rFonts w:ascii="Times New Roman" w:hAnsi="Times New Roman" w:cs="Times New Roman"/>
          <w:b/>
          <w:color w:val="000000" w:themeColor="text1"/>
          <w:sz w:val="28"/>
          <w:szCs w:val="28"/>
          <w:lang w:val="uk-UA"/>
        </w:rPr>
      </w:pPr>
    </w:p>
    <w:p w:rsidR="003701DC" w:rsidRDefault="001016A9" w:rsidP="001016A9">
      <w:pPr>
        <w:widowControl w:val="0"/>
        <w:tabs>
          <w:tab w:val="left" w:pos="993"/>
        </w:tabs>
        <w:spacing w:line="360" w:lineRule="auto"/>
        <w:ind w:firstLine="709"/>
        <w:jc w:val="center"/>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Наукові праці, в яких опубліковані основні наукові результати дисертації</w:t>
      </w:r>
      <w:r w:rsidR="003701DC" w:rsidRPr="000A32AD">
        <w:rPr>
          <w:rFonts w:ascii="Times New Roman" w:hAnsi="Times New Roman" w:cs="Times New Roman"/>
          <w:color w:val="000000" w:themeColor="text1"/>
          <w:sz w:val="28"/>
          <w:szCs w:val="28"/>
          <w:lang w:val="uk-UA"/>
        </w:rPr>
        <w:t>:</w:t>
      </w:r>
    </w:p>
    <w:p w:rsidR="00887299" w:rsidRPr="00887299" w:rsidRDefault="00887299" w:rsidP="0014456F">
      <w:pPr>
        <w:tabs>
          <w:tab w:val="left" w:pos="1276"/>
        </w:tabs>
        <w:spacing w:line="360" w:lineRule="auto"/>
        <w:ind w:firstLine="567"/>
        <w:jc w:val="both"/>
        <w:rPr>
          <w:rFonts w:ascii="Times New Roman" w:hAnsi="Times New Roman" w:cs="Times New Roman"/>
          <w:sz w:val="28"/>
          <w:szCs w:val="28"/>
          <w:lang w:val="uk-UA"/>
        </w:rPr>
      </w:pPr>
      <w:r w:rsidRPr="00887299">
        <w:rPr>
          <w:rFonts w:ascii="Times New Roman" w:hAnsi="Times New Roman" w:cs="Times New Roman"/>
          <w:color w:val="000000" w:themeColor="text1"/>
          <w:sz w:val="28"/>
          <w:szCs w:val="28"/>
          <w:shd w:val="clear" w:color="auto" w:fill="FFFFFF"/>
          <w:lang w:val="uk-UA"/>
        </w:rPr>
        <w:t xml:space="preserve">1. </w:t>
      </w:r>
      <w:r w:rsidRPr="00887299">
        <w:rPr>
          <w:rFonts w:ascii="Times New Roman" w:hAnsi="Times New Roman" w:cs="Times New Roman"/>
          <w:color w:val="000000" w:themeColor="text1"/>
          <w:sz w:val="28"/>
          <w:szCs w:val="28"/>
          <w:shd w:val="clear" w:color="auto" w:fill="FFFFFF"/>
        </w:rPr>
        <w:t>Шерстюк Л</w:t>
      </w:r>
      <w:r w:rsidRPr="00887299">
        <w:rPr>
          <w:rFonts w:ascii="Times New Roman" w:hAnsi="Times New Roman" w:cs="Times New Roman"/>
          <w:color w:val="000000" w:themeColor="text1"/>
          <w:sz w:val="28"/>
          <w:szCs w:val="28"/>
          <w:shd w:val="clear" w:color="auto" w:fill="FFFFFF"/>
          <w:lang w:val="uk-UA"/>
        </w:rPr>
        <w:t>.</w:t>
      </w:r>
      <w:r w:rsidRPr="00887299">
        <w:rPr>
          <w:rFonts w:ascii="Times New Roman" w:hAnsi="Times New Roman" w:cs="Times New Roman"/>
          <w:color w:val="000000" w:themeColor="text1"/>
          <w:sz w:val="28"/>
          <w:szCs w:val="28"/>
          <w:shd w:val="clear" w:color="auto" w:fill="FFFFFF"/>
        </w:rPr>
        <w:t>Л</w:t>
      </w:r>
      <w:r w:rsidRPr="00887299">
        <w:rPr>
          <w:rFonts w:ascii="Times New Roman" w:hAnsi="Times New Roman" w:cs="Times New Roman"/>
          <w:color w:val="000000" w:themeColor="text1"/>
          <w:sz w:val="28"/>
          <w:szCs w:val="28"/>
          <w:shd w:val="clear" w:color="auto" w:fill="FFFFFF"/>
          <w:lang w:val="uk-UA"/>
        </w:rPr>
        <w:t>.</w:t>
      </w:r>
      <w:r w:rsidRPr="00887299">
        <w:rPr>
          <w:rFonts w:ascii="Times New Roman" w:hAnsi="Times New Roman" w:cs="Times New Roman"/>
          <w:color w:val="000000" w:themeColor="text1"/>
          <w:sz w:val="28"/>
          <w:szCs w:val="28"/>
          <w:shd w:val="clear" w:color="auto" w:fill="FFFFFF"/>
        </w:rPr>
        <w:t>, Н</w:t>
      </w:r>
      <w:r w:rsidRPr="00887299">
        <w:rPr>
          <w:rFonts w:ascii="Times New Roman" w:hAnsi="Times New Roman" w:cs="Times New Roman"/>
          <w:color w:val="000000" w:themeColor="text1"/>
          <w:sz w:val="28"/>
          <w:szCs w:val="28"/>
          <w:shd w:val="clear" w:color="auto" w:fill="FFFFFF"/>
          <w:lang w:val="uk-UA"/>
        </w:rPr>
        <w:t>и</w:t>
      </w:r>
      <w:r w:rsidRPr="00887299">
        <w:rPr>
          <w:rFonts w:ascii="Times New Roman" w:hAnsi="Times New Roman" w:cs="Times New Roman"/>
          <w:color w:val="000000" w:themeColor="text1"/>
          <w:sz w:val="28"/>
          <w:szCs w:val="28"/>
          <w:shd w:val="clear" w:color="auto" w:fill="FFFFFF"/>
        </w:rPr>
        <w:t xml:space="preserve">коленко </w:t>
      </w:r>
      <w:r w:rsidRPr="00887299">
        <w:rPr>
          <w:rFonts w:ascii="Times New Roman" w:hAnsi="Times New Roman" w:cs="Times New Roman"/>
          <w:color w:val="000000" w:themeColor="text1"/>
          <w:sz w:val="28"/>
          <w:szCs w:val="28"/>
          <w:shd w:val="clear" w:color="auto" w:fill="FFFFFF"/>
          <w:lang w:val="uk-UA"/>
        </w:rPr>
        <w:t>Е.</w:t>
      </w:r>
      <w:r w:rsidRPr="00887299">
        <w:rPr>
          <w:rFonts w:ascii="Times New Roman" w:hAnsi="Times New Roman" w:cs="Times New Roman"/>
          <w:color w:val="000000" w:themeColor="text1"/>
          <w:sz w:val="28"/>
          <w:szCs w:val="28"/>
          <w:shd w:val="clear" w:color="auto" w:fill="FFFFFF"/>
        </w:rPr>
        <w:t>Я. Морфологическая характеристика почки больных сахарным диабетом 2 типа средней степени тяжести на фоне дисплазии соединительной ткани</w:t>
      </w:r>
      <w:r w:rsidRPr="00887299">
        <w:rPr>
          <w:rFonts w:ascii="Times New Roman" w:hAnsi="Times New Roman" w:cs="Times New Roman"/>
          <w:color w:val="000000" w:themeColor="text1"/>
          <w:sz w:val="28"/>
          <w:szCs w:val="28"/>
          <w:shd w:val="clear" w:color="auto" w:fill="FFFFFF"/>
          <w:lang w:val="uk-UA"/>
        </w:rPr>
        <w:t>.</w:t>
      </w:r>
      <w:r w:rsidRPr="00887299">
        <w:rPr>
          <w:rFonts w:ascii="Times New Roman" w:hAnsi="Times New Roman" w:cs="Times New Roman"/>
          <w:color w:val="000000" w:themeColor="text1"/>
          <w:sz w:val="28"/>
          <w:szCs w:val="28"/>
          <w:shd w:val="clear" w:color="auto" w:fill="FFFFFF"/>
        </w:rPr>
        <w:t xml:space="preserve"> </w:t>
      </w:r>
      <w:r w:rsidRPr="00887299">
        <w:rPr>
          <w:rFonts w:ascii="Times New Roman" w:hAnsi="Times New Roman" w:cs="Times New Roman"/>
          <w:color w:val="000000" w:themeColor="text1"/>
          <w:sz w:val="28"/>
          <w:szCs w:val="28"/>
          <w:shd w:val="clear" w:color="auto" w:fill="FFFFFF"/>
          <w:lang w:val="uk-UA"/>
        </w:rPr>
        <w:t>Вісник проблем біології і медицини.</w:t>
      </w:r>
      <w:r w:rsidRPr="00887299">
        <w:rPr>
          <w:rFonts w:ascii="Times New Roman" w:hAnsi="Times New Roman" w:cs="Times New Roman"/>
          <w:color w:val="000000" w:themeColor="text1"/>
          <w:sz w:val="28"/>
          <w:szCs w:val="28"/>
          <w:shd w:val="clear" w:color="auto" w:fill="FFFFFF"/>
        </w:rPr>
        <w:t xml:space="preserve"> 2013</w:t>
      </w:r>
      <w:r w:rsidRPr="00887299">
        <w:rPr>
          <w:rFonts w:ascii="Times New Roman" w:hAnsi="Times New Roman" w:cs="Times New Roman"/>
          <w:color w:val="000000" w:themeColor="text1"/>
          <w:sz w:val="28"/>
          <w:szCs w:val="28"/>
          <w:shd w:val="clear" w:color="auto" w:fill="FFFFFF"/>
          <w:lang w:val="uk-UA"/>
        </w:rPr>
        <w:t xml:space="preserve">; </w:t>
      </w:r>
      <w:r w:rsidRPr="00887299">
        <w:rPr>
          <w:rFonts w:ascii="Times New Roman" w:hAnsi="Times New Roman" w:cs="Times New Roman"/>
          <w:color w:val="000000" w:themeColor="text1"/>
          <w:sz w:val="28"/>
          <w:szCs w:val="28"/>
          <w:shd w:val="clear" w:color="auto" w:fill="FFFFFF"/>
        </w:rPr>
        <w:t>4, 1 (104)</w:t>
      </w:r>
      <w:r w:rsidRPr="00887299">
        <w:rPr>
          <w:rFonts w:ascii="Times New Roman" w:hAnsi="Times New Roman" w:cs="Times New Roman"/>
          <w:color w:val="000000" w:themeColor="text1"/>
          <w:sz w:val="28"/>
          <w:szCs w:val="28"/>
          <w:shd w:val="clear" w:color="auto" w:fill="FFFFFF"/>
          <w:lang w:val="uk-UA"/>
        </w:rPr>
        <w:t xml:space="preserve">: </w:t>
      </w:r>
      <w:r w:rsidRPr="00887299">
        <w:rPr>
          <w:rFonts w:ascii="Times New Roman" w:hAnsi="Times New Roman" w:cs="Times New Roman"/>
          <w:color w:val="000000" w:themeColor="text1"/>
          <w:sz w:val="28"/>
          <w:szCs w:val="28"/>
          <w:shd w:val="clear" w:color="auto" w:fill="FFFFFF"/>
        </w:rPr>
        <w:t>302-306</w:t>
      </w:r>
      <w:r w:rsidRPr="00887299">
        <w:rPr>
          <w:rFonts w:ascii="Times New Roman" w:hAnsi="Times New Roman" w:cs="Times New Roman"/>
          <w:color w:val="000000" w:themeColor="text1"/>
          <w:sz w:val="28"/>
          <w:szCs w:val="28"/>
          <w:shd w:val="clear" w:color="auto" w:fill="FFFFFF"/>
          <w:lang w:val="uk-UA"/>
        </w:rPr>
        <w:t xml:space="preserve"> </w:t>
      </w:r>
      <w:r w:rsidRPr="00887299">
        <w:rPr>
          <w:rFonts w:ascii="Times New Roman" w:hAnsi="Times New Roman" w:cs="Times New Roman"/>
          <w:sz w:val="28"/>
          <w:szCs w:val="28"/>
          <w:shd w:val="clear" w:color="auto" w:fill="FFFFFF"/>
          <w:lang w:val="uk-UA"/>
        </w:rPr>
        <w:t>(</w:t>
      </w:r>
      <w:r w:rsidRPr="00887299">
        <w:rPr>
          <w:rFonts w:ascii="Times New Roman" w:hAnsi="Times New Roman"/>
          <w:bCs/>
          <w:i/>
          <w:sz w:val="28"/>
          <w:szCs w:val="28"/>
          <w:lang w:val="uk-UA"/>
        </w:rPr>
        <w:t>Здобувач проаналізувала результати патоморфологічних досліджень та підготувала статтю до друку</w:t>
      </w:r>
      <w:r w:rsidRPr="00887299">
        <w:rPr>
          <w:rFonts w:ascii="Times New Roman" w:hAnsi="Times New Roman"/>
          <w:bCs/>
          <w:sz w:val="28"/>
          <w:szCs w:val="28"/>
          <w:lang w:val="uk-UA"/>
        </w:rPr>
        <w:t>)</w:t>
      </w:r>
      <w:r w:rsidRPr="00887299">
        <w:rPr>
          <w:rFonts w:ascii="Times New Roman" w:hAnsi="Times New Roman" w:cs="Times New Roman"/>
          <w:sz w:val="28"/>
          <w:szCs w:val="28"/>
          <w:shd w:val="clear" w:color="auto" w:fill="FFFFFF"/>
        </w:rPr>
        <w:t>.</w:t>
      </w:r>
    </w:p>
    <w:p w:rsidR="00887299" w:rsidRPr="0014456F" w:rsidRDefault="00887299" w:rsidP="0014456F">
      <w:pPr>
        <w:tabs>
          <w:tab w:val="left" w:pos="1276"/>
        </w:tabs>
        <w:spacing w:line="360" w:lineRule="auto"/>
        <w:ind w:firstLine="567"/>
        <w:jc w:val="both"/>
        <w:rPr>
          <w:rFonts w:ascii="Times New Roman" w:hAnsi="Times New Roman" w:cs="Times New Roman"/>
          <w:sz w:val="28"/>
          <w:szCs w:val="28"/>
          <w:lang w:val="uk-UA"/>
        </w:rPr>
      </w:pPr>
      <w:r w:rsidRPr="0014456F">
        <w:rPr>
          <w:rFonts w:ascii="Times New Roman" w:hAnsi="Times New Roman" w:cs="Times New Roman"/>
          <w:color w:val="000000" w:themeColor="text1"/>
          <w:sz w:val="28"/>
          <w:szCs w:val="28"/>
          <w:shd w:val="clear" w:color="auto" w:fill="FFFFFF"/>
          <w:lang w:val="uk-UA"/>
        </w:rPr>
        <w:t xml:space="preserve">2. </w:t>
      </w:r>
      <w:r w:rsidRPr="0014456F">
        <w:rPr>
          <w:rFonts w:ascii="Times New Roman" w:hAnsi="Times New Roman" w:cs="Times New Roman"/>
          <w:color w:val="000000" w:themeColor="text1"/>
          <w:sz w:val="28"/>
          <w:szCs w:val="28"/>
          <w:shd w:val="clear" w:color="auto" w:fill="FFFFFF"/>
        </w:rPr>
        <w:t>Шерстюк Л</w:t>
      </w:r>
      <w:r w:rsidRPr="0014456F">
        <w:rPr>
          <w:rFonts w:ascii="Times New Roman" w:hAnsi="Times New Roman" w:cs="Times New Roman"/>
          <w:color w:val="000000" w:themeColor="text1"/>
          <w:sz w:val="28"/>
          <w:szCs w:val="28"/>
          <w:shd w:val="clear" w:color="auto" w:fill="FFFFFF"/>
          <w:lang w:val="uk-UA"/>
        </w:rPr>
        <w:t>.</w:t>
      </w:r>
      <w:r w:rsidRPr="0014456F">
        <w:rPr>
          <w:rFonts w:ascii="Times New Roman" w:hAnsi="Times New Roman" w:cs="Times New Roman"/>
          <w:color w:val="000000" w:themeColor="text1"/>
          <w:sz w:val="28"/>
          <w:szCs w:val="28"/>
          <w:shd w:val="clear" w:color="auto" w:fill="FFFFFF"/>
        </w:rPr>
        <w:t>Л</w:t>
      </w:r>
      <w:r w:rsidRPr="0014456F">
        <w:rPr>
          <w:rFonts w:ascii="Times New Roman" w:hAnsi="Times New Roman" w:cs="Times New Roman"/>
          <w:color w:val="000000" w:themeColor="text1"/>
          <w:sz w:val="28"/>
          <w:szCs w:val="28"/>
          <w:shd w:val="clear" w:color="auto" w:fill="FFFFFF"/>
          <w:lang w:val="uk-UA"/>
        </w:rPr>
        <w:t>.</w:t>
      </w:r>
      <w:r w:rsidRPr="0014456F">
        <w:rPr>
          <w:rFonts w:ascii="Times New Roman" w:hAnsi="Times New Roman" w:cs="Times New Roman"/>
          <w:color w:val="000000" w:themeColor="text1"/>
          <w:sz w:val="28"/>
          <w:szCs w:val="28"/>
          <w:shd w:val="clear" w:color="auto" w:fill="FFFFFF"/>
        </w:rPr>
        <w:t>, Н</w:t>
      </w:r>
      <w:r w:rsidRPr="0014456F">
        <w:rPr>
          <w:rFonts w:ascii="Times New Roman" w:hAnsi="Times New Roman" w:cs="Times New Roman"/>
          <w:color w:val="000000" w:themeColor="text1"/>
          <w:sz w:val="28"/>
          <w:szCs w:val="28"/>
          <w:shd w:val="clear" w:color="auto" w:fill="FFFFFF"/>
          <w:lang w:val="uk-UA"/>
        </w:rPr>
        <w:t>и</w:t>
      </w:r>
      <w:r w:rsidRPr="0014456F">
        <w:rPr>
          <w:rFonts w:ascii="Times New Roman" w:hAnsi="Times New Roman" w:cs="Times New Roman"/>
          <w:color w:val="000000" w:themeColor="text1"/>
          <w:sz w:val="28"/>
          <w:szCs w:val="28"/>
          <w:shd w:val="clear" w:color="auto" w:fill="FFFFFF"/>
        </w:rPr>
        <w:t xml:space="preserve">коленко </w:t>
      </w:r>
      <w:r w:rsidRPr="0014456F">
        <w:rPr>
          <w:rFonts w:ascii="Times New Roman" w:hAnsi="Times New Roman" w:cs="Times New Roman"/>
          <w:color w:val="000000" w:themeColor="text1"/>
          <w:sz w:val="28"/>
          <w:szCs w:val="28"/>
          <w:shd w:val="clear" w:color="auto" w:fill="FFFFFF"/>
          <w:lang w:val="uk-UA"/>
        </w:rPr>
        <w:t>Е.</w:t>
      </w:r>
      <w:r w:rsidRPr="0014456F">
        <w:rPr>
          <w:rFonts w:ascii="Times New Roman" w:hAnsi="Times New Roman" w:cs="Times New Roman"/>
          <w:color w:val="000000" w:themeColor="text1"/>
          <w:sz w:val="28"/>
          <w:szCs w:val="28"/>
          <w:shd w:val="clear" w:color="auto" w:fill="FFFFFF"/>
        </w:rPr>
        <w:t>Я. Морфологическая характеристика почки больных сахарным диабетом 2 типа легкой степени тяжести на фоне дисплазии соединительной ткани</w:t>
      </w:r>
      <w:r w:rsidRPr="0014456F">
        <w:rPr>
          <w:rFonts w:ascii="Times New Roman" w:hAnsi="Times New Roman" w:cs="Times New Roman"/>
          <w:color w:val="000000" w:themeColor="text1"/>
          <w:sz w:val="28"/>
          <w:szCs w:val="28"/>
          <w:shd w:val="clear" w:color="auto" w:fill="FFFFFF"/>
          <w:lang w:val="uk-UA"/>
        </w:rPr>
        <w:t>.</w:t>
      </w:r>
      <w:r w:rsidRPr="0014456F">
        <w:rPr>
          <w:rFonts w:ascii="Times New Roman" w:hAnsi="Times New Roman" w:cs="Times New Roman"/>
          <w:color w:val="000000" w:themeColor="text1"/>
          <w:sz w:val="28"/>
          <w:szCs w:val="28"/>
          <w:shd w:val="clear" w:color="auto" w:fill="FFFFFF"/>
        </w:rPr>
        <w:t xml:space="preserve"> Медицинские новости </w:t>
      </w:r>
      <w:r w:rsidRPr="0014456F">
        <w:rPr>
          <w:rFonts w:ascii="Times New Roman" w:hAnsi="Times New Roman" w:cs="Times New Roman"/>
          <w:color w:val="000000" w:themeColor="text1"/>
          <w:sz w:val="28"/>
          <w:szCs w:val="28"/>
          <w:shd w:val="clear" w:color="auto" w:fill="FFFFFF"/>
          <w:lang w:val="uk-UA"/>
        </w:rPr>
        <w:t>(</w:t>
      </w:r>
      <w:r w:rsidRPr="0014456F">
        <w:rPr>
          <w:rFonts w:ascii="Times New Roman" w:hAnsi="Times New Roman" w:cs="Times New Roman"/>
          <w:color w:val="000000" w:themeColor="text1"/>
          <w:sz w:val="28"/>
          <w:szCs w:val="28"/>
          <w:shd w:val="clear" w:color="auto" w:fill="FFFFFF"/>
        </w:rPr>
        <w:t>Meditsinskie novosti</w:t>
      </w:r>
      <w:r w:rsidRPr="0014456F">
        <w:rPr>
          <w:rFonts w:ascii="Times New Roman" w:hAnsi="Times New Roman" w:cs="Times New Roman"/>
          <w:color w:val="000000" w:themeColor="text1"/>
          <w:sz w:val="28"/>
          <w:szCs w:val="28"/>
          <w:shd w:val="clear" w:color="auto" w:fill="FFFFFF"/>
          <w:lang w:val="uk-UA"/>
        </w:rPr>
        <w:t>).</w:t>
      </w:r>
      <w:r w:rsidRPr="0014456F">
        <w:rPr>
          <w:rFonts w:ascii="Times New Roman" w:hAnsi="Times New Roman" w:cs="Times New Roman"/>
          <w:color w:val="000000" w:themeColor="text1"/>
          <w:sz w:val="28"/>
          <w:szCs w:val="28"/>
          <w:shd w:val="clear" w:color="auto" w:fill="FFFFFF"/>
        </w:rPr>
        <w:t xml:space="preserve"> 2014</w:t>
      </w:r>
      <w:r w:rsidRPr="0014456F">
        <w:rPr>
          <w:rFonts w:ascii="Times New Roman" w:hAnsi="Times New Roman" w:cs="Times New Roman"/>
          <w:color w:val="000000" w:themeColor="text1"/>
          <w:sz w:val="28"/>
          <w:szCs w:val="28"/>
          <w:shd w:val="clear" w:color="auto" w:fill="FFFFFF"/>
          <w:lang w:val="uk-UA"/>
        </w:rPr>
        <w:t>;</w:t>
      </w:r>
      <w:r w:rsidRPr="0014456F">
        <w:rPr>
          <w:rFonts w:ascii="Times New Roman" w:hAnsi="Times New Roman" w:cs="Times New Roman"/>
          <w:color w:val="000000" w:themeColor="text1"/>
          <w:sz w:val="28"/>
          <w:szCs w:val="28"/>
          <w:shd w:val="clear" w:color="auto" w:fill="FFFFFF"/>
        </w:rPr>
        <w:t xml:space="preserve"> 3 (234)</w:t>
      </w:r>
      <w:r w:rsidRPr="0014456F">
        <w:rPr>
          <w:rFonts w:ascii="Times New Roman" w:hAnsi="Times New Roman" w:cs="Times New Roman"/>
          <w:color w:val="000000" w:themeColor="text1"/>
          <w:sz w:val="28"/>
          <w:szCs w:val="28"/>
          <w:shd w:val="clear" w:color="auto" w:fill="FFFFFF"/>
          <w:lang w:val="uk-UA"/>
        </w:rPr>
        <w:t xml:space="preserve">: </w:t>
      </w:r>
      <w:r w:rsidRPr="0014456F">
        <w:rPr>
          <w:rFonts w:ascii="Times New Roman" w:hAnsi="Times New Roman" w:cs="Times New Roman"/>
          <w:color w:val="000000" w:themeColor="text1"/>
          <w:sz w:val="28"/>
          <w:szCs w:val="28"/>
          <w:shd w:val="clear" w:color="auto" w:fill="FFFFFF"/>
        </w:rPr>
        <w:t>72-73</w:t>
      </w:r>
      <w:r w:rsidRPr="0014456F">
        <w:rPr>
          <w:rFonts w:ascii="Times New Roman" w:hAnsi="Times New Roman" w:cs="Times New Roman"/>
          <w:color w:val="000000" w:themeColor="text1"/>
          <w:sz w:val="28"/>
          <w:szCs w:val="28"/>
          <w:shd w:val="clear" w:color="auto" w:fill="FFFFFF"/>
          <w:lang w:val="uk-UA"/>
        </w:rPr>
        <w:t xml:space="preserve"> </w:t>
      </w:r>
      <w:r w:rsidRPr="0014456F">
        <w:rPr>
          <w:rFonts w:ascii="Times New Roman" w:hAnsi="Times New Roman" w:cs="Times New Roman"/>
          <w:i/>
          <w:sz w:val="28"/>
          <w:szCs w:val="28"/>
          <w:shd w:val="clear" w:color="auto" w:fill="FFFFFF"/>
          <w:lang w:val="uk-UA"/>
        </w:rPr>
        <w:t xml:space="preserve">(Здобувач провела огляд літератури, </w:t>
      </w:r>
      <w:r w:rsidRPr="0014456F">
        <w:rPr>
          <w:rFonts w:ascii="Times New Roman" w:hAnsi="Times New Roman"/>
          <w:bCs/>
          <w:i/>
          <w:sz w:val="28"/>
          <w:szCs w:val="28"/>
          <w:lang w:val="uk-UA"/>
        </w:rPr>
        <w:t>проаналізувала результати досліджень, провела статистичну обробку отриманих результатів та підготувала матеріали до друку</w:t>
      </w:r>
      <w:r w:rsidRPr="0014456F">
        <w:rPr>
          <w:rFonts w:ascii="Times New Roman" w:hAnsi="Times New Roman" w:cs="Times New Roman"/>
          <w:i/>
          <w:sz w:val="28"/>
          <w:szCs w:val="28"/>
          <w:shd w:val="clear" w:color="auto" w:fill="FFFFFF"/>
          <w:lang w:val="uk-UA"/>
        </w:rPr>
        <w:t xml:space="preserve">). </w:t>
      </w:r>
    </w:p>
    <w:p w:rsidR="00887299" w:rsidRPr="0014456F" w:rsidRDefault="00887299" w:rsidP="0014456F">
      <w:pPr>
        <w:tabs>
          <w:tab w:val="left" w:pos="1276"/>
        </w:tabs>
        <w:spacing w:line="360" w:lineRule="auto"/>
        <w:ind w:firstLine="567"/>
        <w:jc w:val="both"/>
        <w:rPr>
          <w:rFonts w:ascii="Times New Roman" w:hAnsi="Times New Roman" w:cs="Times New Roman"/>
          <w:sz w:val="28"/>
          <w:szCs w:val="28"/>
          <w:lang w:val="uk-UA"/>
        </w:rPr>
      </w:pPr>
      <w:r w:rsidRPr="0014456F">
        <w:rPr>
          <w:rFonts w:ascii="Times New Roman" w:hAnsi="Times New Roman" w:cs="Times New Roman"/>
          <w:color w:val="000000" w:themeColor="text1"/>
          <w:sz w:val="28"/>
          <w:szCs w:val="28"/>
          <w:lang w:val="uk-UA"/>
        </w:rPr>
        <w:t>3. Шерстюк Л.Л. Роль недиференційованої дисплазії сполучної тканини у розвитку артеріальної гіпертензії у хворих на цукровий діабет 2 типу. Медицина невідкладних станів. 2018; 7(94): 94-98.</w:t>
      </w:r>
      <w:r w:rsidRPr="0014456F">
        <w:rPr>
          <w:rFonts w:ascii="Times New Roman" w:hAnsi="Times New Roman" w:cs="Times New Roman"/>
          <w:i/>
          <w:color w:val="000000" w:themeColor="text1"/>
          <w:sz w:val="28"/>
          <w:szCs w:val="28"/>
          <w:shd w:val="clear" w:color="auto" w:fill="FFFFFF"/>
          <w:lang w:val="uk-UA"/>
        </w:rPr>
        <w:t xml:space="preserve"> </w:t>
      </w:r>
    </w:p>
    <w:p w:rsidR="00887299" w:rsidRPr="0014456F" w:rsidRDefault="00887299" w:rsidP="0014456F">
      <w:pPr>
        <w:tabs>
          <w:tab w:val="left" w:pos="1276"/>
        </w:tabs>
        <w:spacing w:line="360" w:lineRule="auto"/>
        <w:ind w:firstLine="567"/>
        <w:jc w:val="both"/>
        <w:rPr>
          <w:rFonts w:ascii="Times New Roman" w:hAnsi="Times New Roman" w:cs="Times New Roman"/>
          <w:i/>
          <w:sz w:val="28"/>
          <w:szCs w:val="28"/>
          <w:lang w:val="uk-UA"/>
        </w:rPr>
      </w:pPr>
      <w:r w:rsidRPr="0014456F">
        <w:rPr>
          <w:rFonts w:ascii="Times New Roman" w:hAnsi="Times New Roman" w:cs="Times New Roman"/>
          <w:color w:val="000000" w:themeColor="text1"/>
          <w:sz w:val="28"/>
          <w:szCs w:val="28"/>
          <w:lang w:val="uk-UA"/>
        </w:rPr>
        <w:t xml:space="preserve">4.Шерстюк Л.Л., Ніколенко Є.Я. Значення основного фактору росту фібробластів в розвитку артеріальної гіпертензії у хворих на цукровий діабет 2 типу залежно від наявності дисплазії сполучної тканини. Медицина невідкладних станів. 2018; 8(95): 49-54 </w:t>
      </w:r>
      <w:r w:rsidRPr="0014456F">
        <w:rPr>
          <w:rFonts w:ascii="Times New Roman" w:hAnsi="Times New Roman" w:cs="Times New Roman"/>
          <w:i/>
          <w:sz w:val="28"/>
          <w:szCs w:val="28"/>
          <w:shd w:val="clear" w:color="auto" w:fill="FFFFFF"/>
          <w:lang w:val="uk-UA"/>
        </w:rPr>
        <w:t xml:space="preserve">(Здобувач </w:t>
      </w:r>
      <w:r w:rsidRPr="0014456F">
        <w:rPr>
          <w:rFonts w:ascii="Times New Roman" w:hAnsi="Times New Roman"/>
          <w:bCs/>
          <w:i/>
          <w:sz w:val="28"/>
          <w:szCs w:val="28"/>
          <w:lang w:val="uk-UA"/>
        </w:rPr>
        <w:t xml:space="preserve">здійснила клініко-лабораторне дослідження та аналіз взаємозв’язку показників основного фактору роста фібробластів з розвитком артеріальної гіпертензії, тривалістю ЦД 2 типу та проявами НДСТ, підготувала статтю до друку). </w:t>
      </w:r>
    </w:p>
    <w:p w:rsidR="00887299" w:rsidRPr="0014456F" w:rsidRDefault="0014456F" w:rsidP="0014456F">
      <w:pPr>
        <w:tabs>
          <w:tab w:val="left" w:pos="1276"/>
        </w:tabs>
        <w:spacing w:line="360" w:lineRule="auto"/>
        <w:ind w:firstLine="567"/>
        <w:jc w:val="both"/>
        <w:rPr>
          <w:rFonts w:ascii="Times New Roman" w:hAnsi="Times New Roman" w:cs="Times New Roman"/>
          <w:i/>
          <w:sz w:val="28"/>
          <w:szCs w:val="28"/>
          <w:lang w:val="uk-UA"/>
        </w:rPr>
      </w:pPr>
      <w:r w:rsidRPr="0014456F">
        <w:rPr>
          <w:rFonts w:ascii="Times New Roman" w:hAnsi="Times New Roman" w:cs="Times New Roman"/>
          <w:color w:val="000000" w:themeColor="text1"/>
          <w:sz w:val="28"/>
          <w:szCs w:val="28"/>
          <w:lang w:val="uk-UA"/>
        </w:rPr>
        <w:t xml:space="preserve">5. </w:t>
      </w:r>
      <w:r w:rsidR="00887299" w:rsidRPr="0014456F">
        <w:rPr>
          <w:rFonts w:ascii="Times New Roman" w:hAnsi="Times New Roman" w:cs="Times New Roman"/>
          <w:color w:val="000000" w:themeColor="text1"/>
          <w:sz w:val="28"/>
          <w:szCs w:val="28"/>
          <w:lang w:val="en-US"/>
        </w:rPr>
        <w:t>Sherstyuk</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L</w:t>
      </w:r>
      <w:r w:rsidR="00887299" w:rsidRPr="0014456F">
        <w:rPr>
          <w:rFonts w:ascii="Times New Roman" w:hAnsi="Times New Roman" w:cs="Times New Roman"/>
          <w:color w:val="000000" w:themeColor="text1"/>
          <w:sz w:val="28"/>
          <w:szCs w:val="28"/>
          <w:lang w:val="uk-UA"/>
        </w:rPr>
        <w:t>.</w:t>
      </w:r>
      <w:r w:rsidR="00887299" w:rsidRPr="0014456F">
        <w:rPr>
          <w:rFonts w:ascii="Times New Roman" w:hAnsi="Times New Roman" w:cs="Times New Roman"/>
          <w:color w:val="000000" w:themeColor="text1"/>
          <w:sz w:val="28"/>
          <w:szCs w:val="28"/>
          <w:lang w:val="en-US"/>
        </w:rPr>
        <w:t>L</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Nikolenko</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Y</w:t>
      </w:r>
      <w:r w:rsidR="00887299" w:rsidRPr="0014456F">
        <w:rPr>
          <w:rFonts w:ascii="Times New Roman" w:hAnsi="Times New Roman" w:cs="Times New Roman"/>
          <w:color w:val="000000" w:themeColor="text1"/>
          <w:sz w:val="28"/>
          <w:szCs w:val="28"/>
          <w:lang w:val="uk-UA"/>
        </w:rPr>
        <w:t>е.</w:t>
      </w:r>
      <w:r w:rsidR="00887299" w:rsidRPr="0014456F">
        <w:rPr>
          <w:rFonts w:ascii="Times New Roman" w:hAnsi="Times New Roman" w:cs="Times New Roman"/>
          <w:color w:val="000000" w:themeColor="text1"/>
          <w:sz w:val="28"/>
          <w:szCs w:val="28"/>
          <w:lang w:val="en-US"/>
        </w:rPr>
        <w:t>Ya</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Undifferentiated</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connective</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tissue</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dysplasia</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as</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a</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potential</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predictor</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of</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arterial</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hypertension</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development</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in</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patients</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with</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lastRenderedPageBreak/>
        <w:t>type</w:t>
      </w:r>
      <w:r w:rsidR="00887299" w:rsidRPr="0014456F">
        <w:rPr>
          <w:rFonts w:ascii="Times New Roman" w:hAnsi="Times New Roman" w:cs="Times New Roman"/>
          <w:color w:val="000000" w:themeColor="text1"/>
          <w:sz w:val="28"/>
          <w:szCs w:val="28"/>
          <w:lang w:val="uk-UA"/>
        </w:rPr>
        <w:t xml:space="preserve"> 2 </w:t>
      </w:r>
      <w:r w:rsidR="00887299" w:rsidRPr="0014456F">
        <w:rPr>
          <w:rFonts w:ascii="Times New Roman" w:hAnsi="Times New Roman" w:cs="Times New Roman"/>
          <w:color w:val="000000" w:themeColor="text1"/>
          <w:sz w:val="28"/>
          <w:szCs w:val="28"/>
          <w:lang w:val="en-US"/>
        </w:rPr>
        <w:t>diabetes</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mellitus</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J</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of</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V</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N</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Karazin</w:t>
      </w:r>
      <w:r w:rsidR="00887299" w:rsidRPr="0014456F">
        <w:rPr>
          <w:rFonts w:ascii="Times New Roman" w:hAnsi="Times New Roman" w:cs="Times New Roman"/>
          <w:color w:val="000000" w:themeColor="text1"/>
          <w:sz w:val="28"/>
          <w:szCs w:val="28"/>
          <w:lang w:val="uk-UA"/>
        </w:rPr>
        <w:t xml:space="preserve">` </w:t>
      </w:r>
      <w:r w:rsidR="00887299" w:rsidRPr="0014456F">
        <w:rPr>
          <w:rFonts w:ascii="Times New Roman" w:hAnsi="Times New Roman" w:cs="Times New Roman"/>
          <w:color w:val="000000" w:themeColor="text1"/>
          <w:sz w:val="28"/>
          <w:szCs w:val="28"/>
          <w:lang w:val="en-US"/>
        </w:rPr>
        <w:t>KhNU</w:t>
      </w:r>
      <w:r w:rsidR="00887299" w:rsidRPr="0014456F">
        <w:rPr>
          <w:rFonts w:ascii="Times New Roman" w:hAnsi="Times New Roman" w:cs="Times New Roman"/>
          <w:color w:val="000000" w:themeColor="text1"/>
          <w:sz w:val="28"/>
          <w:szCs w:val="28"/>
          <w:lang w:val="uk-UA"/>
        </w:rPr>
        <w:t xml:space="preserve">. 2018; 36: 23-32 </w:t>
      </w:r>
      <w:r w:rsidR="00887299" w:rsidRPr="0014456F">
        <w:rPr>
          <w:rFonts w:ascii="Times New Roman" w:hAnsi="Times New Roman" w:cs="Times New Roman"/>
          <w:i/>
          <w:color w:val="000000" w:themeColor="text1"/>
          <w:sz w:val="28"/>
          <w:szCs w:val="28"/>
          <w:shd w:val="clear" w:color="auto" w:fill="FFFFFF"/>
          <w:lang w:val="uk-UA"/>
        </w:rPr>
        <w:t>(</w:t>
      </w:r>
      <w:r w:rsidR="00887299" w:rsidRPr="0014456F">
        <w:rPr>
          <w:rFonts w:ascii="Times New Roman" w:hAnsi="Times New Roman" w:cs="Times New Roman"/>
          <w:i/>
          <w:sz w:val="28"/>
          <w:szCs w:val="28"/>
          <w:shd w:val="clear" w:color="auto" w:fill="FFFFFF"/>
          <w:lang w:val="uk-UA"/>
        </w:rPr>
        <w:t>Здобувач</w:t>
      </w:r>
      <w:r w:rsidR="00887299" w:rsidRPr="0014456F">
        <w:rPr>
          <w:rFonts w:ascii="Times New Roman" w:hAnsi="Times New Roman"/>
          <w:bCs/>
          <w:i/>
          <w:sz w:val="28"/>
          <w:szCs w:val="28"/>
          <w:lang w:val="uk-UA"/>
        </w:rPr>
        <w:t xml:space="preserve"> здійснила відбір тематичних хворих, провела оцінку антропометричних параметрів та показників артеріального тиску, статистичну обробку отриманих результатів та підготувала статтю до друку)</w:t>
      </w:r>
      <w:r w:rsidR="00887299" w:rsidRPr="00B27ADD">
        <w:rPr>
          <w:rFonts w:ascii="Times New Roman" w:hAnsi="Times New Roman" w:cs="Times New Roman"/>
          <w:i/>
          <w:sz w:val="28"/>
          <w:szCs w:val="28"/>
          <w:lang w:val="uk-UA"/>
        </w:rPr>
        <w:t>.</w:t>
      </w:r>
    </w:p>
    <w:p w:rsidR="00887299" w:rsidRDefault="0014456F" w:rsidP="0014456F">
      <w:pPr>
        <w:tabs>
          <w:tab w:val="left" w:pos="1276"/>
        </w:tabs>
        <w:spacing w:line="360" w:lineRule="auto"/>
        <w:ind w:firstLine="567"/>
        <w:jc w:val="both"/>
        <w:rPr>
          <w:rFonts w:ascii="Times New Roman" w:hAnsi="Times New Roman" w:cs="Times New Roman"/>
          <w:sz w:val="28"/>
          <w:szCs w:val="28"/>
          <w:lang w:val="uk-UA"/>
        </w:rPr>
      </w:pPr>
      <w:r w:rsidRPr="0014456F">
        <w:rPr>
          <w:rFonts w:ascii="Times New Roman" w:hAnsi="Times New Roman" w:cs="Times New Roman"/>
          <w:color w:val="000000" w:themeColor="text1"/>
          <w:sz w:val="28"/>
          <w:szCs w:val="28"/>
          <w:lang w:val="uk-UA"/>
        </w:rPr>
        <w:t>6.</w:t>
      </w:r>
      <w:r w:rsidR="00887299" w:rsidRPr="0014456F">
        <w:rPr>
          <w:rFonts w:ascii="Times New Roman" w:hAnsi="Times New Roman" w:cs="Times New Roman"/>
          <w:color w:val="000000" w:themeColor="text1"/>
          <w:sz w:val="28"/>
          <w:szCs w:val="28"/>
          <w:lang w:val="uk-UA"/>
        </w:rPr>
        <w:t xml:space="preserve">Шерстюк ЛЛ. Прогностичне значення недиференційованої дисплазії сполучної тканини у розвитку коморбідної патології. Український журнал медицини, біології та спорту. 2019; 4 (20): 158-164. </w:t>
      </w:r>
    </w:p>
    <w:p w:rsidR="0014456F" w:rsidRPr="0014456F" w:rsidRDefault="0014456F" w:rsidP="0014456F">
      <w:pPr>
        <w:tabs>
          <w:tab w:val="left" w:pos="1276"/>
        </w:tabs>
        <w:spacing w:line="360" w:lineRule="auto"/>
        <w:ind w:firstLine="567"/>
        <w:jc w:val="both"/>
        <w:rPr>
          <w:rFonts w:ascii="Times New Roman" w:hAnsi="Times New Roman" w:cs="Times New Roman"/>
          <w:sz w:val="28"/>
          <w:szCs w:val="28"/>
          <w:lang w:val="uk-UA"/>
        </w:rPr>
      </w:pPr>
    </w:p>
    <w:p w:rsidR="003701DC" w:rsidRPr="0014456F" w:rsidRDefault="0014456F" w:rsidP="001016A9">
      <w:pPr>
        <w:spacing w:line="360" w:lineRule="auto"/>
        <w:ind w:firstLine="567"/>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Наукові праці, які додатково відображують наукові результати дисертації</w:t>
      </w:r>
      <w:r w:rsidR="003701DC" w:rsidRPr="0014456F">
        <w:rPr>
          <w:rFonts w:ascii="Times New Roman" w:hAnsi="Times New Roman" w:cs="Times New Roman"/>
          <w:b/>
          <w:color w:val="000000" w:themeColor="text1"/>
          <w:sz w:val="28"/>
          <w:szCs w:val="28"/>
          <w:lang w:val="uk-UA"/>
        </w:rPr>
        <w:t>:</w:t>
      </w:r>
    </w:p>
    <w:p w:rsidR="0014456F" w:rsidRPr="0014456F" w:rsidRDefault="0014456F" w:rsidP="0014456F">
      <w:pPr>
        <w:tabs>
          <w:tab w:val="left" w:pos="1276"/>
        </w:tabs>
        <w:spacing w:line="360" w:lineRule="auto"/>
        <w:ind w:firstLine="567"/>
        <w:jc w:val="both"/>
        <w:rPr>
          <w:rFonts w:ascii="Times New Roman" w:hAnsi="Times New Roman" w:cs="Times New Roman"/>
          <w:sz w:val="28"/>
          <w:szCs w:val="28"/>
          <w:lang w:val="uk-UA"/>
        </w:rPr>
      </w:pPr>
      <w:r w:rsidRPr="0014456F">
        <w:rPr>
          <w:rFonts w:ascii="Times New Roman" w:hAnsi="Times New Roman" w:cs="Times New Roman"/>
          <w:color w:val="000000" w:themeColor="text1"/>
          <w:sz w:val="28"/>
          <w:szCs w:val="28"/>
          <w:lang w:val="uk-UA"/>
        </w:rPr>
        <w:t xml:space="preserve">1. Шерстюк ЛЛ. Особенности артериальной гипертензии у лиц с сахарным диабетом 2 типа на фоне недифференцированной дисплазии соединительной ткани В: </w:t>
      </w:r>
      <w:r w:rsidRPr="0014456F">
        <w:rPr>
          <w:rFonts w:ascii="Times New Roman" w:hAnsi="Times New Roman" w:cs="Times New Roman"/>
          <w:color w:val="000000" w:themeColor="text1"/>
          <w:sz w:val="28"/>
          <w:szCs w:val="28"/>
          <w:lang w:val="en-US"/>
        </w:rPr>
        <w:t>ADVANCES</w:t>
      </w:r>
      <w:r w:rsidRPr="0014456F">
        <w:rPr>
          <w:rFonts w:ascii="Times New Roman" w:hAnsi="Times New Roman" w:cs="Times New Roman"/>
          <w:color w:val="000000" w:themeColor="text1"/>
          <w:sz w:val="28"/>
          <w:szCs w:val="28"/>
          <w:lang w:val="uk-UA"/>
        </w:rPr>
        <w:t xml:space="preserve"> </w:t>
      </w:r>
      <w:r w:rsidRPr="0014456F">
        <w:rPr>
          <w:rFonts w:ascii="Times New Roman" w:hAnsi="Times New Roman" w:cs="Times New Roman"/>
          <w:color w:val="000000" w:themeColor="text1"/>
          <w:sz w:val="28"/>
          <w:szCs w:val="28"/>
          <w:lang w:val="en-US"/>
        </w:rPr>
        <w:t>OF</w:t>
      </w:r>
      <w:r w:rsidRPr="0014456F">
        <w:rPr>
          <w:rFonts w:ascii="Times New Roman" w:hAnsi="Times New Roman" w:cs="Times New Roman"/>
          <w:color w:val="000000" w:themeColor="text1"/>
          <w:sz w:val="28"/>
          <w:szCs w:val="28"/>
          <w:lang w:val="uk-UA"/>
        </w:rPr>
        <w:t xml:space="preserve"> </w:t>
      </w:r>
      <w:r w:rsidRPr="0014456F">
        <w:rPr>
          <w:rFonts w:ascii="Times New Roman" w:hAnsi="Times New Roman" w:cs="Times New Roman"/>
          <w:color w:val="000000" w:themeColor="text1"/>
          <w:sz w:val="28"/>
          <w:szCs w:val="28"/>
          <w:lang w:val="en-US"/>
        </w:rPr>
        <w:t>SCIENCE</w:t>
      </w:r>
      <w:r w:rsidRPr="0014456F">
        <w:rPr>
          <w:rFonts w:ascii="Times New Roman" w:hAnsi="Times New Roman" w:cs="Times New Roman"/>
          <w:color w:val="000000" w:themeColor="text1"/>
          <w:sz w:val="28"/>
          <w:szCs w:val="28"/>
          <w:lang w:val="uk-UA"/>
        </w:rPr>
        <w:t xml:space="preserve">: </w:t>
      </w:r>
      <w:r w:rsidRPr="0014456F">
        <w:rPr>
          <w:rFonts w:ascii="Times New Roman" w:hAnsi="Times New Roman" w:cs="Times New Roman"/>
          <w:color w:val="000000" w:themeColor="text1"/>
          <w:sz w:val="28"/>
          <w:szCs w:val="28"/>
          <w:lang w:val="en-US"/>
        </w:rPr>
        <w:t>Proceedings</w:t>
      </w:r>
      <w:r w:rsidRPr="0014456F">
        <w:rPr>
          <w:rFonts w:ascii="Times New Roman" w:hAnsi="Times New Roman" w:cs="Times New Roman"/>
          <w:color w:val="000000" w:themeColor="text1"/>
          <w:sz w:val="28"/>
          <w:szCs w:val="28"/>
          <w:lang w:val="uk-UA"/>
        </w:rPr>
        <w:t xml:space="preserve"> </w:t>
      </w:r>
      <w:r w:rsidRPr="0014456F">
        <w:rPr>
          <w:rFonts w:ascii="Times New Roman" w:hAnsi="Times New Roman" w:cs="Times New Roman"/>
          <w:color w:val="000000" w:themeColor="text1"/>
          <w:sz w:val="28"/>
          <w:szCs w:val="28"/>
          <w:lang w:val="en-US"/>
        </w:rPr>
        <w:t>of</w:t>
      </w:r>
      <w:r w:rsidRPr="0014456F">
        <w:rPr>
          <w:rFonts w:ascii="Times New Roman" w:hAnsi="Times New Roman" w:cs="Times New Roman"/>
          <w:color w:val="000000" w:themeColor="text1"/>
          <w:sz w:val="28"/>
          <w:szCs w:val="28"/>
          <w:lang w:val="uk-UA"/>
        </w:rPr>
        <w:t xml:space="preserve"> </w:t>
      </w:r>
      <w:r w:rsidRPr="0014456F">
        <w:rPr>
          <w:rFonts w:ascii="Times New Roman" w:hAnsi="Times New Roman" w:cs="Times New Roman"/>
          <w:color w:val="000000" w:themeColor="text1"/>
          <w:sz w:val="28"/>
          <w:szCs w:val="28"/>
          <w:lang w:val="en-US"/>
        </w:rPr>
        <w:t>articles</w:t>
      </w:r>
      <w:r w:rsidRPr="0014456F">
        <w:rPr>
          <w:rFonts w:ascii="Times New Roman" w:hAnsi="Times New Roman" w:cs="Times New Roman"/>
          <w:color w:val="000000" w:themeColor="text1"/>
          <w:sz w:val="28"/>
          <w:szCs w:val="28"/>
          <w:lang w:val="uk-UA"/>
        </w:rPr>
        <w:t xml:space="preserve"> </w:t>
      </w:r>
      <w:r w:rsidRPr="0014456F">
        <w:rPr>
          <w:rFonts w:ascii="Times New Roman" w:hAnsi="Times New Roman" w:cs="Times New Roman"/>
          <w:color w:val="000000" w:themeColor="text1"/>
          <w:sz w:val="28"/>
          <w:szCs w:val="28"/>
          <w:lang w:val="en-US"/>
        </w:rPr>
        <w:t>the</w:t>
      </w:r>
      <w:r w:rsidRPr="0014456F">
        <w:rPr>
          <w:rFonts w:ascii="Times New Roman" w:hAnsi="Times New Roman" w:cs="Times New Roman"/>
          <w:color w:val="000000" w:themeColor="text1"/>
          <w:sz w:val="28"/>
          <w:szCs w:val="28"/>
          <w:lang w:val="uk-UA"/>
        </w:rPr>
        <w:t xml:space="preserve"> </w:t>
      </w:r>
      <w:r w:rsidRPr="0014456F">
        <w:rPr>
          <w:rFonts w:ascii="Times New Roman" w:hAnsi="Times New Roman" w:cs="Times New Roman"/>
          <w:color w:val="000000" w:themeColor="text1"/>
          <w:sz w:val="28"/>
          <w:szCs w:val="28"/>
          <w:lang w:val="en-US"/>
        </w:rPr>
        <w:t>international</w:t>
      </w:r>
      <w:r w:rsidRPr="0014456F">
        <w:rPr>
          <w:rFonts w:ascii="Times New Roman" w:hAnsi="Times New Roman" w:cs="Times New Roman"/>
          <w:color w:val="000000" w:themeColor="text1"/>
          <w:sz w:val="28"/>
          <w:szCs w:val="28"/>
          <w:lang w:val="uk-UA"/>
        </w:rPr>
        <w:t xml:space="preserve"> </w:t>
      </w:r>
      <w:r w:rsidRPr="0014456F">
        <w:rPr>
          <w:rFonts w:ascii="Times New Roman" w:hAnsi="Times New Roman" w:cs="Times New Roman"/>
          <w:color w:val="000000" w:themeColor="text1"/>
          <w:sz w:val="28"/>
          <w:szCs w:val="28"/>
          <w:lang w:val="en-US"/>
        </w:rPr>
        <w:t>scientific</w:t>
      </w:r>
      <w:r w:rsidRPr="0014456F">
        <w:rPr>
          <w:rFonts w:ascii="Times New Roman" w:hAnsi="Times New Roman" w:cs="Times New Roman"/>
          <w:color w:val="000000" w:themeColor="text1"/>
          <w:sz w:val="28"/>
          <w:szCs w:val="28"/>
          <w:lang w:val="uk-UA"/>
        </w:rPr>
        <w:t xml:space="preserve"> </w:t>
      </w:r>
      <w:r w:rsidRPr="0014456F">
        <w:rPr>
          <w:rFonts w:ascii="Times New Roman" w:hAnsi="Times New Roman" w:cs="Times New Roman"/>
          <w:color w:val="000000" w:themeColor="text1"/>
          <w:sz w:val="28"/>
          <w:szCs w:val="28"/>
          <w:lang w:val="en-US"/>
        </w:rPr>
        <w:t>conference</w:t>
      </w:r>
      <w:r w:rsidRPr="0014456F">
        <w:rPr>
          <w:rFonts w:ascii="Times New Roman" w:hAnsi="Times New Roman" w:cs="Times New Roman"/>
          <w:color w:val="000000" w:themeColor="text1"/>
          <w:sz w:val="28"/>
          <w:szCs w:val="28"/>
          <w:lang w:val="uk-UA"/>
        </w:rPr>
        <w:t xml:space="preserve">. </w:t>
      </w:r>
      <w:r w:rsidRPr="0014456F">
        <w:rPr>
          <w:rFonts w:ascii="Times New Roman" w:hAnsi="Times New Roman" w:cs="Times New Roman"/>
          <w:color w:val="000000" w:themeColor="text1"/>
          <w:sz w:val="28"/>
          <w:szCs w:val="28"/>
          <w:lang w:val="en-US"/>
        </w:rPr>
        <w:t>Czech Republic, Karlovy Vary – Ukraine, Kyiv, 6 April 2018 [Electronic resource] / Editors prof. L.N. Katjuhin, I.A. Salov, I.S. Danilova, N.S. Burina. – Electron. txt. d. (1 файл 3 MB). – Czech Republic, Karlovy Vary: Skleněný Můstek – Ukraine, Kyiv: MCNIP, 2018</w:t>
      </w:r>
      <w:r w:rsidRPr="0014456F">
        <w:rPr>
          <w:rFonts w:ascii="Times New Roman" w:hAnsi="Times New Roman" w:cs="Times New Roman"/>
          <w:color w:val="000000" w:themeColor="text1"/>
          <w:sz w:val="28"/>
          <w:szCs w:val="28"/>
          <w:lang w:val="uk-UA"/>
        </w:rPr>
        <w:t>; 330-334.</w:t>
      </w:r>
    </w:p>
    <w:p w:rsidR="0014456F" w:rsidRPr="0014456F" w:rsidRDefault="0014456F" w:rsidP="0014456F">
      <w:pPr>
        <w:pStyle w:val="a3"/>
        <w:tabs>
          <w:tab w:val="left" w:pos="993"/>
          <w:tab w:val="left" w:pos="1276"/>
        </w:tabs>
        <w:ind w:left="0" w:firstLine="567"/>
        <w:jc w:val="both"/>
        <w:rPr>
          <w:rFonts w:ascii="Times New Roman" w:hAnsi="Times New Roman" w:cs="Times New Roman"/>
          <w:color w:val="000000" w:themeColor="text1"/>
          <w:lang w:val="en-US"/>
        </w:rPr>
      </w:pPr>
      <w:r w:rsidRPr="0014456F">
        <w:rPr>
          <w:rFonts w:ascii="Times New Roman" w:hAnsi="Times New Roman" w:cs="Times New Roman"/>
          <w:color w:val="000000" w:themeColor="text1"/>
          <w:lang w:val="uk-UA"/>
        </w:rPr>
        <w:t xml:space="preserve">2. </w:t>
      </w:r>
      <w:r w:rsidRPr="0014456F">
        <w:rPr>
          <w:rFonts w:ascii="Times New Roman" w:hAnsi="Times New Roman" w:cs="Times New Roman"/>
          <w:color w:val="000000" w:themeColor="text1"/>
        </w:rPr>
        <w:t>Шерстюк ЛЛ. Морфологическая характеристика почки больных СД 2 типа легкой степени тяжести на фоне дисплазии соединительной ткани</w:t>
      </w:r>
      <w:r w:rsidRPr="0014456F">
        <w:rPr>
          <w:rFonts w:ascii="Times New Roman" w:hAnsi="Times New Roman" w:cs="Times New Roman"/>
          <w:color w:val="000000" w:themeColor="text1"/>
          <w:lang w:val="uk-UA"/>
        </w:rPr>
        <w:t xml:space="preserve">. В кн.: </w:t>
      </w:r>
      <w:r w:rsidRPr="0014456F">
        <w:rPr>
          <w:rFonts w:ascii="Times New Roman" w:hAnsi="Times New Roman" w:cs="Times New Roman"/>
          <w:color w:val="000000" w:themeColor="text1"/>
          <w:lang w:val="en-US"/>
        </w:rPr>
        <w:t>The development of nature sciences: problems and solutions: Conference</w:t>
      </w:r>
      <w:r w:rsidRPr="0014456F">
        <w:rPr>
          <w:rFonts w:ascii="Times New Roman" w:hAnsi="Times New Roman" w:cs="Times New Roman"/>
          <w:color w:val="000000" w:themeColor="text1"/>
          <w:lang w:val="uk-UA"/>
        </w:rPr>
        <w:t xml:space="preserve"> </w:t>
      </w:r>
      <w:r w:rsidRPr="0014456F">
        <w:rPr>
          <w:rFonts w:ascii="Times New Roman" w:hAnsi="Times New Roman" w:cs="Times New Roman"/>
          <w:color w:val="000000" w:themeColor="text1"/>
          <w:lang w:val="en-US"/>
        </w:rPr>
        <w:t>Proceedings, April 27-28, 2018. Brno: Baltija Publishing, 244 pages</w:t>
      </w:r>
      <w:r w:rsidRPr="0014456F">
        <w:rPr>
          <w:rFonts w:ascii="Times New Roman" w:hAnsi="Times New Roman" w:cs="Times New Roman"/>
          <w:color w:val="000000" w:themeColor="text1"/>
          <w:lang w:val="uk-UA"/>
        </w:rPr>
        <w:t>; 228-230.</w:t>
      </w:r>
      <w:r w:rsidRPr="0014456F">
        <w:rPr>
          <w:rFonts w:ascii="Times New Roman" w:hAnsi="Times New Roman"/>
          <w:bCs/>
          <w:i/>
          <w:lang w:val="uk-UA"/>
        </w:rPr>
        <w:t xml:space="preserve"> </w:t>
      </w:r>
    </w:p>
    <w:p w:rsidR="0014456F" w:rsidRPr="0014456F" w:rsidRDefault="0014456F" w:rsidP="0014456F">
      <w:pPr>
        <w:tabs>
          <w:tab w:val="left" w:pos="993"/>
          <w:tab w:val="left" w:pos="1276"/>
        </w:tabs>
        <w:spacing w:line="360" w:lineRule="auto"/>
        <w:ind w:firstLine="567"/>
        <w:jc w:val="both"/>
        <w:rPr>
          <w:rFonts w:ascii="Times New Roman" w:hAnsi="Times New Roman" w:cs="Times New Roman"/>
          <w:color w:val="000000" w:themeColor="text1"/>
          <w:sz w:val="28"/>
          <w:szCs w:val="28"/>
          <w:lang w:val="en-US"/>
        </w:rPr>
      </w:pPr>
      <w:r w:rsidRPr="0014456F">
        <w:rPr>
          <w:rFonts w:ascii="Times New Roman" w:hAnsi="Times New Roman" w:cs="Times New Roman"/>
          <w:color w:val="000000" w:themeColor="text1"/>
          <w:sz w:val="28"/>
          <w:szCs w:val="28"/>
          <w:lang w:val="uk-UA"/>
        </w:rPr>
        <w:t xml:space="preserve">3. Шерстюк ЛЛ. Місце та Роль серцево-судинних захворювань, цукрового діабету та дисплазії сполучної тканини у коморбідній патології. (огляд літератури). В зб.: </w:t>
      </w:r>
      <w:r w:rsidRPr="0014456F">
        <w:rPr>
          <w:rFonts w:ascii="Times New Roman" w:hAnsi="Times New Roman" w:cs="Times New Roman"/>
          <w:color w:val="000000" w:themeColor="text1"/>
          <w:sz w:val="28"/>
          <w:szCs w:val="28"/>
          <w:lang w:val="en-US"/>
        </w:rPr>
        <w:t>ADVANCES OF SCIENCE: Proceedings of articles the international scientific conference. Czech Republic, Karlovy Vary – Ukraine, Kyiv, 16 November 2018 [Electronic resource] / Editors prof. L.N. Katjuhin, I.A. Salov, I.S. Danilova, N.S. Burina. – Electron. txt. d. (1 файл 1 MB). – Czech Republic, Karlovy Vary: Skleněný Můstek – Ukraine, Kyiv: MCNIP, 2018.</w:t>
      </w:r>
      <w:r w:rsidRPr="0014456F">
        <w:rPr>
          <w:rFonts w:ascii="Times New Roman" w:hAnsi="Times New Roman" w:cs="Times New Roman"/>
          <w:color w:val="000000" w:themeColor="text1"/>
          <w:sz w:val="28"/>
          <w:szCs w:val="28"/>
          <w:lang w:val="uk-UA"/>
        </w:rPr>
        <w:t xml:space="preserve"> </w:t>
      </w:r>
    </w:p>
    <w:p w:rsidR="0014456F" w:rsidRPr="0014456F" w:rsidRDefault="0014456F" w:rsidP="0014456F">
      <w:pPr>
        <w:pStyle w:val="a3"/>
        <w:tabs>
          <w:tab w:val="left" w:pos="993"/>
          <w:tab w:val="left" w:pos="1276"/>
        </w:tabs>
        <w:ind w:left="0" w:firstLine="567"/>
        <w:jc w:val="both"/>
        <w:rPr>
          <w:rFonts w:ascii="Times New Roman" w:hAnsi="Times New Roman" w:cs="Times New Roman"/>
          <w:i/>
          <w:color w:val="000000" w:themeColor="text1"/>
          <w:lang w:val="uk-UA"/>
        </w:rPr>
      </w:pPr>
      <w:r w:rsidRPr="0014456F">
        <w:rPr>
          <w:rFonts w:ascii="Times New Roman" w:hAnsi="Times New Roman" w:cs="Times New Roman"/>
          <w:color w:val="000000" w:themeColor="text1"/>
          <w:lang w:val="uk-UA"/>
        </w:rPr>
        <w:lastRenderedPageBreak/>
        <w:t>4. Шерстюк ЛЛ, Ніколенко ЄЯ. Вміст основного фактору росту фібробластів в крові хворих на цукровий діабет та його залежність від наявності дисплазії сполучної тканини та інших показників.</w:t>
      </w:r>
      <w:r w:rsidRPr="0014456F">
        <w:rPr>
          <w:rFonts w:ascii="Times New Roman" w:hAnsi="Times New Roman" w:cs="Times New Roman"/>
          <w:color w:val="000000" w:themeColor="text1"/>
          <w:lang w:val="en-US"/>
        </w:rPr>
        <w:t xml:space="preserve"> </w:t>
      </w:r>
      <w:r w:rsidRPr="0014456F">
        <w:rPr>
          <w:rFonts w:ascii="Times New Roman" w:hAnsi="Times New Roman" w:cs="Times New Roman"/>
          <w:color w:val="000000" w:themeColor="text1"/>
          <w:lang w:val="uk-UA"/>
        </w:rPr>
        <w:t>В зб.</w:t>
      </w:r>
      <w:r w:rsidRPr="0014456F">
        <w:rPr>
          <w:rFonts w:ascii="Times New Roman" w:hAnsi="Times New Roman" w:cs="Times New Roman"/>
          <w:color w:val="000000" w:themeColor="text1"/>
          <w:lang w:val="en-US"/>
        </w:rPr>
        <w:t>: Science and society. Proceedings of the 8th International conference. Accent Graphics Communications &amp; Publishing. Hamilton, Canada. 2018: 276-284</w:t>
      </w:r>
      <w:r w:rsidRPr="0014456F">
        <w:rPr>
          <w:rFonts w:ascii="Times New Roman" w:hAnsi="Times New Roman" w:cs="Times New Roman"/>
          <w:color w:val="000000" w:themeColor="text1"/>
          <w:lang w:val="uk-UA"/>
        </w:rPr>
        <w:t xml:space="preserve"> </w:t>
      </w:r>
      <w:r w:rsidRPr="0014456F">
        <w:rPr>
          <w:rFonts w:ascii="Times New Roman" w:hAnsi="Times New Roman" w:cs="Times New Roman"/>
          <w:i/>
          <w:color w:val="000000" w:themeColor="text1"/>
          <w:shd w:val="clear" w:color="auto" w:fill="FFFFFF"/>
          <w:lang w:val="uk-UA"/>
        </w:rPr>
        <w:t>(</w:t>
      </w:r>
      <w:r w:rsidRPr="0014456F">
        <w:rPr>
          <w:rFonts w:ascii="Times New Roman" w:hAnsi="Times New Roman"/>
          <w:bCs/>
          <w:i/>
          <w:color w:val="000000"/>
          <w:lang w:val="uk-UA"/>
        </w:rPr>
        <w:t>Здобувач здійснила відбір тематичних хворих, проаналізувала взаємозв’язок показників основного фактору росту фібробластів з частотою та виразністю АГ, провела статистичну обробку та аналіз отриманих результатів)</w:t>
      </w:r>
      <w:r w:rsidRPr="0014456F">
        <w:rPr>
          <w:rFonts w:ascii="Times New Roman" w:hAnsi="Times New Roman" w:cs="Times New Roman"/>
          <w:i/>
          <w:color w:val="000000" w:themeColor="text1"/>
          <w:lang w:val="uk-UA"/>
        </w:rPr>
        <w:t>.</w:t>
      </w:r>
    </w:p>
    <w:p w:rsidR="0014456F" w:rsidRPr="0014456F" w:rsidRDefault="0014456F" w:rsidP="0014456F">
      <w:pPr>
        <w:pStyle w:val="a3"/>
        <w:ind w:left="0" w:firstLine="567"/>
        <w:jc w:val="both"/>
        <w:rPr>
          <w:rFonts w:ascii="Times New Roman" w:hAnsi="Times New Roman" w:cs="Times New Roman"/>
          <w:color w:val="000000" w:themeColor="text1"/>
          <w:lang w:val="uk-UA"/>
        </w:rPr>
      </w:pPr>
      <w:r w:rsidRPr="0014456F">
        <w:rPr>
          <w:rFonts w:ascii="Times New Roman" w:hAnsi="Times New Roman" w:cs="Times New Roman"/>
          <w:color w:val="000000" w:themeColor="text1"/>
          <w:lang w:val="uk-UA"/>
        </w:rPr>
        <w:t>5. Шерстюк ЛЛ. Особливості перебігу цукрового діабету 2 типу та супутньої патології залежно від наявності недиференційованої дисплазії сполучної тканини. В кн.: Нові досягнення у галузі медичних та фармацевтичних наук: матеріали міжнар. наук.-практ. конф. (м. Одеса 16–17 листопада 2018 року). – Одеса: ГО «Південна фундація медицини», 2018: 108-111.</w:t>
      </w:r>
      <w:r w:rsidRPr="0014456F">
        <w:rPr>
          <w:lang w:val="uk-UA"/>
        </w:rPr>
        <w:t xml:space="preserve"> </w:t>
      </w:r>
    </w:p>
    <w:p w:rsidR="0014456F" w:rsidRPr="0014456F" w:rsidRDefault="0014456F" w:rsidP="0014456F">
      <w:pPr>
        <w:pStyle w:val="a3"/>
        <w:tabs>
          <w:tab w:val="left" w:pos="993"/>
          <w:tab w:val="left" w:pos="1276"/>
        </w:tabs>
        <w:ind w:left="0" w:firstLine="567"/>
        <w:jc w:val="both"/>
        <w:rPr>
          <w:rFonts w:ascii="Times New Roman" w:hAnsi="Times New Roman" w:cs="Times New Roman"/>
          <w:i/>
          <w:color w:val="000000" w:themeColor="text1"/>
          <w:lang w:val="uk-UA"/>
        </w:rPr>
      </w:pPr>
      <w:r w:rsidRPr="0014456F">
        <w:rPr>
          <w:rFonts w:ascii="Times New Roman" w:hAnsi="Times New Roman" w:cs="Times New Roman"/>
          <w:color w:val="000000" w:themeColor="text1"/>
          <w:lang w:val="uk-UA"/>
        </w:rPr>
        <w:t xml:space="preserve">6. Шерстюк ЛЛ. Недиференційована дисплазія сполучної тканини як потенційний предиктор розвитку артеріальної гіпертензії у хворих на цукровий діабет 2 типу. 358-368. В кн.: </w:t>
      </w:r>
      <w:r w:rsidRPr="0014456F">
        <w:rPr>
          <w:rFonts w:ascii="Times New Roman" w:hAnsi="Times New Roman" w:cs="Times New Roman"/>
          <w:color w:val="000000" w:themeColor="text1"/>
          <w:lang w:val="en-US"/>
        </w:rPr>
        <w:t>Perspectives of science and education. Proceedings of the 6th International youth conference. SLOVO\WORD, New York, USA. 2018. Pp. 12–17.</w:t>
      </w:r>
    </w:p>
    <w:p w:rsidR="0014456F" w:rsidRPr="000A32AD" w:rsidRDefault="0014456F" w:rsidP="0014456F">
      <w:pPr>
        <w:spacing w:line="360" w:lineRule="auto"/>
        <w:ind w:firstLine="567"/>
        <w:jc w:val="both"/>
        <w:rPr>
          <w:rFonts w:ascii="Times New Roman" w:hAnsi="Times New Roman" w:cs="Times New Roman"/>
          <w:b/>
          <w:color w:val="000000" w:themeColor="text1"/>
          <w:sz w:val="28"/>
          <w:szCs w:val="28"/>
          <w:lang w:val="uk-UA"/>
        </w:rPr>
      </w:pPr>
    </w:p>
    <w:p w:rsidR="00D61E1B" w:rsidRPr="000A32AD" w:rsidRDefault="00D61E1B" w:rsidP="0014456F">
      <w:pPr>
        <w:widowControl w:val="0"/>
        <w:spacing w:after="160" w:line="259" w:lineRule="auto"/>
        <w:ind w:firstLine="567"/>
        <w:jc w:val="center"/>
        <w:rPr>
          <w:rFonts w:ascii="Times New Roman" w:hAnsi="Times New Roman"/>
          <w:b/>
          <w:color w:val="000000" w:themeColor="text1"/>
          <w:sz w:val="28"/>
          <w:szCs w:val="28"/>
        </w:rPr>
      </w:pPr>
      <w:r w:rsidRPr="000A32AD">
        <w:rPr>
          <w:rFonts w:ascii="Times New Roman" w:hAnsi="Times New Roman"/>
          <w:b/>
          <w:color w:val="000000" w:themeColor="text1"/>
          <w:sz w:val="28"/>
          <w:szCs w:val="28"/>
        </w:rPr>
        <w:t>АПРОБАЦІЯ РЕЗУЛЬТАТІВ ДОСЛІДЖЕННЯ</w:t>
      </w:r>
    </w:p>
    <w:p w:rsidR="00D61E1B" w:rsidRPr="000A32AD" w:rsidRDefault="00D61E1B" w:rsidP="00D61E1B">
      <w:pPr>
        <w:pStyle w:val="a3"/>
        <w:numPr>
          <w:ilvl w:val="0"/>
          <w:numId w:val="29"/>
        </w:numPr>
        <w:spacing w:after="200"/>
        <w:contextualSpacing/>
        <w:jc w:val="both"/>
        <w:rPr>
          <w:rFonts w:ascii="Times New Roman" w:hAnsi="Times New Roman"/>
          <w:bCs/>
          <w:color w:val="000000" w:themeColor="text1"/>
          <w:lang w:val="en-US"/>
        </w:rPr>
      </w:pPr>
      <w:r w:rsidRPr="000A32AD">
        <w:rPr>
          <w:rFonts w:ascii="Times New Roman" w:hAnsi="Times New Roman" w:cs="Times New Roman"/>
          <w:color w:val="000000" w:themeColor="text1"/>
          <w:lang w:val="en-US"/>
        </w:rPr>
        <w:t>International</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scientific</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conference: ADVANCES</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OF</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 xml:space="preserve">SCIENCE </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Czech Republic, Karlovy Vary – Ukraine, Kyiv, 6 April 2018</w:t>
      </w:r>
      <w:r w:rsidRPr="000A32AD">
        <w:rPr>
          <w:rFonts w:ascii="Times New Roman" w:hAnsi="Times New Roman"/>
          <w:color w:val="000000" w:themeColor="text1"/>
          <w:lang w:val="en-US"/>
        </w:rPr>
        <w:t xml:space="preserve"> (</w:t>
      </w:r>
      <w:r w:rsidRPr="000A32AD">
        <w:rPr>
          <w:rFonts w:ascii="Times New Roman" w:hAnsi="Times New Roman"/>
          <w:i/>
          <w:color w:val="000000" w:themeColor="text1"/>
          <w:lang w:val="uk-UA"/>
        </w:rPr>
        <w:t>публікація</w:t>
      </w:r>
      <w:r w:rsidRPr="000A32AD">
        <w:rPr>
          <w:rFonts w:ascii="Times New Roman" w:hAnsi="Times New Roman"/>
          <w:i/>
          <w:color w:val="000000" w:themeColor="text1"/>
          <w:lang w:val="en-US"/>
        </w:rPr>
        <w:t>)</w:t>
      </w:r>
      <w:r w:rsidRPr="000A32AD">
        <w:rPr>
          <w:rFonts w:ascii="Times New Roman" w:hAnsi="Times New Roman"/>
          <w:color w:val="000000" w:themeColor="text1"/>
          <w:lang w:val="uk-UA"/>
        </w:rPr>
        <w:t>;</w:t>
      </w:r>
      <w:r w:rsidRPr="000A32AD">
        <w:rPr>
          <w:rFonts w:ascii="Times New Roman" w:hAnsi="Times New Roman"/>
          <w:color w:val="000000" w:themeColor="text1"/>
          <w:lang w:val="en-US"/>
        </w:rPr>
        <w:t xml:space="preserve"> </w:t>
      </w:r>
    </w:p>
    <w:p w:rsidR="00D61E1B" w:rsidRPr="000A32AD" w:rsidRDefault="00D61E1B" w:rsidP="00D61E1B">
      <w:pPr>
        <w:pStyle w:val="a3"/>
        <w:numPr>
          <w:ilvl w:val="0"/>
          <w:numId w:val="29"/>
        </w:numPr>
        <w:spacing w:after="200"/>
        <w:contextualSpacing/>
        <w:jc w:val="both"/>
        <w:rPr>
          <w:rFonts w:ascii="Times New Roman" w:hAnsi="Times New Roman"/>
          <w:bCs/>
          <w:color w:val="000000" w:themeColor="text1"/>
        </w:rPr>
      </w:pPr>
      <w:r w:rsidRPr="000A32AD">
        <w:rPr>
          <w:rFonts w:ascii="Times New Roman" w:hAnsi="Times New Roman"/>
          <w:color w:val="000000" w:themeColor="text1"/>
          <w:lang w:val="uk-UA"/>
        </w:rPr>
        <w:t xml:space="preserve">міжнародна наукова конференція </w:t>
      </w:r>
      <w:r w:rsidRPr="000A32AD">
        <w:rPr>
          <w:rFonts w:ascii="Times New Roman" w:hAnsi="Times New Roman"/>
          <w:color w:val="000000" w:themeColor="text1"/>
          <w:lang w:val="en-US"/>
        </w:rPr>
        <w:t>“</w:t>
      </w:r>
      <w:r w:rsidRPr="000A32AD">
        <w:rPr>
          <w:rFonts w:ascii="Times New Roman" w:hAnsi="Times New Roman" w:cs="Times New Roman"/>
          <w:color w:val="000000" w:themeColor="text1"/>
          <w:lang w:val="en-US"/>
        </w:rPr>
        <w:t>The development of nature sciences: problems and solutions”, April 27-28, 2018. Brno: Baltija Publishing</w:t>
      </w:r>
      <w:r w:rsidRPr="000A32AD">
        <w:rPr>
          <w:rFonts w:ascii="Times New Roman" w:hAnsi="Times New Roman"/>
          <w:i/>
          <w:color w:val="000000" w:themeColor="text1"/>
          <w:lang w:val="uk-UA"/>
        </w:rPr>
        <w:t xml:space="preserve"> (публікація);</w:t>
      </w:r>
    </w:p>
    <w:p w:rsidR="00D61E1B" w:rsidRPr="000A32AD" w:rsidRDefault="00D61E1B" w:rsidP="00D61E1B">
      <w:pPr>
        <w:pStyle w:val="a3"/>
        <w:numPr>
          <w:ilvl w:val="0"/>
          <w:numId w:val="29"/>
        </w:numPr>
        <w:spacing w:after="200"/>
        <w:contextualSpacing/>
        <w:jc w:val="both"/>
        <w:rPr>
          <w:rFonts w:ascii="Times New Roman" w:hAnsi="Times New Roman"/>
          <w:bCs/>
          <w:color w:val="000000" w:themeColor="text1"/>
          <w:lang w:val="en-US"/>
        </w:rPr>
      </w:pPr>
      <w:r w:rsidRPr="000A32AD">
        <w:rPr>
          <w:rFonts w:ascii="Times New Roman" w:hAnsi="Times New Roman" w:cs="Times New Roman"/>
          <w:color w:val="000000" w:themeColor="text1"/>
          <w:lang w:val="en-US"/>
        </w:rPr>
        <w:t xml:space="preserve">International scientific conference: ADVANCES OF SCIENCE. Czech Republic, Karlovy Vary – Ukraine, Kyiv, 16 November 2018 </w:t>
      </w:r>
      <w:r w:rsidRPr="000A32AD">
        <w:rPr>
          <w:rFonts w:ascii="Times New Roman" w:hAnsi="Times New Roman"/>
          <w:color w:val="000000" w:themeColor="text1"/>
          <w:lang w:val="en-US"/>
        </w:rPr>
        <w:t xml:space="preserve"> (</w:t>
      </w:r>
      <w:r w:rsidRPr="000A32AD">
        <w:rPr>
          <w:rFonts w:ascii="Times New Roman" w:hAnsi="Times New Roman"/>
          <w:i/>
          <w:color w:val="000000" w:themeColor="text1"/>
          <w:lang w:val="uk-UA"/>
        </w:rPr>
        <w:t>публікація</w:t>
      </w:r>
      <w:r w:rsidRPr="000A32AD">
        <w:rPr>
          <w:rFonts w:ascii="Times New Roman" w:hAnsi="Times New Roman"/>
          <w:i/>
          <w:color w:val="000000" w:themeColor="text1"/>
          <w:lang w:val="en-US"/>
        </w:rPr>
        <w:t>)</w:t>
      </w:r>
      <w:r w:rsidRPr="000A32AD">
        <w:rPr>
          <w:rFonts w:ascii="Times New Roman" w:hAnsi="Times New Roman"/>
          <w:i/>
          <w:color w:val="000000" w:themeColor="text1"/>
          <w:lang w:val="uk-UA"/>
        </w:rPr>
        <w:t>;</w:t>
      </w:r>
    </w:p>
    <w:p w:rsidR="00D61E1B" w:rsidRPr="000A32AD" w:rsidRDefault="00D61E1B" w:rsidP="00D61E1B">
      <w:pPr>
        <w:pStyle w:val="a3"/>
        <w:numPr>
          <w:ilvl w:val="0"/>
          <w:numId w:val="29"/>
        </w:numPr>
        <w:spacing w:after="200"/>
        <w:contextualSpacing/>
        <w:jc w:val="both"/>
        <w:rPr>
          <w:rFonts w:ascii="Times New Roman" w:hAnsi="Times New Roman"/>
          <w:bCs/>
          <w:color w:val="000000" w:themeColor="text1"/>
        </w:rPr>
      </w:pPr>
      <w:r w:rsidRPr="000A32AD">
        <w:rPr>
          <w:rFonts w:ascii="Times New Roman" w:hAnsi="Times New Roman"/>
          <w:color w:val="000000" w:themeColor="text1"/>
          <w:lang w:val="en-US"/>
        </w:rPr>
        <w:lastRenderedPageBreak/>
        <w:t xml:space="preserve"> </w:t>
      </w:r>
      <w:r w:rsidRPr="000A32AD">
        <w:rPr>
          <w:rFonts w:ascii="Times New Roman" w:hAnsi="Times New Roman"/>
          <w:color w:val="000000" w:themeColor="text1"/>
          <w:lang w:val="uk-UA"/>
        </w:rPr>
        <w:t>міжнародна наукова конференція</w:t>
      </w:r>
      <w:r w:rsidRPr="000A32AD">
        <w:rPr>
          <w:rFonts w:ascii="Times New Roman" w:hAnsi="Times New Roman"/>
          <w:color w:val="000000" w:themeColor="text1"/>
          <w:lang w:val="en-US"/>
        </w:rPr>
        <w:t>:</w:t>
      </w:r>
      <w:r w:rsidRPr="000A32AD">
        <w:rPr>
          <w:rFonts w:ascii="Times New Roman" w:hAnsi="Times New Roman"/>
          <w:color w:val="000000" w:themeColor="text1"/>
          <w:lang w:val="uk-UA"/>
        </w:rPr>
        <w:t xml:space="preserve"> </w:t>
      </w:r>
      <w:r w:rsidRPr="000A32AD">
        <w:rPr>
          <w:rFonts w:ascii="Times New Roman" w:hAnsi="Times New Roman" w:cs="Times New Roman"/>
          <w:color w:val="000000" w:themeColor="text1"/>
          <w:lang w:val="en-US"/>
        </w:rPr>
        <w:t>8th International conference</w:t>
      </w:r>
      <w:r w:rsidRPr="000A32AD">
        <w:rPr>
          <w:rFonts w:ascii="Times New Roman" w:hAnsi="Times New Roman"/>
          <w:color w:val="000000" w:themeColor="text1"/>
          <w:lang w:val="uk-UA"/>
        </w:rPr>
        <w:t xml:space="preserve"> </w:t>
      </w:r>
      <w:r w:rsidRPr="000A32AD">
        <w:rPr>
          <w:rFonts w:ascii="Times New Roman" w:hAnsi="Times New Roman"/>
          <w:color w:val="000000" w:themeColor="text1"/>
          <w:lang w:val="en-US"/>
        </w:rPr>
        <w:t>“</w:t>
      </w:r>
      <w:r w:rsidRPr="000A32AD">
        <w:rPr>
          <w:rFonts w:ascii="Times New Roman" w:hAnsi="Times New Roman" w:cs="Times New Roman"/>
          <w:color w:val="000000" w:themeColor="text1"/>
          <w:lang w:val="en-US"/>
        </w:rPr>
        <w:t>Science and society”</w:t>
      </w:r>
      <w:r w:rsidRPr="000A32AD">
        <w:rPr>
          <w:rFonts w:ascii="Times New Roman" w:hAnsi="Times New Roman"/>
          <w:i/>
          <w:color w:val="000000" w:themeColor="text1"/>
          <w:lang w:val="uk-UA"/>
        </w:rPr>
        <w:t xml:space="preserve"> </w:t>
      </w:r>
      <w:r w:rsidRPr="000A32AD">
        <w:rPr>
          <w:rFonts w:ascii="Times New Roman" w:hAnsi="Times New Roman" w:cs="Times New Roman"/>
          <w:color w:val="000000" w:themeColor="text1"/>
          <w:lang w:val="en-US"/>
        </w:rPr>
        <w:t>Hamilton, Canada. 2018</w:t>
      </w:r>
      <w:r w:rsidRPr="000A32AD">
        <w:rPr>
          <w:rFonts w:ascii="Times New Roman" w:hAnsi="Times New Roman"/>
          <w:i/>
          <w:color w:val="000000" w:themeColor="text1"/>
          <w:lang w:val="uk-UA"/>
        </w:rPr>
        <w:t xml:space="preserve"> (публікація)</w:t>
      </w:r>
      <w:r w:rsidR="00AE3BCF" w:rsidRPr="000A32AD">
        <w:rPr>
          <w:rFonts w:ascii="Times New Roman" w:hAnsi="Times New Roman"/>
          <w:i/>
          <w:color w:val="000000" w:themeColor="text1"/>
          <w:lang w:val="uk-UA"/>
        </w:rPr>
        <w:t>;</w:t>
      </w:r>
    </w:p>
    <w:p w:rsidR="00D61E1B" w:rsidRPr="000A32AD" w:rsidRDefault="00D61E1B" w:rsidP="00D61E1B">
      <w:pPr>
        <w:pStyle w:val="a3"/>
        <w:numPr>
          <w:ilvl w:val="0"/>
          <w:numId w:val="29"/>
        </w:numPr>
        <w:spacing w:after="200"/>
        <w:contextualSpacing/>
        <w:jc w:val="both"/>
        <w:rPr>
          <w:rFonts w:ascii="Times New Roman" w:hAnsi="Times New Roman"/>
          <w:bCs/>
          <w:color w:val="000000" w:themeColor="text1"/>
        </w:rPr>
      </w:pPr>
      <w:r w:rsidRPr="000A32AD">
        <w:rPr>
          <w:rFonts w:ascii="Times New Roman" w:hAnsi="Times New Roman" w:cs="Times New Roman"/>
          <w:color w:val="000000" w:themeColor="text1"/>
          <w:lang w:val="uk-UA"/>
        </w:rPr>
        <w:t>міжнародна науково-практична конференція «Нові досягнення у галузі медичних та фармацевтичних наук». Одеса 16–17 листопада 2018 року</w:t>
      </w:r>
      <w:r w:rsidR="00AE3BCF" w:rsidRPr="000A32AD">
        <w:rPr>
          <w:rFonts w:ascii="Times New Roman" w:hAnsi="Times New Roman" w:cs="Times New Roman"/>
          <w:color w:val="000000" w:themeColor="text1"/>
          <w:lang w:val="uk-UA"/>
        </w:rPr>
        <w:t xml:space="preserve"> </w:t>
      </w:r>
      <w:r w:rsidR="00AE3BCF" w:rsidRPr="000A32AD">
        <w:rPr>
          <w:rFonts w:ascii="Times New Roman" w:hAnsi="Times New Roman"/>
          <w:i/>
          <w:color w:val="000000" w:themeColor="text1"/>
          <w:lang w:val="uk-UA"/>
        </w:rPr>
        <w:t>(публікація);</w:t>
      </w:r>
    </w:p>
    <w:p w:rsidR="00AE3BCF" w:rsidRPr="000A32AD" w:rsidRDefault="00AE3BCF" w:rsidP="00D61E1B">
      <w:pPr>
        <w:pStyle w:val="a3"/>
        <w:numPr>
          <w:ilvl w:val="0"/>
          <w:numId w:val="29"/>
        </w:numPr>
        <w:spacing w:after="200"/>
        <w:contextualSpacing/>
        <w:jc w:val="both"/>
        <w:rPr>
          <w:rFonts w:ascii="Times New Roman" w:hAnsi="Times New Roman"/>
          <w:bCs/>
          <w:color w:val="000000" w:themeColor="text1"/>
        </w:rPr>
      </w:pPr>
      <w:r w:rsidRPr="000A32AD">
        <w:rPr>
          <w:rFonts w:ascii="Times New Roman" w:hAnsi="Times New Roman"/>
          <w:color w:val="000000" w:themeColor="text1"/>
          <w:lang w:val="uk-UA"/>
        </w:rPr>
        <w:t xml:space="preserve">міжнародна наукова конференція  </w:t>
      </w:r>
      <w:r w:rsidRPr="000A32AD">
        <w:rPr>
          <w:rFonts w:ascii="Times New Roman" w:hAnsi="Times New Roman" w:cs="Times New Roman"/>
          <w:color w:val="000000" w:themeColor="text1"/>
          <w:lang w:val="en-US"/>
        </w:rPr>
        <w:t>6th International youth conference</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Perspectives of science and education</w:t>
      </w:r>
      <w:r w:rsidRPr="000A32AD">
        <w:rPr>
          <w:rFonts w:ascii="Times New Roman" w:hAnsi="Times New Roman" w:cs="Times New Roman"/>
          <w:color w:val="000000" w:themeColor="text1"/>
          <w:lang w:val="uk-UA"/>
        </w:rPr>
        <w:t xml:space="preserve">». </w:t>
      </w:r>
      <w:r w:rsidRPr="000A32AD">
        <w:rPr>
          <w:rFonts w:ascii="Times New Roman" w:hAnsi="Times New Roman" w:cs="Times New Roman"/>
          <w:color w:val="000000" w:themeColor="text1"/>
          <w:lang w:val="en-US"/>
        </w:rPr>
        <w:t>New York, USA. 2018</w:t>
      </w:r>
      <w:r w:rsidRPr="000A32AD">
        <w:rPr>
          <w:rFonts w:ascii="Times New Roman" w:hAnsi="Times New Roman" w:cs="Times New Roman"/>
          <w:color w:val="000000" w:themeColor="text1"/>
          <w:lang w:val="uk-UA"/>
        </w:rPr>
        <w:t xml:space="preserve"> </w:t>
      </w:r>
      <w:r w:rsidRPr="000A32AD">
        <w:rPr>
          <w:rFonts w:ascii="Times New Roman" w:hAnsi="Times New Roman"/>
          <w:i/>
          <w:color w:val="000000" w:themeColor="text1"/>
          <w:lang w:val="uk-UA"/>
        </w:rPr>
        <w:t>(публікація).</w:t>
      </w:r>
    </w:p>
    <w:p w:rsidR="00D61E1B" w:rsidRPr="000A32AD" w:rsidRDefault="00D61E1B">
      <w:pPr>
        <w:spacing w:after="160" w:line="259" w:lineRule="auto"/>
        <w:rPr>
          <w:rFonts w:ascii="Times New Roman" w:hAnsi="Times New Roman" w:cs="Times New Roman"/>
          <w:b/>
          <w:bCs/>
          <w:color w:val="000000" w:themeColor="text1"/>
          <w:sz w:val="28"/>
          <w:szCs w:val="28"/>
          <w:lang w:val="uk-UA" w:eastAsia="en-US"/>
        </w:rPr>
      </w:pPr>
    </w:p>
    <w:p w:rsidR="002E3C16" w:rsidRPr="000A32AD" w:rsidRDefault="00AE3BCF">
      <w:pPr>
        <w:spacing w:after="160" w:line="259" w:lineRule="auto"/>
        <w:rPr>
          <w:rFonts w:ascii="Times New Roman" w:hAnsi="Times New Roman" w:cs="Times New Roman"/>
          <w:b/>
          <w:bCs/>
          <w:color w:val="000000" w:themeColor="text1"/>
          <w:sz w:val="28"/>
          <w:szCs w:val="28"/>
          <w:lang w:val="uk-UA" w:eastAsia="en-US"/>
        </w:rPr>
      </w:pPr>
      <w:r w:rsidRPr="000A32AD">
        <w:rPr>
          <w:rFonts w:ascii="Times New Roman" w:hAnsi="Times New Roman" w:cs="Times New Roman"/>
          <w:b/>
          <w:bCs/>
          <w:color w:val="000000" w:themeColor="text1"/>
          <w:sz w:val="28"/>
          <w:szCs w:val="28"/>
          <w:lang w:val="uk-UA" w:eastAsia="en-US"/>
        </w:rPr>
        <w:br w:type="page"/>
      </w:r>
    </w:p>
    <w:p w:rsidR="002E3C16" w:rsidRPr="000A32AD" w:rsidRDefault="0014456F" w:rsidP="002E3C16">
      <w:pPr>
        <w:pStyle w:val="a9"/>
        <w:spacing w:after="0" w:line="360" w:lineRule="auto"/>
        <w:ind w:right="20" w:firstLine="851"/>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Додаток Б</w:t>
      </w:r>
      <w:r w:rsidR="002B5A2C" w:rsidRPr="000A32AD">
        <w:rPr>
          <w:rFonts w:ascii="Times New Roman" w:hAnsi="Times New Roman" w:cs="Times New Roman"/>
          <w:b/>
          <w:color w:val="000000" w:themeColor="text1"/>
          <w:sz w:val="28"/>
          <w:szCs w:val="28"/>
        </w:rPr>
        <w:t>. Риснуки до розділу 4.3</w:t>
      </w:r>
    </w:p>
    <w:p w:rsidR="002E3C16" w:rsidRPr="000A32AD" w:rsidRDefault="002E3C16" w:rsidP="002E3C16">
      <w:pPr>
        <w:pStyle w:val="a9"/>
        <w:spacing w:after="0" w:line="360" w:lineRule="auto"/>
        <w:ind w:right="20" w:firstLine="851"/>
        <w:jc w:val="center"/>
        <w:rPr>
          <w:rFonts w:ascii="Times New Roman" w:hAnsi="Times New Roman" w:cs="Times New Roman"/>
          <w:color w:val="000000" w:themeColor="text1"/>
          <w:sz w:val="28"/>
          <w:szCs w:val="28"/>
        </w:rPr>
      </w:pPr>
      <w:r w:rsidRPr="000A32AD">
        <w:rPr>
          <w:rFonts w:ascii="Times New Roman" w:hAnsi="Times New Roman" w:cs="Times New Roman"/>
          <w:noProof/>
          <w:color w:val="000000" w:themeColor="text1"/>
          <w:sz w:val="28"/>
          <w:szCs w:val="28"/>
          <w:lang w:val="ru-RU" w:eastAsia="ru-RU"/>
        </w:rPr>
        <mc:AlternateContent>
          <mc:Choice Requires="wps">
            <w:drawing>
              <wp:anchor distT="0" distB="0" distL="114300" distR="114300" simplePos="0" relativeHeight="251731968" behindDoc="0" locked="0" layoutInCell="1" allowOverlap="1" wp14:anchorId="0B2E0DA6" wp14:editId="00CE5ADF">
                <wp:simplePos x="0" y="0"/>
                <wp:positionH relativeFrom="column">
                  <wp:posOffset>2645410</wp:posOffset>
                </wp:positionH>
                <wp:positionV relativeFrom="paragraph">
                  <wp:posOffset>2276475</wp:posOffset>
                </wp:positionV>
                <wp:extent cx="60325" cy="423545"/>
                <wp:effectExtent l="97155" t="44450" r="33020" b="17780"/>
                <wp:wrapNone/>
                <wp:docPr id="38" name="Прямая со стрелкой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84EBBCE" id="Прямая со стрелкой 38" o:spid="_x0000_s1026" type="#_x0000_t32" style="position:absolute;margin-left:208.3pt;margin-top:179.25pt;width:4.75pt;height:33.3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lang w:val="ru-RU" w:eastAsia="ru-RU"/>
        </w:rPr>
        <w:drawing>
          <wp:inline distT="0" distB="0" distL="0" distR="0" wp14:anchorId="736C4159" wp14:editId="1B13ED21">
            <wp:extent cx="4133960" cy="3099460"/>
            <wp:effectExtent l="0" t="0" r="0" b="5715"/>
            <wp:docPr id="1" name="Рисунок 1" descr="D:\кандидатская люды\фото для диссера\Изображение 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кандидатская люды\фото для диссера\Изображение 025.jpg"/>
                    <pic:cNvPicPr>
                      <a:picLocks noChangeAspect="1" noChangeArrowheads="1"/>
                    </pic:cNvPicPr>
                  </pic:nvPicPr>
                  <pic:blipFill>
                    <a:blip r:embed="rId29" cstate="print">
                      <a:lum contrast="10000"/>
                    </a:blip>
                    <a:srcRect/>
                    <a:stretch>
                      <a:fillRect/>
                    </a:stretch>
                  </pic:blipFill>
                  <pic:spPr bwMode="auto">
                    <a:xfrm>
                      <a:off x="0" y="0"/>
                      <a:ext cx="4148246" cy="3110171"/>
                    </a:xfrm>
                    <a:prstGeom prst="rect">
                      <a:avLst/>
                    </a:prstGeom>
                    <a:noFill/>
                    <a:ln w="9525">
                      <a:noFill/>
                      <a:miter lim="800000"/>
                      <a:headEnd/>
                      <a:tailEnd/>
                    </a:ln>
                  </pic:spPr>
                </pic:pic>
              </a:graphicData>
            </a:graphic>
          </wp:inline>
        </w:drawing>
      </w:r>
    </w:p>
    <w:p w:rsidR="002E3C16" w:rsidRPr="000A32AD" w:rsidRDefault="002E3C16" w:rsidP="002E3C16">
      <w:pPr>
        <w:pStyle w:val="a9"/>
        <w:spacing w:after="0" w:line="360" w:lineRule="auto"/>
        <w:ind w:right="20" w:firstLine="851"/>
        <w:jc w:val="both"/>
        <w:rPr>
          <w:rFonts w:ascii="Times New Roman" w:hAnsi="Times New Roman" w:cs="Times New Roman"/>
          <w:color w:val="000000" w:themeColor="text1"/>
          <w:sz w:val="28"/>
          <w:szCs w:val="28"/>
        </w:rPr>
      </w:pPr>
      <w:r w:rsidRPr="000A32AD">
        <w:rPr>
          <w:rFonts w:ascii="Times New Roman" w:hAnsi="Times New Roman" w:cs="Times New Roman"/>
          <w:color w:val="000000" w:themeColor="text1"/>
          <w:sz w:val="28"/>
          <w:szCs w:val="28"/>
        </w:rPr>
        <w:t>Рис. 1. Нирка хворого ЦД 2 типу легкого ступеня тяжкості. Склерозований клубочок на фоні нормальних клубочків. Забарвлення гематоксиліном і еозином х100.</w:t>
      </w:r>
    </w:p>
    <w:p w:rsidR="002E3C16" w:rsidRPr="000A32AD" w:rsidRDefault="002E3C16" w:rsidP="002E3C16">
      <w:pPr>
        <w:spacing w:line="360" w:lineRule="auto"/>
        <w:ind w:firstLine="851"/>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35040" behindDoc="0" locked="0" layoutInCell="1" allowOverlap="1" wp14:anchorId="3AF41A05" wp14:editId="419714DF">
                <wp:simplePos x="0" y="0"/>
                <wp:positionH relativeFrom="column">
                  <wp:posOffset>1662430</wp:posOffset>
                </wp:positionH>
                <wp:positionV relativeFrom="paragraph">
                  <wp:posOffset>2279650</wp:posOffset>
                </wp:positionV>
                <wp:extent cx="60325" cy="423545"/>
                <wp:effectExtent l="104775" t="41910" r="34925" b="20320"/>
                <wp:wrapNone/>
                <wp:docPr id="37" name="Прямая со стрелкой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04B1ED6" id="Прямая со стрелкой 37" o:spid="_x0000_s1026" type="#_x0000_t32" style="position:absolute;margin-left:130.9pt;margin-top:179.5pt;width:4.75pt;height:33.3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34016" behindDoc="0" locked="0" layoutInCell="1" allowOverlap="1" wp14:anchorId="4F349C55" wp14:editId="305E3ED3">
                <wp:simplePos x="0" y="0"/>
                <wp:positionH relativeFrom="column">
                  <wp:posOffset>2700655</wp:posOffset>
                </wp:positionH>
                <wp:positionV relativeFrom="paragraph">
                  <wp:posOffset>2041525</wp:posOffset>
                </wp:positionV>
                <wp:extent cx="60325" cy="423545"/>
                <wp:effectExtent l="104775" t="41910" r="34925" b="20320"/>
                <wp:wrapNone/>
                <wp:docPr id="36" name="Прямая со стрелкой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7765220" id="Прямая со стрелкой 36" o:spid="_x0000_s1026" type="#_x0000_t32" style="position:absolute;margin-left:212.65pt;margin-top:160.75pt;width:4.75pt;height:33.3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32992" behindDoc="0" locked="0" layoutInCell="1" allowOverlap="1" wp14:anchorId="60134507" wp14:editId="5E4BFEA6">
                <wp:simplePos x="0" y="0"/>
                <wp:positionH relativeFrom="column">
                  <wp:posOffset>3040380</wp:posOffset>
                </wp:positionH>
                <wp:positionV relativeFrom="paragraph">
                  <wp:posOffset>2465070</wp:posOffset>
                </wp:positionV>
                <wp:extent cx="60325" cy="423545"/>
                <wp:effectExtent l="101600" t="36830" r="38100" b="15875"/>
                <wp:wrapNone/>
                <wp:docPr id="35" name="Прямая со стрелкой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C30890D" id="Прямая со стрелкой 35" o:spid="_x0000_s1026" type="#_x0000_t32" style="position:absolute;margin-left:239.4pt;margin-top:194.1pt;width:4.75pt;height:33.3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w:drawing>
          <wp:inline distT="0" distB="0" distL="0" distR="0" wp14:anchorId="39E94237" wp14:editId="449E042F">
            <wp:extent cx="4195948" cy="3146961"/>
            <wp:effectExtent l="0" t="0" r="0" b="0"/>
            <wp:docPr id="3" name="Рисунок 3" descr="D:\кандидатская люды\фото для диссера\Изображение 0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кандидатская люды\фото для диссера\Изображение 063.jpg"/>
                    <pic:cNvPicPr>
                      <a:picLocks noChangeAspect="1" noChangeArrowheads="1"/>
                    </pic:cNvPicPr>
                  </pic:nvPicPr>
                  <pic:blipFill>
                    <a:blip r:embed="rId30" cstate="print">
                      <a:lum contrast="10000"/>
                    </a:blip>
                    <a:srcRect/>
                    <a:stretch>
                      <a:fillRect/>
                    </a:stretch>
                  </pic:blipFill>
                  <pic:spPr bwMode="auto">
                    <a:xfrm>
                      <a:off x="0" y="0"/>
                      <a:ext cx="4201064" cy="3150798"/>
                    </a:xfrm>
                    <a:prstGeom prst="rect">
                      <a:avLst/>
                    </a:prstGeom>
                    <a:noFill/>
                    <a:ln w="9525">
                      <a:noFill/>
                      <a:miter lim="800000"/>
                      <a:headEnd/>
                      <a:tailEnd/>
                    </a:ln>
                  </pic:spPr>
                </pic:pic>
              </a:graphicData>
            </a:graphic>
          </wp:inline>
        </w:drawing>
      </w:r>
    </w:p>
    <w:p w:rsidR="002E3C16" w:rsidRPr="000A32AD" w:rsidRDefault="002E3C16" w:rsidP="002E3C16">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Рис. 2. Нирка хворого ЦД 2 типу легкого ступеня тяжкості. Розростання міжканальцевої сполучної тканини. Забарвлення за ван Гізон х100.</w:t>
      </w:r>
    </w:p>
    <w:p w:rsidR="002E3C16" w:rsidRPr="000A32AD" w:rsidRDefault="002E3C16" w:rsidP="002E3C16">
      <w:pPr>
        <w:rPr>
          <w:color w:val="000000" w:themeColor="text1"/>
          <w:lang w:val="uk-UA"/>
        </w:rPr>
      </w:pPr>
    </w:p>
    <w:p w:rsidR="002E3C16" w:rsidRPr="000A32AD" w:rsidRDefault="002E3C16" w:rsidP="002E3C16">
      <w:pPr>
        <w:spacing w:line="360" w:lineRule="auto"/>
        <w:ind w:firstLine="851"/>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w:lastRenderedPageBreak/>
        <mc:AlternateContent>
          <mc:Choice Requires="wps">
            <w:drawing>
              <wp:anchor distT="0" distB="0" distL="114300" distR="114300" simplePos="0" relativeHeight="251738112" behindDoc="0" locked="0" layoutInCell="1" allowOverlap="1" wp14:anchorId="5D178556" wp14:editId="6A6319D8">
                <wp:simplePos x="0" y="0"/>
                <wp:positionH relativeFrom="column">
                  <wp:posOffset>2586355</wp:posOffset>
                </wp:positionH>
                <wp:positionV relativeFrom="paragraph">
                  <wp:posOffset>2366010</wp:posOffset>
                </wp:positionV>
                <wp:extent cx="60325" cy="423545"/>
                <wp:effectExtent l="104775" t="38735" r="34925" b="23495"/>
                <wp:wrapNone/>
                <wp:docPr id="34" name="Прямая со стрелкой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E69994A" id="Прямая со стрелкой 34" o:spid="_x0000_s1026" type="#_x0000_t32" style="position:absolute;margin-left:203.65pt;margin-top:186.3pt;width:4.75pt;height:33.3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39136" behindDoc="0" locked="0" layoutInCell="1" allowOverlap="1" wp14:anchorId="0ADA0D33" wp14:editId="6A3919D8">
                <wp:simplePos x="0" y="0"/>
                <wp:positionH relativeFrom="column">
                  <wp:posOffset>4329430</wp:posOffset>
                </wp:positionH>
                <wp:positionV relativeFrom="paragraph">
                  <wp:posOffset>2295525</wp:posOffset>
                </wp:positionV>
                <wp:extent cx="60325" cy="423545"/>
                <wp:effectExtent l="104775" t="44450" r="34925" b="17780"/>
                <wp:wrapNone/>
                <wp:docPr id="33" name="Прямая со стрелкой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A8E7E81" id="Прямая со стрелкой 33" o:spid="_x0000_s1026" type="#_x0000_t32" style="position:absolute;margin-left:340.9pt;margin-top:180.75pt;width:4.75pt;height:33.3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36064" behindDoc="0" locked="0" layoutInCell="1" allowOverlap="1" wp14:anchorId="676472C1" wp14:editId="1393508D">
                <wp:simplePos x="0" y="0"/>
                <wp:positionH relativeFrom="column">
                  <wp:posOffset>2853055</wp:posOffset>
                </wp:positionH>
                <wp:positionV relativeFrom="paragraph">
                  <wp:posOffset>1209040</wp:posOffset>
                </wp:positionV>
                <wp:extent cx="60325" cy="423545"/>
                <wp:effectExtent l="104775" t="43815" r="34925" b="18415"/>
                <wp:wrapNone/>
                <wp:docPr id="32" name="Прямая со стрелкой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53F424A" id="Прямая со стрелкой 32" o:spid="_x0000_s1026" type="#_x0000_t32" style="position:absolute;margin-left:224.65pt;margin-top:95.2pt;width:4.75pt;height:33.3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37088" behindDoc="0" locked="0" layoutInCell="1" allowOverlap="1" wp14:anchorId="4B7E45E4" wp14:editId="464C1392">
                <wp:simplePos x="0" y="0"/>
                <wp:positionH relativeFrom="column">
                  <wp:posOffset>3649980</wp:posOffset>
                </wp:positionH>
                <wp:positionV relativeFrom="paragraph">
                  <wp:posOffset>361950</wp:posOffset>
                </wp:positionV>
                <wp:extent cx="60325" cy="423545"/>
                <wp:effectExtent l="101600" t="44450" r="38100" b="17780"/>
                <wp:wrapNone/>
                <wp:docPr id="31" name="Прямая со стрелкой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EEFB631" id="Прямая со стрелкой 31" o:spid="_x0000_s1026" type="#_x0000_t32" style="position:absolute;margin-left:287.4pt;margin-top:28.5pt;width:4.75pt;height:33.3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w:drawing>
          <wp:inline distT="0" distB="0" distL="0" distR="0" wp14:anchorId="25723A33" wp14:editId="2A2F7A57">
            <wp:extent cx="4496790" cy="3372592"/>
            <wp:effectExtent l="0" t="0" r="0" b="0"/>
            <wp:docPr id="4" name="Рисунок 4" descr="D:\кандидатская люды\фото для диссера\Изображение 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кандидатская люды\фото для диссера\Изображение 038.jpg"/>
                    <pic:cNvPicPr>
                      <a:picLocks noChangeAspect="1" noChangeArrowheads="1"/>
                    </pic:cNvPicPr>
                  </pic:nvPicPr>
                  <pic:blipFill>
                    <a:blip r:embed="rId31" cstate="print">
                      <a:lum/>
                    </a:blip>
                    <a:srcRect/>
                    <a:stretch>
                      <a:fillRect/>
                    </a:stretch>
                  </pic:blipFill>
                  <pic:spPr bwMode="auto">
                    <a:xfrm>
                      <a:off x="0" y="0"/>
                      <a:ext cx="4509360" cy="3382020"/>
                    </a:xfrm>
                    <a:prstGeom prst="rect">
                      <a:avLst/>
                    </a:prstGeom>
                    <a:noFill/>
                    <a:ln w="9525">
                      <a:noFill/>
                      <a:miter lim="800000"/>
                      <a:headEnd/>
                      <a:tailEnd/>
                    </a:ln>
                  </pic:spPr>
                </pic:pic>
              </a:graphicData>
            </a:graphic>
          </wp:inline>
        </w:drawing>
      </w:r>
    </w:p>
    <w:p w:rsidR="002E3C16" w:rsidRPr="000A32AD" w:rsidRDefault="002E3C16" w:rsidP="002E3C16">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Рис. 3. Нирка хворого ЦД 2 типу середнього ступеня тяжкості. Гіаліноз клубочків. Забарвлення гематоксиліном і еозином х100.</w:t>
      </w:r>
    </w:p>
    <w:p w:rsidR="002E3C16" w:rsidRPr="000A32AD" w:rsidRDefault="002E3C16" w:rsidP="002E3C16">
      <w:pPr>
        <w:rPr>
          <w:color w:val="000000" w:themeColor="text1"/>
          <w:lang w:val="uk-UA"/>
        </w:rPr>
      </w:pPr>
    </w:p>
    <w:p w:rsidR="002E3C16" w:rsidRPr="000A32AD" w:rsidRDefault="002E3C16" w:rsidP="002E3C16">
      <w:pPr>
        <w:spacing w:line="360" w:lineRule="auto"/>
        <w:ind w:firstLine="851"/>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40160" behindDoc="0" locked="0" layoutInCell="1" allowOverlap="1" wp14:anchorId="705B6DFA" wp14:editId="7E97012F">
                <wp:simplePos x="0" y="0"/>
                <wp:positionH relativeFrom="column">
                  <wp:posOffset>2799080</wp:posOffset>
                </wp:positionH>
                <wp:positionV relativeFrom="paragraph">
                  <wp:posOffset>1779270</wp:posOffset>
                </wp:positionV>
                <wp:extent cx="60325" cy="423545"/>
                <wp:effectExtent l="57150" t="38100" r="73025" b="14605"/>
                <wp:wrapNone/>
                <wp:docPr id="29" name="Прямая со стрелкой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1028D06" id="Прямая со стрелкой 29" o:spid="_x0000_s1026" type="#_x0000_t32" style="position:absolute;margin-left:220.4pt;margin-top:140.1pt;width:4.75pt;height:33.3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41184" behindDoc="0" locked="0" layoutInCell="1" allowOverlap="1" wp14:anchorId="094B892F" wp14:editId="31DA7D56">
                <wp:simplePos x="0" y="0"/>
                <wp:positionH relativeFrom="column">
                  <wp:posOffset>3215005</wp:posOffset>
                </wp:positionH>
                <wp:positionV relativeFrom="paragraph">
                  <wp:posOffset>649605</wp:posOffset>
                </wp:positionV>
                <wp:extent cx="60325" cy="423545"/>
                <wp:effectExtent l="104775" t="36830" r="34925" b="15875"/>
                <wp:wrapNone/>
                <wp:docPr id="30" name="Прямая со стрелкой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BF436EE" id="Прямая со стрелкой 30" o:spid="_x0000_s1026" type="#_x0000_t32" style="position:absolute;margin-left:253.15pt;margin-top:51.15pt;width:4.75pt;height:33.3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w:drawing>
          <wp:inline distT="0" distB="0" distL="0" distR="0" wp14:anchorId="7755B6FA" wp14:editId="2E597FB5">
            <wp:extent cx="4108862" cy="3081647"/>
            <wp:effectExtent l="0" t="0" r="6350" b="5080"/>
            <wp:docPr id="5" name="Рисунок 5" descr="D:\кандидатская люды\фото для диссера\Изображение 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кандидатская люды\фото для диссера\Изображение 032.jpg"/>
                    <pic:cNvPicPr>
                      <a:picLocks noChangeAspect="1" noChangeArrowheads="1"/>
                    </pic:cNvPicPr>
                  </pic:nvPicPr>
                  <pic:blipFill>
                    <a:blip r:embed="rId32" cstate="print">
                      <a:lum bright="-10000" contrast="10000"/>
                    </a:blip>
                    <a:srcRect/>
                    <a:stretch>
                      <a:fillRect/>
                    </a:stretch>
                  </pic:blipFill>
                  <pic:spPr bwMode="auto">
                    <a:xfrm>
                      <a:off x="0" y="0"/>
                      <a:ext cx="4109352" cy="3082015"/>
                    </a:xfrm>
                    <a:prstGeom prst="rect">
                      <a:avLst/>
                    </a:prstGeom>
                    <a:noFill/>
                    <a:ln w="9525">
                      <a:noFill/>
                      <a:miter lim="800000"/>
                      <a:headEnd/>
                      <a:tailEnd/>
                    </a:ln>
                  </pic:spPr>
                </pic:pic>
              </a:graphicData>
            </a:graphic>
          </wp:inline>
        </w:drawing>
      </w:r>
    </w:p>
    <w:p w:rsidR="002E3C16" w:rsidRPr="000A32AD" w:rsidRDefault="002E3C16" w:rsidP="002E3C16">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Рис. 4. Нирка хворого ЦД 2 типу середнього ступеня тяжкості. Артерія середнього калібру з потовщеною і розпушеною стінкою. Забарвлення гематоксиліном і еозином х400.</w:t>
      </w:r>
    </w:p>
    <w:p w:rsidR="002E3C16" w:rsidRPr="000A32AD" w:rsidRDefault="002E3C16" w:rsidP="002E3C16">
      <w:pPr>
        <w:spacing w:line="360" w:lineRule="auto"/>
        <w:ind w:firstLine="851"/>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w:lastRenderedPageBreak/>
        <mc:AlternateContent>
          <mc:Choice Requires="wps">
            <w:drawing>
              <wp:anchor distT="0" distB="0" distL="114300" distR="114300" simplePos="0" relativeHeight="251747328" behindDoc="0" locked="0" layoutInCell="1" allowOverlap="1" wp14:anchorId="16C6E205" wp14:editId="66D98CFE">
                <wp:simplePos x="0" y="0"/>
                <wp:positionH relativeFrom="column">
                  <wp:posOffset>2193026</wp:posOffset>
                </wp:positionH>
                <wp:positionV relativeFrom="paragraph">
                  <wp:posOffset>2468319</wp:posOffset>
                </wp:positionV>
                <wp:extent cx="60325" cy="423545"/>
                <wp:effectExtent l="57150" t="38100" r="73025" b="14605"/>
                <wp:wrapNone/>
                <wp:docPr id="27" name="Прямая со стрелкой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7DAE8BF" id="Прямая со стрелкой 27" o:spid="_x0000_s1026" type="#_x0000_t32" style="position:absolute;margin-left:172.7pt;margin-top:194.35pt;width:4.75pt;height:33.3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45280" behindDoc="0" locked="0" layoutInCell="1" allowOverlap="1" wp14:anchorId="5CD03432" wp14:editId="3A6F5541">
                <wp:simplePos x="0" y="0"/>
                <wp:positionH relativeFrom="column">
                  <wp:posOffset>4166870</wp:posOffset>
                </wp:positionH>
                <wp:positionV relativeFrom="paragraph">
                  <wp:posOffset>2528570</wp:posOffset>
                </wp:positionV>
                <wp:extent cx="60325" cy="423545"/>
                <wp:effectExtent l="57150" t="38100" r="73025" b="14605"/>
                <wp:wrapNone/>
                <wp:docPr id="26" name="Прямая со стрелкой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3342E2D" id="Прямая со стрелкой 26" o:spid="_x0000_s1026" type="#_x0000_t32" style="position:absolute;margin-left:328.1pt;margin-top:199.1pt;width:4.75pt;height:33.3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46304" behindDoc="0" locked="0" layoutInCell="1" allowOverlap="1" wp14:anchorId="4AE7CBD0" wp14:editId="3982C3F4">
                <wp:simplePos x="0" y="0"/>
                <wp:positionH relativeFrom="column">
                  <wp:posOffset>5013960</wp:posOffset>
                </wp:positionH>
                <wp:positionV relativeFrom="paragraph">
                  <wp:posOffset>848360</wp:posOffset>
                </wp:positionV>
                <wp:extent cx="60325" cy="423545"/>
                <wp:effectExtent l="57150" t="38100" r="73025" b="14605"/>
                <wp:wrapNone/>
                <wp:docPr id="25" name="Прямая со стрелкой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EB7DE00" id="Прямая со стрелкой 25" o:spid="_x0000_s1026" type="#_x0000_t32" style="position:absolute;margin-left:394.8pt;margin-top:66.8pt;width:4.75pt;height:33.3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42208" behindDoc="0" locked="0" layoutInCell="1" allowOverlap="1" wp14:anchorId="7EB35166" wp14:editId="4046A865">
                <wp:simplePos x="0" y="0"/>
                <wp:positionH relativeFrom="column">
                  <wp:posOffset>4751070</wp:posOffset>
                </wp:positionH>
                <wp:positionV relativeFrom="paragraph">
                  <wp:posOffset>336550</wp:posOffset>
                </wp:positionV>
                <wp:extent cx="60325" cy="423545"/>
                <wp:effectExtent l="57150" t="38100" r="73025" b="14605"/>
                <wp:wrapNone/>
                <wp:docPr id="24" name="Прямая со стрелкой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2892E92" id="Прямая со стрелкой 24" o:spid="_x0000_s1026" type="#_x0000_t32" style="position:absolute;margin-left:374.1pt;margin-top:26.5pt;width:4.75pt;height:33.3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43232" behindDoc="0" locked="0" layoutInCell="1" allowOverlap="1" wp14:anchorId="1643DAED" wp14:editId="44326561">
                <wp:simplePos x="0" y="0"/>
                <wp:positionH relativeFrom="column">
                  <wp:posOffset>3430905</wp:posOffset>
                </wp:positionH>
                <wp:positionV relativeFrom="paragraph">
                  <wp:posOffset>447675</wp:posOffset>
                </wp:positionV>
                <wp:extent cx="60325" cy="423545"/>
                <wp:effectExtent l="57150" t="38100" r="73025" b="14605"/>
                <wp:wrapNone/>
                <wp:docPr id="23" name="Прямая со стрелкой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E56AE8E" id="Прямая со стрелкой 23" o:spid="_x0000_s1026" type="#_x0000_t32" style="position:absolute;margin-left:270.15pt;margin-top:35.25pt;width:4.75pt;height:33.3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48352" behindDoc="0" locked="0" layoutInCell="1" allowOverlap="1" wp14:anchorId="1DA0CE6B" wp14:editId="3D1B981E">
                <wp:simplePos x="0" y="0"/>
                <wp:positionH relativeFrom="column">
                  <wp:posOffset>1555115</wp:posOffset>
                </wp:positionH>
                <wp:positionV relativeFrom="paragraph">
                  <wp:posOffset>843280</wp:posOffset>
                </wp:positionV>
                <wp:extent cx="60325" cy="423545"/>
                <wp:effectExtent l="57150" t="38100" r="73025" b="14605"/>
                <wp:wrapNone/>
                <wp:docPr id="28" name="Прямая со стрелкой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A5A3DD0" id="Прямая со стрелкой 28" o:spid="_x0000_s1026" type="#_x0000_t32" style="position:absolute;margin-left:122.45pt;margin-top:66.4pt;width:4.75pt;height:33.3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44256" behindDoc="0" locked="0" layoutInCell="1" allowOverlap="1" wp14:anchorId="441B0355" wp14:editId="5B5BBEF3">
                <wp:simplePos x="0" y="0"/>
                <wp:positionH relativeFrom="column">
                  <wp:posOffset>1891030</wp:posOffset>
                </wp:positionH>
                <wp:positionV relativeFrom="paragraph">
                  <wp:posOffset>1490980</wp:posOffset>
                </wp:positionV>
                <wp:extent cx="60325" cy="423545"/>
                <wp:effectExtent l="104775" t="41910" r="34925" b="20320"/>
                <wp:wrapNone/>
                <wp:docPr id="22" name="Прямая со стрелкой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46C4C3C" id="Прямая со стрелкой 22" o:spid="_x0000_s1026" type="#_x0000_t32" style="position:absolute;margin-left:148.9pt;margin-top:117.4pt;width:4.75pt;height:33.3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w:drawing>
          <wp:inline distT="0" distB="0" distL="0" distR="0" wp14:anchorId="079BED33" wp14:editId="03E76ED6">
            <wp:extent cx="3657599" cy="2743200"/>
            <wp:effectExtent l="0" t="0" r="635" b="0"/>
            <wp:docPr id="6" name="Рисунок 6" descr="D:\кандидатская люды\фото для диссера\Изображение 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кандидатская люды\фото для диссера\Изображение 028.jpg"/>
                    <pic:cNvPicPr>
                      <a:picLocks noChangeAspect="1" noChangeArrowheads="1"/>
                    </pic:cNvPicPr>
                  </pic:nvPicPr>
                  <pic:blipFill>
                    <a:blip r:embed="rId33" cstate="print">
                      <a:lum contrast="10000"/>
                    </a:blip>
                    <a:srcRect/>
                    <a:stretch>
                      <a:fillRect/>
                    </a:stretch>
                  </pic:blipFill>
                  <pic:spPr bwMode="auto">
                    <a:xfrm>
                      <a:off x="0" y="0"/>
                      <a:ext cx="3665640" cy="2749231"/>
                    </a:xfrm>
                    <a:prstGeom prst="rect">
                      <a:avLst/>
                    </a:prstGeom>
                    <a:noFill/>
                    <a:ln w="9525">
                      <a:noFill/>
                      <a:miter lim="800000"/>
                      <a:headEnd/>
                      <a:tailEnd/>
                    </a:ln>
                  </pic:spPr>
                </pic:pic>
              </a:graphicData>
            </a:graphic>
          </wp:inline>
        </w:drawing>
      </w:r>
    </w:p>
    <w:p w:rsidR="002E3C16" w:rsidRPr="000A32AD" w:rsidRDefault="002E3C16" w:rsidP="002E3C16">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Рис. 5. Нирка хворого ЦД 2 типу легкого ступеня тяжкості на фоні дисплазії сполучної тканини. Велика кількість склерозованих і гіалінізованих клубочків. Забарвлення гематоксиліном і еозином х100.</w:t>
      </w:r>
    </w:p>
    <w:p w:rsidR="002E3C16" w:rsidRPr="000A32AD" w:rsidRDefault="002E3C16" w:rsidP="002E3C16">
      <w:pPr>
        <w:rPr>
          <w:color w:val="000000" w:themeColor="text1"/>
          <w:lang w:val="uk-UA"/>
        </w:rPr>
      </w:pPr>
    </w:p>
    <w:p w:rsidR="002E3C16" w:rsidRPr="000A32AD" w:rsidRDefault="002E3C16" w:rsidP="002E3C16">
      <w:pPr>
        <w:spacing w:line="360" w:lineRule="auto"/>
        <w:ind w:firstLine="851"/>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50400" behindDoc="0" locked="0" layoutInCell="1" allowOverlap="1" wp14:anchorId="4FC4A5EA" wp14:editId="461DF061">
                <wp:simplePos x="0" y="0"/>
                <wp:positionH relativeFrom="column">
                  <wp:posOffset>4815205</wp:posOffset>
                </wp:positionH>
                <wp:positionV relativeFrom="paragraph">
                  <wp:posOffset>2398395</wp:posOffset>
                </wp:positionV>
                <wp:extent cx="60325" cy="423545"/>
                <wp:effectExtent l="57150" t="38100" r="73025" b="14605"/>
                <wp:wrapNone/>
                <wp:docPr id="18" name="Прямая со стрелкой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73DD740" id="Прямая со стрелкой 18" o:spid="_x0000_s1026" type="#_x0000_t32" style="position:absolute;margin-left:379.15pt;margin-top:188.85pt;width:4.75pt;height:33.3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51424" behindDoc="0" locked="0" layoutInCell="1" allowOverlap="1" wp14:anchorId="39D9B54C" wp14:editId="700CE665">
                <wp:simplePos x="0" y="0"/>
                <wp:positionH relativeFrom="column">
                  <wp:posOffset>2741295</wp:posOffset>
                </wp:positionH>
                <wp:positionV relativeFrom="paragraph">
                  <wp:posOffset>969645</wp:posOffset>
                </wp:positionV>
                <wp:extent cx="60325" cy="423545"/>
                <wp:effectExtent l="57150" t="38100" r="73025" b="14605"/>
                <wp:wrapNone/>
                <wp:docPr id="21" name="Прямая со стрелкой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882F7E5" id="Прямая со стрелкой 21" o:spid="_x0000_s1026" type="#_x0000_t32" style="position:absolute;margin-left:215.85pt;margin-top:76.35pt;width:4.75pt;height:33.3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52448" behindDoc="0" locked="0" layoutInCell="1" allowOverlap="1" wp14:anchorId="38657557" wp14:editId="27535AA1">
                <wp:simplePos x="0" y="0"/>
                <wp:positionH relativeFrom="column">
                  <wp:posOffset>3791585</wp:posOffset>
                </wp:positionH>
                <wp:positionV relativeFrom="paragraph">
                  <wp:posOffset>1394460</wp:posOffset>
                </wp:positionV>
                <wp:extent cx="60325" cy="423545"/>
                <wp:effectExtent l="57150" t="38100" r="73025" b="14605"/>
                <wp:wrapNone/>
                <wp:docPr id="20" name="Прямая со стрелкой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3AA6A65" id="Прямая со стрелкой 20" o:spid="_x0000_s1026" type="#_x0000_t32" style="position:absolute;margin-left:298.55pt;margin-top:109.8pt;width:4.75pt;height:33.3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49376" behindDoc="0" locked="0" layoutInCell="1" allowOverlap="1" wp14:anchorId="047C64B5" wp14:editId="33303744">
                <wp:simplePos x="0" y="0"/>
                <wp:positionH relativeFrom="column">
                  <wp:posOffset>5008880</wp:posOffset>
                </wp:positionH>
                <wp:positionV relativeFrom="paragraph">
                  <wp:posOffset>662305</wp:posOffset>
                </wp:positionV>
                <wp:extent cx="60325" cy="423545"/>
                <wp:effectExtent l="57150" t="38100" r="73025" b="14605"/>
                <wp:wrapNone/>
                <wp:docPr id="19" name="Прямая со стрелкой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007C953" id="Прямая со стрелкой 19" o:spid="_x0000_s1026" type="#_x0000_t32" style="position:absolute;margin-left:394.4pt;margin-top:52.15pt;width:4.75pt;height:33.3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w:drawing>
          <wp:inline distT="0" distB="0" distL="0" distR="0" wp14:anchorId="2E7B6DCD" wp14:editId="50302325">
            <wp:extent cx="4053444" cy="3040083"/>
            <wp:effectExtent l="0" t="0" r="4445" b="8255"/>
            <wp:docPr id="7" name="Рисунок 7" descr="D:\кандидатская люды\фото для диссера\Изображение 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кандидатская люды\фото для диссера\Изображение 047.jpg"/>
                    <pic:cNvPicPr>
                      <a:picLocks noChangeAspect="1" noChangeArrowheads="1"/>
                    </pic:cNvPicPr>
                  </pic:nvPicPr>
                  <pic:blipFill>
                    <a:blip r:embed="rId34" cstate="print">
                      <a:lum contrast="10000"/>
                    </a:blip>
                    <a:srcRect/>
                    <a:stretch>
                      <a:fillRect/>
                    </a:stretch>
                  </pic:blipFill>
                  <pic:spPr bwMode="auto">
                    <a:xfrm>
                      <a:off x="0" y="0"/>
                      <a:ext cx="4055839" cy="3041879"/>
                    </a:xfrm>
                    <a:prstGeom prst="rect">
                      <a:avLst/>
                    </a:prstGeom>
                    <a:noFill/>
                    <a:ln w="9525">
                      <a:noFill/>
                      <a:miter lim="800000"/>
                      <a:headEnd/>
                      <a:tailEnd/>
                    </a:ln>
                  </pic:spPr>
                </pic:pic>
              </a:graphicData>
            </a:graphic>
          </wp:inline>
        </w:drawing>
      </w:r>
    </w:p>
    <w:p w:rsidR="002E3C16" w:rsidRPr="000A32AD" w:rsidRDefault="002E3C16" w:rsidP="002E3C16">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Рис. 6. Нирка хворого ЦД 2 типу легкого ступеня тяжкості на фоні дисплазії сполучної тканини. Виражена проліферація міжканальцевої строми. Склероз і нерівномірне потовщення стінки артерій. Забарвлення за ван Гізон х100.</w:t>
      </w:r>
    </w:p>
    <w:p w:rsidR="002E3C16" w:rsidRPr="000A32AD" w:rsidRDefault="002E3C16" w:rsidP="002E3C16">
      <w:pPr>
        <w:spacing w:line="360" w:lineRule="auto"/>
        <w:ind w:firstLine="851"/>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w:lastRenderedPageBreak/>
        <mc:AlternateContent>
          <mc:Choice Requires="wps">
            <w:drawing>
              <wp:anchor distT="0" distB="0" distL="114300" distR="114300" simplePos="0" relativeHeight="251754496" behindDoc="0" locked="0" layoutInCell="1" allowOverlap="1" wp14:anchorId="66985143" wp14:editId="7C727238">
                <wp:simplePos x="0" y="0"/>
                <wp:positionH relativeFrom="column">
                  <wp:posOffset>3720465</wp:posOffset>
                </wp:positionH>
                <wp:positionV relativeFrom="paragraph">
                  <wp:posOffset>307975</wp:posOffset>
                </wp:positionV>
                <wp:extent cx="60325" cy="423545"/>
                <wp:effectExtent l="57150" t="38100" r="73025" b="14605"/>
                <wp:wrapNone/>
                <wp:docPr id="17" name="Прямая со стрелкой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87F7B9B" id="Прямая со стрелкой 17" o:spid="_x0000_s1026" type="#_x0000_t32" style="position:absolute;margin-left:292.95pt;margin-top:24.25pt;width:4.75pt;height:33.3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53472" behindDoc="0" locked="0" layoutInCell="1" allowOverlap="1" wp14:anchorId="6023A9D9" wp14:editId="5337CACA">
                <wp:simplePos x="0" y="0"/>
                <wp:positionH relativeFrom="column">
                  <wp:posOffset>3637709</wp:posOffset>
                </wp:positionH>
                <wp:positionV relativeFrom="paragraph">
                  <wp:posOffset>1538028</wp:posOffset>
                </wp:positionV>
                <wp:extent cx="60325" cy="423545"/>
                <wp:effectExtent l="57150" t="38100" r="73025" b="14605"/>
                <wp:wrapNone/>
                <wp:docPr id="16" name="Прямая со стрелкой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B443C75" id="Прямая со стрелкой 16" o:spid="_x0000_s1026" type="#_x0000_t32" style="position:absolute;margin-left:286.45pt;margin-top:121.1pt;width:4.75pt;height:33.3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w:drawing>
          <wp:inline distT="0" distB="0" distL="0" distR="0" wp14:anchorId="1D887689" wp14:editId="1738313A">
            <wp:extent cx="4227615" cy="3170712"/>
            <wp:effectExtent l="0" t="0" r="1905" b="0"/>
            <wp:docPr id="9" name="Рисунок 8" descr="D:\кандидатская люды\фото для диссера\Изображение 0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кандидатская люды\фото для диссера\Изображение 067.jpg"/>
                    <pic:cNvPicPr>
                      <a:picLocks noChangeAspect="1" noChangeArrowheads="1"/>
                    </pic:cNvPicPr>
                  </pic:nvPicPr>
                  <pic:blipFill>
                    <a:blip r:embed="rId35" cstate="print">
                      <a:lum bright="-10000" contrast="10000"/>
                    </a:blip>
                    <a:srcRect/>
                    <a:stretch>
                      <a:fillRect/>
                    </a:stretch>
                  </pic:blipFill>
                  <pic:spPr bwMode="auto">
                    <a:xfrm>
                      <a:off x="0" y="0"/>
                      <a:ext cx="4230164" cy="3172624"/>
                    </a:xfrm>
                    <a:prstGeom prst="rect">
                      <a:avLst/>
                    </a:prstGeom>
                    <a:noFill/>
                    <a:ln w="9525">
                      <a:noFill/>
                      <a:miter lim="800000"/>
                      <a:headEnd/>
                      <a:tailEnd/>
                    </a:ln>
                  </pic:spPr>
                </pic:pic>
              </a:graphicData>
            </a:graphic>
          </wp:inline>
        </w:drawing>
      </w:r>
    </w:p>
    <w:p w:rsidR="002E3C16" w:rsidRPr="000A32AD" w:rsidRDefault="002E3C16" w:rsidP="002E3C16">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Рис. 7. Нирка хворого ЦД 2 типу середнього ступеня тяжкості на фоні дисплазії сполучної тканини. Дифузне потовщення стінок судин з гіалінозом. Забарвлення за ван Гізон х100.</w:t>
      </w:r>
    </w:p>
    <w:p w:rsidR="002E3C16" w:rsidRPr="000A32AD" w:rsidRDefault="002E3C16" w:rsidP="002E3C16">
      <w:pPr>
        <w:rPr>
          <w:color w:val="000000" w:themeColor="text1"/>
          <w:lang w:val="uk-UA"/>
        </w:rPr>
      </w:pPr>
    </w:p>
    <w:p w:rsidR="002E3C16" w:rsidRPr="000A32AD" w:rsidRDefault="002E3C16" w:rsidP="002E3C16">
      <w:pPr>
        <w:spacing w:line="360" w:lineRule="auto"/>
        <w:ind w:firstLine="851"/>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56544" behindDoc="0" locked="0" layoutInCell="1" allowOverlap="1" wp14:anchorId="307BEF36" wp14:editId="1D94BF24">
                <wp:simplePos x="0" y="0"/>
                <wp:positionH relativeFrom="column">
                  <wp:posOffset>3218180</wp:posOffset>
                </wp:positionH>
                <wp:positionV relativeFrom="paragraph">
                  <wp:posOffset>762000</wp:posOffset>
                </wp:positionV>
                <wp:extent cx="60325" cy="423545"/>
                <wp:effectExtent l="57150" t="38100" r="73025" b="14605"/>
                <wp:wrapNone/>
                <wp:docPr id="15" name="Прямая со стрелкой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F9A8D34" id="Прямая со стрелкой 15" o:spid="_x0000_s1026" type="#_x0000_t32" style="position:absolute;margin-left:253.4pt;margin-top:60pt;width:4.75pt;height:33.3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55520" behindDoc="0" locked="0" layoutInCell="1" allowOverlap="1" wp14:anchorId="2B70CF80" wp14:editId="21D53B7E">
                <wp:simplePos x="0" y="0"/>
                <wp:positionH relativeFrom="column">
                  <wp:posOffset>2930995</wp:posOffset>
                </wp:positionH>
                <wp:positionV relativeFrom="paragraph">
                  <wp:posOffset>2544305</wp:posOffset>
                </wp:positionV>
                <wp:extent cx="60325" cy="423545"/>
                <wp:effectExtent l="57150" t="38100" r="73025" b="14605"/>
                <wp:wrapNone/>
                <wp:docPr id="14" name="Прямая со стрелкой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4278049" id="Прямая со стрелкой 14" o:spid="_x0000_s1026" type="#_x0000_t32" style="position:absolute;margin-left:230.8pt;margin-top:200.35pt;width:4.75pt;height:33.3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w:drawing>
          <wp:inline distT="0" distB="0" distL="0" distR="0" wp14:anchorId="288532F7" wp14:editId="1900FCB5">
            <wp:extent cx="3953152" cy="2964865"/>
            <wp:effectExtent l="0" t="0" r="9525" b="6985"/>
            <wp:docPr id="10" name="Рисунок 9" descr="D:\кандидатская люды\фото для диссера\Изображение 0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кандидатская люды\фото для диссера\Изображение 045.jpg"/>
                    <pic:cNvPicPr>
                      <a:picLocks noChangeAspect="1" noChangeArrowheads="1"/>
                    </pic:cNvPicPr>
                  </pic:nvPicPr>
                  <pic:blipFill>
                    <a:blip r:embed="rId36" cstate="print">
                      <a:lum contrast="20000"/>
                    </a:blip>
                    <a:srcRect/>
                    <a:stretch>
                      <a:fillRect/>
                    </a:stretch>
                  </pic:blipFill>
                  <pic:spPr bwMode="auto">
                    <a:xfrm>
                      <a:off x="0" y="0"/>
                      <a:ext cx="3962612" cy="2971960"/>
                    </a:xfrm>
                    <a:prstGeom prst="rect">
                      <a:avLst/>
                    </a:prstGeom>
                    <a:noFill/>
                    <a:ln w="9525">
                      <a:noFill/>
                      <a:miter lim="800000"/>
                      <a:headEnd/>
                      <a:tailEnd/>
                    </a:ln>
                  </pic:spPr>
                </pic:pic>
              </a:graphicData>
            </a:graphic>
          </wp:inline>
        </w:drawing>
      </w:r>
    </w:p>
    <w:p w:rsidR="002E3C16" w:rsidRPr="000A32AD" w:rsidRDefault="002E3C16" w:rsidP="002E3C16">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 xml:space="preserve">Рис. 8. Нирка хворого ЦД 2 типу середнього ступеня тяжкості на фоні дисплазії сполучної тканини. Виражене розпушування стінки артерії. Забарвлення гематоксиліном і еозином х400. </w:t>
      </w:r>
    </w:p>
    <w:p w:rsidR="002E3C16" w:rsidRPr="000A32AD" w:rsidRDefault="002E3C16" w:rsidP="002E3C16">
      <w:pPr>
        <w:spacing w:line="360" w:lineRule="auto"/>
        <w:ind w:firstLine="851"/>
        <w:jc w:val="both"/>
        <w:rPr>
          <w:rFonts w:ascii="Times New Roman" w:hAnsi="Times New Roman" w:cs="Times New Roman"/>
          <w:color w:val="000000" w:themeColor="text1"/>
          <w:sz w:val="28"/>
          <w:szCs w:val="28"/>
          <w:lang w:val="uk-UA"/>
        </w:rPr>
      </w:pPr>
    </w:p>
    <w:p w:rsidR="002E3C16" w:rsidRPr="000A32AD" w:rsidRDefault="002E3C16" w:rsidP="002E3C16">
      <w:pPr>
        <w:spacing w:line="360" w:lineRule="auto"/>
        <w:ind w:firstLine="851"/>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57568" behindDoc="0" locked="0" layoutInCell="1" allowOverlap="1" wp14:anchorId="032C8F1C" wp14:editId="5F7AE888">
                <wp:simplePos x="0" y="0"/>
                <wp:positionH relativeFrom="column">
                  <wp:posOffset>1748155</wp:posOffset>
                </wp:positionH>
                <wp:positionV relativeFrom="paragraph">
                  <wp:posOffset>2226945</wp:posOffset>
                </wp:positionV>
                <wp:extent cx="60325" cy="423545"/>
                <wp:effectExtent l="104775" t="42545" r="34925" b="19685"/>
                <wp:wrapNone/>
                <wp:docPr id="12" name="Прямая со стрелкой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67629B1" id="Прямая со стрелкой 12" o:spid="_x0000_s1026" type="#_x0000_t32" style="position:absolute;margin-left:137.65pt;margin-top:175.35pt;width:4.75pt;height:33.3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58592" behindDoc="0" locked="0" layoutInCell="1" allowOverlap="1" wp14:anchorId="3364FD09" wp14:editId="444C0A20">
                <wp:simplePos x="0" y="0"/>
                <wp:positionH relativeFrom="column">
                  <wp:posOffset>4443730</wp:posOffset>
                </wp:positionH>
                <wp:positionV relativeFrom="paragraph">
                  <wp:posOffset>2588895</wp:posOffset>
                </wp:positionV>
                <wp:extent cx="60325" cy="423545"/>
                <wp:effectExtent l="104775" t="42545" r="34925" b="19685"/>
                <wp:wrapNone/>
                <wp:docPr id="8" name="Прямая со стрелкой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B5D3452" id="Прямая со стрелкой 8" o:spid="_x0000_s1026" type="#_x0000_t32" style="position:absolute;margin-left:349.9pt;margin-top:203.85pt;width:4.75pt;height:33.3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w:drawing>
          <wp:inline distT="0" distB="0" distL="0" distR="0" wp14:anchorId="49380519" wp14:editId="0528777D">
            <wp:extent cx="4432814" cy="3324610"/>
            <wp:effectExtent l="0" t="0" r="6350" b="9525"/>
            <wp:docPr id="13" name="Рисунок 11" descr="D:\кандидатская люды\фото для диссера\Изображение 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кандидатская люды\фото для диссера\Изображение 024.jpg"/>
                    <pic:cNvPicPr>
                      <a:picLocks noChangeAspect="1" noChangeArrowheads="1"/>
                    </pic:cNvPicPr>
                  </pic:nvPicPr>
                  <pic:blipFill>
                    <a:blip r:embed="rId37" cstate="print"/>
                    <a:srcRect/>
                    <a:stretch>
                      <a:fillRect/>
                    </a:stretch>
                  </pic:blipFill>
                  <pic:spPr bwMode="auto">
                    <a:xfrm>
                      <a:off x="0" y="0"/>
                      <a:ext cx="4445224" cy="3333918"/>
                    </a:xfrm>
                    <a:prstGeom prst="rect">
                      <a:avLst/>
                    </a:prstGeom>
                    <a:noFill/>
                    <a:ln w="9525">
                      <a:noFill/>
                      <a:miter lim="800000"/>
                      <a:headEnd/>
                      <a:tailEnd/>
                    </a:ln>
                  </pic:spPr>
                </pic:pic>
              </a:graphicData>
            </a:graphic>
          </wp:inline>
        </w:drawing>
      </w:r>
    </w:p>
    <w:p w:rsidR="002E3C16" w:rsidRPr="000A32AD" w:rsidRDefault="002E3C16" w:rsidP="002E3C16">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Рис. 9. Нирка хворого ЦД 2 типу середнього ступеня тяжкості на фоні дисплазії сполучної тканини. Різна міра гіалінозу клубочків. Забарвлення гематоксиліном і еозином х 400.</w:t>
      </w:r>
    </w:p>
    <w:p w:rsidR="002E3C16" w:rsidRPr="000A32AD" w:rsidRDefault="002E3C16" w:rsidP="002E3C16">
      <w:pPr>
        <w:spacing w:line="360" w:lineRule="auto"/>
        <w:ind w:firstLine="851"/>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59616" behindDoc="0" locked="0" layoutInCell="1" allowOverlap="1" wp14:anchorId="6C44A28D" wp14:editId="201CFC40">
                <wp:simplePos x="0" y="0"/>
                <wp:positionH relativeFrom="column">
                  <wp:posOffset>3746955</wp:posOffset>
                </wp:positionH>
                <wp:positionV relativeFrom="paragraph">
                  <wp:posOffset>2021334</wp:posOffset>
                </wp:positionV>
                <wp:extent cx="60325" cy="423545"/>
                <wp:effectExtent l="98425" t="36195" r="41275" b="16510"/>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07F05F5" id="Прямая со стрелкой 2" o:spid="_x0000_s1026" type="#_x0000_t32" style="position:absolute;margin-left:295.05pt;margin-top:159.15pt;width:4.75pt;height:33.3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w:drawing>
          <wp:inline distT="0" distB="0" distL="0" distR="0" wp14:anchorId="668EFB40" wp14:editId="1649BEF6">
            <wp:extent cx="3863438" cy="2897579"/>
            <wp:effectExtent l="0" t="0" r="3810" b="0"/>
            <wp:docPr id="11" name="Рисунок 10" descr="D:\кандидатская люды\фото для диссера\Изображение 0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кандидатская люды\фото для диссера\Изображение 054.jpg"/>
                    <pic:cNvPicPr>
                      <a:picLocks noChangeAspect="1" noChangeArrowheads="1"/>
                    </pic:cNvPicPr>
                  </pic:nvPicPr>
                  <pic:blipFill>
                    <a:blip r:embed="rId38" cstate="print">
                      <a:lum contrast="20000"/>
                    </a:blip>
                    <a:srcRect/>
                    <a:stretch>
                      <a:fillRect/>
                    </a:stretch>
                  </pic:blipFill>
                  <pic:spPr bwMode="auto">
                    <a:xfrm>
                      <a:off x="0" y="0"/>
                      <a:ext cx="3873022" cy="2904767"/>
                    </a:xfrm>
                    <a:prstGeom prst="rect">
                      <a:avLst/>
                    </a:prstGeom>
                    <a:noFill/>
                    <a:ln w="9525">
                      <a:noFill/>
                      <a:miter lim="800000"/>
                      <a:headEnd/>
                      <a:tailEnd/>
                    </a:ln>
                  </pic:spPr>
                </pic:pic>
              </a:graphicData>
            </a:graphic>
          </wp:inline>
        </w:drawing>
      </w:r>
    </w:p>
    <w:p w:rsidR="002E3C16" w:rsidRPr="000A32AD" w:rsidRDefault="002E3C16" w:rsidP="002E3C16">
      <w:pPr>
        <w:spacing w:line="360" w:lineRule="auto"/>
        <w:ind w:firstLine="851"/>
        <w:jc w:val="both"/>
        <w:rPr>
          <w:rFonts w:ascii="Times New Roman" w:hAnsi="Times New Roman" w:cs="Times New Roman"/>
          <w:color w:val="000000" w:themeColor="text1"/>
          <w:sz w:val="28"/>
          <w:szCs w:val="28"/>
          <w:lang w:val="uk-UA"/>
        </w:rPr>
      </w:pPr>
      <w:r w:rsidRPr="000A32AD">
        <w:rPr>
          <w:rFonts w:ascii="Times New Roman" w:hAnsi="Times New Roman" w:cs="Times New Roman"/>
          <w:color w:val="000000" w:themeColor="text1"/>
          <w:sz w:val="28"/>
          <w:szCs w:val="28"/>
          <w:lang w:val="uk-UA"/>
        </w:rPr>
        <w:t>Рис. 10. Нирка хворого ЦД 2 типу середнього ступеня тяжкості на фоні дисплазії сполучної тканини. Потовщення і розпушування капсули Шумлянського-Боумена. Забарвлення за ван Гізон х400.</w:t>
      </w:r>
    </w:p>
    <w:p w:rsidR="002E3C16" w:rsidRPr="000A32AD" w:rsidRDefault="002E3C16" w:rsidP="002E3C16">
      <w:pPr>
        <w:rPr>
          <w:color w:val="000000" w:themeColor="text1"/>
          <w:lang w:val="uk-UA"/>
        </w:rPr>
      </w:pPr>
    </w:p>
    <w:p w:rsidR="002E3C16" w:rsidRPr="000A32AD" w:rsidRDefault="002E3C16" w:rsidP="002E3C16">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61664" behindDoc="0" locked="0" layoutInCell="1" allowOverlap="1" wp14:anchorId="406E9A21" wp14:editId="6E1BB49C">
                <wp:simplePos x="0" y="0"/>
                <wp:positionH relativeFrom="column">
                  <wp:posOffset>4270716</wp:posOffset>
                </wp:positionH>
                <wp:positionV relativeFrom="paragraph">
                  <wp:posOffset>2357054</wp:posOffset>
                </wp:positionV>
                <wp:extent cx="60325" cy="423545"/>
                <wp:effectExtent l="57150" t="38100" r="73025" b="14605"/>
                <wp:wrapNone/>
                <wp:docPr id="94" name="Прямая со стрелкой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28D956A" id="Прямая со стрелкой 94" o:spid="_x0000_s1026" type="#_x0000_t32" style="position:absolute;margin-left:336.3pt;margin-top:185.6pt;width:4.75pt;height:33.3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60640" behindDoc="0" locked="0" layoutInCell="1" allowOverlap="1" wp14:anchorId="0E193BDB" wp14:editId="7919E7AB">
                <wp:simplePos x="0" y="0"/>
                <wp:positionH relativeFrom="column">
                  <wp:posOffset>1441450</wp:posOffset>
                </wp:positionH>
                <wp:positionV relativeFrom="paragraph">
                  <wp:posOffset>571500</wp:posOffset>
                </wp:positionV>
                <wp:extent cx="60325" cy="423545"/>
                <wp:effectExtent l="57150" t="38100" r="73025" b="14605"/>
                <wp:wrapNone/>
                <wp:docPr id="93" name="Прямая со стрелкой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29F7BB2" id="Прямая со стрелкой 93" o:spid="_x0000_s1026" type="#_x0000_t32" style="position:absolute;margin-left:113.5pt;margin-top:45pt;width:4.75pt;height:33.3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w:drawing>
          <wp:inline distT="0" distB="0" distL="0" distR="0" wp14:anchorId="40B48D0E" wp14:editId="69943643">
            <wp:extent cx="4408227" cy="3295186"/>
            <wp:effectExtent l="0" t="0" r="0" b="635"/>
            <wp:docPr id="84" name="Рисунок 84" descr="Описание: D:\люда\иммунка\8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Описание: D:\люда\иммунка\8 200.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422524" cy="3305873"/>
                    </a:xfrm>
                    <a:prstGeom prst="rect">
                      <a:avLst/>
                    </a:prstGeom>
                    <a:noFill/>
                    <a:ln>
                      <a:noFill/>
                    </a:ln>
                  </pic:spPr>
                </pic:pic>
              </a:graphicData>
            </a:graphic>
          </wp:inline>
        </w:drawing>
      </w:r>
    </w:p>
    <w:p w:rsidR="002E3C16" w:rsidRPr="000A32AD" w:rsidRDefault="002E3C16" w:rsidP="002E3C16">
      <w:pPr>
        <w:pStyle w:val="a9"/>
        <w:spacing w:after="0" w:line="240" w:lineRule="auto"/>
        <w:ind w:right="20" w:firstLine="851"/>
        <w:jc w:val="both"/>
        <w:rPr>
          <w:rFonts w:ascii="Times New Roman" w:hAnsi="Times New Roman" w:cs="Times New Roman"/>
          <w:color w:val="000000" w:themeColor="text1"/>
          <w:sz w:val="28"/>
          <w:szCs w:val="28"/>
        </w:rPr>
      </w:pPr>
      <w:r w:rsidRPr="000A32AD">
        <w:rPr>
          <w:rFonts w:ascii="Times New Roman" w:hAnsi="Times New Roman" w:cs="Times New Roman"/>
          <w:color w:val="000000" w:themeColor="text1"/>
          <w:sz w:val="28"/>
          <w:szCs w:val="28"/>
        </w:rPr>
        <w:t xml:space="preserve">Рис. 11. Нирка хворого ЦД 2 типу легкого ступеня тяжкості. Слабка експресія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rPr>
        <w:t xml:space="preserve"> типу</w:t>
      </w:r>
      <w:r w:rsidRPr="000A32AD">
        <w:rPr>
          <w:rFonts w:ascii="Times New Roman" w:hAnsi="Times New Roman" w:cs="Times New Roman"/>
          <w:color w:val="000000" w:themeColor="text1"/>
          <w:sz w:val="28"/>
          <w:szCs w:val="28"/>
          <w:lang w:val="ru-RU"/>
        </w:rPr>
        <w:t xml:space="preserve"> (</w:t>
      </w:r>
      <w:r w:rsidRPr="000A32AD">
        <w:rPr>
          <w:rFonts w:ascii="Times New Roman" w:hAnsi="Times New Roman" w:cs="Times New Roman"/>
          <w:color w:val="000000" w:themeColor="text1"/>
          <w:sz w:val="28"/>
          <w:szCs w:val="28"/>
        </w:rPr>
        <w:t>+</w:t>
      </w:r>
      <w:r w:rsidRPr="000A32AD">
        <w:rPr>
          <w:rFonts w:ascii="Times New Roman" w:hAnsi="Times New Roman" w:cs="Times New Roman"/>
          <w:color w:val="000000" w:themeColor="text1"/>
          <w:sz w:val="28"/>
          <w:szCs w:val="28"/>
          <w:lang w:val="ru-RU"/>
        </w:rPr>
        <w:t>)</w:t>
      </w:r>
      <w:r w:rsidRPr="000A32AD">
        <w:rPr>
          <w:rFonts w:ascii="Times New Roman" w:hAnsi="Times New Roman" w:cs="Times New Roman"/>
          <w:color w:val="000000" w:themeColor="text1"/>
          <w:sz w:val="28"/>
          <w:szCs w:val="28"/>
        </w:rPr>
        <w:t xml:space="preserve"> в клубочках. Імуногістохімічний метод з використанням МКА до </w:t>
      </w:r>
      <w:r w:rsidRPr="000A32AD">
        <w:rPr>
          <w:rFonts w:ascii="Times New Roman" w:hAnsi="Times New Roman" w:cs="Times New Roman"/>
          <w:color w:val="000000" w:themeColor="text1"/>
          <w:sz w:val="28"/>
          <w:szCs w:val="28"/>
          <w:lang w:val="en-US"/>
        </w:rPr>
        <w:t>collagen</w:t>
      </w:r>
      <w:r w:rsidRPr="000A32AD">
        <w:rPr>
          <w:rFonts w:ascii="Times New Roman" w:hAnsi="Times New Roman" w:cs="Times New Roman"/>
          <w:color w:val="000000" w:themeColor="text1"/>
          <w:sz w:val="28"/>
          <w:szCs w:val="28"/>
        </w:rPr>
        <w:t xml:space="preserve">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rPr>
        <w:t>, х200.</w:t>
      </w:r>
    </w:p>
    <w:p w:rsidR="002E3C16" w:rsidRPr="000A32AD" w:rsidRDefault="002E3C16" w:rsidP="002E3C16">
      <w:pPr>
        <w:rPr>
          <w:color w:val="000000" w:themeColor="text1"/>
          <w:lang w:val="uk-UA"/>
        </w:rPr>
      </w:pPr>
    </w:p>
    <w:p w:rsidR="002E3C16" w:rsidRPr="000A32AD" w:rsidRDefault="002E3C16" w:rsidP="002E3C16">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63712" behindDoc="0" locked="0" layoutInCell="1" allowOverlap="1" wp14:anchorId="7158224B" wp14:editId="5D2889E3">
                <wp:simplePos x="0" y="0"/>
                <wp:positionH relativeFrom="column">
                  <wp:posOffset>3799205</wp:posOffset>
                </wp:positionH>
                <wp:positionV relativeFrom="paragraph">
                  <wp:posOffset>962025</wp:posOffset>
                </wp:positionV>
                <wp:extent cx="60325" cy="423545"/>
                <wp:effectExtent l="57150" t="38100" r="73025" b="14605"/>
                <wp:wrapNone/>
                <wp:docPr id="92" name="Прямая со стрелкой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0212768" id="Прямая со стрелкой 92" o:spid="_x0000_s1026" type="#_x0000_t32" style="position:absolute;margin-left:299.15pt;margin-top:75.75pt;width:4.75pt;height:33.3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62688" behindDoc="0" locked="0" layoutInCell="1" allowOverlap="1" wp14:anchorId="38877EF5" wp14:editId="411E5425">
                <wp:simplePos x="0" y="0"/>
                <wp:positionH relativeFrom="column">
                  <wp:posOffset>2150110</wp:posOffset>
                </wp:positionH>
                <wp:positionV relativeFrom="paragraph">
                  <wp:posOffset>1105535</wp:posOffset>
                </wp:positionV>
                <wp:extent cx="60325" cy="423545"/>
                <wp:effectExtent l="57150" t="38100" r="73025" b="14605"/>
                <wp:wrapNone/>
                <wp:docPr id="91" name="Прямая со стрелкой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EE720DE" id="Прямая со стрелкой 91" o:spid="_x0000_s1026" type="#_x0000_t32" style="position:absolute;margin-left:169.3pt;margin-top:87.05pt;width:4.75pt;height:33.3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w:drawing>
          <wp:inline distT="0" distB="0" distL="0" distR="0" wp14:anchorId="5E055067" wp14:editId="0CEA6686">
            <wp:extent cx="4334400" cy="3240000"/>
            <wp:effectExtent l="0" t="0" r="9525" b="0"/>
            <wp:docPr id="83" name="Рисунок 83" descr="Описание: D:\люда\иммунка\2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D:\люда\иммунка\2 200.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334400" cy="3240000"/>
                    </a:xfrm>
                    <a:prstGeom prst="rect">
                      <a:avLst/>
                    </a:prstGeom>
                    <a:noFill/>
                    <a:ln>
                      <a:noFill/>
                    </a:ln>
                  </pic:spPr>
                </pic:pic>
              </a:graphicData>
            </a:graphic>
          </wp:inline>
        </w:drawing>
      </w:r>
    </w:p>
    <w:p w:rsidR="002E3C16" w:rsidRPr="000A32AD" w:rsidRDefault="002E3C16" w:rsidP="002E3C16">
      <w:pPr>
        <w:pStyle w:val="a9"/>
        <w:spacing w:after="0"/>
        <w:ind w:right="20" w:firstLine="851"/>
        <w:jc w:val="both"/>
        <w:rPr>
          <w:rFonts w:ascii="Times New Roman" w:hAnsi="Times New Roman" w:cs="Times New Roman"/>
          <w:color w:val="000000" w:themeColor="text1"/>
          <w:sz w:val="28"/>
          <w:szCs w:val="28"/>
        </w:rPr>
      </w:pPr>
      <w:r w:rsidRPr="000A32AD">
        <w:rPr>
          <w:rFonts w:ascii="Times New Roman" w:hAnsi="Times New Roman" w:cs="Times New Roman"/>
          <w:color w:val="000000" w:themeColor="text1"/>
          <w:sz w:val="28"/>
          <w:szCs w:val="28"/>
        </w:rPr>
        <w:t xml:space="preserve">Рис. 12. Нирка хворого ЦД 2 типу легкого ступеня тяжкості. Помірна експресія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rPr>
        <w:t xml:space="preserve"> типу (++) в міжканальцевій сполучній тканині та клубочку. Імуногістохімічний метод з використанням МКА до </w:t>
      </w:r>
      <w:r w:rsidRPr="000A32AD">
        <w:rPr>
          <w:rFonts w:ascii="Times New Roman" w:hAnsi="Times New Roman" w:cs="Times New Roman"/>
          <w:color w:val="000000" w:themeColor="text1"/>
          <w:sz w:val="28"/>
          <w:szCs w:val="28"/>
          <w:lang w:val="en-US"/>
        </w:rPr>
        <w:t>collagen IV</w:t>
      </w:r>
      <w:r w:rsidRPr="000A32AD">
        <w:rPr>
          <w:rFonts w:ascii="Times New Roman" w:hAnsi="Times New Roman" w:cs="Times New Roman"/>
          <w:color w:val="000000" w:themeColor="text1"/>
          <w:sz w:val="28"/>
          <w:szCs w:val="28"/>
        </w:rPr>
        <w:t>, х200.</w:t>
      </w:r>
    </w:p>
    <w:p w:rsidR="002E3C16" w:rsidRPr="000A32AD" w:rsidRDefault="002E3C16" w:rsidP="002E3C16">
      <w:pPr>
        <w:pStyle w:val="a9"/>
        <w:spacing w:after="0" w:line="240" w:lineRule="auto"/>
        <w:ind w:right="20" w:firstLine="851"/>
        <w:jc w:val="both"/>
        <w:rPr>
          <w:rFonts w:ascii="Times New Roman" w:hAnsi="Times New Roman" w:cs="Times New Roman"/>
          <w:color w:val="000000" w:themeColor="text1"/>
          <w:sz w:val="28"/>
          <w:szCs w:val="28"/>
        </w:rPr>
      </w:pPr>
    </w:p>
    <w:p w:rsidR="002E3C16" w:rsidRPr="000A32AD" w:rsidRDefault="002E3C16" w:rsidP="002E3C16">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64736" behindDoc="0" locked="0" layoutInCell="1" allowOverlap="1" wp14:anchorId="65D97A0C" wp14:editId="632C16FE">
                <wp:simplePos x="0" y="0"/>
                <wp:positionH relativeFrom="column">
                  <wp:posOffset>2195049</wp:posOffset>
                </wp:positionH>
                <wp:positionV relativeFrom="paragraph">
                  <wp:posOffset>2062480</wp:posOffset>
                </wp:positionV>
                <wp:extent cx="60325" cy="423545"/>
                <wp:effectExtent l="57150" t="38100" r="73025" b="14605"/>
                <wp:wrapNone/>
                <wp:docPr id="89" name="Прямая со стрелкой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63A0B8A" id="Прямая со стрелкой 89" o:spid="_x0000_s1026" type="#_x0000_t32" style="position:absolute;margin-left:172.85pt;margin-top:162.4pt;width:4.75pt;height:33.3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65760" behindDoc="0" locked="0" layoutInCell="1" allowOverlap="1" wp14:anchorId="61B114FA" wp14:editId="617EAFEE">
                <wp:simplePos x="0" y="0"/>
                <wp:positionH relativeFrom="column">
                  <wp:posOffset>3373120</wp:posOffset>
                </wp:positionH>
                <wp:positionV relativeFrom="paragraph">
                  <wp:posOffset>1981200</wp:posOffset>
                </wp:positionV>
                <wp:extent cx="60325" cy="423545"/>
                <wp:effectExtent l="57150" t="38100" r="73025" b="14605"/>
                <wp:wrapNone/>
                <wp:docPr id="90" name="Прямая со стрелкой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8BDA745" id="Прямая со стрелкой 90" o:spid="_x0000_s1026" type="#_x0000_t32" style="position:absolute;margin-left:265.6pt;margin-top:156pt;width:4.75pt;height:33.3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w:drawing>
          <wp:inline distT="0" distB="0" distL="0" distR="0" wp14:anchorId="592D9AC4" wp14:editId="459734B5">
            <wp:extent cx="4334400" cy="3240000"/>
            <wp:effectExtent l="0" t="0" r="9525" b="0"/>
            <wp:docPr id="82" name="Рисунок 82" descr="Описание: D:\люда\иммунка\1 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Описание: D:\люда\иммунка\1 100.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334400" cy="3240000"/>
                    </a:xfrm>
                    <a:prstGeom prst="rect">
                      <a:avLst/>
                    </a:prstGeom>
                    <a:noFill/>
                    <a:ln>
                      <a:noFill/>
                    </a:ln>
                  </pic:spPr>
                </pic:pic>
              </a:graphicData>
            </a:graphic>
          </wp:inline>
        </w:drawing>
      </w:r>
    </w:p>
    <w:p w:rsidR="002E3C16" w:rsidRPr="000A32AD" w:rsidRDefault="002E3C16" w:rsidP="002E3C16">
      <w:pPr>
        <w:pStyle w:val="a9"/>
        <w:spacing w:after="0"/>
        <w:ind w:right="20" w:firstLine="851"/>
        <w:jc w:val="both"/>
        <w:rPr>
          <w:rFonts w:ascii="Times New Roman" w:hAnsi="Times New Roman" w:cs="Times New Roman"/>
          <w:color w:val="000000" w:themeColor="text1"/>
          <w:sz w:val="28"/>
          <w:szCs w:val="28"/>
        </w:rPr>
      </w:pPr>
      <w:r w:rsidRPr="000A32AD">
        <w:rPr>
          <w:rFonts w:ascii="Times New Roman" w:hAnsi="Times New Roman" w:cs="Times New Roman"/>
          <w:color w:val="000000" w:themeColor="text1"/>
          <w:sz w:val="28"/>
          <w:szCs w:val="28"/>
        </w:rPr>
        <w:t xml:space="preserve">Рис. 13. Нирка хворого ЦД 2 типу легкого ступеня тяжкості на фоні НДСТ. Помірна експресія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rPr>
        <w:t xml:space="preserve"> типу (++) в міжканальцевій сполучній тканині та клубочку. Імуногістохімічний метод з використанням МКА до </w:t>
      </w:r>
      <w:r w:rsidRPr="000A32AD">
        <w:rPr>
          <w:rFonts w:ascii="Times New Roman" w:hAnsi="Times New Roman" w:cs="Times New Roman"/>
          <w:color w:val="000000" w:themeColor="text1"/>
          <w:sz w:val="28"/>
          <w:szCs w:val="28"/>
          <w:lang w:val="en-US"/>
        </w:rPr>
        <w:t>collagen</w:t>
      </w:r>
      <w:r w:rsidRPr="000A32AD">
        <w:rPr>
          <w:rFonts w:ascii="Times New Roman" w:hAnsi="Times New Roman" w:cs="Times New Roman"/>
          <w:color w:val="000000" w:themeColor="text1"/>
          <w:sz w:val="28"/>
          <w:szCs w:val="28"/>
        </w:rPr>
        <w:t xml:space="preserve">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rPr>
        <w:t>, х100.</w:t>
      </w:r>
    </w:p>
    <w:p w:rsidR="002E3C16" w:rsidRPr="000A32AD" w:rsidRDefault="002E3C16" w:rsidP="002E3C16">
      <w:pPr>
        <w:spacing w:line="360" w:lineRule="auto"/>
        <w:jc w:val="center"/>
        <w:rPr>
          <w:rFonts w:ascii="Times New Roman" w:hAnsi="Times New Roman" w:cs="Times New Roman"/>
          <w:color w:val="000000" w:themeColor="text1"/>
          <w:sz w:val="28"/>
          <w:szCs w:val="28"/>
          <w:lang w:val="uk-UA"/>
        </w:rPr>
      </w:pP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67808" behindDoc="0" locked="0" layoutInCell="1" allowOverlap="1" wp14:anchorId="62979DD5" wp14:editId="6D8ED5B5">
                <wp:simplePos x="0" y="0"/>
                <wp:positionH relativeFrom="margin">
                  <wp:posOffset>2986405</wp:posOffset>
                </wp:positionH>
                <wp:positionV relativeFrom="paragraph">
                  <wp:posOffset>1125220</wp:posOffset>
                </wp:positionV>
                <wp:extent cx="60325" cy="423545"/>
                <wp:effectExtent l="57150" t="38100" r="73025" b="14605"/>
                <wp:wrapNone/>
                <wp:docPr id="88" name="Прямая со стрелкой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27E73FF" id="Прямая со стрелкой 88" o:spid="_x0000_s1026" type="#_x0000_t32" style="position:absolute;margin-left:235.15pt;margin-top:88.6pt;width:4.75pt;height:33.35pt;z-index:251767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" strokeweight="2.25pt">
                <v:stroke startarrow="block" startarrowwidth="wide" startarrowlength="long"/>
                <v:shadow offset=",5pt"/>
                <w10:wrap anchorx="margin"/>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66784" behindDoc="0" locked="0" layoutInCell="1" allowOverlap="1" wp14:anchorId="507D2BE9" wp14:editId="6D0A56F8">
                <wp:simplePos x="0" y="0"/>
                <wp:positionH relativeFrom="column">
                  <wp:posOffset>2095500</wp:posOffset>
                </wp:positionH>
                <wp:positionV relativeFrom="paragraph">
                  <wp:posOffset>1123950</wp:posOffset>
                </wp:positionV>
                <wp:extent cx="60325" cy="423545"/>
                <wp:effectExtent l="57150" t="38100" r="73025" b="14605"/>
                <wp:wrapNone/>
                <wp:docPr id="87" name="Прямая со стрелкой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FBD4D56" id="Прямая со стрелкой 87" o:spid="_x0000_s1026" type="#_x0000_t32" style="position:absolute;margin-left:165pt;margin-top:88.5pt;width:4.75pt;height:33.3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w:drawing>
          <wp:inline distT="0" distB="0" distL="0" distR="0" wp14:anchorId="54042191" wp14:editId="3D889B08">
            <wp:extent cx="4334400" cy="3240000"/>
            <wp:effectExtent l="0" t="0" r="9525" b="0"/>
            <wp:docPr id="81" name="Рисунок 81" descr="Описание: D:\люда\иммунка\3 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Описание: D:\люда\иммунка\3 100.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334400" cy="3240000"/>
                    </a:xfrm>
                    <a:prstGeom prst="rect">
                      <a:avLst/>
                    </a:prstGeom>
                    <a:noFill/>
                    <a:ln>
                      <a:noFill/>
                    </a:ln>
                  </pic:spPr>
                </pic:pic>
              </a:graphicData>
            </a:graphic>
          </wp:inline>
        </w:drawing>
      </w:r>
    </w:p>
    <w:p w:rsidR="002E3C16" w:rsidRPr="000A32AD" w:rsidRDefault="002E3C16" w:rsidP="002E3C16">
      <w:pPr>
        <w:pStyle w:val="a9"/>
        <w:spacing w:after="0"/>
        <w:ind w:right="20" w:firstLine="851"/>
        <w:jc w:val="both"/>
        <w:rPr>
          <w:rFonts w:ascii="Times New Roman" w:hAnsi="Times New Roman" w:cs="Times New Roman"/>
          <w:color w:val="000000" w:themeColor="text1"/>
          <w:sz w:val="28"/>
          <w:szCs w:val="28"/>
        </w:rPr>
      </w:pPr>
      <w:r w:rsidRPr="000A32AD">
        <w:rPr>
          <w:rFonts w:ascii="Times New Roman" w:hAnsi="Times New Roman" w:cs="Times New Roman"/>
          <w:color w:val="000000" w:themeColor="text1"/>
          <w:sz w:val="28"/>
          <w:szCs w:val="28"/>
        </w:rPr>
        <w:t xml:space="preserve">Рис. 14. Нирка хворого ЦД 2 типу середнього ступеня тяжкості. Інтенсивна експресія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rPr>
        <w:t xml:space="preserve"> типу (+++) в склерозованих клубочках. Імуногістохімічний метод з використанням МКА до </w:t>
      </w:r>
      <w:r w:rsidRPr="000A32AD">
        <w:rPr>
          <w:rFonts w:ascii="Times New Roman" w:hAnsi="Times New Roman" w:cs="Times New Roman"/>
          <w:color w:val="000000" w:themeColor="text1"/>
          <w:sz w:val="28"/>
          <w:szCs w:val="28"/>
          <w:lang w:val="en-US"/>
        </w:rPr>
        <w:t>collagen</w:t>
      </w:r>
      <w:r w:rsidRPr="000A32AD">
        <w:rPr>
          <w:rFonts w:ascii="Times New Roman" w:hAnsi="Times New Roman" w:cs="Times New Roman"/>
          <w:color w:val="000000" w:themeColor="text1"/>
          <w:sz w:val="28"/>
          <w:szCs w:val="28"/>
        </w:rPr>
        <w:t xml:space="preserve">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rPr>
        <w:t>, х100.</w:t>
      </w:r>
    </w:p>
    <w:p w:rsidR="002E3C16" w:rsidRPr="000A32AD" w:rsidRDefault="002E3C16" w:rsidP="002E3C16">
      <w:pPr>
        <w:rPr>
          <w:color w:val="000000" w:themeColor="text1"/>
          <w:lang w:val="uk-UA"/>
        </w:rPr>
      </w:pPr>
    </w:p>
    <w:p w:rsidR="002E3C16" w:rsidRPr="000A32AD" w:rsidRDefault="002E3C16" w:rsidP="002E3C16">
      <w:pPr>
        <w:spacing w:line="360" w:lineRule="auto"/>
        <w:jc w:val="center"/>
        <w:rPr>
          <w:rFonts w:ascii="Times New Roman" w:eastAsia="Times New Roman" w:hAnsi="Times New Roman" w:cs="Times New Roman"/>
          <w:snapToGrid w:val="0"/>
          <w:color w:val="000000" w:themeColor="text1"/>
          <w:w w:val="1"/>
          <w:sz w:val="28"/>
          <w:szCs w:val="28"/>
          <w:bdr w:val="none" w:sz="0" w:space="0" w:color="auto" w:frame="1"/>
          <w:shd w:val="clear" w:color="auto" w:fill="000000"/>
          <w:lang w:val="x-none" w:eastAsia="x-none" w:bidi="x-none"/>
        </w:rPr>
      </w:pP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68832" behindDoc="0" locked="0" layoutInCell="1" allowOverlap="1" wp14:anchorId="08465015" wp14:editId="0C7ADF38">
                <wp:simplePos x="0" y="0"/>
                <wp:positionH relativeFrom="column">
                  <wp:posOffset>2186305</wp:posOffset>
                </wp:positionH>
                <wp:positionV relativeFrom="paragraph">
                  <wp:posOffset>972185</wp:posOffset>
                </wp:positionV>
                <wp:extent cx="60325" cy="423545"/>
                <wp:effectExtent l="57150" t="38100" r="73025" b="14605"/>
                <wp:wrapNone/>
                <wp:docPr id="85" name="Прямая со стрелкой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8012265" id="Прямая со стрелкой 85" o:spid="_x0000_s1026" type="#_x0000_t32" style="position:absolute;margin-left:172.15pt;margin-top:76.55pt;width:4.75pt;height:33.3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mc:AlternateContent>
          <mc:Choice Requires="wps">
            <w:drawing>
              <wp:anchor distT="0" distB="0" distL="114300" distR="114300" simplePos="0" relativeHeight="251769856" behindDoc="0" locked="0" layoutInCell="1" allowOverlap="1" wp14:anchorId="7644E881" wp14:editId="4C98865D">
                <wp:simplePos x="0" y="0"/>
                <wp:positionH relativeFrom="column">
                  <wp:posOffset>3315970</wp:posOffset>
                </wp:positionH>
                <wp:positionV relativeFrom="paragraph">
                  <wp:posOffset>1266579</wp:posOffset>
                </wp:positionV>
                <wp:extent cx="60325" cy="423545"/>
                <wp:effectExtent l="57150" t="38100" r="73025" b="14605"/>
                <wp:wrapNone/>
                <wp:docPr id="86" name="Прямая со стрелкой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 cy="423545"/>
                        </a:xfrm>
                        <a:prstGeom prst="straightConnector1">
                          <a:avLst/>
                        </a:prstGeom>
                        <a:noFill/>
                        <a:ln w="28575">
                          <a:solidFill>
                            <a:srgbClr val="000000"/>
                          </a:solidFill>
                          <a:round/>
                          <a:headEnd type="triangle" w="lg"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68392" dir="4091915"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B0A6081" id="Прямая со стрелкой 86" o:spid="_x0000_s1026" type="#_x0000_t32" style="position:absolute;margin-left:261.1pt;margin-top:99.75pt;width:4.75pt;height:33.3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" strokeweight="2.25pt">
                <v:stroke startarrow="block" startarrowwidth="wide" startarrowlength="long"/>
                <v:shadow offset=",5pt"/>
              </v:shape>
            </w:pict>
          </mc:Fallback>
        </mc:AlternateContent>
      </w:r>
      <w:r w:rsidRPr="000A32AD">
        <w:rPr>
          <w:rFonts w:ascii="Times New Roman" w:hAnsi="Times New Roman" w:cs="Times New Roman"/>
          <w:noProof/>
          <w:color w:val="000000" w:themeColor="text1"/>
          <w:sz w:val="28"/>
          <w:szCs w:val="28"/>
        </w:rPr>
        <w:drawing>
          <wp:inline distT="0" distB="0" distL="0" distR="0" wp14:anchorId="24F5175A" wp14:editId="698DA77E">
            <wp:extent cx="4334400" cy="3240000"/>
            <wp:effectExtent l="0" t="0" r="9525" b="0"/>
            <wp:docPr id="80" name="Рисунок 80" descr="Описание: D:\люда\иммунка\4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Описание: D:\люда\иммунка\4 200.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334400" cy="3240000"/>
                    </a:xfrm>
                    <a:prstGeom prst="rect">
                      <a:avLst/>
                    </a:prstGeom>
                    <a:noFill/>
                    <a:ln>
                      <a:noFill/>
                    </a:ln>
                  </pic:spPr>
                </pic:pic>
              </a:graphicData>
            </a:graphic>
          </wp:inline>
        </w:drawing>
      </w:r>
    </w:p>
    <w:p w:rsidR="002E3C16" w:rsidRPr="000A32AD" w:rsidRDefault="002E3C16" w:rsidP="002E3C16">
      <w:pPr>
        <w:pStyle w:val="a9"/>
        <w:spacing w:after="0" w:line="240" w:lineRule="auto"/>
        <w:ind w:right="20" w:firstLine="851"/>
        <w:jc w:val="both"/>
        <w:rPr>
          <w:rFonts w:ascii="Times New Roman" w:hAnsi="Times New Roman" w:cs="Times New Roman"/>
          <w:color w:val="000000" w:themeColor="text1"/>
          <w:sz w:val="28"/>
          <w:szCs w:val="28"/>
        </w:rPr>
      </w:pPr>
    </w:p>
    <w:p w:rsidR="002E3C16" w:rsidRPr="000A32AD" w:rsidRDefault="002E3C16" w:rsidP="002E3C16">
      <w:pPr>
        <w:pStyle w:val="a9"/>
        <w:spacing w:after="0"/>
        <w:ind w:right="20" w:firstLine="851"/>
        <w:jc w:val="both"/>
        <w:rPr>
          <w:rFonts w:ascii="Times New Roman" w:hAnsi="Times New Roman" w:cs="Times New Roman"/>
          <w:color w:val="000000" w:themeColor="text1"/>
          <w:sz w:val="28"/>
          <w:szCs w:val="28"/>
        </w:rPr>
      </w:pPr>
      <w:r w:rsidRPr="000A32AD">
        <w:rPr>
          <w:rFonts w:ascii="Times New Roman" w:hAnsi="Times New Roman" w:cs="Times New Roman"/>
          <w:color w:val="000000" w:themeColor="text1"/>
          <w:sz w:val="28"/>
          <w:szCs w:val="28"/>
        </w:rPr>
        <w:t xml:space="preserve">Рис. 15. Нирка хворого ЦД 2 типу середнього ступеня тяжкості на фоні НДСТ. Інтенсивна експресія колагену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rPr>
        <w:t xml:space="preserve"> типу (+++) в стінках судин. Імуногістохімічний метод з використанням МКА до </w:t>
      </w:r>
      <w:r w:rsidRPr="000A32AD">
        <w:rPr>
          <w:rFonts w:ascii="Times New Roman" w:hAnsi="Times New Roman" w:cs="Times New Roman"/>
          <w:color w:val="000000" w:themeColor="text1"/>
          <w:sz w:val="28"/>
          <w:szCs w:val="28"/>
          <w:lang w:val="en-US"/>
        </w:rPr>
        <w:t>collagen</w:t>
      </w:r>
      <w:r w:rsidRPr="000A32AD">
        <w:rPr>
          <w:rFonts w:ascii="Times New Roman" w:hAnsi="Times New Roman" w:cs="Times New Roman"/>
          <w:color w:val="000000" w:themeColor="text1"/>
          <w:sz w:val="28"/>
          <w:szCs w:val="28"/>
          <w:lang w:val="ru-RU"/>
        </w:rPr>
        <w:t xml:space="preserve"> </w:t>
      </w:r>
      <w:r w:rsidRPr="000A32AD">
        <w:rPr>
          <w:rFonts w:ascii="Times New Roman" w:hAnsi="Times New Roman" w:cs="Times New Roman"/>
          <w:color w:val="000000" w:themeColor="text1"/>
          <w:sz w:val="28"/>
          <w:szCs w:val="28"/>
          <w:lang w:val="en-US"/>
        </w:rPr>
        <w:t>IV</w:t>
      </w:r>
      <w:r w:rsidRPr="000A32AD">
        <w:rPr>
          <w:rFonts w:ascii="Times New Roman" w:hAnsi="Times New Roman" w:cs="Times New Roman"/>
          <w:color w:val="000000" w:themeColor="text1"/>
          <w:sz w:val="28"/>
          <w:szCs w:val="28"/>
        </w:rPr>
        <w:t>, х200.</w:t>
      </w:r>
    </w:p>
    <w:p w:rsidR="002E3C16" w:rsidRPr="000A32AD" w:rsidRDefault="002E3C16" w:rsidP="002E3C16">
      <w:pPr>
        <w:spacing w:line="360" w:lineRule="auto"/>
        <w:ind w:firstLine="851"/>
        <w:jc w:val="both"/>
        <w:rPr>
          <w:rFonts w:ascii="Times New Roman" w:hAnsi="Times New Roman" w:cs="Times New Roman"/>
          <w:color w:val="000000" w:themeColor="text1"/>
          <w:sz w:val="28"/>
          <w:szCs w:val="28"/>
          <w:lang w:val="uk-UA"/>
        </w:rPr>
      </w:pPr>
    </w:p>
    <w:p w:rsidR="002E3C16" w:rsidRPr="000A32AD" w:rsidRDefault="002E3C16" w:rsidP="002E3C16">
      <w:pPr>
        <w:rPr>
          <w:color w:val="000000" w:themeColor="text1"/>
          <w:lang w:val="uk-UA"/>
        </w:rPr>
      </w:pPr>
    </w:p>
    <w:p w:rsidR="002E3C16" w:rsidRPr="000A32AD" w:rsidRDefault="002E3C16" w:rsidP="003701DC">
      <w:pPr>
        <w:widowControl w:val="0"/>
        <w:tabs>
          <w:tab w:val="left" w:pos="993"/>
        </w:tabs>
        <w:spacing w:line="360" w:lineRule="auto"/>
        <w:ind w:firstLine="709"/>
        <w:jc w:val="both"/>
        <w:rPr>
          <w:rFonts w:ascii="Times New Roman" w:hAnsi="Times New Roman" w:cs="Times New Roman"/>
          <w:b/>
          <w:bCs/>
          <w:color w:val="000000" w:themeColor="text1"/>
          <w:sz w:val="28"/>
          <w:szCs w:val="28"/>
          <w:lang w:val="uk-UA" w:eastAsia="en-US"/>
        </w:rPr>
      </w:pPr>
    </w:p>
    <w:sectPr w:rsidR="002E3C16" w:rsidRPr="000A32AD" w:rsidSect="000D5D92">
      <w:headerReference w:type="even" r:id="rId44"/>
      <w:headerReference w:type="default" r:id="rId45"/>
      <w:footerReference w:type="even" r:id="rId46"/>
      <w:footerReference w:type="default" r:id="rId47"/>
      <w:headerReference w:type="first" r:id="rId48"/>
      <w:footerReference w:type="first" r:id="rId49"/>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061A" w:rsidRDefault="0029061A" w:rsidP="000D5D92">
      <w:r>
        <w:separator/>
      </w:r>
    </w:p>
  </w:endnote>
  <w:endnote w:type="continuationSeparator" w:id="0">
    <w:p w:rsidR="0029061A" w:rsidRDefault="0029061A" w:rsidP="000D5D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Franklin Gothic Heavy">
    <w:panose1 w:val="020B0903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onsolas">
    <w:panose1 w:val="020B0609020204030204"/>
    <w:charset w:val="CC"/>
    <w:family w:val="modern"/>
    <w:pitch w:val="fixed"/>
    <w:sig w:usb0="E00006FF" w:usb1="0000FCFF" w:usb2="00000001" w:usb3="00000000" w:csb0="0000019F" w:csb1="00000000"/>
  </w:font>
  <w:font w:name="Malgun Gothic Semilight">
    <w:panose1 w:val="020B0502040204020203"/>
    <w:charset w:val="81"/>
    <w:family w:val="swiss"/>
    <w:pitch w:val="variable"/>
    <w:sig w:usb0="B0000AAF" w:usb1="09DF7CFB" w:usb2="00000012" w:usb3="00000000" w:csb0="003E01BD" w:csb1="00000000"/>
  </w:font>
  <w:font w:name="PragmaticaC">
    <w:altName w:val="MS Mincho"/>
    <w:panose1 w:val="00000000000000000000"/>
    <w:charset w:val="80"/>
    <w:family w:val="auto"/>
    <w:notTrueType/>
    <w:pitch w:val="default"/>
    <w:sig w:usb0="00000201" w:usb1="08070000" w:usb2="00000010" w:usb3="00000000" w:csb0="00020004"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1A3F" w:rsidRDefault="00821A3F">
    <w:pPr>
      <w:pStyle w:val="af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1A3F" w:rsidRDefault="00821A3F">
    <w:pPr>
      <w:pStyle w:val="af6"/>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1A3F" w:rsidRDefault="00821A3F">
    <w:pPr>
      <w:pStyle w:val="af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061A" w:rsidRDefault="0029061A" w:rsidP="000D5D92">
      <w:r>
        <w:separator/>
      </w:r>
    </w:p>
  </w:footnote>
  <w:footnote w:type="continuationSeparator" w:id="0">
    <w:p w:rsidR="0029061A" w:rsidRDefault="0029061A" w:rsidP="000D5D9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1A3F" w:rsidRDefault="00821A3F">
    <w:pPr>
      <w:pStyle w:val="ae"/>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0697136"/>
      <w:docPartObj>
        <w:docPartGallery w:val="Page Numbers (Top of Page)"/>
        <w:docPartUnique/>
      </w:docPartObj>
    </w:sdtPr>
    <w:sdtEndPr/>
    <w:sdtContent>
      <w:p w:rsidR="000545A8" w:rsidRDefault="000545A8">
        <w:pPr>
          <w:pStyle w:val="ae"/>
          <w:jc w:val="center"/>
        </w:pPr>
        <w:r>
          <w:fldChar w:fldCharType="begin"/>
        </w:r>
        <w:r>
          <w:instrText>PAGE   \* MERGEFORMAT</w:instrText>
        </w:r>
        <w:r>
          <w:fldChar w:fldCharType="separate"/>
        </w:r>
        <w:r w:rsidR="002060AE" w:rsidRPr="002060AE">
          <w:rPr>
            <w:noProof/>
            <w:lang w:val="ru-RU"/>
          </w:rPr>
          <w:t>2</w:t>
        </w:r>
        <w:r>
          <w:fldChar w:fldCharType="end"/>
        </w:r>
      </w:p>
    </w:sdtContent>
  </w:sdt>
  <w:p w:rsidR="000545A8" w:rsidRDefault="000545A8">
    <w:pPr>
      <w:pStyle w:val="ae"/>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1A3F" w:rsidRDefault="00821A3F">
    <w:pPr>
      <w:pStyle w:val="a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114BB"/>
    <w:multiLevelType w:val="hybridMultilevel"/>
    <w:tmpl w:val="0DB2AF0E"/>
    <w:lvl w:ilvl="0" w:tplc="1F3237F4">
      <w:start w:val="1"/>
      <w:numFmt w:val="decimal"/>
      <w:lvlText w:val="%1."/>
      <w:lvlJc w:val="left"/>
      <w:pPr>
        <w:ind w:left="114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6907DA4"/>
    <w:multiLevelType w:val="multilevel"/>
    <w:tmpl w:val="85C69DD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BF84A79"/>
    <w:multiLevelType w:val="multilevel"/>
    <w:tmpl w:val="81F66162"/>
    <w:lvl w:ilvl="0">
      <w:start w:val="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15:restartNumberingAfterBreak="0">
    <w:nsid w:val="0F7C47AD"/>
    <w:multiLevelType w:val="hybridMultilevel"/>
    <w:tmpl w:val="BF523D7A"/>
    <w:lvl w:ilvl="0" w:tplc="3C946F92">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15:restartNumberingAfterBreak="0">
    <w:nsid w:val="1548262F"/>
    <w:multiLevelType w:val="hybridMultilevel"/>
    <w:tmpl w:val="40E05D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C0D45E4"/>
    <w:multiLevelType w:val="hybridMultilevel"/>
    <w:tmpl w:val="FC9A437E"/>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20A5177D"/>
    <w:multiLevelType w:val="hybridMultilevel"/>
    <w:tmpl w:val="C05C1740"/>
    <w:lvl w:ilvl="0" w:tplc="C7AA4FDA">
      <w:start w:val="4"/>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23EA7A9C"/>
    <w:multiLevelType w:val="hybridMultilevel"/>
    <w:tmpl w:val="069035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268A38F7"/>
    <w:multiLevelType w:val="hybridMultilevel"/>
    <w:tmpl w:val="BCCA0886"/>
    <w:lvl w:ilvl="0" w:tplc="AC98B6AE">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2B8E1D80"/>
    <w:multiLevelType w:val="hybridMultilevel"/>
    <w:tmpl w:val="EBFE34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FF2034F"/>
    <w:multiLevelType w:val="hybridMultilevel"/>
    <w:tmpl w:val="1E5874B4"/>
    <w:lvl w:ilvl="0" w:tplc="7B40ADEE">
      <w:start w:val="1"/>
      <w:numFmt w:val="bullet"/>
      <w:lvlText w:val=""/>
      <w:lvlJc w:val="left"/>
      <w:pPr>
        <w:tabs>
          <w:tab w:val="num" w:pos="567"/>
        </w:tabs>
        <w:ind w:left="567" w:hanging="567"/>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 w15:restartNumberingAfterBreak="0">
    <w:nsid w:val="30BC4CDC"/>
    <w:multiLevelType w:val="hybridMultilevel"/>
    <w:tmpl w:val="92BE2BBA"/>
    <w:lvl w:ilvl="0" w:tplc="CEAC42E0">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15:restartNumberingAfterBreak="0">
    <w:nsid w:val="3213362F"/>
    <w:multiLevelType w:val="hybridMultilevel"/>
    <w:tmpl w:val="D3A4F2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4D63CA1"/>
    <w:multiLevelType w:val="hybridMultilevel"/>
    <w:tmpl w:val="7C9262FC"/>
    <w:lvl w:ilvl="0" w:tplc="F7808AE2">
      <w:start w:val="2"/>
      <w:numFmt w:val="bullet"/>
      <w:lvlText w:val="–"/>
      <w:lvlJc w:val="left"/>
      <w:pPr>
        <w:ind w:left="1110" w:hanging="360"/>
      </w:pPr>
      <w:rPr>
        <w:rFonts w:ascii="Times New Roman" w:eastAsia="Times New Roman" w:hAnsi="Times New Roman" w:cs="Times New Roman" w:hint="default"/>
      </w:rPr>
    </w:lvl>
    <w:lvl w:ilvl="1" w:tplc="04190003" w:tentative="1">
      <w:start w:val="1"/>
      <w:numFmt w:val="bullet"/>
      <w:lvlText w:val="o"/>
      <w:lvlJc w:val="left"/>
      <w:pPr>
        <w:ind w:left="1830" w:hanging="360"/>
      </w:pPr>
      <w:rPr>
        <w:rFonts w:ascii="Courier New" w:hAnsi="Courier New" w:cs="Courier New" w:hint="default"/>
      </w:rPr>
    </w:lvl>
    <w:lvl w:ilvl="2" w:tplc="04190005" w:tentative="1">
      <w:start w:val="1"/>
      <w:numFmt w:val="bullet"/>
      <w:lvlText w:val=""/>
      <w:lvlJc w:val="left"/>
      <w:pPr>
        <w:ind w:left="2550" w:hanging="360"/>
      </w:pPr>
      <w:rPr>
        <w:rFonts w:ascii="Wingdings" w:hAnsi="Wingdings" w:hint="default"/>
      </w:rPr>
    </w:lvl>
    <w:lvl w:ilvl="3" w:tplc="04190001" w:tentative="1">
      <w:start w:val="1"/>
      <w:numFmt w:val="bullet"/>
      <w:lvlText w:val=""/>
      <w:lvlJc w:val="left"/>
      <w:pPr>
        <w:ind w:left="3270" w:hanging="360"/>
      </w:pPr>
      <w:rPr>
        <w:rFonts w:ascii="Symbol" w:hAnsi="Symbol" w:hint="default"/>
      </w:rPr>
    </w:lvl>
    <w:lvl w:ilvl="4" w:tplc="04190003" w:tentative="1">
      <w:start w:val="1"/>
      <w:numFmt w:val="bullet"/>
      <w:lvlText w:val="o"/>
      <w:lvlJc w:val="left"/>
      <w:pPr>
        <w:ind w:left="3990" w:hanging="360"/>
      </w:pPr>
      <w:rPr>
        <w:rFonts w:ascii="Courier New" w:hAnsi="Courier New" w:cs="Courier New" w:hint="default"/>
      </w:rPr>
    </w:lvl>
    <w:lvl w:ilvl="5" w:tplc="04190005" w:tentative="1">
      <w:start w:val="1"/>
      <w:numFmt w:val="bullet"/>
      <w:lvlText w:val=""/>
      <w:lvlJc w:val="left"/>
      <w:pPr>
        <w:ind w:left="4710" w:hanging="360"/>
      </w:pPr>
      <w:rPr>
        <w:rFonts w:ascii="Wingdings" w:hAnsi="Wingdings" w:hint="default"/>
      </w:rPr>
    </w:lvl>
    <w:lvl w:ilvl="6" w:tplc="04190001" w:tentative="1">
      <w:start w:val="1"/>
      <w:numFmt w:val="bullet"/>
      <w:lvlText w:val=""/>
      <w:lvlJc w:val="left"/>
      <w:pPr>
        <w:ind w:left="5430" w:hanging="360"/>
      </w:pPr>
      <w:rPr>
        <w:rFonts w:ascii="Symbol" w:hAnsi="Symbol" w:hint="default"/>
      </w:rPr>
    </w:lvl>
    <w:lvl w:ilvl="7" w:tplc="04190003" w:tentative="1">
      <w:start w:val="1"/>
      <w:numFmt w:val="bullet"/>
      <w:lvlText w:val="o"/>
      <w:lvlJc w:val="left"/>
      <w:pPr>
        <w:ind w:left="6150" w:hanging="360"/>
      </w:pPr>
      <w:rPr>
        <w:rFonts w:ascii="Courier New" w:hAnsi="Courier New" w:cs="Courier New" w:hint="default"/>
      </w:rPr>
    </w:lvl>
    <w:lvl w:ilvl="8" w:tplc="04190005" w:tentative="1">
      <w:start w:val="1"/>
      <w:numFmt w:val="bullet"/>
      <w:lvlText w:val=""/>
      <w:lvlJc w:val="left"/>
      <w:pPr>
        <w:ind w:left="6870" w:hanging="360"/>
      </w:pPr>
      <w:rPr>
        <w:rFonts w:ascii="Wingdings" w:hAnsi="Wingdings" w:hint="default"/>
      </w:rPr>
    </w:lvl>
  </w:abstractNum>
  <w:abstractNum w:abstractNumId="14" w15:restartNumberingAfterBreak="0">
    <w:nsid w:val="3ACF5A48"/>
    <w:multiLevelType w:val="hybridMultilevel"/>
    <w:tmpl w:val="29E0EF8C"/>
    <w:lvl w:ilvl="0" w:tplc="712C0968">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3B347432"/>
    <w:multiLevelType w:val="multilevel"/>
    <w:tmpl w:val="EF843DA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15:restartNumberingAfterBreak="0">
    <w:nsid w:val="3D366E2A"/>
    <w:multiLevelType w:val="hybridMultilevel"/>
    <w:tmpl w:val="596AC8B0"/>
    <w:lvl w:ilvl="0" w:tplc="BCF46778">
      <w:start w:val="1"/>
      <w:numFmt w:val="decimal"/>
      <w:lvlText w:val="%1."/>
      <w:lvlJc w:val="left"/>
      <w:pPr>
        <w:ind w:left="1842" w:hanging="99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4B901E21"/>
    <w:multiLevelType w:val="hybridMultilevel"/>
    <w:tmpl w:val="4052DF96"/>
    <w:lvl w:ilvl="0" w:tplc="B520052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4CBF6D80"/>
    <w:multiLevelType w:val="hybridMultilevel"/>
    <w:tmpl w:val="93E8B20C"/>
    <w:lvl w:ilvl="0" w:tplc="7B40ADEE">
      <w:start w:val="1"/>
      <w:numFmt w:val="bullet"/>
      <w:lvlText w:val=""/>
      <w:lvlJc w:val="left"/>
      <w:pPr>
        <w:tabs>
          <w:tab w:val="num" w:pos="567"/>
        </w:tabs>
        <w:ind w:left="567" w:hanging="567"/>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9" w15:restartNumberingAfterBreak="0">
    <w:nsid w:val="4D7E18A7"/>
    <w:multiLevelType w:val="hybridMultilevel"/>
    <w:tmpl w:val="C9660B18"/>
    <w:lvl w:ilvl="0" w:tplc="3C3E9FD2">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15:restartNumberingAfterBreak="0">
    <w:nsid w:val="513F132A"/>
    <w:multiLevelType w:val="multilevel"/>
    <w:tmpl w:val="792888D8"/>
    <w:lvl w:ilvl="0">
      <w:start w:val="2"/>
      <w:numFmt w:val="decimal"/>
      <w:lvlText w:val="%1."/>
      <w:lvlJc w:val="left"/>
      <w:pPr>
        <w:ind w:left="450" w:hanging="450"/>
      </w:pPr>
      <w:rPr>
        <w:rFonts w:hint="default"/>
      </w:rPr>
    </w:lvl>
    <w:lvl w:ilvl="1">
      <w:start w:val="1"/>
      <w:numFmt w:val="decimal"/>
      <w:lvlText w:val="%1.%2."/>
      <w:lvlJc w:val="left"/>
      <w:pPr>
        <w:ind w:left="1860" w:hanging="720"/>
      </w:pPr>
      <w:rPr>
        <w:rFonts w:hint="default"/>
      </w:rPr>
    </w:lvl>
    <w:lvl w:ilvl="2">
      <w:start w:val="1"/>
      <w:numFmt w:val="decimal"/>
      <w:lvlText w:val="%1.%2.%3."/>
      <w:lvlJc w:val="left"/>
      <w:pPr>
        <w:ind w:left="3000" w:hanging="720"/>
      </w:pPr>
      <w:rPr>
        <w:rFonts w:hint="default"/>
      </w:rPr>
    </w:lvl>
    <w:lvl w:ilvl="3">
      <w:start w:val="1"/>
      <w:numFmt w:val="decimal"/>
      <w:lvlText w:val="%1.%2.%3.%4."/>
      <w:lvlJc w:val="left"/>
      <w:pPr>
        <w:ind w:left="4500" w:hanging="1080"/>
      </w:pPr>
      <w:rPr>
        <w:rFonts w:hint="default"/>
      </w:rPr>
    </w:lvl>
    <w:lvl w:ilvl="4">
      <w:start w:val="1"/>
      <w:numFmt w:val="decimal"/>
      <w:lvlText w:val="%1.%2.%3.%4.%5."/>
      <w:lvlJc w:val="left"/>
      <w:pPr>
        <w:ind w:left="5640" w:hanging="1080"/>
      </w:pPr>
      <w:rPr>
        <w:rFonts w:hint="default"/>
      </w:rPr>
    </w:lvl>
    <w:lvl w:ilvl="5">
      <w:start w:val="1"/>
      <w:numFmt w:val="decimal"/>
      <w:lvlText w:val="%1.%2.%3.%4.%5.%6."/>
      <w:lvlJc w:val="left"/>
      <w:pPr>
        <w:ind w:left="7140" w:hanging="1440"/>
      </w:pPr>
      <w:rPr>
        <w:rFonts w:hint="default"/>
      </w:rPr>
    </w:lvl>
    <w:lvl w:ilvl="6">
      <w:start w:val="1"/>
      <w:numFmt w:val="decimal"/>
      <w:lvlText w:val="%1.%2.%3.%4.%5.%6.%7."/>
      <w:lvlJc w:val="left"/>
      <w:pPr>
        <w:ind w:left="8640" w:hanging="1800"/>
      </w:pPr>
      <w:rPr>
        <w:rFonts w:hint="default"/>
      </w:rPr>
    </w:lvl>
    <w:lvl w:ilvl="7">
      <w:start w:val="1"/>
      <w:numFmt w:val="decimal"/>
      <w:lvlText w:val="%1.%2.%3.%4.%5.%6.%7.%8."/>
      <w:lvlJc w:val="left"/>
      <w:pPr>
        <w:ind w:left="9780" w:hanging="1800"/>
      </w:pPr>
      <w:rPr>
        <w:rFonts w:hint="default"/>
      </w:rPr>
    </w:lvl>
    <w:lvl w:ilvl="8">
      <w:start w:val="1"/>
      <w:numFmt w:val="decimal"/>
      <w:lvlText w:val="%1.%2.%3.%4.%5.%6.%7.%8.%9."/>
      <w:lvlJc w:val="left"/>
      <w:pPr>
        <w:ind w:left="11280" w:hanging="2160"/>
      </w:pPr>
      <w:rPr>
        <w:rFonts w:hint="default"/>
      </w:rPr>
    </w:lvl>
  </w:abstractNum>
  <w:abstractNum w:abstractNumId="21" w15:restartNumberingAfterBreak="0">
    <w:nsid w:val="52A83CF6"/>
    <w:multiLevelType w:val="hybridMultilevel"/>
    <w:tmpl w:val="E0720CAC"/>
    <w:lvl w:ilvl="0" w:tplc="CEAC42E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54917430"/>
    <w:multiLevelType w:val="hybridMultilevel"/>
    <w:tmpl w:val="2AFC8CA2"/>
    <w:lvl w:ilvl="0" w:tplc="4EA2200A">
      <w:start w:val="3"/>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3" w15:restartNumberingAfterBreak="0">
    <w:nsid w:val="55C77306"/>
    <w:multiLevelType w:val="hybridMultilevel"/>
    <w:tmpl w:val="863E6016"/>
    <w:lvl w:ilvl="0" w:tplc="96B08BE0">
      <w:start w:val="1"/>
      <w:numFmt w:val="decimal"/>
      <w:lvlText w:val="%1."/>
      <w:lvlJc w:val="left"/>
      <w:pPr>
        <w:ind w:left="720" w:hanging="360"/>
      </w:pPr>
      <w:rPr>
        <w:rFonts w:ascii="Times New Roman" w:hAnsi="Times New Roman" w:cs="Times New Roman"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576D3C18"/>
    <w:multiLevelType w:val="hybridMultilevel"/>
    <w:tmpl w:val="61AC8540"/>
    <w:lvl w:ilvl="0" w:tplc="CBF28F9E">
      <w:start w:val="1"/>
      <w:numFmt w:val="decimal"/>
      <w:lvlText w:val="%1."/>
      <w:lvlJc w:val="left"/>
      <w:pPr>
        <w:ind w:left="1233" w:hanging="360"/>
      </w:pPr>
    </w:lvl>
    <w:lvl w:ilvl="1" w:tplc="04190019">
      <w:start w:val="1"/>
      <w:numFmt w:val="lowerLetter"/>
      <w:lvlText w:val="%2."/>
      <w:lvlJc w:val="left"/>
      <w:pPr>
        <w:ind w:left="1953" w:hanging="360"/>
      </w:pPr>
    </w:lvl>
    <w:lvl w:ilvl="2" w:tplc="0419001B">
      <w:start w:val="1"/>
      <w:numFmt w:val="lowerRoman"/>
      <w:lvlText w:val="%3."/>
      <w:lvlJc w:val="right"/>
      <w:pPr>
        <w:ind w:left="2673" w:hanging="180"/>
      </w:pPr>
    </w:lvl>
    <w:lvl w:ilvl="3" w:tplc="0419000F">
      <w:start w:val="1"/>
      <w:numFmt w:val="decimal"/>
      <w:lvlText w:val="%4."/>
      <w:lvlJc w:val="left"/>
      <w:pPr>
        <w:ind w:left="3393" w:hanging="360"/>
      </w:pPr>
    </w:lvl>
    <w:lvl w:ilvl="4" w:tplc="04190019">
      <w:start w:val="1"/>
      <w:numFmt w:val="lowerLetter"/>
      <w:lvlText w:val="%5."/>
      <w:lvlJc w:val="left"/>
      <w:pPr>
        <w:ind w:left="4113" w:hanging="360"/>
      </w:pPr>
    </w:lvl>
    <w:lvl w:ilvl="5" w:tplc="0419001B">
      <w:start w:val="1"/>
      <w:numFmt w:val="lowerRoman"/>
      <w:lvlText w:val="%6."/>
      <w:lvlJc w:val="right"/>
      <w:pPr>
        <w:ind w:left="4833" w:hanging="180"/>
      </w:pPr>
    </w:lvl>
    <w:lvl w:ilvl="6" w:tplc="0419000F">
      <w:start w:val="1"/>
      <w:numFmt w:val="decimal"/>
      <w:lvlText w:val="%7."/>
      <w:lvlJc w:val="left"/>
      <w:pPr>
        <w:ind w:left="5553" w:hanging="360"/>
      </w:pPr>
    </w:lvl>
    <w:lvl w:ilvl="7" w:tplc="04190019">
      <w:start w:val="1"/>
      <w:numFmt w:val="lowerLetter"/>
      <w:lvlText w:val="%8."/>
      <w:lvlJc w:val="left"/>
      <w:pPr>
        <w:ind w:left="6273" w:hanging="360"/>
      </w:pPr>
    </w:lvl>
    <w:lvl w:ilvl="8" w:tplc="0419001B">
      <w:start w:val="1"/>
      <w:numFmt w:val="lowerRoman"/>
      <w:lvlText w:val="%9."/>
      <w:lvlJc w:val="right"/>
      <w:pPr>
        <w:ind w:left="6993" w:hanging="180"/>
      </w:pPr>
    </w:lvl>
  </w:abstractNum>
  <w:abstractNum w:abstractNumId="25" w15:restartNumberingAfterBreak="0">
    <w:nsid w:val="5AC61B3A"/>
    <w:multiLevelType w:val="singleLevel"/>
    <w:tmpl w:val="5D1C7266"/>
    <w:lvl w:ilvl="0">
      <w:start w:val="1"/>
      <w:numFmt w:val="decimal"/>
      <w:lvlText w:val="2.%1."/>
      <w:legacy w:legacy="1" w:legacySpace="0" w:legacyIndent="500"/>
      <w:lvlJc w:val="left"/>
      <w:rPr>
        <w:rFonts w:ascii="Times New Roman" w:hAnsi="Times New Roman" w:cs="Times New Roman" w:hint="default"/>
      </w:rPr>
    </w:lvl>
  </w:abstractNum>
  <w:abstractNum w:abstractNumId="26" w15:restartNumberingAfterBreak="0">
    <w:nsid w:val="5B3975DC"/>
    <w:multiLevelType w:val="hybridMultilevel"/>
    <w:tmpl w:val="7024AEF8"/>
    <w:lvl w:ilvl="0" w:tplc="56CC5CBE">
      <w:numFmt w:val="none"/>
      <w:lvlText w:val=""/>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61DD2AE0"/>
    <w:multiLevelType w:val="hybridMultilevel"/>
    <w:tmpl w:val="259068B0"/>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8" w15:restartNumberingAfterBreak="0">
    <w:nsid w:val="654132F8"/>
    <w:multiLevelType w:val="hybridMultilevel"/>
    <w:tmpl w:val="13F89594"/>
    <w:lvl w:ilvl="0" w:tplc="C9568AA0">
      <w:start w:val="1"/>
      <w:numFmt w:val="decimal"/>
      <w:lvlText w:val="%1."/>
      <w:lvlJc w:val="left"/>
      <w:pPr>
        <w:ind w:left="1428" w:hanging="360"/>
      </w:pPr>
      <w:rPr>
        <w:b w:val="0"/>
      </w:rPr>
    </w:lvl>
    <w:lvl w:ilvl="1" w:tplc="04190019">
      <w:start w:val="1"/>
      <w:numFmt w:val="lowerLetter"/>
      <w:lvlText w:val="%2."/>
      <w:lvlJc w:val="left"/>
      <w:pPr>
        <w:ind w:left="2148"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9" w15:restartNumberingAfterBreak="0">
    <w:nsid w:val="67404DFC"/>
    <w:multiLevelType w:val="hybridMultilevel"/>
    <w:tmpl w:val="40E05D92"/>
    <w:lvl w:ilvl="0" w:tplc="0419000F">
      <w:start w:val="1"/>
      <w:numFmt w:val="decimal"/>
      <w:lvlText w:val="%1."/>
      <w:lvlJc w:val="left"/>
      <w:pPr>
        <w:ind w:left="1211"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9FB1133"/>
    <w:multiLevelType w:val="hybridMultilevel"/>
    <w:tmpl w:val="B24CBEF0"/>
    <w:lvl w:ilvl="0" w:tplc="69B0E206">
      <w:start w:val="7"/>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7825678B"/>
    <w:multiLevelType w:val="multilevel"/>
    <w:tmpl w:val="2820D6DC"/>
    <w:lvl w:ilvl="0">
      <w:start w:val="3"/>
      <w:numFmt w:val="decimal"/>
      <w:lvlText w:val="%1."/>
      <w:lvlJc w:val="left"/>
      <w:pPr>
        <w:ind w:left="450" w:hanging="45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7"/>
  </w:num>
  <w:num w:numId="2">
    <w:abstractNumId w:val="24"/>
  </w:num>
  <w:num w:numId="3">
    <w:abstractNumId w:val="20"/>
  </w:num>
  <w:num w:numId="4">
    <w:abstractNumId w:val="1"/>
  </w:num>
  <w:num w:numId="5">
    <w:abstractNumId w:val="3"/>
  </w:num>
  <w:num w:numId="6">
    <w:abstractNumId w:val="2"/>
  </w:num>
  <w:num w:numId="7">
    <w:abstractNumId w:val="31"/>
  </w:num>
  <w:num w:numId="8">
    <w:abstractNumId w:val="0"/>
  </w:num>
  <w:num w:numId="9">
    <w:abstractNumId w:val="22"/>
  </w:num>
  <w:num w:numId="10">
    <w:abstractNumId w:val="25"/>
    <w:lvlOverride w:ilvl="0">
      <w:startOverride w:val="1"/>
    </w:lvlOverride>
  </w:num>
  <w:num w:numId="11">
    <w:abstractNumId w:val="6"/>
  </w:num>
  <w:num w:numId="12">
    <w:abstractNumId w:val="9"/>
  </w:num>
  <w:num w:numId="13">
    <w:abstractNumId w:val="12"/>
  </w:num>
  <w:num w:numId="14">
    <w:abstractNumId w:val="28"/>
  </w:num>
  <w:num w:numId="15">
    <w:abstractNumId w:val="5"/>
  </w:num>
  <w:num w:numId="16">
    <w:abstractNumId w:val="15"/>
  </w:num>
  <w:num w:numId="17">
    <w:abstractNumId w:val="13"/>
  </w:num>
  <w:num w:numId="18">
    <w:abstractNumId w:val="23"/>
  </w:num>
  <w:num w:numId="1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num>
  <w:num w:numId="22">
    <w:abstractNumId w:val="29"/>
  </w:num>
  <w:num w:numId="23">
    <w:abstractNumId w:val="21"/>
  </w:num>
  <w:num w:numId="24">
    <w:abstractNumId w:val="11"/>
  </w:num>
  <w:num w:numId="25">
    <w:abstractNumId w:val="19"/>
  </w:num>
  <w:num w:numId="26">
    <w:abstractNumId w:val="8"/>
  </w:num>
  <w:num w:numId="27">
    <w:abstractNumId w:val="17"/>
  </w:num>
  <w:num w:numId="28">
    <w:abstractNumId w:val="4"/>
  </w:num>
  <w:num w:numId="29">
    <w:abstractNumId w:val="30"/>
  </w:num>
  <w:num w:numId="30">
    <w:abstractNumId w:val="7"/>
  </w:num>
  <w:num w:numId="31">
    <w:abstractNumId w:val="14"/>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5D92"/>
    <w:rsid w:val="00030088"/>
    <w:rsid w:val="00044231"/>
    <w:rsid w:val="000545A8"/>
    <w:rsid w:val="00071CE2"/>
    <w:rsid w:val="00072B56"/>
    <w:rsid w:val="00074B83"/>
    <w:rsid w:val="00092E57"/>
    <w:rsid w:val="000A01F1"/>
    <w:rsid w:val="000A32AD"/>
    <w:rsid w:val="000A48CC"/>
    <w:rsid w:val="000B6EAF"/>
    <w:rsid w:val="000D5D92"/>
    <w:rsid w:val="000E0DD4"/>
    <w:rsid w:val="000E6063"/>
    <w:rsid w:val="000E6B50"/>
    <w:rsid w:val="000F0812"/>
    <w:rsid w:val="001016A9"/>
    <w:rsid w:val="00107D53"/>
    <w:rsid w:val="00130568"/>
    <w:rsid w:val="00136169"/>
    <w:rsid w:val="001366EC"/>
    <w:rsid w:val="0013790D"/>
    <w:rsid w:val="0014456F"/>
    <w:rsid w:val="0015667E"/>
    <w:rsid w:val="00167C84"/>
    <w:rsid w:val="00171E2E"/>
    <w:rsid w:val="0017577C"/>
    <w:rsid w:val="001805FC"/>
    <w:rsid w:val="00190B8E"/>
    <w:rsid w:val="001A430E"/>
    <w:rsid w:val="001B2CE9"/>
    <w:rsid w:val="002060AE"/>
    <w:rsid w:val="00206D87"/>
    <w:rsid w:val="00214999"/>
    <w:rsid w:val="00222377"/>
    <w:rsid w:val="00222C15"/>
    <w:rsid w:val="0023777D"/>
    <w:rsid w:val="00237DC7"/>
    <w:rsid w:val="00247569"/>
    <w:rsid w:val="00266612"/>
    <w:rsid w:val="002724CB"/>
    <w:rsid w:val="0028101E"/>
    <w:rsid w:val="0029061A"/>
    <w:rsid w:val="002A3508"/>
    <w:rsid w:val="002B02CE"/>
    <w:rsid w:val="002B5A2C"/>
    <w:rsid w:val="002B5B94"/>
    <w:rsid w:val="002D1353"/>
    <w:rsid w:val="002E1492"/>
    <w:rsid w:val="002E3C16"/>
    <w:rsid w:val="002F437C"/>
    <w:rsid w:val="00312DBE"/>
    <w:rsid w:val="00314D2E"/>
    <w:rsid w:val="00332907"/>
    <w:rsid w:val="003469F7"/>
    <w:rsid w:val="00365A66"/>
    <w:rsid w:val="003701DC"/>
    <w:rsid w:val="003859C0"/>
    <w:rsid w:val="0038624F"/>
    <w:rsid w:val="003B20FC"/>
    <w:rsid w:val="003C3B65"/>
    <w:rsid w:val="003C4A7F"/>
    <w:rsid w:val="003F13A0"/>
    <w:rsid w:val="004008ED"/>
    <w:rsid w:val="00402057"/>
    <w:rsid w:val="00416BF5"/>
    <w:rsid w:val="00426283"/>
    <w:rsid w:val="00432A87"/>
    <w:rsid w:val="004331BC"/>
    <w:rsid w:val="00442333"/>
    <w:rsid w:val="00442A76"/>
    <w:rsid w:val="0046005F"/>
    <w:rsid w:val="004661E3"/>
    <w:rsid w:val="0046781D"/>
    <w:rsid w:val="00467D2E"/>
    <w:rsid w:val="004A65AB"/>
    <w:rsid w:val="004B7A55"/>
    <w:rsid w:val="004C2A8D"/>
    <w:rsid w:val="004D5BA6"/>
    <w:rsid w:val="004E3C72"/>
    <w:rsid w:val="004E796F"/>
    <w:rsid w:val="004F498E"/>
    <w:rsid w:val="00500434"/>
    <w:rsid w:val="00504223"/>
    <w:rsid w:val="00557CEE"/>
    <w:rsid w:val="00572254"/>
    <w:rsid w:val="005748A9"/>
    <w:rsid w:val="00576EA5"/>
    <w:rsid w:val="005870CC"/>
    <w:rsid w:val="00593806"/>
    <w:rsid w:val="005E6419"/>
    <w:rsid w:val="006147E9"/>
    <w:rsid w:val="0063251A"/>
    <w:rsid w:val="00635620"/>
    <w:rsid w:val="00640A56"/>
    <w:rsid w:val="00663B0C"/>
    <w:rsid w:val="00666E59"/>
    <w:rsid w:val="00671052"/>
    <w:rsid w:val="00671610"/>
    <w:rsid w:val="00671E44"/>
    <w:rsid w:val="00673A52"/>
    <w:rsid w:val="0069318E"/>
    <w:rsid w:val="00713C36"/>
    <w:rsid w:val="00764216"/>
    <w:rsid w:val="00764EF5"/>
    <w:rsid w:val="007668EB"/>
    <w:rsid w:val="0077417E"/>
    <w:rsid w:val="00776F3A"/>
    <w:rsid w:val="00780180"/>
    <w:rsid w:val="00792540"/>
    <w:rsid w:val="007B5470"/>
    <w:rsid w:val="007C349E"/>
    <w:rsid w:val="007D665B"/>
    <w:rsid w:val="007D6B84"/>
    <w:rsid w:val="007D7E98"/>
    <w:rsid w:val="007E6D89"/>
    <w:rsid w:val="007E70D1"/>
    <w:rsid w:val="007F5FCD"/>
    <w:rsid w:val="00807B0C"/>
    <w:rsid w:val="00821A3F"/>
    <w:rsid w:val="00824CA7"/>
    <w:rsid w:val="0083259B"/>
    <w:rsid w:val="00835F74"/>
    <w:rsid w:val="00843EF2"/>
    <w:rsid w:val="00854112"/>
    <w:rsid w:val="00860E0B"/>
    <w:rsid w:val="00873566"/>
    <w:rsid w:val="00887299"/>
    <w:rsid w:val="0089469A"/>
    <w:rsid w:val="008B36F0"/>
    <w:rsid w:val="008B5D09"/>
    <w:rsid w:val="008B6615"/>
    <w:rsid w:val="008B793E"/>
    <w:rsid w:val="008C2C8D"/>
    <w:rsid w:val="008C4B91"/>
    <w:rsid w:val="009036FE"/>
    <w:rsid w:val="00967378"/>
    <w:rsid w:val="0098668B"/>
    <w:rsid w:val="00991641"/>
    <w:rsid w:val="009B0709"/>
    <w:rsid w:val="009B11AC"/>
    <w:rsid w:val="009E4F5F"/>
    <w:rsid w:val="009F7270"/>
    <w:rsid w:val="00A131C4"/>
    <w:rsid w:val="00A13260"/>
    <w:rsid w:val="00A254FF"/>
    <w:rsid w:val="00A30E07"/>
    <w:rsid w:val="00A33195"/>
    <w:rsid w:val="00A33511"/>
    <w:rsid w:val="00A35E42"/>
    <w:rsid w:val="00A51F83"/>
    <w:rsid w:val="00A67FEC"/>
    <w:rsid w:val="00A82B68"/>
    <w:rsid w:val="00A86300"/>
    <w:rsid w:val="00A864C2"/>
    <w:rsid w:val="00AA1055"/>
    <w:rsid w:val="00AB29DF"/>
    <w:rsid w:val="00AC1120"/>
    <w:rsid w:val="00AC1997"/>
    <w:rsid w:val="00AC3463"/>
    <w:rsid w:val="00AC5CB4"/>
    <w:rsid w:val="00AD5225"/>
    <w:rsid w:val="00AE3BCF"/>
    <w:rsid w:val="00AE4113"/>
    <w:rsid w:val="00B07A80"/>
    <w:rsid w:val="00B20775"/>
    <w:rsid w:val="00B24EC9"/>
    <w:rsid w:val="00B27ADD"/>
    <w:rsid w:val="00B31571"/>
    <w:rsid w:val="00B316D9"/>
    <w:rsid w:val="00B4243D"/>
    <w:rsid w:val="00B5509D"/>
    <w:rsid w:val="00BA32C4"/>
    <w:rsid w:val="00BA6B1D"/>
    <w:rsid w:val="00BB0FDF"/>
    <w:rsid w:val="00BB3A17"/>
    <w:rsid w:val="00BC6BC0"/>
    <w:rsid w:val="00BD1830"/>
    <w:rsid w:val="00C14963"/>
    <w:rsid w:val="00C20C62"/>
    <w:rsid w:val="00C25A6F"/>
    <w:rsid w:val="00C4044C"/>
    <w:rsid w:val="00C57B2F"/>
    <w:rsid w:val="00C94466"/>
    <w:rsid w:val="00CA0AED"/>
    <w:rsid w:val="00CC0AB6"/>
    <w:rsid w:val="00CE64F6"/>
    <w:rsid w:val="00D02A58"/>
    <w:rsid w:val="00D15BB9"/>
    <w:rsid w:val="00D266B6"/>
    <w:rsid w:val="00D44D65"/>
    <w:rsid w:val="00D46B2D"/>
    <w:rsid w:val="00D50C94"/>
    <w:rsid w:val="00D52C71"/>
    <w:rsid w:val="00D532E4"/>
    <w:rsid w:val="00D577C8"/>
    <w:rsid w:val="00D57C3E"/>
    <w:rsid w:val="00D61E1B"/>
    <w:rsid w:val="00D62BB6"/>
    <w:rsid w:val="00D646F1"/>
    <w:rsid w:val="00D8762F"/>
    <w:rsid w:val="00DE073E"/>
    <w:rsid w:val="00DE23D7"/>
    <w:rsid w:val="00DE29E7"/>
    <w:rsid w:val="00DE5689"/>
    <w:rsid w:val="00DE6CF3"/>
    <w:rsid w:val="00E00C4B"/>
    <w:rsid w:val="00E21941"/>
    <w:rsid w:val="00E25502"/>
    <w:rsid w:val="00E31959"/>
    <w:rsid w:val="00E60672"/>
    <w:rsid w:val="00E62DCE"/>
    <w:rsid w:val="00E77C08"/>
    <w:rsid w:val="00E85D19"/>
    <w:rsid w:val="00E93FD6"/>
    <w:rsid w:val="00EC225D"/>
    <w:rsid w:val="00EF6D2C"/>
    <w:rsid w:val="00F049F5"/>
    <w:rsid w:val="00F069F2"/>
    <w:rsid w:val="00F11099"/>
    <w:rsid w:val="00F12105"/>
    <w:rsid w:val="00F17BD2"/>
    <w:rsid w:val="00F324F2"/>
    <w:rsid w:val="00F33CDF"/>
    <w:rsid w:val="00F742D7"/>
    <w:rsid w:val="00F74682"/>
    <w:rsid w:val="00F808CC"/>
    <w:rsid w:val="00F90CA1"/>
    <w:rsid w:val="00FA6D1F"/>
    <w:rsid w:val="00FC2C86"/>
    <w:rsid w:val="00FC6B12"/>
    <w:rsid w:val="00FD40FB"/>
    <w:rsid w:val="00FE7908"/>
    <w:rsid w:val="00FF03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85791F"/>
  <w15:docId w15:val="{9D8605EA-ECFA-46D1-AAE7-0F07D1CAFD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D5D92"/>
    <w:pPr>
      <w:spacing w:after="0" w:line="240" w:lineRule="auto"/>
    </w:pPr>
    <w:rPr>
      <w:rFonts w:ascii="Arial Unicode MS" w:eastAsia="Calibri" w:hAnsi="Arial Unicode MS" w:cs="Arial Unicode MS"/>
      <w:color w:val="000000"/>
      <w:sz w:val="24"/>
      <w:szCs w:val="24"/>
      <w:lang w:val="ru-RU" w:eastAsia="ru-RU"/>
    </w:rPr>
  </w:style>
  <w:style w:type="paragraph" w:styleId="1">
    <w:name w:val="heading 1"/>
    <w:basedOn w:val="a"/>
    <w:link w:val="10"/>
    <w:uiPriority w:val="9"/>
    <w:qFormat/>
    <w:rsid w:val="000D5D92"/>
    <w:pPr>
      <w:spacing w:before="100" w:beforeAutospacing="1" w:after="100" w:afterAutospacing="1"/>
      <w:outlineLvl w:val="0"/>
    </w:pPr>
    <w:rPr>
      <w:rFonts w:ascii="Times New Roman" w:eastAsia="Times New Roman" w:hAnsi="Times New Roman" w:cs="Times New Roman"/>
      <w:b/>
      <w:bCs/>
      <w:color w:val="auto"/>
      <w:kern w:val="36"/>
      <w:sz w:val="48"/>
      <w:szCs w:val="48"/>
      <w:lang w:val="x-none"/>
    </w:rPr>
  </w:style>
  <w:style w:type="paragraph" w:styleId="2">
    <w:name w:val="heading 2"/>
    <w:basedOn w:val="a"/>
    <w:next w:val="a"/>
    <w:link w:val="20"/>
    <w:uiPriority w:val="9"/>
    <w:qFormat/>
    <w:rsid w:val="000D5D92"/>
    <w:pPr>
      <w:keepNext/>
      <w:spacing w:before="240" w:after="60" w:line="276" w:lineRule="auto"/>
      <w:outlineLvl w:val="1"/>
    </w:pPr>
    <w:rPr>
      <w:rFonts w:ascii="Cambria" w:eastAsia="Times New Roman" w:hAnsi="Cambria" w:cs="Times New Roman"/>
      <w:b/>
      <w:bCs/>
      <w:i/>
      <w:iCs/>
      <w:color w:val="auto"/>
      <w:sz w:val="28"/>
      <w:szCs w:val="28"/>
      <w:lang w:val="x-none" w:eastAsia="x-none"/>
    </w:rPr>
  </w:style>
  <w:style w:type="paragraph" w:styleId="3">
    <w:name w:val="heading 3"/>
    <w:basedOn w:val="a"/>
    <w:next w:val="a"/>
    <w:link w:val="30"/>
    <w:uiPriority w:val="9"/>
    <w:semiHidden/>
    <w:unhideWhenUsed/>
    <w:qFormat/>
    <w:rsid w:val="000D5D92"/>
    <w:pPr>
      <w:keepNext/>
      <w:keepLines/>
      <w:spacing w:before="200"/>
      <w:outlineLvl w:val="2"/>
    </w:pPr>
    <w:rPr>
      <w:rFonts w:asciiTheme="majorHAnsi" w:eastAsiaTheme="majorEastAsia" w:hAnsiTheme="majorHAnsi" w:cstheme="majorBidi"/>
      <w:b/>
      <w:bCs/>
      <w:color w:val="5B9BD5" w:themeColor="accent1"/>
    </w:rPr>
  </w:style>
  <w:style w:type="paragraph" w:styleId="6">
    <w:name w:val="heading 6"/>
    <w:basedOn w:val="a"/>
    <w:link w:val="60"/>
    <w:uiPriority w:val="9"/>
    <w:qFormat/>
    <w:rsid w:val="000D5D92"/>
    <w:pPr>
      <w:spacing w:before="100" w:beforeAutospacing="1" w:after="100" w:afterAutospacing="1"/>
      <w:outlineLvl w:val="5"/>
    </w:pPr>
    <w:rPr>
      <w:rFonts w:ascii="Times New Roman" w:eastAsia="Times New Roman" w:hAnsi="Times New Roman" w:cs="Times New Roman"/>
      <w:b/>
      <w:bCs/>
      <w:color w:val="auto"/>
      <w:sz w:val="15"/>
      <w:szCs w:val="15"/>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D5D92"/>
    <w:rPr>
      <w:rFonts w:ascii="Times New Roman" w:eastAsia="Times New Roman" w:hAnsi="Times New Roman" w:cs="Times New Roman"/>
      <w:b/>
      <w:bCs/>
      <w:kern w:val="36"/>
      <w:sz w:val="48"/>
      <w:szCs w:val="48"/>
      <w:lang w:val="x-none" w:eastAsia="ru-RU"/>
    </w:rPr>
  </w:style>
  <w:style w:type="character" w:customStyle="1" w:styleId="20">
    <w:name w:val="Заголовок 2 Знак"/>
    <w:basedOn w:val="a0"/>
    <w:link w:val="2"/>
    <w:uiPriority w:val="9"/>
    <w:rsid w:val="000D5D92"/>
    <w:rPr>
      <w:rFonts w:ascii="Cambria" w:eastAsia="Times New Roman" w:hAnsi="Cambria" w:cs="Times New Roman"/>
      <w:b/>
      <w:bCs/>
      <w:i/>
      <w:iCs/>
      <w:sz w:val="28"/>
      <w:szCs w:val="28"/>
      <w:lang w:val="x-none" w:eastAsia="x-none"/>
    </w:rPr>
  </w:style>
  <w:style w:type="character" w:customStyle="1" w:styleId="30">
    <w:name w:val="Заголовок 3 Знак"/>
    <w:basedOn w:val="a0"/>
    <w:link w:val="3"/>
    <w:uiPriority w:val="9"/>
    <w:semiHidden/>
    <w:rsid w:val="000D5D92"/>
    <w:rPr>
      <w:rFonts w:asciiTheme="majorHAnsi" w:eastAsiaTheme="majorEastAsia" w:hAnsiTheme="majorHAnsi" w:cstheme="majorBidi"/>
      <w:b/>
      <w:bCs/>
      <w:color w:val="5B9BD5" w:themeColor="accent1"/>
      <w:sz w:val="24"/>
      <w:szCs w:val="24"/>
      <w:lang w:val="ru-RU" w:eastAsia="ru-RU"/>
    </w:rPr>
  </w:style>
  <w:style w:type="character" w:customStyle="1" w:styleId="60">
    <w:name w:val="Заголовок 6 Знак"/>
    <w:basedOn w:val="a0"/>
    <w:link w:val="6"/>
    <w:uiPriority w:val="9"/>
    <w:rsid w:val="000D5D92"/>
    <w:rPr>
      <w:rFonts w:ascii="Times New Roman" w:eastAsia="Times New Roman" w:hAnsi="Times New Roman" w:cs="Times New Roman"/>
      <w:b/>
      <w:bCs/>
      <w:sz w:val="15"/>
      <w:szCs w:val="15"/>
      <w:lang w:val="x-none" w:eastAsia="ru-RU"/>
    </w:rPr>
  </w:style>
  <w:style w:type="paragraph" w:styleId="a3">
    <w:name w:val="List Paragraph"/>
    <w:basedOn w:val="a"/>
    <w:uiPriority w:val="34"/>
    <w:qFormat/>
    <w:rsid w:val="000D5D92"/>
    <w:pPr>
      <w:spacing w:line="360" w:lineRule="auto"/>
      <w:ind w:left="720"/>
    </w:pPr>
    <w:rPr>
      <w:color w:val="auto"/>
      <w:sz w:val="28"/>
      <w:szCs w:val="28"/>
      <w:lang w:eastAsia="en-US"/>
    </w:rPr>
  </w:style>
  <w:style w:type="character" w:customStyle="1" w:styleId="14">
    <w:name w:val="шрифт К 14"/>
    <w:rsid w:val="000D5D92"/>
    <w:rPr>
      <w:rFonts w:ascii="Times New Roman" w:hAnsi="Times New Roman" w:cs="Times New Roman"/>
      <w:i/>
      <w:iCs/>
      <w:sz w:val="28"/>
      <w:szCs w:val="28"/>
    </w:rPr>
  </w:style>
  <w:style w:type="paragraph" w:styleId="21">
    <w:name w:val="Body Text 2"/>
    <w:basedOn w:val="a"/>
    <w:link w:val="22"/>
    <w:rsid w:val="000D5D92"/>
    <w:pPr>
      <w:spacing w:after="120" w:line="480" w:lineRule="auto"/>
    </w:pPr>
    <w:rPr>
      <w:rFonts w:ascii="Calibri" w:eastAsia="Times New Roman" w:hAnsi="Calibri" w:cs="Calibri"/>
      <w:color w:val="auto"/>
      <w:sz w:val="22"/>
      <w:szCs w:val="22"/>
    </w:rPr>
  </w:style>
  <w:style w:type="character" w:customStyle="1" w:styleId="22">
    <w:name w:val="Основной текст 2 Знак"/>
    <w:basedOn w:val="a0"/>
    <w:link w:val="21"/>
    <w:rsid w:val="000D5D92"/>
    <w:rPr>
      <w:rFonts w:ascii="Calibri" w:eastAsia="Times New Roman" w:hAnsi="Calibri" w:cs="Calibri"/>
      <w:lang w:val="ru-RU" w:eastAsia="ru-RU"/>
    </w:rPr>
  </w:style>
  <w:style w:type="character" w:customStyle="1" w:styleId="11">
    <w:name w:val="Основной текст1"/>
    <w:rsid w:val="000D5D92"/>
    <w:rPr>
      <w:rFonts w:ascii="Times New Roman" w:hAnsi="Times New Roman" w:cs="Times New Roman"/>
      <w:spacing w:val="0"/>
      <w:sz w:val="20"/>
      <w:szCs w:val="20"/>
      <w:shd w:val="clear" w:color="auto" w:fill="FFFFFF"/>
    </w:rPr>
  </w:style>
  <w:style w:type="character" w:customStyle="1" w:styleId="23">
    <w:name w:val="Основной текст (23)_"/>
    <w:link w:val="230"/>
    <w:locked/>
    <w:rsid w:val="000D5D92"/>
    <w:rPr>
      <w:rFonts w:ascii="Arial" w:hAnsi="Arial" w:cs="Arial"/>
      <w:sz w:val="17"/>
      <w:szCs w:val="17"/>
      <w:shd w:val="clear" w:color="auto" w:fill="FFFFFF"/>
    </w:rPr>
  </w:style>
  <w:style w:type="paragraph" w:customStyle="1" w:styleId="230">
    <w:name w:val="Основной текст (23)"/>
    <w:basedOn w:val="a"/>
    <w:link w:val="23"/>
    <w:rsid w:val="000D5D92"/>
    <w:pPr>
      <w:shd w:val="clear" w:color="auto" w:fill="FFFFFF"/>
      <w:spacing w:after="60" w:line="240" w:lineRule="atLeast"/>
    </w:pPr>
    <w:rPr>
      <w:rFonts w:ascii="Arial" w:eastAsiaTheme="minorHAnsi" w:hAnsi="Arial" w:cs="Arial"/>
      <w:color w:val="auto"/>
      <w:sz w:val="17"/>
      <w:szCs w:val="17"/>
      <w:lang w:val="en-US" w:eastAsia="en-US"/>
    </w:rPr>
  </w:style>
  <w:style w:type="paragraph" w:styleId="a4">
    <w:name w:val="Normal (Web)"/>
    <w:basedOn w:val="a"/>
    <w:uiPriority w:val="99"/>
    <w:rsid w:val="000D5D92"/>
    <w:pPr>
      <w:spacing w:before="100" w:beforeAutospacing="1" w:after="100" w:afterAutospacing="1"/>
    </w:pPr>
    <w:rPr>
      <w:rFonts w:ascii="Times New Roman" w:eastAsia="Times New Roman" w:hAnsi="Times New Roman" w:cs="Times New Roman"/>
      <w:color w:val="auto"/>
      <w:lang w:val="uk-UA"/>
    </w:rPr>
  </w:style>
  <w:style w:type="character" w:styleId="a5">
    <w:name w:val="Hyperlink"/>
    <w:uiPriority w:val="99"/>
    <w:rsid w:val="000D5D92"/>
    <w:rPr>
      <w:color w:val="0000FF"/>
      <w:u w:val="single"/>
    </w:rPr>
  </w:style>
  <w:style w:type="paragraph" w:customStyle="1" w:styleId="a6">
    <w:name w:val="Гост"/>
    <w:basedOn w:val="a"/>
    <w:rsid w:val="000D5D92"/>
    <w:pPr>
      <w:widowControl w:val="0"/>
      <w:autoSpaceDE w:val="0"/>
      <w:autoSpaceDN w:val="0"/>
      <w:spacing w:line="474" w:lineRule="atLeast"/>
      <w:ind w:firstLine="680"/>
      <w:jc w:val="both"/>
    </w:pPr>
    <w:rPr>
      <w:rFonts w:ascii="Times New Roman" w:eastAsia="Times New Roman" w:hAnsi="Times New Roman" w:cs="Times New Roman"/>
      <w:color w:val="auto"/>
      <w:spacing w:val="6"/>
      <w:kern w:val="28"/>
      <w:sz w:val="28"/>
      <w:szCs w:val="28"/>
      <w:lang w:val="uk-UA" w:eastAsia="uk-UA"/>
    </w:rPr>
  </w:style>
  <w:style w:type="character" w:customStyle="1" w:styleId="a7">
    <w:name w:val="Основной текст_"/>
    <w:link w:val="220"/>
    <w:locked/>
    <w:rsid w:val="000D5D92"/>
    <w:rPr>
      <w:rFonts w:ascii="Times New Roman" w:hAnsi="Times New Roman" w:cs="Times New Roman"/>
      <w:sz w:val="27"/>
      <w:szCs w:val="27"/>
      <w:shd w:val="clear" w:color="auto" w:fill="FFFFFF"/>
    </w:rPr>
  </w:style>
  <w:style w:type="paragraph" w:customStyle="1" w:styleId="220">
    <w:name w:val="Основной текст22"/>
    <w:basedOn w:val="a"/>
    <w:link w:val="a7"/>
    <w:rsid w:val="000D5D92"/>
    <w:pPr>
      <w:widowControl w:val="0"/>
      <w:shd w:val="clear" w:color="auto" w:fill="FFFFFF"/>
      <w:spacing w:after="720" w:line="326" w:lineRule="exact"/>
      <w:ind w:hanging="1760"/>
      <w:jc w:val="center"/>
    </w:pPr>
    <w:rPr>
      <w:rFonts w:ascii="Times New Roman" w:eastAsiaTheme="minorHAnsi" w:hAnsi="Times New Roman" w:cs="Times New Roman"/>
      <w:color w:val="auto"/>
      <w:sz w:val="27"/>
      <w:szCs w:val="27"/>
      <w:lang w:val="en-US" w:eastAsia="en-US"/>
    </w:rPr>
  </w:style>
  <w:style w:type="paragraph" w:customStyle="1" w:styleId="210">
    <w:name w:val="Основной текст (2)1"/>
    <w:basedOn w:val="a"/>
    <w:link w:val="24"/>
    <w:uiPriority w:val="99"/>
    <w:rsid w:val="000D5D92"/>
    <w:pPr>
      <w:widowControl w:val="0"/>
      <w:shd w:val="clear" w:color="auto" w:fill="FFFFFF"/>
      <w:spacing w:line="1142" w:lineRule="exact"/>
      <w:jc w:val="center"/>
    </w:pPr>
    <w:rPr>
      <w:rFonts w:cs="Times New Roman"/>
      <w:b/>
      <w:bCs/>
      <w:color w:val="auto"/>
      <w:sz w:val="27"/>
      <w:szCs w:val="27"/>
    </w:rPr>
  </w:style>
  <w:style w:type="character" w:customStyle="1" w:styleId="24">
    <w:name w:val="Основной текст (2)_"/>
    <w:link w:val="210"/>
    <w:uiPriority w:val="99"/>
    <w:locked/>
    <w:rsid w:val="000D5D92"/>
    <w:rPr>
      <w:rFonts w:ascii="Arial Unicode MS" w:eastAsia="Calibri" w:hAnsi="Arial Unicode MS" w:cs="Times New Roman"/>
      <w:b/>
      <w:bCs/>
      <w:sz w:val="27"/>
      <w:szCs w:val="27"/>
      <w:shd w:val="clear" w:color="auto" w:fill="FFFFFF"/>
      <w:lang w:val="ru-RU" w:eastAsia="ru-RU"/>
    </w:rPr>
  </w:style>
  <w:style w:type="character" w:styleId="a8">
    <w:name w:val="Emphasis"/>
    <w:qFormat/>
    <w:rsid w:val="000D5D92"/>
    <w:rPr>
      <w:i/>
      <w:iCs/>
    </w:rPr>
  </w:style>
  <w:style w:type="paragraph" w:styleId="a9">
    <w:name w:val="Body Text"/>
    <w:basedOn w:val="a"/>
    <w:link w:val="aa"/>
    <w:uiPriority w:val="99"/>
    <w:rsid w:val="000D5D92"/>
    <w:pPr>
      <w:spacing w:after="120" w:line="276" w:lineRule="auto"/>
    </w:pPr>
    <w:rPr>
      <w:rFonts w:ascii="Calibri" w:eastAsia="Times New Roman" w:hAnsi="Calibri" w:cs="Calibri"/>
      <w:color w:val="auto"/>
      <w:sz w:val="22"/>
      <w:szCs w:val="22"/>
      <w:lang w:val="uk-UA" w:eastAsia="uk-UA"/>
    </w:rPr>
  </w:style>
  <w:style w:type="character" w:customStyle="1" w:styleId="aa">
    <w:name w:val="Основной текст Знак"/>
    <w:basedOn w:val="a0"/>
    <w:link w:val="a9"/>
    <w:uiPriority w:val="99"/>
    <w:rsid w:val="000D5D92"/>
    <w:rPr>
      <w:rFonts w:ascii="Calibri" w:eastAsia="Times New Roman" w:hAnsi="Calibri" w:cs="Calibri"/>
      <w:lang w:val="uk-UA" w:eastAsia="uk-UA"/>
    </w:rPr>
  </w:style>
  <w:style w:type="character" w:customStyle="1" w:styleId="31">
    <w:name w:val="Основной текст (3)"/>
    <w:rsid w:val="000D5D92"/>
    <w:rPr>
      <w:rFonts w:ascii="Times New Roman" w:hAnsi="Times New Roman" w:cs="Times New Roman"/>
      <w:spacing w:val="0"/>
      <w:sz w:val="24"/>
      <w:szCs w:val="24"/>
    </w:rPr>
  </w:style>
  <w:style w:type="character" w:customStyle="1" w:styleId="ab">
    <w:name w:val="Основной текст + Курсив"/>
    <w:rsid w:val="000D5D92"/>
    <w:rPr>
      <w:rFonts w:ascii="Times New Roman" w:hAnsi="Times New Roman" w:cs="Times New Roman"/>
      <w:i/>
      <w:iCs/>
      <w:spacing w:val="0"/>
      <w:sz w:val="20"/>
      <w:szCs w:val="20"/>
      <w:shd w:val="clear" w:color="auto" w:fill="FFFFFF"/>
      <w:lang w:val="en-US"/>
    </w:rPr>
  </w:style>
  <w:style w:type="character" w:customStyle="1" w:styleId="element-citation">
    <w:name w:val="element-citation"/>
    <w:basedOn w:val="a0"/>
    <w:uiPriority w:val="99"/>
    <w:rsid w:val="000D5D92"/>
  </w:style>
  <w:style w:type="character" w:customStyle="1" w:styleId="34">
    <w:name w:val="Основной текст (34) + Курсив"/>
    <w:uiPriority w:val="99"/>
    <w:rsid w:val="000D5D92"/>
    <w:rPr>
      <w:rFonts w:ascii="Times New Roman" w:hAnsi="Times New Roman" w:cs="Times New Roman"/>
      <w:i/>
      <w:iCs/>
      <w:spacing w:val="0"/>
      <w:sz w:val="20"/>
      <w:szCs w:val="20"/>
      <w:lang w:val="en-US"/>
    </w:rPr>
  </w:style>
  <w:style w:type="character" w:customStyle="1" w:styleId="ref-journal">
    <w:name w:val="ref-journal"/>
    <w:basedOn w:val="a0"/>
    <w:rsid w:val="000D5D92"/>
  </w:style>
  <w:style w:type="character" w:customStyle="1" w:styleId="mixed-citation">
    <w:name w:val="mixed-citation"/>
    <w:basedOn w:val="a0"/>
    <w:uiPriority w:val="99"/>
    <w:rsid w:val="000D5D92"/>
  </w:style>
  <w:style w:type="character" w:customStyle="1" w:styleId="210pt">
    <w:name w:val="Основной текст (2) + 10 pt"/>
    <w:aliases w:val="Курсив1"/>
    <w:rsid w:val="000D5D92"/>
    <w:rPr>
      <w:rFonts w:ascii="Times New Roman" w:hAnsi="Times New Roman" w:cs="Times New Roman"/>
      <w:i/>
      <w:iCs/>
      <w:spacing w:val="0"/>
      <w:sz w:val="20"/>
      <w:szCs w:val="20"/>
    </w:rPr>
  </w:style>
  <w:style w:type="character" w:customStyle="1" w:styleId="MicrosoftSansSerif">
    <w:name w:val="Основной текст + Microsoft Sans Serif"/>
    <w:aliases w:val="6,5 pt4"/>
    <w:uiPriority w:val="99"/>
    <w:rsid w:val="000D5D92"/>
    <w:rPr>
      <w:rFonts w:ascii="Microsoft Sans Serif" w:hAnsi="Microsoft Sans Serif" w:cs="Microsoft Sans Serif"/>
      <w:spacing w:val="0"/>
      <w:sz w:val="13"/>
      <w:szCs w:val="13"/>
      <w:shd w:val="clear" w:color="auto" w:fill="FFFFFF"/>
    </w:rPr>
  </w:style>
  <w:style w:type="character" w:customStyle="1" w:styleId="ref-title">
    <w:name w:val="ref-title"/>
    <w:basedOn w:val="a0"/>
    <w:rsid w:val="000D5D92"/>
  </w:style>
  <w:style w:type="character" w:customStyle="1" w:styleId="notranslate">
    <w:name w:val="notranslate"/>
    <w:rsid w:val="000D5D92"/>
  </w:style>
  <w:style w:type="character" w:customStyle="1" w:styleId="711pt">
    <w:name w:val="Основной текст (7) + 11 pt;Курсив"/>
    <w:rsid w:val="000D5D92"/>
    <w:rPr>
      <w:rFonts w:ascii="Times New Roman" w:eastAsia="Times New Roman" w:hAnsi="Times New Roman" w:cs="Times New Roman"/>
      <w:b w:val="0"/>
      <w:bCs w:val="0"/>
      <w:i/>
      <w:iCs/>
      <w:smallCaps w:val="0"/>
      <w:strike w:val="0"/>
      <w:spacing w:val="0"/>
      <w:sz w:val="22"/>
      <w:szCs w:val="22"/>
    </w:rPr>
  </w:style>
  <w:style w:type="character" w:customStyle="1" w:styleId="33FranklinGothicHeavy10pt">
    <w:name w:val="Основной текст (33) + Franklin Gothic Heavy;10 pt;Курсив"/>
    <w:rsid w:val="000D5D92"/>
    <w:rPr>
      <w:rFonts w:ascii="Franklin Gothic Heavy" w:eastAsia="Franklin Gothic Heavy" w:hAnsi="Franklin Gothic Heavy" w:cs="Franklin Gothic Heavy"/>
      <w:b w:val="0"/>
      <w:bCs w:val="0"/>
      <w:i/>
      <w:iCs/>
      <w:smallCaps w:val="0"/>
      <w:strike w:val="0"/>
      <w:spacing w:val="0"/>
      <w:sz w:val="20"/>
      <w:szCs w:val="20"/>
      <w:shd w:val="clear" w:color="auto" w:fill="FFFFFF"/>
    </w:rPr>
  </w:style>
  <w:style w:type="character" w:customStyle="1" w:styleId="3TimesNewRoman75pt">
    <w:name w:val="Подпись к таблице (3) + Times New Roman;7;5 pt"/>
    <w:rsid w:val="000D5D92"/>
    <w:rPr>
      <w:rFonts w:ascii="Times New Roman" w:eastAsia="Times New Roman" w:hAnsi="Times New Roman" w:cs="Times New Roman"/>
      <w:sz w:val="15"/>
      <w:szCs w:val="15"/>
      <w:shd w:val="clear" w:color="auto" w:fill="FFFFFF"/>
    </w:rPr>
  </w:style>
  <w:style w:type="paragraph" w:styleId="ac">
    <w:name w:val="No Spacing"/>
    <w:link w:val="ad"/>
    <w:uiPriority w:val="1"/>
    <w:qFormat/>
    <w:rsid w:val="000D5D92"/>
    <w:pPr>
      <w:spacing w:after="0" w:line="240" w:lineRule="auto"/>
    </w:pPr>
    <w:rPr>
      <w:lang w:val="uk-UA"/>
    </w:rPr>
  </w:style>
  <w:style w:type="character" w:customStyle="1" w:styleId="ad">
    <w:name w:val="Без интервала Знак"/>
    <w:link w:val="ac"/>
    <w:uiPriority w:val="1"/>
    <w:rsid w:val="000D5D92"/>
    <w:rPr>
      <w:lang w:val="uk-UA"/>
    </w:rPr>
  </w:style>
  <w:style w:type="paragraph" w:styleId="ae">
    <w:name w:val="header"/>
    <w:basedOn w:val="a"/>
    <w:link w:val="af"/>
    <w:uiPriority w:val="99"/>
    <w:unhideWhenUsed/>
    <w:rsid w:val="000D5D92"/>
    <w:pPr>
      <w:widowControl w:val="0"/>
      <w:tabs>
        <w:tab w:val="center" w:pos="4677"/>
        <w:tab w:val="right" w:pos="9355"/>
      </w:tabs>
      <w:autoSpaceDE w:val="0"/>
      <w:autoSpaceDN w:val="0"/>
      <w:adjustRightInd w:val="0"/>
    </w:pPr>
    <w:rPr>
      <w:rFonts w:ascii="Times New Roman" w:eastAsia="Times New Roman" w:hAnsi="Times New Roman" w:cs="Times New Roman"/>
      <w:color w:val="auto"/>
      <w:sz w:val="20"/>
      <w:szCs w:val="20"/>
      <w:lang w:val="x-none"/>
    </w:rPr>
  </w:style>
  <w:style w:type="character" w:customStyle="1" w:styleId="af">
    <w:name w:val="Верхний колонтитул Знак"/>
    <w:basedOn w:val="a0"/>
    <w:link w:val="ae"/>
    <w:uiPriority w:val="99"/>
    <w:rsid w:val="000D5D92"/>
    <w:rPr>
      <w:rFonts w:ascii="Times New Roman" w:eastAsia="Times New Roman" w:hAnsi="Times New Roman" w:cs="Times New Roman"/>
      <w:sz w:val="20"/>
      <w:szCs w:val="20"/>
      <w:lang w:val="x-none" w:eastAsia="ru-RU"/>
    </w:rPr>
  </w:style>
  <w:style w:type="character" w:customStyle="1" w:styleId="af0">
    <w:name w:val="Основной текст с отступом Знак"/>
    <w:basedOn w:val="a0"/>
    <w:link w:val="af1"/>
    <w:semiHidden/>
    <w:rsid w:val="000D5D92"/>
    <w:rPr>
      <w:rFonts w:ascii="Times New Roman" w:eastAsia="Times New Roman" w:hAnsi="Times New Roman" w:cs="Times New Roman"/>
      <w:sz w:val="28"/>
      <w:szCs w:val="20"/>
      <w:lang w:val="uk-UA" w:eastAsia="ru-RU"/>
    </w:rPr>
  </w:style>
  <w:style w:type="paragraph" w:styleId="af1">
    <w:name w:val="Body Text Indent"/>
    <w:basedOn w:val="a"/>
    <w:link w:val="af0"/>
    <w:semiHidden/>
    <w:unhideWhenUsed/>
    <w:rsid w:val="000D5D92"/>
    <w:pPr>
      <w:spacing w:line="360" w:lineRule="auto"/>
      <w:ind w:firstLine="720"/>
      <w:jc w:val="both"/>
    </w:pPr>
    <w:rPr>
      <w:rFonts w:ascii="Times New Roman" w:eastAsia="Times New Roman" w:hAnsi="Times New Roman" w:cs="Times New Roman"/>
      <w:color w:val="auto"/>
      <w:sz w:val="28"/>
      <w:szCs w:val="20"/>
      <w:lang w:val="uk-UA"/>
    </w:rPr>
  </w:style>
  <w:style w:type="character" w:customStyle="1" w:styleId="12">
    <w:name w:val="Основной текст с отступом Знак1"/>
    <w:basedOn w:val="a0"/>
    <w:uiPriority w:val="99"/>
    <w:semiHidden/>
    <w:rsid w:val="000D5D92"/>
    <w:rPr>
      <w:rFonts w:ascii="Arial Unicode MS" w:eastAsia="Calibri" w:hAnsi="Arial Unicode MS" w:cs="Arial Unicode MS"/>
      <w:color w:val="000000"/>
      <w:sz w:val="24"/>
      <w:szCs w:val="24"/>
      <w:lang w:val="ru-RU" w:eastAsia="ru-RU"/>
    </w:rPr>
  </w:style>
  <w:style w:type="character" w:customStyle="1" w:styleId="apple-converted-space">
    <w:name w:val="apple-converted-space"/>
    <w:basedOn w:val="a0"/>
    <w:rsid w:val="000D5D92"/>
  </w:style>
  <w:style w:type="character" w:styleId="af2">
    <w:name w:val="Strong"/>
    <w:uiPriority w:val="22"/>
    <w:qFormat/>
    <w:rsid w:val="000D5D92"/>
    <w:rPr>
      <w:b/>
      <w:bCs/>
    </w:rPr>
  </w:style>
  <w:style w:type="character" w:customStyle="1" w:styleId="af3">
    <w:name w:val="Текст выноски Знак"/>
    <w:basedOn w:val="a0"/>
    <w:link w:val="af4"/>
    <w:uiPriority w:val="99"/>
    <w:semiHidden/>
    <w:rsid w:val="000D5D92"/>
    <w:rPr>
      <w:rFonts w:ascii="Tahoma" w:eastAsia="Calibri" w:hAnsi="Tahoma" w:cs="Times New Roman"/>
      <w:sz w:val="16"/>
      <w:szCs w:val="16"/>
      <w:lang w:val="x-none" w:eastAsia="x-none"/>
    </w:rPr>
  </w:style>
  <w:style w:type="paragraph" w:styleId="af4">
    <w:name w:val="Balloon Text"/>
    <w:basedOn w:val="a"/>
    <w:link w:val="af3"/>
    <w:uiPriority w:val="99"/>
    <w:semiHidden/>
    <w:unhideWhenUsed/>
    <w:rsid w:val="000D5D92"/>
    <w:rPr>
      <w:rFonts w:ascii="Tahoma" w:hAnsi="Tahoma" w:cs="Times New Roman"/>
      <w:color w:val="auto"/>
      <w:sz w:val="16"/>
      <w:szCs w:val="16"/>
      <w:lang w:val="x-none" w:eastAsia="x-none"/>
    </w:rPr>
  </w:style>
  <w:style w:type="character" w:customStyle="1" w:styleId="13">
    <w:name w:val="Текст выноски Знак1"/>
    <w:basedOn w:val="a0"/>
    <w:uiPriority w:val="99"/>
    <w:semiHidden/>
    <w:rsid w:val="000D5D92"/>
    <w:rPr>
      <w:rFonts w:ascii="Segoe UI" w:eastAsia="Calibri" w:hAnsi="Segoe UI" w:cs="Segoe UI"/>
      <w:color w:val="000000"/>
      <w:sz w:val="18"/>
      <w:szCs w:val="18"/>
      <w:lang w:val="ru-RU" w:eastAsia="ru-RU"/>
    </w:rPr>
  </w:style>
  <w:style w:type="character" w:customStyle="1" w:styleId="af5">
    <w:name w:val="Нижний колонтитул Знак"/>
    <w:basedOn w:val="a0"/>
    <w:link w:val="af6"/>
    <w:uiPriority w:val="99"/>
    <w:rsid w:val="000D5D92"/>
    <w:rPr>
      <w:rFonts w:ascii="Times New Roman" w:eastAsia="Times New Roman" w:hAnsi="Times New Roman" w:cs="Times New Roman"/>
      <w:sz w:val="20"/>
      <w:szCs w:val="20"/>
      <w:lang w:val="x-none" w:eastAsia="ru-RU"/>
    </w:rPr>
  </w:style>
  <w:style w:type="paragraph" w:styleId="af6">
    <w:name w:val="footer"/>
    <w:basedOn w:val="a"/>
    <w:link w:val="af5"/>
    <w:uiPriority w:val="99"/>
    <w:unhideWhenUsed/>
    <w:rsid w:val="000D5D92"/>
    <w:pPr>
      <w:widowControl w:val="0"/>
      <w:tabs>
        <w:tab w:val="center" w:pos="4677"/>
        <w:tab w:val="right" w:pos="9355"/>
      </w:tabs>
      <w:autoSpaceDE w:val="0"/>
      <w:autoSpaceDN w:val="0"/>
      <w:adjustRightInd w:val="0"/>
    </w:pPr>
    <w:rPr>
      <w:rFonts w:ascii="Times New Roman" w:eastAsia="Times New Roman" w:hAnsi="Times New Roman" w:cs="Times New Roman"/>
      <w:color w:val="auto"/>
      <w:sz w:val="20"/>
      <w:szCs w:val="20"/>
      <w:lang w:val="x-none"/>
    </w:rPr>
  </w:style>
  <w:style w:type="character" w:customStyle="1" w:styleId="15">
    <w:name w:val="Нижний колонтитул Знак1"/>
    <w:basedOn w:val="a0"/>
    <w:uiPriority w:val="99"/>
    <w:semiHidden/>
    <w:rsid w:val="000D5D92"/>
    <w:rPr>
      <w:rFonts w:ascii="Arial Unicode MS" w:eastAsia="Calibri" w:hAnsi="Arial Unicode MS" w:cs="Arial Unicode MS"/>
      <w:color w:val="000000"/>
      <w:sz w:val="24"/>
      <w:szCs w:val="24"/>
      <w:lang w:val="ru-RU" w:eastAsia="ru-RU"/>
    </w:rPr>
  </w:style>
  <w:style w:type="character" w:customStyle="1" w:styleId="contenttype">
    <w:name w:val="contenttype"/>
    <w:basedOn w:val="a0"/>
    <w:rsid w:val="000D5D92"/>
  </w:style>
  <w:style w:type="character" w:customStyle="1" w:styleId="separator">
    <w:name w:val="separator"/>
    <w:basedOn w:val="a0"/>
    <w:rsid w:val="000D5D92"/>
  </w:style>
  <w:style w:type="character" w:customStyle="1" w:styleId="contentdate">
    <w:name w:val="contentdate"/>
    <w:basedOn w:val="a0"/>
    <w:rsid w:val="000D5D92"/>
  </w:style>
  <w:style w:type="character" w:customStyle="1" w:styleId="epub">
    <w:name w:val="epub"/>
    <w:basedOn w:val="a0"/>
    <w:rsid w:val="000D5D92"/>
  </w:style>
  <w:style w:type="character" w:customStyle="1" w:styleId="month">
    <w:name w:val="month"/>
    <w:basedOn w:val="a0"/>
    <w:rsid w:val="000D5D92"/>
  </w:style>
  <w:style w:type="character" w:customStyle="1" w:styleId="year">
    <w:name w:val="year"/>
    <w:basedOn w:val="a0"/>
    <w:rsid w:val="000D5D92"/>
  </w:style>
  <w:style w:type="character" w:customStyle="1" w:styleId="flag">
    <w:name w:val="flag"/>
    <w:basedOn w:val="a0"/>
    <w:rsid w:val="000D5D92"/>
  </w:style>
  <w:style w:type="character" w:customStyle="1" w:styleId="authornames">
    <w:name w:val="authornames"/>
    <w:basedOn w:val="a0"/>
    <w:rsid w:val="000D5D92"/>
  </w:style>
  <w:style w:type="character" w:customStyle="1" w:styleId="spanplus">
    <w:name w:val="spanplus"/>
    <w:basedOn w:val="a0"/>
    <w:rsid w:val="000D5D92"/>
  </w:style>
  <w:style w:type="character" w:customStyle="1" w:styleId="abstract">
    <w:name w:val="abstract"/>
    <w:basedOn w:val="a0"/>
    <w:rsid w:val="000D5D92"/>
  </w:style>
  <w:style w:type="character" w:customStyle="1" w:styleId="paragraph">
    <w:name w:val="paragraph"/>
    <w:basedOn w:val="a0"/>
    <w:rsid w:val="000D5D92"/>
  </w:style>
  <w:style w:type="paragraph" w:customStyle="1" w:styleId="para">
    <w:name w:val="para"/>
    <w:basedOn w:val="a"/>
    <w:rsid w:val="000D5D92"/>
    <w:pPr>
      <w:spacing w:before="100" w:beforeAutospacing="1" w:after="100" w:afterAutospacing="1"/>
    </w:pPr>
    <w:rPr>
      <w:rFonts w:ascii="Times New Roman" w:eastAsia="Times New Roman" w:hAnsi="Times New Roman" w:cs="Times New Roman"/>
      <w:color w:val="auto"/>
    </w:rPr>
  </w:style>
  <w:style w:type="character" w:customStyle="1" w:styleId="lblsubtitle">
    <w:name w:val="lblsubtitle"/>
    <w:basedOn w:val="a0"/>
    <w:rsid w:val="000D5D92"/>
  </w:style>
  <w:style w:type="character" w:customStyle="1" w:styleId="figure">
    <w:name w:val="figure"/>
    <w:basedOn w:val="a0"/>
    <w:rsid w:val="000D5D92"/>
  </w:style>
  <w:style w:type="character" w:customStyle="1" w:styleId="enlargeimage">
    <w:name w:val="enlargeimage"/>
    <w:basedOn w:val="a0"/>
    <w:rsid w:val="000D5D92"/>
  </w:style>
  <w:style w:type="character" w:customStyle="1" w:styleId="inlinefigureimagecontainer">
    <w:name w:val="inlinefigureimagecontainer"/>
    <w:basedOn w:val="a0"/>
    <w:rsid w:val="000D5D92"/>
  </w:style>
  <w:style w:type="character" w:customStyle="1" w:styleId="vbarsave">
    <w:name w:val="vbarsave"/>
    <w:basedOn w:val="a0"/>
    <w:rsid w:val="000D5D92"/>
  </w:style>
  <w:style w:type="character" w:customStyle="1" w:styleId="vbardownload">
    <w:name w:val="vbardownload"/>
    <w:basedOn w:val="a0"/>
    <w:rsid w:val="000D5D92"/>
  </w:style>
  <w:style w:type="character" w:customStyle="1" w:styleId="table">
    <w:name w:val="table"/>
    <w:basedOn w:val="a0"/>
    <w:rsid w:val="000D5D92"/>
  </w:style>
  <w:style w:type="character" w:customStyle="1" w:styleId="tablelabel">
    <w:name w:val="tablelabel"/>
    <w:basedOn w:val="a0"/>
    <w:rsid w:val="000D5D92"/>
  </w:style>
  <w:style w:type="character" w:customStyle="1" w:styleId="tablecaption">
    <w:name w:val="tablecaption"/>
    <w:basedOn w:val="a0"/>
    <w:rsid w:val="000D5D92"/>
  </w:style>
  <w:style w:type="character" w:customStyle="1" w:styleId="references">
    <w:name w:val="references"/>
    <w:basedOn w:val="a0"/>
    <w:rsid w:val="000D5D92"/>
  </w:style>
  <w:style w:type="character" w:customStyle="1" w:styleId="crossrefdoi">
    <w:name w:val="crossrefdoi"/>
    <w:basedOn w:val="a0"/>
    <w:rsid w:val="000D5D92"/>
  </w:style>
  <w:style w:type="character" w:customStyle="1" w:styleId="pubmedlink">
    <w:name w:val="pubmedlink"/>
    <w:basedOn w:val="a0"/>
    <w:rsid w:val="000D5D92"/>
  </w:style>
  <w:style w:type="character" w:customStyle="1" w:styleId="collaboration">
    <w:name w:val="collaboration"/>
    <w:basedOn w:val="a0"/>
    <w:rsid w:val="000D5D92"/>
  </w:style>
  <w:style w:type="character" w:customStyle="1" w:styleId="highlight">
    <w:name w:val="highlight"/>
    <w:basedOn w:val="a0"/>
    <w:rsid w:val="000D5D92"/>
  </w:style>
  <w:style w:type="paragraph" w:styleId="25">
    <w:name w:val="Body Text Indent 2"/>
    <w:basedOn w:val="a"/>
    <w:link w:val="26"/>
    <w:unhideWhenUsed/>
    <w:rsid w:val="000D5D92"/>
    <w:pPr>
      <w:spacing w:after="120" w:line="480" w:lineRule="auto"/>
      <w:ind w:left="283"/>
    </w:pPr>
    <w:rPr>
      <w:rFonts w:ascii="Times New Roman" w:eastAsia="Times New Roman" w:hAnsi="Times New Roman" w:cs="Times New Roman"/>
      <w:color w:val="auto"/>
      <w:sz w:val="20"/>
      <w:szCs w:val="20"/>
    </w:rPr>
  </w:style>
  <w:style w:type="character" w:customStyle="1" w:styleId="26">
    <w:name w:val="Основной текст с отступом 2 Знак"/>
    <w:basedOn w:val="a0"/>
    <w:link w:val="25"/>
    <w:rsid w:val="000D5D92"/>
    <w:rPr>
      <w:rFonts w:ascii="Times New Roman" w:eastAsia="Times New Roman" w:hAnsi="Times New Roman" w:cs="Times New Roman"/>
      <w:sz w:val="20"/>
      <w:szCs w:val="20"/>
      <w:lang w:val="ru-RU" w:eastAsia="ru-RU"/>
    </w:rPr>
  </w:style>
  <w:style w:type="character" w:customStyle="1" w:styleId="HTML">
    <w:name w:val="Стандартный HTML Знак"/>
    <w:basedOn w:val="a0"/>
    <w:link w:val="HTML0"/>
    <w:uiPriority w:val="99"/>
    <w:rsid w:val="000D5D92"/>
    <w:rPr>
      <w:rFonts w:ascii="Courier New" w:eastAsia="Times New Roman" w:hAnsi="Courier New" w:cs="Courier New"/>
      <w:sz w:val="20"/>
      <w:szCs w:val="20"/>
      <w:lang w:val="uk-UA" w:eastAsia="uk-UA"/>
    </w:rPr>
  </w:style>
  <w:style w:type="paragraph" w:styleId="HTML0">
    <w:name w:val="HTML Preformatted"/>
    <w:basedOn w:val="a"/>
    <w:link w:val="HTML"/>
    <w:uiPriority w:val="99"/>
    <w:unhideWhenUsed/>
    <w:rsid w:val="000D5D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lang w:val="uk-UA" w:eastAsia="uk-UA"/>
    </w:rPr>
  </w:style>
  <w:style w:type="character" w:customStyle="1" w:styleId="HTML1">
    <w:name w:val="Стандартный HTML Знак1"/>
    <w:basedOn w:val="a0"/>
    <w:uiPriority w:val="99"/>
    <w:semiHidden/>
    <w:rsid w:val="000D5D92"/>
    <w:rPr>
      <w:rFonts w:ascii="Consolas" w:eastAsia="Calibri" w:hAnsi="Consolas" w:cs="Arial Unicode MS"/>
      <w:color w:val="000000"/>
      <w:sz w:val="20"/>
      <w:szCs w:val="20"/>
      <w:lang w:val="ru-RU" w:eastAsia="ru-RU"/>
    </w:rPr>
  </w:style>
  <w:style w:type="character" w:customStyle="1" w:styleId="slug-pub-date">
    <w:name w:val="slug-pub-date"/>
    <w:basedOn w:val="a0"/>
    <w:rsid w:val="000D5D92"/>
  </w:style>
  <w:style w:type="character" w:customStyle="1" w:styleId="slug-vol">
    <w:name w:val="slug-vol"/>
    <w:basedOn w:val="a0"/>
    <w:rsid w:val="000D5D92"/>
  </w:style>
  <w:style w:type="character" w:customStyle="1" w:styleId="slug-pages">
    <w:name w:val="slug-pages"/>
    <w:basedOn w:val="a0"/>
    <w:rsid w:val="000D5D92"/>
  </w:style>
  <w:style w:type="paragraph" w:styleId="af7">
    <w:name w:val="endnote text"/>
    <w:basedOn w:val="a"/>
    <w:link w:val="af8"/>
    <w:uiPriority w:val="99"/>
    <w:unhideWhenUsed/>
    <w:rsid w:val="000D5D92"/>
    <w:rPr>
      <w:rFonts w:ascii="Calibri" w:hAnsi="Calibri" w:cs="Times New Roman"/>
      <w:color w:val="auto"/>
      <w:sz w:val="20"/>
      <w:szCs w:val="20"/>
      <w:lang w:val="uk-UA" w:eastAsia="en-US"/>
    </w:rPr>
  </w:style>
  <w:style w:type="character" w:customStyle="1" w:styleId="af8">
    <w:name w:val="Текст концевой сноски Знак"/>
    <w:basedOn w:val="a0"/>
    <w:link w:val="af7"/>
    <w:uiPriority w:val="99"/>
    <w:rsid w:val="000D5D92"/>
    <w:rPr>
      <w:rFonts w:ascii="Calibri" w:eastAsia="Calibri" w:hAnsi="Calibri" w:cs="Times New Roman"/>
      <w:sz w:val="20"/>
      <w:szCs w:val="20"/>
      <w:lang w:val="uk-UA"/>
    </w:rPr>
  </w:style>
  <w:style w:type="character" w:customStyle="1" w:styleId="16">
    <w:name w:val="Заголовок №1"/>
    <w:basedOn w:val="a0"/>
    <w:rsid w:val="000D5D92"/>
    <w:rPr>
      <w:rFonts w:ascii="Times New Roman" w:eastAsia="Times New Roman" w:hAnsi="Times New Roman" w:cs="Times New Roman"/>
      <w:b w:val="0"/>
      <w:bCs w:val="0"/>
      <w:i w:val="0"/>
      <w:iCs w:val="0"/>
      <w:smallCaps w:val="0"/>
      <w:strike w:val="0"/>
      <w:spacing w:val="0"/>
      <w:sz w:val="24"/>
      <w:szCs w:val="24"/>
    </w:rPr>
  </w:style>
  <w:style w:type="paragraph" w:customStyle="1" w:styleId="110">
    <w:name w:val="Основной текст11"/>
    <w:basedOn w:val="a"/>
    <w:rsid w:val="000D5D92"/>
    <w:pPr>
      <w:shd w:val="clear" w:color="auto" w:fill="FFFFFF"/>
      <w:spacing w:before="240" w:line="226" w:lineRule="exact"/>
      <w:ind w:hanging="300"/>
      <w:jc w:val="both"/>
    </w:pPr>
    <w:rPr>
      <w:rFonts w:ascii="Times New Roman" w:eastAsia="Times New Roman" w:hAnsi="Times New Roman" w:cs="Times New Roman"/>
      <w:color w:val="auto"/>
      <w:sz w:val="18"/>
      <w:szCs w:val="18"/>
      <w:lang w:eastAsia="en-US"/>
    </w:rPr>
  </w:style>
  <w:style w:type="character" w:customStyle="1" w:styleId="32">
    <w:name w:val="Основной текст (3) + Курсив"/>
    <w:basedOn w:val="a0"/>
    <w:rsid w:val="000D5D92"/>
    <w:rPr>
      <w:rFonts w:ascii="Times New Roman" w:eastAsia="Times New Roman" w:hAnsi="Times New Roman" w:cs="Times New Roman"/>
      <w:b w:val="0"/>
      <w:bCs w:val="0"/>
      <w:i/>
      <w:iCs/>
      <w:smallCaps w:val="0"/>
      <w:strike w:val="0"/>
      <w:spacing w:val="0"/>
      <w:sz w:val="16"/>
      <w:szCs w:val="16"/>
    </w:rPr>
  </w:style>
  <w:style w:type="character" w:customStyle="1" w:styleId="hl">
    <w:name w:val="hl"/>
    <w:rsid w:val="000D5D92"/>
    <w:rPr>
      <w:rFonts w:cs="Times New Roman"/>
    </w:rPr>
  </w:style>
  <w:style w:type="character" w:customStyle="1" w:styleId="cit">
    <w:name w:val="cit"/>
    <w:basedOn w:val="a0"/>
    <w:rsid w:val="000D5D92"/>
  </w:style>
  <w:style w:type="character" w:customStyle="1" w:styleId="articlecitationyear">
    <w:name w:val="articlecitation_year"/>
    <w:basedOn w:val="a0"/>
    <w:rsid w:val="000D5D92"/>
  </w:style>
  <w:style w:type="character" w:customStyle="1" w:styleId="authorsname">
    <w:name w:val="authors__name"/>
    <w:basedOn w:val="a0"/>
    <w:rsid w:val="000D5D92"/>
  </w:style>
  <w:style w:type="character" w:customStyle="1" w:styleId="doi">
    <w:name w:val="doi"/>
    <w:basedOn w:val="a0"/>
    <w:rsid w:val="000D5D92"/>
  </w:style>
  <w:style w:type="character" w:customStyle="1" w:styleId="journaltitle">
    <w:name w:val="journaltitle"/>
    <w:basedOn w:val="a0"/>
    <w:rsid w:val="000D5D92"/>
  </w:style>
  <w:style w:type="character" w:customStyle="1" w:styleId="articlecitationvolume">
    <w:name w:val="articlecitation_volume"/>
    <w:basedOn w:val="a0"/>
    <w:rsid w:val="000D5D92"/>
  </w:style>
  <w:style w:type="character" w:customStyle="1" w:styleId="articlecitationpages">
    <w:name w:val="articlecitation_pages"/>
    <w:basedOn w:val="a0"/>
    <w:rsid w:val="000D5D92"/>
  </w:style>
  <w:style w:type="character" w:customStyle="1" w:styleId="u-inline-block">
    <w:name w:val="u-inline-block"/>
    <w:basedOn w:val="a0"/>
    <w:rsid w:val="000D5D92"/>
  </w:style>
  <w:style w:type="character" w:customStyle="1" w:styleId="ref-vol">
    <w:name w:val="ref-vol"/>
    <w:rsid w:val="000D5D92"/>
    <w:rPr>
      <w:rFonts w:cs="Times New Roman"/>
    </w:rPr>
  </w:style>
  <w:style w:type="character" w:styleId="HTML2">
    <w:name w:val="HTML Cite"/>
    <w:unhideWhenUsed/>
    <w:rsid w:val="000D5D92"/>
    <w:rPr>
      <w:i/>
      <w:iCs/>
    </w:rPr>
  </w:style>
  <w:style w:type="character" w:customStyle="1" w:styleId="slug-doi-wrapper">
    <w:name w:val="slug-doi-wrapper"/>
    <w:basedOn w:val="a0"/>
    <w:rsid w:val="000D5D92"/>
  </w:style>
  <w:style w:type="character" w:customStyle="1" w:styleId="slug-doi">
    <w:name w:val="slug-doi"/>
    <w:basedOn w:val="a0"/>
    <w:rsid w:val="000D5D92"/>
  </w:style>
  <w:style w:type="character" w:customStyle="1" w:styleId="num">
    <w:name w:val="num"/>
    <w:basedOn w:val="a0"/>
    <w:rsid w:val="000D5D92"/>
  </w:style>
  <w:style w:type="paragraph" w:customStyle="1" w:styleId="af9">
    <w:name w:val="текст дис."/>
    <w:rsid w:val="000D5D92"/>
    <w:pPr>
      <w:widowControl w:val="0"/>
      <w:suppressAutoHyphens/>
      <w:spacing w:after="0" w:line="360" w:lineRule="auto"/>
      <w:ind w:firstLine="709"/>
      <w:jc w:val="both"/>
    </w:pPr>
    <w:rPr>
      <w:rFonts w:ascii="Times New Roman" w:eastAsia="Times New Roman" w:hAnsi="Times New Roman" w:cs="Calibri"/>
      <w:sz w:val="28"/>
      <w:szCs w:val="28"/>
      <w:lang w:val="ru-RU" w:eastAsia="ar-SA"/>
    </w:rPr>
  </w:style>
  <w:style w:type="paragraph" w:customStyle="1" w:styleId="111">
    <w:name w:val="Дис 1.1."/>
    <w:basedOn w:val="a"/>
    <w:next w:val="af9"/>
    <w:rsid w:val="000D5D92"/>
    <w:pPr>
      <w:widowControl w:val="0"/>
      <w:suppressAutoHyphens/>
      <w:spacing w:after="240" w:line="360" w:lineRule="auto"/>
      <w:ind w:left="709" w:firstLine="709"/>
      <w:jc w:val="both"/>
    </w:pPr>
    <w:rPr>
      <w:rFonts w:ascii="Times New Roman" w:eastAsia="Times New Roman" w:hAnsi="Times New Roman" w:cs="Symbol"/>
      <w:color w:val="auto"/>
      <w:sz w:val="28"/>
      <w:szCs w:val="28"/>
      <w:lang w:eastAsia="ar-SA"/>
    </w:rPr>
  </w:style>
  <w:style w:type="paragraph" w:customStyle="1" w:styleId="Table0">
    <w:name w:val="Table номер"/>
    <w:basedOn w:val="a"/>
    <w:next w:val="af9"/>
    <w:rsid w:val="000D5D92"/>
    <w:pPr>
      <w:widowControl w:val="0"/>
      <w:suppressAutoHyphens/>
      <w:spacing w:line="360" w:lineRule="auto"/>
      <w:ind w:firstLine="709"/>
      <w:jc w:val="right"/>
    </w:pPr>
    <w:rPr>
      <w:rFonts w:ascii="Times New Roman" w:eastAsia="Times New Roman" w:hAnsi="Times New Roman" w:cs="Symbol"/>
      <w:i/>
      <w:color w:val="auto"/>
      <w:sz w:val="28"/>
      <w:lang w:eastAsia="ar-SA"/>
    </w:rPr>
  </w:style>
  <w:style w:type="paragraph" w:customStyle="1" w:styleId="27">
    <w:name w:val="Основной текст2"/>
    <w:basedOn w:val="a"/>
    <w:rsid w:val="000D5D92"/>
    <w:pPr>
      <w:shd w:val="clear" w:color="auto" w:fill="FFFFFF"/>
      <w:spacing w:after="420" w:line="485" w:lineRule="exact"/>
      <w:ind w:hanging="360"/>
      <w:jc w:val="center"/>
    </w:pPr>
    <w:rPr>
      <w:rFonts w:ascii="Times New Roman" w:eastAsia="Times New Roman" w:hAnsi="Times New Roman" w:cs="Times New Roman"/>
      <w:color w:val="auto"/>
      <w:sz w:val="26"/>
      <w:szCs w:val="26"/>
      <w:lang w:eastAsia="en-US"/>
    </w:rPr>
  </w:style>
  <w:style w:type="table" w:styleId="afa">
    <w:name w:val="Table Grid"/>
    <w:basedOn w:val="a1"/>
    <w:uiPriority w:val="59"/>
    <w:rsid w:val="00BC6BC0"/>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uiPriority w:val="99"/>
    <w:rsid w:val="007F5FCD"/>
    <w:rPr>
      <w:rFonts w:ascii="Times New Roman" w:hAnsi="Times New Roman" w:cs="Times New Roman" w:hint="default"/>
      <w:sz w:val="24"/>
      <w:szCs w:val="24"/>
    </w:rPr>
  </w:style>
  <w:style w:type="character" w:customStyle="1" w:styleId="tlid-translation">
    <w:name w:val="tlid-translation"/>
    <w:basedOn w:val="a0"/>
    <w:rsid w:val="004D5B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9668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oleObject" Target="embeddings/oleObject1.bin"/><Relationship Id="rId26" Type="http://schemas.openxmlformats.org/officeDocument/2006/relationships/hyperlink" Target="https://dx.doi.org/10.1371%2Fjournal.pone.0126190" TargetMode="External"/><Relationship Id="rId39"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hyperlink" Target="http://dx.doi.org/10.1038/jhh.2009.63" TargetMode="External"/><Relationship Id="rId34" Type="http://schemas.openxmlformats.org/officeDocument/2006/relationships/image" Target="media/image14.jpeg"/><Relationship Id="rId42" Type="http://schemas.openxmlformats.org/officeDocument/2006/relationships/image" Target="media/image22.jpeg"/><Relationship Id="rId47" Type="http://schemas.openxmlformats.org/officeDocument/2006/relationships/footer" Target="footer2.xm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wmf"/><Relationship Id="rId25" Type="http://schemas.openxmlformats.org/officeDocument/2006/relationships/hyperlink" Target="https://www.ncbi.nlm.nih.gov/pmc/articles/PMC4423857/" TargetMode="External"/><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link.springer.com/journal/10059" TargetMode="External"/><Relationship Id="rId29" Type="http://schemas.openxmlformats.org/officeDocument/2006/relationships/image" Target="media/image9.jpeg"/><Relationship Id="rId41"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http://eurjhf.oxfordjournals.org/search?author1=Marcus+D%C3%B6rr&amp;sortspec=date&amp;submit=Submit" TargetMode="External"/><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eurjhf.oxfordjournals.org/search?author1=Sebastian+E.+Baumeister&amp;sortspec=date&amp;submit=Submit" TargetMode="External"/><Relationship Id="rId28" Type="http://schemas.openxmlformats.org/officeDocument/2006/relationships/hyperlink" Target="https://www.ncbi.nlm.nih.gov/pubmed/?term=Ge%20L%5BAuthor%5D&amp;cauthor=true&amp;cauthor_uid=24319441" TargetMode="External"/><Relationship Id="rId36" Type="http://schemas.openxmlformats.org/officeDocument/2006/relationships/image" Target="media/image16.jpeg"/><Relationship Id="rId49" Type="http://schemas.openxmlformats.org/officeDocument/2006/relationships/footer" Target="footer3.xml"/><Relationship Id="rId10" Type="http://schemas.openxmlformats.org/officeDocument/2006/relationships/chart" Target="charts/chart3.xml"/><Relationship Id="rId19" Type="http://schemas.openxmlformats.org/officeDocument/2006/relationships/image" Target="media/image8.png"/><Relationship Id="rId31" Type="http://schemas.openxmlformats.org/officeDocument/2006/relationships/image" Target="media/image11.jpeg"/><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4.png"/><Relationship Id="rId22" Type="http://schemas.openxmlformats.org/officeDocument/2006/relationships/hyperlink" Target="http://eurjhf.oxfordjournals.org/search?author1=Roberto+Lorbeer&amp;sortspec=date&amp;submit=Submit" TargetMode="External"/><Relationship Id="rId27" Type="http://schemas.openxmlformats.org/officeDocument/2006/relationships/hyperlink" Target="http://www.ncbi.nlm.nih.gov/pubmed/27234335" TargetMode="External"/><Relationship Id="rId30" Type="http://schemas.openxmlformats.org/officeDocument/2006/relationships/image" Target="media/image10.jpeg"/><Relationship Id="rId35" Type="http://schemas.openxmlformats.org/officeDocument/2006/relationships/image" Target="media/image15.jpeg"/><Relationship Id="rId43" Type="http://schemas.openxmlformats.org/officeDocument/2006/relationships/image" Target="media/image23.jpeg"/><Relationship Id="rId48" Type="http://schemas.openxmlformats.org/officeDocument/2006/relationships/header" Target="header3.xml"/><Relationship Id="rId8" Type="http://schemas.openxmlformats.org/officeDocument/2006/relationships/chart" Target="charts/chart1.xml"/><Relationship Id="rId51"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без АГ</c:v>
                </c:pt>
              </c:strCache>
            </c:strRef>
          </c:tx>
          <c:invertIfNegative val="0"/>
          <c:dLbls>
            <c:spPr>
              <a:noFill/>
              <a:ln>
                <a:noFill/>
              </a:ln>
              <a:effectLst/>
            </c:spPr>
            <c:txPr>
              <a:bodyPr/>
              <a:lstStyle/>
              <a:p>
                <a:pPr>
                  <a:defRPr sz="1400" baseline="0">
                    <a:latin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Іа група</c:v>
                </c:pt>
                <c:pt idx="1">
                  <c:v>Іб група</c:v>
                </c:pt>
              </c:strCache>
            </c:strRef>
          </c:cat>
          <c:val>
            <c:numRef>
              <c:f>Лист1!$B$2:$B$3</c:f>
              <c:numCache>
                <c:formatCode>0.0%</c:formatCode>
                <c:ptCount val="2"/>
                <c:pt idx="0">
                  <c:v>6.5000000000000002E-2</c:v>
                </c:pt>
                <c:pt idx="1">
                  <c:v>5.8999999999999997E-2</c:v>
                </c:pt>
              </c:numCache>
            </c:numRef>
          </c:val>
          <c:extLst>
            <c:ext xmlns:c16="http://schemas.microsoft.com/office/drawing/2014/chart" uri="{C3380CC4-5D6E-409C-BE32-E72D297353CC}">
              <c16:uniqueId val="{00000000-D281-4441-98F5-71C63CAB4845}"/>
            </c:ext>
          </c:extLst>
        </c:ser>
        <c:ser>
          <c:idx val="1"/>
          <c:order val="1"/>
          <c:tx>
            <c:strRef>
              <c:f>Лист1!$C$1</c:f>
              <c:strCache>
                <c:ptCount val="1"/>
                <c:pt idx="0">
                  <c:v>АГ 1 ст.</c:v>
                </c:pt>
              </c:strCache>
            </c:strRef>
          </c:tx>
          <c:invertIfNegative val="0"/>
          <c:dLbls>
            <c:spPr>
              <a:noFill/>
              <a:ln>
                <a:noFill/>
              </a:ln>
              <a:effectLst/>
            </c:spPr>
            <c:txPr>
              <a:bodyPr/>
              <a:lstStyle/>
              <a:p>
                <a:pPr>
                  <a:defRPr sz="1400" baseline="0">
                    <a:latin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Іа група</c:v>
                </c:pt>
                <c:pt idx="1">
                  <c:v>Іб група</c:v>
                </c:pt>
              </c:strCache>
            </c:strRef>
          </c:cat>
          <c:val>
            <c:numRef>
              <c:f>Лист1!$C$2:$C$3</c:f>
              <c:numCache>
                <c:formatCode>0.0%</c:formatCode>
                <c:ptCount val="2"/>
                <c:pt idx="0">
                  <c:v>0.61299999999999999</c:v>
                </c:pt>
                <c:pt idx="1">
                  <c:v>0.35299999999999998</c:v>
                </c:pt>
              </c:numCache>
            </c:numRef>
          </c:val>
          <c:extLst>
            <c:ext xmlns:c16="http://schemas.microsoft.com/office/drawing/2014/chart" uri="{C3380CC4-5D6E-409C-BE32-E72D297353CC}">
              <c16:uniqueId val="{00000001-D281-4441-98F5-71C63CAB4845}"/>
            </c:ext>
          </c:extLst>
        </c:ser>
        <c:ser>
          <c:idx val="2"/>
          <c:order val="2"/>
          <c:tx>
            <c:strRef>
              <c:f>Лист1!$D$1</c:f>
              <c:strCache>
                <c:ptCount val="1"/>
                <c:pt idx="0">
                  <c:v>АГ 2 ст.</c:v>
                </c:pt>
              </c:strCache>
            </c:strRef>
          </c:tx>
          <c:invertIfNegative val="0"/>
          <c:dLbls>
            <c:spPr>
              <a:noFill/>
              <a:ln>
                <a:noFill/>
              </a:ln>
              <a:effectLst/>
            </c:spPr>
            <c:txPr>
              <a:bodyPr/>
              <a:lstStyle/>
              <a:p>
                <a:pPr>
                  <a:defRPr sz="1400" baseline="0">
                    <a:latin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Іа група</c:v>
                </c:pt>
                <c:pt idx="1">
                  <c:v>Іб група</c:v>
                </c:pt>
              </c:strCache>
            </c:strRef>
          </c:cat>
          <c:val>
            <c:numRef>
              <c:f>Лист1!$D$2:$D$3</c:f>
              <c:numCache>
                <c:formatCode>0.0%</c:formatCode>
                <c:ptCount val="2"/>
                <c:pt idx="0">
                  <c:v>0.28999999999999998</c:v>
                </c:pt>
                <c:pt idx="1">
                  <c:v>0.47099999999999997</c:v>
                </c:pt>
              </c:numCache>
            </c:numRef>
          </c:val>
          <c:extLst>
            <c:ext xmlns:c16="http://schemas.microsoft.com/office/drawing/2014/chart" uri="{C3380CC4-5D6E-409C-BE32-E72D297353CC}">
              <c16:uniqueId val="{00000002-D281-4441-98F5-71C63CAB4845}"/>
            </c:ext>
          </c:extLst>
        </c:ser>
        <c:ser>
          <c:idx val="3"/>
          <c:order val="3"/>
          <c:tx>
            <c:strRef>
              <c:f>Лист1!$E$1</c:f>
              <c:strCache>
                <c:ptCount val="1"/>
                <c:pt idx="0">
                  <c:v>АГ 3 ст.</c:v>
                </c:pt>
              </c:strCache>
            </c:strRef>
          </c:tx>
          <c:invertIfNegative val="0"/>
          <c:dLbls>
            <c:spPr>
              <a:noFill/>
              <a:ln>
                <a:noFill/>
              </a:ln>
              <a:effectLst/>
            </c:spPr>
            <c:txPr>
              <a:bodyPr/>
              <a:lstStyle/>
              <a:p>
                <a:pPr>
                  <a:defRPr sz="1400" baseline="0">
                    <a:latin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Іа група</c:v>
                </c:pt>
                <c:pt idx="1">
                  <c:v>Іб група</c:v>
                </c:pt>
              </c:strCache>
            </c:strRef>
          </c:cat>
          <c:val>
            <c:numRef>
              <c:f>Лист1!$E$2:$E$3</c:f>
              <c:numCache>
                <c:formatCode>0.0%</c:formatCode>
                <c:ptCount val="2"/>
                <c:pt idx="0">
                  <c:v>3.2000000000000001E-2</c:v>
                </c:pt>
                <c:pt idx="1">
                  <c:v>0.11799999999999999</c:v>
                </c:pt>
              </c:numCache>
            </c:numRef>
          </c:val>
          <c:extLst>
            <c:ext xmlns:c16="http://schemas.microsoft.com/office/drawing/2014/chart" uri="{C3380CC4-5D6E-409C-BE32-E72D297353CC}">
              <c16:uniqueId val="{00000003-D281-4441-98F5-71C63CAB4845}"/>
            </c:ext>
          </c:extLst>
        </c:ser>
        <c:dLbls>
          <c:showLegendKey val="0"/>
          <c:showVal val="0"/>
          <c:showCatName val="0"/>
          <c:showSerName val="0"/>
          <c:showPercent val="0"/>
          <c:showBubbleSize val="0"/>
        </c:dLbls>
        <c:gapWidth val="150"/>
        <c:axId val="128857600"/>
        <c:axId val="128894464"/>
      </c:barChart>
      <c:catAx>
        <c:axId val="128857600"/>
        <c:scaling>
          <c:orientation val="minMax"/>
        </c:scaling>
        <c:delete val="0"/>
        <c:axPos val="b"/>
        <c:numFmt formatCode="General" sourceLinked="0"/>
        <c:majorTickMark val="out"/>
        <c:minorTickMark val="none"/>
        <c:tickLblPos val="nextTo"/>
        <c:txPr>
          <a:bodyPr/>
          <a:lstStyle/>
          <a:p>
            <a:pPr>
              <a:defRPr sz="1400" baseline="0">
                <a:latin typeface="Times New Roman" pitchFamily="18" charset="0"/>
              </a:defRPr>
            </a:pPr>
            <a:endParaRPr lang="ru-RU"/>
          </a:p>
        </c:txPr>
        <c:crossAx val="128894464"/>
        <c:crosses val="autoZero"/>
        <c:auto val="1"/>
        <c:lblAlgn val="ctr"/>
        <c:lblOffset val="100"/>
        <c:noMultiLvlLbl val="0"/>
      </c:catAx>
      <c:valAx>
        <c:axId val="128894464"/>
        <c:scaling>
          <c:orientation val="minMax"/>
        </c:scaling>
        <c:delete val="0"/>
        <c:axPos val="l"/>
        <c:majorGridlines/>
        <c:numFmt formatCode="0.0%" sourceLinked="1"/>
        <c:majorTickMark val="out"/>
        <c:minorTickMark val="none"/>
        <c:tickLblPos val="nextTo"/>
        <c:txPr>
          <a:bodyPr/>
          <a:lstStyle/>
          <a:p>
            <a:pPr>
              <a:defRPr sz="1400" baseline="0">
                <a:latin typeface="Times New Roman" pitchFamily="18" charset="0"/>
              </a:defRPr>
            </a:pPr>
            <a:endParaRPr lang="ru-RU"/>
          </a:p>
        </c:txPr>
        <c:crossAx val="128857600"/>
        <c:crosses val="autoZero"/>
        <c:crossBetween val="between"/>
      </c:valAx>
    </c:plotArea>
    <c:legend>
      <c:legendPos val="b"/>
      <c:overlay val="0"/>
      <c:txPr>
        <a:bodyPr/>
        <a:lstStyle/>
        <a:p>
          <a:pPr>
            <a:defRPr sz="1400" baseline="0">
              <a:latin typeface="Times New Roman" pitchFamily="18" charset="0"/>
            </a:defRPr>
          </a:pPr>
          <a:endParaRPr lang="ru-RU"/>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без АГ</c:v>
                </c:pt>
              </c:strCache>
            </c:strRef>
          </c:tx>
          <c:invertIfNegative val="0"/>
          <c:dLbls>
            <c:spPr>
              <a:noFill/>
              <a:ln>
                <a:noFill/>
              </a:ln>
              <a:effectLst/>
            </c:spPr>
            <c:txPr>
              <a:bodyPr/>
              <a:lstStyle/>
              <a:p>
                <a:pPr>
                  <a:defRPr sz="1400" baseline="0">
                    <a:latin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 5 років</c:v>
                </c:pt>
                <c:pt idx="1">
                  <c:v>5-10 років</c:v>
                </c:pt>
              </c:strCache>
            </c:strRef>
          </c:cat>
          <c:val>
            <c:numRef>
              <c:f>Лист1!$B$2:$B$3</c:f>
              <c:numCache>
                <c:formatCode>0.0%</c:formatCode>
                <c:ptCount val="2"/>
                <c:pt idx="0">
                  <c:v>8.1000000000000003E-2</c:v>
                </c:pt>
                <c:pt idx="1">
                  <c:v>0</c:v>
                </c:pt>
              </c:numCache>
            </c:numRef>
          </c:val>
          <c:extLst>
            <c:ext xmlns:c16="http://schemas.microsoft.com/office/drawing/2014/chart" uri="{C3380CC4-5D6E-409C-BE32-E72D297353CC}">
              <c16:uniqueId val="{00000000-852E-4626-85CF-A5C015FAB1DC}"/>
            </c:ext>
          </c:extLst>
        </c:ser>
        <c:ser>
          <c:idx val="1"/>
          <c:order val="1"/>
          <c:tx>
            <c:strRef>
              <c:f>Лист1!$C$1</c:f>
              <c:strCache>
                <c:ptCount val="1"/>
                <c:pt idx="0">
                  <c:v>АГ 1 ст.</c:v>
                </c:pt>
              </c:strCache>
            </c:strRef>
          </c:tx>
          <c:invertIfNegative val="0"/>
          <c:dLbls>
            <c:spPr>
              <a:noFill/>
              <a:ln>
                <a:noFill/>
              </a:ln>
              <a:effectLst/>
            </c:spPr>
            <c:txPr>
              <a:bodyPr/>
              <a:lstStyle/>
              <a:p>
                <a:pPr>
                  <a:defRPr sz="1400" baseline="0">
                    <a:latin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 5 років</c:v>
                </c:pt>
                <c:pt idx="1">
                  <c:v>5-10 років</c:v>
                </c:pt>
              </c:strCache>
            </c:strRef>
          </c:cat>
          <c:val>
            <c:numRef>
              <c:f>Лист1!$C$2:$C$3</c:f>
              <c:numCache>
                <c:formatCode>0.0%</c:formatCode>
                <c:ptCount val="2"/>
                <c:pt idx="0">
                  <c:v>0.54100000000000004</c:v>
                </c:pt>
                <c:pt idx="1">
                  <c:v>0.45500000000000002</c:v>
                </c:pt>
              </c:numCache>
            </c:numRef>
          </c:val>
          <c:extLst>
            <c:ext xmlns:c16="http://schemas.microsoft.com/office/drawing/2014/chart" uri="{C3380CC4-5D6E-409C-BE32-E72D297353CC}">
              <c16:uniqueId val="{00000001-852E-4626-85CF-A5C015FAB1DC}"/>
            </c:ext>
          </c:extLst>
        </c:ser>
        <c:ser>
          <c:idx val="2"/>
          <c:order val="2"/>
          <c:tx>
            <c:strRef>
              <c:f>Лист1!$D$1</c:f>
              <c:strCache>
                <c:ptCount val="1"/>
                <c:pt idx="0">
                  <c:v>АГ 2 ст.</c:v>
                </c:pt>
              </c:strCache>
            </c:strRef>
          </c:tx>
          <c:invertIfNegative val="0"/>
          <c:dLbls>
            <c:spPr>
              <a:noFill/>
              <a:ln>
                <a:noFill/>
              </a:ln>
              <a:effectLst/>
            </c:spPr>
            <c:txPr>
              <a:bodyPr/>
              <a:lstStyle/>
              <a:p>
                <a:pPr>
                  <a:defRPr sz="1400" baseline="0">
                    <a:latin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 5 років</c:v>
                </c:pt>
                <c:pt idx="1">
                  <c:v>5-10 років</c:v>
                </c:pt>
              </c:strCache>
            </c:strRef>
          </c:cat>
          <c:val>
            <c:numRef>
              <c:f>Лист1!$D$2:$D$3</c:f>
              <c:numCache>
                <c:formatCode>0.0%</c:formatCode>
                <c:ptCount val="2"/>
                <c:pt idx="0">
                  <c:v>0.32400000000000001</c:v>
                </c:pt>
                <c:pt idx="1">
                  <c:v>0.45500000000000002</c:v>
                </c:pt>
              </c:numCache>
            </c:numRef>
          </c:val>
          <c:extLst>
            <c:ext xmlns:c16="http://schemas.microsoft.com/office/drawing/2014/chart" uri="{C3380CC4-5D6E-409C-BE32-E72D297353CC}">
              <c16:uniqueId val="{00000002-852E-4626-85CF-A5C015FAB1DC}"/>
            </c:ext>
          </c:extLst>
        </c:ser>
        <c:ser>
          <c:idx val="3"/>
          <c:order val="3"/>
          <c:tx>
            <c:strRef>
              <c:f>Лист1!$E$1</c:f>
              <c:strCache>
                <c:ptCount val="1"/>
                <c:pt idx="0">
                  <c:v>АГ 3 ст.</c:v>
                </c:pt>
              </c:strCache>
            </c:strRef>
          </c:tx>
          <c:invertIfNegative val="0"/>
          <c:dLbls>
            <c:spPr>
              <a:noFill/>
              <a:ln>
                <a:noFill/>
              </a:ln>
              <a:effectLst/>
            </c:spPr>
            <c:txPr>
              <a:bodyPr/>
              <a:lstStyle/>
              <a:p>
                <a:pPr>
                  <a:defRPr sz="1400" baseline="0">
                    <a:latin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 5 років</c:v>
                </c:pt>
                <c:pt idx="1">
                  <c:v>5-10 років</c:v>
                </c:pt>
              </c:strCache>
            </c:strRef>
          </c:cat>
          <c:val>
            <c:numRef>
              <c:f>Лист1!$E$2:$E$3</c:f>
              <c:numCache>
                <c:formatCode>0.0%</c:formatCode>
                <c:ptCount val="2"/>
                <c:pt idx="0">
                  <c:v>5.3999999999999999E-2</c:v>
                </c:pt>
                <c:pt idx="1">
                  <c:v>7.6999999999999999E-2</c:v>
                </c:pt>
              </c:numCache>
            </c:numRef>
          </c:val>
          <c:extLst>
            <c:ext xmlns:c16="http://schemas.microsoft.com/office/drawing/2014/chart" uri="{C3380CC4-5D6E-409C-BE32-E72D297353CC}">
              <c16:uniqueId val="{00000003-852E-4626-85CF-A5C015FAB1DC}"/>
            </c:ext>
          </c:extLst>
        </c:ser>
        <c:dLbls>
          <c:showLegendKey val="0"/>
          <c:showVal val="0"/>
          <c:showCatName val="0"/>
          <c:showSerName val="0"/>
          <c:showPercent val="0"/>
          <c:showBubbleSize val="0"/>
        </c:dLbls>
        <c:gapWidth val="150"/>
        <c:axId val="168331520"/>
        <c:axId val="169640320"/>
      </c:barChart>
      <c:catAx>
        <c:axId val="168331520"/>
        <c:scaling>
          <c:orientation val="minMax"/>
        </c:scaling>
        <c:delete val="0"/>
        <c:axPos val="b"/>
        <c:numFmt formatCode="General" sourceLinked="0"/>
        <c:majorTickMark val="out"/>
        <c:minorTickMark val="none"/>
        <c:tickLblPos val="nextTo"/>
        <c:txPr>
          <a:bodyPr/>
          <a:lstStyle/>
          <a:p>
            <a:pPr>
              <a:defRPr sz="1400" baseline="0">
                <a:latin typeface="Times New Roman" pitchFamily="18" charset="0"/>
              </a:defRPr>
            </a:pPr>
            <a:endParaRPr lang="ru-RU"/>
          </a:p>
        </c:txPr>
        <c:crossAx val="169640320"/>
        <c:crosses val="autoZero"/>
        <c:auto val="1"/>
        <c:lblAlgn val="ctr"/>
        <c:lblOffset val="100"/>
        <c:noMultiLvlLbl val="0"/>
      </c:catAx>
      <c:valAx>
        <c:axId val="169640320"/>
        <c:scaling>
          <c:orientation val="minMax"/>
        </c:scaling>
        <c:delete val="0"/>
        <c:axPos val="l"/>
        <c:majorGridlines/>
        <c:numFmt formatCode="0.0%" sourceLinked="1"/>
        <c:majorTickMark val="out"/>
        <c:minorTickMark val="none"/>
        <c:tickLblPos val="nextTo"/>
        <c:txPr>
          <a:bodyPr/>
          <a:lstStyle/>
          <a:p>
            <a:pPr>
              <a:defRPr sz="1400" baseline="0">
                <a:latin typeface="Times New Roman" pitchFamily="18" charset="0"/>
              </a:defRPr>
            </a:pPr>
            <a:endParaRPr lang="ru-RU"/>
          </a:p>
        </c:txPr>
        <c:crossAx val="168331520"/>
        <c:crosses val="autoZero"/>
        <c:crossBetween val="between"/>
      </c:valAx>
    </c:plotArea>
    <c:legend>
      <c:legendPos val="b"/>
      <c:overlay val="0"/>
      <c:txPr>
        <a:bodyPr/>
        <a:lstStyle/>
        <a:p>
          <a:pPr>
            <a:defRPr sz="1400" baseline="0">
              <a:latin typeface="Times New Roman" pitchFamily="18" charset="0"/>
            </a:defRPr>
          </a:pPr>
          <a:endParaRPr lang="ru-RU"/>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без АГ</c:v>
                </c:pt>
              </c:strCache>
            </c:strRef>
          </c:tx>
          <c:invertIfNegative val="0"/>
          <c:dLbls>
            <c:spPr>
              <a:noFill/>
              <a:ln>
                <a:noFill/>
              </a:ln>
              <a:effectLst/>
            </c:spPr>
            <c:txPr>
              <a:bodyPr/>
              <a:lstStyle/>
              <a:p>
                <a:pPr>
                  <a:defRPr sz="1400" baseline="0">
                    <a:latin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 5 років</c:v>
                </c:pt>
                <c:pt idx="1">
                  <c:v>5-10 років</c:v>
                </c:pt>
              </c:strCache>
            </c:strRef>
          </c:cat>
          <c:val>
            <c:numRef>
              <c:f>Лист1!$B$2:$B$3</c:f>
              <c:numCache>
                <c:formatCode>0.0%</c:formatCode>
                <c:ptCount val="2"/>
                <c:pt idx="0">
                  <c:v>0.69</c:v>
                </c:pt>
                <c:pt idx="1">
                  <c:v>0</c:v>
                </c:pt>
              </c:numCache>
            </c:numRef>
          </c:val>
          <c:extLst>
            <c:ext xmlns:c16="http://schemas.microsoft.com/office/drawing/2014/chart" uri="{C3380CC4-5D6E-409C-BE32-E72D297353CC}">
              <c16:uniqueId val="{00000000-C570-46DE-95F1-29231F5B5B68}"/>
            </c:ext>
          </c:extLst>
        </c:ser>
        <c:ser>
          <c:idx val="1"/>
          <c:order val="1"/>
          <c:tx>
            <c:strRef>
              <c:f>Лист1!$C$1</c:f>
              <c:strCache>
                <c:ptCount val="1"/>
                <c:pt idx="0">
                  <c:v>АГ 1 ст.</c:v>
                </c:pt>
              </c:strCache>
            </c:strRef>
          </c:tx>
          <c:invertIfNegative val="0"/>
          <c:dLbls>
            <c:spPr>
              <a:noFill/>
              <a:ln>
                <a:noFill/>
              </a:ln>
              <a:effectLst/>
            </c:spPr>
            <c:txPr>
              <a:bodyPr/>
              <a:lstStyle/>
              <a:p>
                <a:pPr>
                  <a:defRPr sz="1400" baseline="0">
                    <a:latin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 5 років</c:v>
                </c:pt>
                <c:pt idx="1">
                  <c:v>5-10 років</c:v>
                </c:pt>
              </c:strCache>
            </c:strRef>
          </c:cat>
          <c:val>
            <c:numRef>
              <c:f>Лист1!$C$2:$C$3</c:f>
              <c:numCache>
                <c:formatCode>0.0%</c:formatCode>
                <c:ptCount val="2"/>
                <c:pt idx="0">
                  <c:v>0.24099999999999999</c:v>
                </c:pt>
                <c:pt idx="1">
                  <c:v>0.69199999999999995</c:v>
                </c:pt>
              </c:numCache>
            </c:numRef>
          </c:val>
          <c:extLst>
            <c:ext xmlns:c16="http://schemas.microsoft.com/office/drawing/2014/chart" uri="{C3380CC4-5D6E-409C-BE32-E72D297353CC}">
              <c16:uniqueId val="{00000001-C570-46DE-95F1-29231F5B5B68}"/>
            </c:ext>
          </c:extLst>
        </c:ser>
        <c:ser>
          <c:idx val="2"/>
          <c:order val="2"/>
          <c:tx>
            <c:strRef>
              <c:f>Лист1!$D$1</c:f>
              <c:strCache>
                <c:ptCount val="1"/>
                <c:pt idx="0">
                  <c:v>АГ 2 ст.</c:v>
                </c:pt>
              </c:strCache>
            </c:strRef>
          </c:tx>
          <c:invertIfNegative val="0"/>
          <c:dLbls>
            <c:spPr>
              <a:noFill/>
              <a:ln>
                <a:noFill/>
              </a:ln>
              <a:effectLst/>
            </c:spPr>
            <c:txPr>
              <a:bodyPr/>
              <a:lstStyle/>
              <a:p>
                <a:pPr>
                  <a:defRPr sz="1400" baseline="0">
                    <a:latin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 5 років</c:v>
                </c:pt>
                <c:pt idx="1">
                  <c:v>5-10 років</c:v>
                </c:pt>
              </c:strCache>
            </c:strRef>
          </c:cat>
          <c:val>
            <c:numRef>
              <c:f>Лист1!$D$2:$D$3</c:f>
              <c:numCache>
                <c:formatCode>0.0%</c:formatCode>
                <c:ptCount val="2"/>
                <c:pt idx="0">
                  <c:v>6.9000000000000006E-2</c:v>
                </c:pt>
                <c:pt idx="1">
                  <c:v>0.23100000000000001</c:v>
                </c:pt>
              </c:numCache>
            </c:numRef>
          </c:val>
          <c:extLst>
            <c:ext xmlns:c16="http://schemas.microsoft.com/office/drawing/2014/chart" uri="{C3380CC4-5D6E-409C-BE32-E72D297353CC}">
              <c16:uniqueId val="{00000002-C570-46DE-95F1-29231F5B5B68}"/>
            </c:ext>
          </c:extLst>
        </c:ser>
        <c:ser>
          <c:idx val="3"/>
          <c:order val="3"/>
          <c:tx>
            <c:strRef>
              <c:f>Лист1!$E$1</c:f>
              <c:strCache>
                <c:ptCount val="1"/>
                <c:pt idx="0">
                  <c:v>АГ 3 ст.</c:v>
                </c:pt>
              </c:strCache>
            </c:strRef>
          </c:tx>
          <c:invertIfNegative val="0"/>
          <c:dLbls>
            <c:spPr>
              <a:noFill/>
              <a:ln>
                <a:noFill/>
              </a:ln>
              <a:effectLst/>
            </c:spPr>
            <c:txPr>
              <a:bodyPr/>
              <a:lstStyle/>
              <a:p>
                <a:pPr>
                  <a:defRPr sz="1400" baseline="0">
                    <a:latin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 5 років</c:v>
                </c:pt>
                <c:pt idx="1">
                  <c:v>5-10 років</c:v>
                </c:pt>
              </c:strCache>
            </c:strRef>
          </c:cat>
          <c:val>
            <c:numRef>
              <c:f>Лист1!$E$2:$E$3</c:f>
              <c:numCache>
                <c:formatCode>0.0%</c:formatCode>
                <c:ptCount val="2"/>
                <c:pt idx="0">
                  <c:v>0</c:v>
                </c:pt>
                <c:pt idx="1">
                  <c:v>0.11799999999999999</c:v>
                </c:pt>
              </c:numCache>
            </c:numRef>
          </c:val>
          <c:extLst>
            <c:ext xmlns:c16="http://schemas.microsoft.com/office/drawing/2014/chart" uri="{C3380CC4-5D6E-409C-BE32-E72D297353CC}">
              <c16:uniqueId val="{00000003-C570-46DE-95F1-29231F5B5B68}"/>
            </c:ext>
          </c:extLst>
        </c:ser>
        <c:dLbls>
          <c:showLegendKey val="0"/>
          <c:showVal val="0"/>
          <c:showCatName val="0"/>
          <c:showSerName val="0"/>
          <c:showPercent val="0"/>
          <c:showBubbleSize val="0"/>
        </c:dLbls>
        <c:gapWidth val="150"/>
        <c:axId val="196649344"/>
        <c:axId val="196821760"/>
      </c:barChart>
      <c:catAx>
        <c:axId val="196649344"/>
        <c:scaling>
          <c:orientation val="minMax"/>
        </c:scaling>
        <c:delete val="0"/>
        <c:axPos val="b"/>
        <c:numFmt formatCode="General" sourceLinked="0"/>
        <c:majorTickMark val="out"/>
        <c:minorTickMark val="none"/>
        <c:tickLblPos val="nextTo"/>
        <c:txPr>
          <a:bodyPr/>
          <a:lstStyle/>
          <a:p>
            <a:pPr>
              <a:defRPr sz="1400" baseline="0">
                <a:latin typeface="Times New Roman" pitchFamily="18" charset="0"/>
              </a:defRPr>
            </a:pPr>
            <a:endParaRPr lang="ru-RU"/>
          </a:p>
        </c:txPr>
        <c:crossAx val="196821760"/>
        <c:crosses val="autoZero"/>
        <c:auto val="1"/>
        <c:lblAlgn val="ctr"/>
        <c:lblOffset val="100"/>
        <c:noMultiLvlLbl val="0"/>
      </c:catAx>
      <c:valAx>
        <c:axId val="196821760"/>
        <c:scaling>
          <c:orientation val="minMax"/>
        </c:scaling>
        <c:delete val="0"/>
        <c:axPos val="l"/>
        <c:majorGridlines/>
        <c:numFmt formatCode="0.0%" sourceLinked="1"/>
        <c:majorTickMark val="out"/>
        <c:minorTickMark val="none"/>
        <c:tickLblPos val="nextTo"/>
        <c:txPr>
          <a:bodyPr/>
          <a:lstStyle/>
          <a:p>
            <a:pPr>
              <a:defRPr sz="1400" baseline="0">
                <a:latin typeface="Times New Roman" pitchFamily="18" charset="0"/>
              </a:defRPr>
            </a:pPr>
            <a:endParaRPr lang="ru-RU"/>
          </a:p>
        </c:txPr>
        <c:crossAx val="196649344"/>
        <c:crosses val="autoZero"/>
        <c:crossBetween val="between"/>
      </c:valAx>
    </c:plotArea>
    <c:legend>
      <c:legendPos val="b"/>
      <c:overlay val="0"/>
      <c:txPr>
        <a:bodyPr/>
        <a:lstStyle/>
        <a:p>
          <a:pPr>
            <a:defRPr sz="1400" baseline="0">
              <a:latin typeface="Times New Roman" pitchFamily="18" charset="0"/>
            </a:defRPr>
          </a:pPr>
          <a:endParaRPr lang="ru-RU"/>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6B4EF4-8C4A-4836-B6E1-94690F22FF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397</TotalTime>
  <Pages>150</Pages>
  <Words>34838</Words>
  <Characters>198582</Characters>
  <Application>Microsoft Office Word</Application>
  <DocSecurity>0</DocSecurity>
  <Lines>1654</Lines>
  <Paragraphs>465</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232955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dc:creator>
  <cp:lastModifiedBy>Пользователь</cp:lastModifiedBy>
  <cp:revision>65</cp:revision>
  <dcterms:created xsi:type="dcterms:W3CDTF">2019-07-18T10:52:00Z</dcterms:created>
  <dcterms:modified xsi:type="dcterms:W3CDTF">2019-08-21T19:43:00Z</dcterms:modified>
</cp:coreProperties>
</file>