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2CA" w:rsidRDefault="009E52CA" w:rsidP="009E52CA">
      <w:pPr>
        <w:pStyle w:val="a3"/>
        <w:spacing w:before="79"/>
        <w:ind w:left="922" w:right="1012" w:firstLine="5"/>
        <w:jc w:val="center"/>
      </w:pPr>
      <w:r>
        <w:t xml:space="preserve">Українська медична стоматологічна академія </w:t>
      </w:r>
    </w:p>
    <w:p w:rsidR="009E52CA" w:rsidRDefault="009E52CA" w:rsidP="009E52CA">
      <w:pPr>
        <w:pStyle w:val="a7"/>
        <w:jc w:val="center"/>
        <w:rPr>
          <w:rFonts w:ascii="Times New Roman" w:hAnsi="Times New Roman"/>
          <w:sz w:val="28"/>
          <w:szCs w:val="28"/>
        </w:rPr>
      </w:pPr>
      <w:r>
        <w:rPr>
          <w:rFonts w:ascii="Times New Roman" w:hAnsi="Times New Roman"/>
          <w:sz w:val="28"/>
          <w:szCs w:val="28"/>
        </w:rPr>
        <w:t>Міністерство охорони здоров’я України</w:t>
      </w:r>
    </w:p>
    <w:p w:rsidR="009E52CA" w:rsidRDefault="009E52CA" w:rsidP="009E52CA">
      <w:pPr>
        <w:pStyle w:val="a7"/>
        <w:jc w:val="center"/>
        <w:rPr>
          <w:rFonts w:ascii="Times New Roman" w:hAnsi="Times New Roman"/>
          <w:sz w:val="28"/>
          <w:szCs w:val="28"/>
        </w:rPr>
      </w:pPr>
    </w:p>
    <w:p w:rsidR="009E52CA" w:rsidRDefault="003B2D3B" w:rsidP="009E52CA">
      <w:pPr>
        <w:pStyle w:val="a7"/>
        <w:jc w:val="center"/>
        <w:rPr>
          <w:rFonts w:ascii="Times New Roman" w:hAnsi="Times New Roman"/>
          <w:sz w:val="28"/>
          <w:szCs w:val="28"/>
        </w:rPr>
      </w:pPr>
      <w:r>
        <w:t xml:space="preserve"> </w:t>
      </w:r>
      <w:r w:rsidR="009E52CA">
        <w:rPr>
          <w:rFonts w:ascii="Times New Roman" w:hAnsi="Times New Roman"/>
          <w:sz w:val="28"/>
          <w:szCs w:val="28"/>
        </w:rPr>
        <w:t>Харківський національний медичний університет</w:t>
      </w:r>
    </w:p>
    <w:p w:rsidR="009E52CA" w:rsidRDefault="009E52CA" w:rsidP="009E52CA">
      <w:pPr>
        <w:pStyle w:val="a7"/>
        <w:jc w:val="center"/>
        <w:rPr>
          <w:rFonts w:ascii="Times New Roman" w:hAnsi="Times New Roman"/>
          <w:sz w:val="28"/>
          <w:szCs w:val="28"/>
        </w:rPr>
      </w:pPr>
      <w:r>
        <w:rPr>
          <w:rFonts w:ascii="Times New Roman" w:hAnsi="Times New Roman"/>
          <w:sz w:val="28"/>
          <w:szCs w:val="28"/>
        </w:rPr>
        <w:t>Міністерство охорони здоров’я України</w:t>
      </w:r>
    </w:p>
    <w:p w:rsidR="00B23B94" w:rsidRDefault="00B23B94">
      <w:pPr>
        <w:pStyle w:val="a3"/>
        <w:spacing w:before="79" w:line="362" w:lineRule="auto"/>
        <w:ind w:left="922" w:right="1012" w:firstLine="5"/>
        <w:jc w:val="center"/>
      </w:pPr>
    </w:p>
    <w:p w:rsidR="00B23B94" w:rsidRDefault="00B23B94">
      <w:pPr>
        <w:pStyle w:val="a3"/>
        <w:ind w:left="0"/>
        <w:jc w:val="left"/>
        <w:rPr>
          <w:sz w:val="30"/>
        </w:rPr>
      </w:pPr>
    </w:p>
    <w:p w:rsidR="00B23B94" w:rsidRDefault="003B2D3B">
      <w:pPr>
        <w:pStyle w:val="a3"/>
        <w:spacing w:before="270" w:line="362" w:lineRule="auto"/>
        <w:ind w:left="6470" w:right="292" w:firstLine="256"/>
        <w:jc w:val="left"/>
      </w:pPr>
      <w:r>
        <w:t>Кваліфікаційна наукова праця на правах рукопису</w:t>
      </w:r>
    </w:p>
    <w:p w:rsidR="00B23B94" w:rsidRDefault="00B23B94">
      <w:pPr>
        <w:pStyle w:val="a3"/>
        <w:spacing w:before="5"/>
        <w:ind w:left="0"/>
        <w:jc w:val="left"/>
        <w:rPr>
          <w:sz w:val="41"/>
        </w:rPr>
      </w:pPr>
    </w:p>
    <w:p w:rsidR="00B23B94" w:rsidRDefault="003B2D3B">
      <w:pPr>
        <w:pStyle w:val="1"/>
        <w:spacing w:before="0"/>
        <w:ind w:left="259" w:right="340"/>
        <w:jc w:val="center"/>
      </w:pPr>
      <w:r>
        <w:t>Черкун Олексій Юрійович</w:t>
      </w:r>
    </w:p>
    <w:p w:rsidR="00B23B94" w:rsidRDefault="00B23B94">
      <w:pPr>
        <w:pStyle w:val="a3"/>
        <w:ind w:left="0"/>
        <w:jc w:val="left"/>
        <w:rPr>
          <w:b/>
          <w:sz w:val="30"/>
        </w:rPr>
      </w:pPr>
    </w:p>
    <w:p w:rsidR="00B23B94" w:rsidRDefault="00B23B94">
      <w:pPr>
        <w:pStyle w:val="a3"/>
        <w:spacing w:before="2"/>
        <w:ind w:left="0"/>
        <w:jc w:val="left"/>
        <w:rPr>
          <w:b/>
          <w:sz w:val="26"/>
        </w:rPr>
      </w:pPr>
    </w:p>
    <w:p w:rsidR="00B23B94" w:rsidRDefault="003B2D3B">
      <w:pPr>
        <w:pStyle w:val="a3"/>
        <w:ind w:left="4965"/>
        <w:jc w:val="left"/>
      </w:pPr>
      <w:r>
        <w:t>УДК:616.37-002.1:616-06-022.1:617-03</w:t>
      </w:r>
    </w:p>
    <w:p w:rsidR="00B23B94" w:rsidRDefault="00B23B94">
      <w:pPr>
        <w:pStyle w:val="a3"/>
        <w:ind w:left="0"/>
        <w:jc w:val="left"/>
        <w:rPr>
          <w:sz w:val="30"/>
        </w:rPr>
      </w:pPr>
    </w:p>
    <w:p w:rsidR="00B23B94" w:rsidRDefault="00B23B94">
      <w:pPr>
        <w:pStyle w:val="a3"/>
        <w:spacing w:before="10"/>
        <w:ind w:left="0"/>
        <w:jc w:val="left"/>
        <w:rPr>
          <w:sz w:val="25"/>
        </w:rPr>
      </w:pPr>
    </w:p>
    <w:p w:rsidR="00B23B94" w:rsidRDefault="003B2D3B">
      <w:pPr>
        <w:pStyle w:val="1"/>
        <w:spacing w:before="1" w:line="360" w:lineRule="auto"/>
        <w:ind w:left="1117" w:right="1198" w:hanging="6"/>
        <w:jc w:val="center"/>
      </w:pPr>
      <w:r>
        <w:t>ДИФЕРЕНЦІЙОВАНА ХІРУРГІЧНА ТАКТИКА ПРИ ПАРАПАНКРЕАТИЧНИХ ІНФЕКЦІЙНО-СЕПТИЧНИХ УСКЛАДНЕННЯХ ДЕСТРУКТИВНОГО ПАНКРЕАТИТУ</w:t>
      </w:r>
    </w:p>
    <w:p w:rsidR="00B23B94" w:rsidRDefault="00B23B94">
      <w:pPr>
        <w:pStyle w:val="a3"/>
        <w:ind w:left="0"/>
        <w:jc w:val="left"/>
        <w:rPr>
          <w:b/>
          <w:sz w:val="42"/>
        </w:rPr>
      </w:pPr>
    </w:p>
    <w:p w:rsidR="00B23B94" w:rsidRDefault="003B2D3B">
      <w:pPr>
        <w:pStyle w:val="a3"/>
        <w:ind w:left="3789"/>
        <w:jc w:val="left"/>
      </w:pPr>
      <w:r>
        <w:t>14.01.03 – хірургія</w:t>
      </w:r>
    </w:p>
    <w:p w:rsidR="00B23B94" w:rsidRDefault="00B23B94">
      <w:pPr>
        <w:pStyle w:val="a3"/>
        <w:ind w:left="0"/>
        <w:jc w:val="left"/>
        <w:rPr>
          <w:sz w:val="30"/>
        </w:rPr>
      </w:pPr>
    </w:p>
    <w:p w:rsidR="00B23B94" w:rsidRDefault="00B23B94">
      <w:pPr>
        <w:pStyle w:val="a3"/>
        <w:ind w:left="0"/>
        <w:jc w:val="left"/>
        <w:rPr>
          <w:sz w:val="30"/>
        </w:rPr>
      </w:pPr>
    </w:p>
    <w:p w:rsidR="00B23B94" w:rsidRDefault="00B23B94">
      <w:pPr>
        <w:pStyle w:val="a3"/>
        <w:spacing w:before="1"/>
        <w:ind w:left="0"/>
        <w:jc w:val="left"/>
        <w:rPr>
          <w:sz w:val="38"/>
        </w:rPr>
      </w:pPr>
    </w:p>
    <w:p w:rsidR="00B23B94" w:rsidRDefault="003B2D3B">
      <w:pPr>
        <w:pStyle w:val="a3"/>
        <w:jc w:val="left"/>
      </w:pPr>
      <w:r>
        <w:t>Подається на здобуття наукового ступеня кандидата медичних наук</w:t>
      </w:r>
    </w:p>
    <w:p w:rsidR="00B23B94" w:rsidRDefault="00B23B94">
      <w:pPr>
        <w:pStyle w:val="a3"/>
        <w:ind w:left="0"/>
        <w:jc w:val="left"/>
        <w:rPr>
          <w:sz w:val="30"/>
        </w:rPr>
      </w:pPr>
    </w:p>
    <w:p w:rsidR="00B23B94" w:rsidRDefault="00B23B94">
      <w:pPr>
        <w:pStyle w:val="a3"/>
        <w:spacing w:before="11"/>
        <w:ind w:left="0"/>
        <w:jc w:val="left"/>
        <w:rPr>
          <w:sz w:val="25"/>
        </w:rPr>
      </w:pPr>
    </w:p>
    <w:p w:rsidR="00B23B94" w:rsidRDefault="003B2D3B">
      <w:pPr>
        <w:pStyle w:val="a3"/>
        <w:spacing w:line="362" w:lineRule="auto"/>
        <w:ind w:right="292"/>
        <w:jc w:val="left"/>
      </w:pPr>
      <w: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23B94" w:rsidRDefault="003B2D3B">
      <w:pPr>
        <w:pStyle w:val="a3"/>
        <w:tabs>
          <w:tab w:val="left" w:pos="3646"/>
        </w:tabs>
        <w:spacing w:line="317" w:lineRule="exact"/>
        <w:jc w:val="left"/>
      </w:pPr>
      <w:r>
        <w:rPr>
          <w:u w:val="single"/>
        </w:rPr>
        <w:t xml:space="preserve"> </w:t>
      </w:r>
      <w:r>
        <w:rPr>
          <w:u w:val="single"/>
        </w:rPr>
        <w:tab/>
      </w:r>
      <w:r>
        <w:t>О.Ю.</w:t>
      </w:r>
      <w:r>
        <w:rPr>
          <w:spacing w:val="-2"/>
        </w:rPr>
        <w:t xml:space="preserve"> </w:t>
      </w:r>
      <w:r>
        <w:t>Черкун</w:t>
      </w:r>
    </w:p>
    <w:p w:rsidR="00B23B94" w:rsidRDefault="00B23B94">
      <w:pPr>
        <w:pStyle w:val="a3"/>
        <w:ind w:left="0"/>
        <w:jc w:val="left"/>
        <w:rPr>
          <w:sz w:val="30"/>
        </w:rPr>
      </w:pPr>
    </w:p>
    <w:p w:rsidR="00B23B94" w:rsidRDefault="00B23B94">
      <w:pPr>
        <w:pStyle w:val="a3"/>
        <w:spacing w:before="11"/>
        <w:ind w:left="0"/>
        <w:jc w:val="left"/>
        <w:rPr>
          <w:sz w:val="25"/>
        </w:rPr>
      </w:pPr>
    </w:p>
    <w:p w:rsidR="00B23B94" w:rsidRDefault="003B2D3B">
      <w:pPr>
        <w:pStyle w:val="a3"/>
        <w:ind w:left="5519"/>
        <w:jc w:val="left"/>
      </w:pPr>
      <w:r>
        <w:t>Науковий керівник</w:t>
      </w:r>
    </w:p>
    <w:p w:rsidR="00B23B94" w:rsidRDefault="003B2D3B">
      <w:pPr>
        <w:pStyle w:val="a3"/>
        <w:spacing w:before="163" w:line="360" w:lineRule="auto"/>
        <w:ind w:left="5534" w:right="370" w:firstLine="2"/>
        <w:jc w:val="left"/>
      </w:pPr>
      <w:r>
        <w:t>Шейко Володимир Дмитрович доктор медичних наук, професор</w:t>
      </w:r>
    </w:p>
    <w:p w:rsidR="00B23B94" w:rsidRDefault="00B23B94">
      <w:pPr>
        <w:pStyle w:val="a3"/>
        <w:spacing w:before="9"/>
        <w:ind w:left="0"/>
        <w:jc w:val="left"/>
        <w:rPr>
          <w:sz w:val="41"/>
        </w:rPr>
      </w:pPr>
    </w:p>
    <w:p w:rsidR="00B23B94" w:rsidRDefault="003B2D3B">
      <w:pPr>
        <w:pStyle w:val="a3"/>
        <w:ind w:left="256" w:right="340"/>
        <w:jc w:val="center"/>
      </w:pPr>
      <w:r>
        <w:t>Харків – 2020</w:t>
      </w:r>
    </w:p>
    <w:p w:rsidR="00B23B94" w:rsidRDefault="00B23B94">
      <w:pPr>
        <w:jc w:val="center"/>
        <w:sectPr w:rsidR="00B23B94">
          <w:headerReference w:type="default" r:id="rId9"/>
          <w:type w:val="continuous"/>
          <w:pgSz w:w="11910" w:h="16840"/>
          <w:pgMar w:top="1040" w:right="540" w:bottom="280" w:left="1480" w:header="719" w:footer="708" w:gutter="0"/>
          <w:pgNumType w:start="1"/>
          <w:cols w:space="720"/>
        </w:sectPr>
      </w:pPr>
    </w:p>
    <w:p w:rsidR="00B23B94" w:rsidRDefault="003B2D3B">
      <w:pPr>
        <w:pStyle w:val="1"/>
        <w:spacing w:before="79"/>
        <w:ind w:left="261" w:right="340"/>
        <w:jc w:val="center"/>
      </w:pPr>
      <w:r>
        <w:lastRenderedPageBreak/>
        <w:t>АНОТАЦІЯ</w:t>
      </w:r>
    </w:p>
    <w:p w:rsidR="00B23B94" w:rsidRDefault="00B23B94">
      <w:pPr>
        <w:pStyle w:val="a3"/>
        <w:ind w:left="0"/>
        <w:jc w:val="left"/>
        <w:rPr>
          <w:b/>
          <w:sz w:val="30"/>
        </w:rPr>
      </w:pPr>
    </w:p>
    <w:p w:rsidR="00B23B94" w:rsidRDefault="00B23B94">
      <w:pPr>
        <w:pStyle w:val="a3"/>
        <w:spacing w:before="1"/>
        <w:ind w:left="0"/>
        <w:jc w:val="left"/>
        <w:rPr>
          <w:b/>
          <w:sz w:val="26"/>
        </w:rPr>
      </w:pPr>
    </w:p>
    <w:p w:rsidR="00B23B94" w:rsidRDefault="003B2D3B">
      <w:pPr>
        <w:tabs>
          <w:tab w:val="left" w:pos="3878"/>
          <w:tab w:val="left" w:pos="7814"/>
        </w:tabs>
        <w:spacing w:line="360" w:lineRule="auto"/>
        <w:ind w:left="222" w:right="306" w:firstLine="707"/>
        <w:jc w:val="both"/>
        <w:rPr>
          <w:sz w:val="28"/>
        </w:rPr>
      </w:pPr>
      <w:r>
        <w:rPr>
          <w:b/>
          <w:sz w:val="28"/>
        </w:rPr>
        <w:t>Черкун О.Ю. Диференційована хірургічна тактика при парапанкреатичних</w:t>
      </w:r>
      <w:r>
        <w:rPr>
          <w:b/>
          <w:sz w:val="28"/>
        </w:rPr>
        <w:tab/>
        <w:t>інфекційно-септичних</w:t>
      </w:r>
      <w:r>
        <w:rPr>
          <w:b/>
          <w:sz w:val="28"/>
        </w:rPr>
        <w:tab/>
      </w:r>
      <w:r>
        <w:rPr>
          <w:b/>
          <w:spacing w:val="-3"/>
          <w:sz w:val="28"/>
        </w:rPr>
        <w:t xml:space="preserve">ускладненнях </w:t>
      </w:r>
      <w:r>
        <w:rPr>
          <w:b/>
          <w:sz w:val="28"/>
        </w:rPr>
        <w:t xml:space="preserve">деструктивного панкреатиту. </w:t>
      </w:r>
      <w:r>
        <w:rPr>
          <w:sz w:val="28"/>
        </w:rPr>
        <w:t>- Кваліфікаційна наукова праця на правах рукопису.</w:t>
      </w:r>
    </w:p>
    <w:p w:rsidR="00B23B94" w:rsidRDefault="003B2D3B">
      <w:pPr>
        <w:pStyle w:val="a3"/>
        <w:spacing w:line="360" w:lineRule="auto"/>
        <w:ind w:right="305" w:firstLine="707"/>
      </w:pPr>
      <w:r>
        <w:t>Дисертація на здобуття наукового ступеня кандидата медичних наук (доктора філософії) за спеціальністю 14.01.03 «Хірургія». – Українська медична стоматологічна академія, Полтава.</w:t>
      </w:r>
    </w:p>
    <w:p w:rsidR="00B23B94" w:rsidRDefault="00B23B94">
      <w:pPr>
        <w:pStyle w:val="a3"/>
        <w:spacing w:before="1"/>
        <w:ind w:left="0"/>
        <w:jc w:val="left"/>
        <w:rPr>
          <w:sz w:val="42"/>
        </w:rPr>
      </w:pPr>
    </w:p>
    <w:p w:rsidR="00B23B94" w:rsidRDefault="003B2D3B">
      <w:pPr>
        <w:pStyle w:val="1"/>
        <w:spacing w:before="0"/>
        <w:ind w:left="930"/>
        <w:jc w:val="both"/>
      </w:pPr>
      <w:r>
        <w:t>Зміст анотації</w:t>
      </w:r>
    </w:p>
    <w:p w:rsidR="00B23B94" w:rsidRDefault="003B2D3B">
      <w:pPr>
        <w:pStyle w:val="a3"/>
        <w:spacing w:before="161" w:line="360" w:lineRule="auto"/>
        <w:ind w:right="303" w:firstLine="707"/>
      </w:pPr>
      <w:r>
        <w:t>Дисертація присвячена вивченню проблеми інфекційно-септичних ускладнень у хворих з деструктивними формами гострого панкреатиту. За даними різних авторів захворюваність на гострий панкреатит складає від 38 до 95 на 100000 населення. Деструктивні форми гострого панкреатиту розвиваються у 15-25% пацієнтів. Летальність при деструктивних формах гострого панкреатиту, за даними закордонних авторів, коливається в межах 27-45%. Саме ці пацієнти є найбільш тяжкою групою в діагностичному, лікувальному, соціальному і економічному плані, що підтверджується даними про високі показники летальності, частоту ускладнень, терміни госпіталізації та значні фінансові витрати при лікуванні даної категорії пацієнтів. За оновленою класифікацією гострого панкреатиту «Антанта– 2012» визначено, що для тяжкої форми гострого панкреатиту притаманні поширені пери- та інтрапанкреатичний некроз, локалізовані чи дифузні некрози паренхіми, перипанкреатична флегмона, інфікований некроз, формування псевдокіст і абсцесів. В літературі недостатньо приділяється уваги саме вибору хірургічної тактики при даних ускладненнях в залежності від характеру та локалізації інфікованого парапанкреатичного осередку. Останнім часом з’являються роботи про роль гормонів щитоподібної залози  у прогнозуванні розвитку бактеріальної інфекції. Так, відомо що,</w:t>
      </w:r>
      <w:r>
        <w:rPr>
          <w:spacing w:val="-4"/>
        </w:rPr>
        <w:t xml:space="preserve"> </w:t>
      </w:r>
      <w:r>
        <w:t>підвищення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рівня прокальцитоніну вище 1,8 нг/мл при гострому панкреатиті, вказує на розвиток інфекційних ускладнень, які в свою чергу, при неадекватному подальшому лікуванні, можуть призвести до розвитку тяжкого сепсису чи поліорганної недостатності та смерті пацієнта. Тому доцільно вивчення рівня тиреоїдних гормонів у пацієнтів з деструктивним панкреатитом, оскільки відомо, що синдром низького Т</w:t>
      </w:r>
      <w:r>
        <w:rPr>
          <w:vertAlign w:val="subscript"/>
        </w:rPr>
        <w:t>3</w:t>
      </w:r>
      <w:r>
        <w:t xml:space="preserve"> є предиктором синдрому поліорганної недостатності та несприятливого перебігу соматичної патології. Таким чином, невирішені питання в діагностиці та виборі лікувальної тактики у пацієнтів з деструктивним панкреатитом, різні погляди на показання до оперативного втручання, визначення термінів та об’єму оперативного втручання, аналіз впливу гормонів тиреоїдного профілю на динаміку захворювання, обумовлюють актуальність проведення даного</w:t>
      </w:r>
      <w:r>
        <w:rPr>
          <w:spacing w:val="-13"/>
        </w:rPr>
        <w:t xml:space="preserve"> </w:t>
      </w:r>
      <w:r>
        <w:t>дослідження.</w:t>
      </w:r>
    </w:p>
    <w:p w:rsidR="00B23B94" w:rsidRDefault="003B2D3B">
      <w:pPr>
        <w:pStyle w:val="a3"/>
        <w:spacing w:before="1" w:line="360" w:lineRule="auto"/>
        <w:ind w:right="305" w:firstLine="707"/>
      </w:pPr>
      <w:r>
        <w:t>Дослідження проводилося на кафедрі хірургії №2 медичного факультету №1 Української медичної стоматологічної академії. Клінічною базою було Комунальне підприємство "Полтавська обласна клінічна лікарня ім. М.В. Скліфосовського Полтавської обласної ради". Всім пацієнтам з парапанкреатичними інфекційно-септичними ускладненнями деструктивного панкреатиту було проведено повне клінічне, лабораторне та інструментальне обстеження згідно наказу МОЗ України (наказ №297 від 02.04.2010 року). Додатково проводилося визначення рівня прокальцитоніну, С-реактивного білку, Т3, Т4, Т3</w:t>
      </w:r>
      <w:r>
        <w:rPr>
          <w:vertAlign w:val="subscript"/>
        </w:rPr>
        <w:t>вільного</w:t>
      </w:r>
      <w:r>
        <w:t xml:space="preserve"> та</w:t>
      </w:r>
      <w:r>
        <w:rPr>
          <w:spacing w:val="-3"/>
        </w:rPr>
        <w:t xml:space="preserve"> </w:t>
      </w:r>
      <w:r>
        <w:t>ТТГ.</w:t>
      </w:r>
    </w:p>
    <w:p w:rsidR="00B23B94" w:rsidRDefault="003B2D3B">
      <w:pPr>
        <w:pStyle w:val="a3"/>
        <w:spacing w:line="360" w:lineRule="auto"/>
        <w:ind w:right="304" w:firstLine="707"/>
      </w:pPr>
      <w:r>
        <w:t>Робота заснована на ретро- та проспективному аналізі лікування 127 хворих з інфекційно-септичними ускладненнями гострого деструктивного панкреатиту, які знаходилися на лікуванні у хірургічному відділенні та відділенні анестезіології, реанімації та інтенсивної терапії вищезгаданої установи з 2010 по 2018</w:t>
      </w:r>
      <w:r>
        <w:rPr>
          <w:spacing w:val="-4"/>
        </w:rPr>
        <w:t xml:space="preserve"> </w:t>
      </w:r>
      <w:r>
        <w:t>роки.</w:t>
      </w:r>
    </w:p>
    <w:p w:rsidR="00B23B94" w:rsidRDefault="003B2D3B">
      <w:pPr>
        <w:pStyle w:val="a3"/>
        <w:tabs>
          <w:tab w:val="left" w:pos="4166"/>
        </w:tabs>
        <w:spacing w:before="3" w:line="360" w:lineRule="auto"/>
        <w:ind w:right="303" w:firstLine="707"/>
      </w:pPr>
      <w:r>
        <w:t>Під час першого етапу дослідження було проаналізовано діагностичну та лікувальну тактику у 87 пацієнтів (група порівняння) з парапанкреатичними</w:t>
      </w:r>
      <w:r>
        <w:tab/>
        <w:t>інфекційно-септичними ускладненнями деструктивного панкреатиту. Хірургічна тактика лікування хворих</w:t>
      </w:r>
      <w:r>
        <w:rPr>
          <w:spacing w:val="37"/>
        </w:rPr>
        <w:t xml:space="preserve"> </w:t>
      </w:r>
      <w:r>
        <w:t>даної</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 xml:space="preserve">групи в цілому відповідала загальноприйнятим стандартам і спиралася переважно на характер парапанкреатичних ускладнень і поширеність локального процесу. Так при поширеності рідинних скупчень без секвестральних мас на 1 чи 2 ЗППН, хворим виконували дренування під </w:t>
      </w:r>
      <w:r>
        <w:rPr>
          <w:spacing w:val="3"/>
        </w:rPr>
        <w:t xml:space="preserve">УЗ- </w:t>
      </w:r>
      <w:r>
        <w:t xml:space="preserve">контролем. Отримані виділення під час дренування відправляли на дообстеження: бактеріоскопію, рівень амілази, посів на мікрофлору та на дослідження чутливості до антибактеріальних препаратів. Показанням до полідренування було поширення рідинних скупчень на </w:t>
      </w:r>
      <w:r>
        <w:rPr>
          <w:spacing w:val="2"/>
        </w:rPr>
        <w:t xml:space="preserve">2-4 </w:t>
      </w:r>
      <w:r>
        <w:t xml:space="preserve">ЗППН, з переважанням рідинного компоненту (5 пацієнтів – 5,7%), при цьому завершальним етапом лікування воно було у 1 пацієнта (1,1%). Всі інші потребували подальшого дообстеження та відкритих оперативних втручань. Було встановлено пряму залежність між поширеністю локальних парапанкреатичних ускладнень та перебігом органної дисфункції у пацієнтів з гострим тяжким панкреатитом. Так при поширеності парапанкреатичних локальних ускладнень на 1 чи 2 ЗППН, тривалість ПОД спостерігалося лише у 12,5% пацієнтів, при поширеності на </w:t>
      </w:r>
      <w:r>
        <w:rPr>
          <w:spacing w:val="2"/>
        </w:rPr>
        <w:t xml:space="preserve">3-4 </w:t>
      </w:r>
      <w:r>
        <w:t>ЗППН – 30-44% хворих, а при поширеності локальних ускладнень більше ніж 5 ЗППН, персистуюча ПОД спостерігалася майже у всіх пацієнтів</w:t>
      </w:r>
      <w:r>
        <w:rPr>
          <w:spacing w:val="-5"/>
        </w:rPr>
        <w:t xml:space="preserve"> </w:t>
      </w:r>
      <w:r>
        <w:t>(&gt;80%).</w:t>
      </w:r>
    </w:p>
    <w:p w:rsidR="00B23B94" w:rsidRDefault="003B2D3B">
      <w:pPr>
        <w:pStyle w:val="a3"/>
        <w:spacing w:before="3" w:line="360" w:lineRule="auto"/>
        <w:ind w:right="303" w:firstLine="707"/>
      </w:pPr>
      <w:r>
        <w:t>Незважаючи на проведене лікування, у даній групі пацієнтів спостерігалося високий рівень післяопераційних ускладнень – 9 (10,3%) пацієнтів. Слід відмітити, що всі ускладнення виникали після відкритих операцій, ускладнень після дренування/полідренування не спостерігалося. Самим поширеним ускладненням було арозивна кровотеча (5,7%), кишкова нориця (4,5%). Окрім цього, рівень летальності склав 39,1%, а частота повторних хірургічних втручань – 46%. Також виявилося, що рутинне первинне дренування парапанкреатичних локальних ускладнень гострого тяжкого панкреатиту під УЗ-контролем призводить до раннього інфікування даних скупчень та збільшення майже на третину госпітальних штамів та S.aureus. Як насліок, раннє призначення антибактеріальних препаратів резерву призводить до розвитку мультирезистентності госпітальної інфекції,</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2"/>
      </w:pPr>
      <w:r>
        <w:lastRenderedPageBreak/>
        <w:t>що в подальшому негативно позначається на антибіотикотерапії після відкритих НСЕ і погіршує прогноз даних пацієнтів.</w:t>
      </w:r>
    </w:p>
    <w:p w:rsidR="00B23B94" w:rsidRDefault="003B2D3B">
      <w:pPr>
        <w:pStyle w:val="a3"/>
        <w:spacing w:line="360" w:lineRule="auto"/>
        <w:ind w:right="301" w:firstLine="707"/>
      </w:pPr>
      <w:r>
        <w:t>На другому етапі дослідження проведено аналіз лікування 40 хворих (основна група) з розподілом їх на 2 підгрупи. Першу підгрупу (2а, n=17) склали пацієнти, у яких окрім стандартних методів обстеження додатково проводили визначення рівня прокальцитоніну, С-реактивного білка, а також гормонів тиреоїдного профілю: Т3, Т4, ТТГ, та Т3</w:t>
      </w:r>
      <w:r>
        <w:rPr>
          <w:vertAlign w:val="subscript"/>
        </w:rPr>
        <w:t>вільного</w:t>
      </w:r>
      <w:r>
        <w:t>. Обстеження проводили перед запланованим оперативним втручанням. Інфікованим парапанкреатичне рідинне скупчення вважали при підвищенні рівня прокальцитоніну вище 3,8 нг/мл, С-реактивний білок вважали маркером розвитку гнійно-септичних ускладнень при гострому тяжкому панкреатиті при підвищенні концентрації вище 100,0 мг/л, розвиток синдрому низького трийодтироніну вважали коли рівень Т3вільного складав менше 2,5 нмоль/л. Обов’язково визначали рівень гормонів трийодтироніну, тетрайодтироніну та тиреотропного гормону для виключення захворювань щитоподібної залози, що могло дати хибні результати. У цій підгрупі, відхилень від нормального рівня тиреоїдних гормонів не спостерігалося. Проведений аналіз потенційних маркерів ГСУ у пацієнтів 2а підгрупи основної групи виявив, що у пацієнтів  з середньо-важким панкреатитом, підвищення рівня проСа більше 3,8 нг/мл відмічалося у 10% пацієнтів, підвищення рівня СРБ вище 100,0 мг/л – у жодного з пацієнтів, розвиток синдрому low T3 спостерігався у 10% пацієнтів. Тоді як у пацієнтів з тяжким перебігом ГТП – підвищення рівня СРБ також не визначали, підвищення рівня проСа вище порогового у 42,9% пацієнтів, розвиток синдрому low T3 відмічено у всіх пацієнтів</w:t>
      </w:r>
      <w:r>
        <w:rPr>
          <w:spacing w:val="-21"/>
        </w:rPr>
        <w:t xml:space="preserve"> </w:t>
      </w:r>
      <w:r>
        <w:t>(100%).</w:t>
      </w:r>
    </w:p>
    <w:p w:rsidR="00B23B94" w:rsidRDefault="003B2D3B">
      <w:pPr>
        <w:pStyle w:val="a3"/>
        <w:spacing w:line="360" w:lineRule="auto"/>
        <w:ind w:right="302" w:firstLine="707"/>
      </w:pPr>
      <w:r>
        <w:t>На 4-5 добу після проведено оперативного лікування хворим повторно визначали рівень вищеописаних гормонів. Рівень проСа нижче 3,8 нг/мл визначали лише у 5.9% пацієнтів з тяжким перебігом гострого панкреатиту. Показник СРБ визначили як неінформативний. Синдром low T3 зберігався лише у 6 пацієнтів (85,7%) з тяжким перебігом гострого панкреатиту.</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05"/>
      </w:pPr>
      <w:r>
        <w:lastRenderedPageBreak/>
        <w:t>Померлих у 2а підгрупі основної групи було 6 пацієнтів. Було виявлено, що у всіх 6 пацієнтів регресу синдрому low T3 не спостерігалося.</w:t>
      </w:r>
    </w:p>
    <w:p w:rsidR="00B23B94" w:rsidRDefault="003B2D3B">
      <w:pPr>
        <w:pStyle w:val="a3"/>
        <w:spacing w:line="360" w:lineRule="auto"/>
        <w:ind w:right="305" w:firstLine="707"/>
      </w:pPr>
      <w:r>
        <w:t>Отже, розвиток синдрому low T3 є предиктором несприятливого перебігу захворювання з чутливістю 85,7% та специфічністю 90,1%, що дає змогу використовувати даний маркер у плануванні оперативних втручань з метою попередження розвитку незворотної органної дисфункції.</w:t>
      </w:r>
    </w:p>
    <w:p w:rsidR="00B23B94" w:rsidRDefault="003B2D3B">
      <w:pPr>
        <w:pStyle w:val="a3"/>
        <w:spacing w:line="360" w:lineRule="auto"/>
        <w:ind w:right="306" w:firstLine="707"/>
      </w:pPr>
      <w:r>
        <w:t>Спираючить на отримані результати, було розроблено алгоритм диференційованої хірургічної тактики.</w:t>
      </w:r>
    </w:p>
    <w:p w:rsidR="00B23B94" w:rsidRDefault="003B2D3B">
      <w:pPr>
        <w:pStyle w:val="a3"/>
        <w:spacing w:line="360" w:lineRule="auto"/>
        <w:ind w:right="302" w:firstLine="707"/>
      </w:pPr>
      <w:r>
        <w:t xml:space="preserve">Пацієнтам в перші 4 тижні захворювання проводиться контроль лабораторних показників, оцінюється тяжкість стану та наявність органної дисфункції в динаміці. За допомогою променевих методів обстеження виконують контроль за локальними парапанкреатичними ускладненнями. За наявності рідинного компоненту в останніх, слід першочергово виконувати пункцію скупчень, з метою декомпресії а також визначення збудника, якщо він наявний. За умов отримання гною в пунктаті – показано дренування даного рідинного скупчення. У випадку відсутності позитивного ефекту від діагностичної пункції пі УЗ-контролем або формуванню повторних рідинних скупчень – пацієнту показане МРТ-дослідження для потенційного визначення секвестральних мас низької щільності. За результатами МРТ визначають переважання рідинного чи тканинного компонентів – з подальшим визначенням хірургічної тактики. За можливості потрібно надавати перевагу дренуванню через фланки – з подальшим бужуванням порожнини гнійників за допомогою розробленого в клініці пристрою для бужування порожнини абсцесу (патент України на корисну модель №127401 від 25.07.2018). У випадку, коли за даними МРТ переважає рідинний компонент, і немає ефекту від тонкоголкової пункції, паралельно обов’язковим є визначення рівня вільного Т3. У випадку діагностики синдрому lowT3 пацієнту показане відкрите оперативне втручання. Обов’язковим є переоцінка рівня тиреоїдних гормонів на </w:t>
      </w:r>
      <w:r>
        <w:rPr>
          <w:spacing w:val="2"/>
        </w:rPr>
        <w:t xml:space="preserve">4-5 </w:t>
      </w:r>
      <w:r>
        <w:t>добу. Показаннями до етапних хірургічних втручань є персистенція</w:t>
      </w:r>
      <w:r>
        <w:rPr>
          <w:spacing w:val="32"/>
        </w:rPr>
        <w:t xml:space="preserve"> </w:t>
      </w:r>
      <w:r>
        <w:t>синдрому</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pPr>
      <w:r>
        <w:lastRenderedPageBreak/>
        <w:t>низького трийодтироніну і/або діагностика не фіксованих секвестрів за даними інструментальних методів дослідження. У терміні захворювання більше 4-х тижнів, за наявності ознак SIRS хворим показане проведення КТ з в/в контрастуванням для діагностики сформованих парапанкреатичних скупчень, з подальшим визначенням об’єму хірургічного прийому.</w:t>
      </w:r>
    </w:p>
    <w:p w:rsidR="00B23B94" w:rsidRDefault="003B2D3B">
      <w:pPr>
        <w:pStyle w:val="a3"/>
        <w:spacing w:before="2" w:line="360" w:lineRule="auto"/>
        <w:ind w:right="304" w:firstLine="707"/>
      </w:pPr>
      <w:r>
        <w:t>Даний алгоритм було використано при лікування другої підгрупи основної групи (2b, n=23). Констатовано зниження числа післяопераційних ускладнень на 4,4% завдяки використанню міні-доступів, а також зниження рівня летальності у пацієнтів з ГСУ на 13,0%.</w:t>
      </w:r>
    </w:p>
    <w:p w:rsidR="00B23B94" w:rsidRDefault="003B2D3B">
      <w:pPr>
        <w:pStyle w:val="a3"/>
        <w:spacing w:before="1" w:line="360" w:lineRule="auto"/>
        <w:ind w:right="304" w:firstLine="707"/>
      </w:pPr>
      <w:r>
        <w:rPr>
          <w:b/>
        </w:rPr>
        <w:t xml:space="preserve">Ключові слова: </w:t>
      </w:r>
      <w:r>
        <w:t>гострий тяжкий панкреатит, гнійно-септичні ускладнення, хірургічна тактика.</w:t>
      </w:r>
    </w:p>
    <w:p w:rsidR="00B23B94" w:rsidRDefault="00B23B94">
      <w:pPr>
        <w:spacing w:line="360" w:lineRule="auto"/>
        <w:jc w:val="both"/>
        <w:rPr>
          <w:sz w:val="28"/>
        </w:rPr>
        <w:sectPr w:rsidR="00B23B94">
          <w:pgSz w:w="11910" w:h="16840"/>
          <w:pgMar w:top="1040" w:right="540" w:bottom="280" w:left="1480" w:header="719" w:footer="0" w:gutter="0"/>
          <w:cols w:space="720"/>
        </w:sectPr>
      </w:pPr>
    </w:p>
    <w:p w:rsidR="00B23B94" w:rsidRDefault="003B2D3B">
      <w:pPr>
        <w:pStyle w:val="1"/>
        <w:spacing w:before="79"/>
        <w:ind w:left="930"/>
      </w:pPr>
      <w:r>
        <w:lastRenderedPageBreak/>
        <w:t>SUMMARY</w:t>
      </w:r>
    </w:p>
    <w:p w:rsidR="00B23B94" w:rsidRDefault="003B2D3B">
      <w:pPr>
        <w:spacing w:before="163" w:line="360" w:lineRule="auto"/>
        <w:ind w:left="222" w:right="304" w:firstLine="707"/>
        <w:jc w:val="both"/>
        <w:rPr>
          <w:sz w:val="28"/>
        </w:rPr>
      </w:pPr>
      <w:r>
        <w:rPr>
          <w:b/>
          <w:sz w:val="28"/>
        </w:rPr>
        <w:t xml:space="preserve">Cherkun O.Yu. Differentiated surgical tactics in case of parapancreatic infectious and septic complications of destructive pancreatitis. </w:t>
      </w:r>
      <w:r>
        <w:rPr>
          <w:sz w:val="28"/>
        </w:rPr>
        <w:t>– Qualification work published as a manuscript.</w:t>
      </w:r>
    </w:p>
    <w:p w:rsidR="00B23B94" w:rsidRDefault="003B2D3B">
      <w:pPr>
        <w:pStyle w:val="a3"/>
        <w:spacing w:line="362" w:lineRule="auto"/>
        <w:ind w:left="930" w:right="305"/>
      </w:pPr>
      <w:r>
        <w:t>Dissertation thesis for obtaining the Candidate Degree in Medical Sciences (Doctor of Philosophy) on specialty 14.01.03 – Surgery. – Ukrainian</w:t>
      </w:r>
    </w:p>
    <w:p w:rsidR="00B23B94" w:rsidRDefault="003B2D3B">
      <w:pPr>
        <w:pStyle w:val="a3"/>
        <w:spacing w:line="317" w:lineRule="exact"/>
      </w:pPr>
      <w:r>
        <w:t>Medical Stomatological Academy, Poltava.</w:t>
      </w:r>
    </w:p>
    <w:p w:rsidR="00B23B94" w:rsidRDefault="00B23B94">
      <w:pPr>
        <w:pStyle w:val="a3"/>
        <w:ind w:left="0"/>
        <w:jc w:val="left"/>
        <w:rPr>
          <w:sz w:val="30"/>
        </w:rPr>
      </w:pPr>
    </w:p>
    <w:p w:rsidR="00B23B94" w:rsidRDefault="00B23B94">
      <w:pPr>
        <w:pStyle w:val="a3"/>
        <w:spacing w:before="8"/>
        <w:ind w:left="0"/>
        <w:jc w:val="left"/>
        <w:rPr>
          <w:sz w:val="25"/>
        </w:rPr>
      </w:pPr>
    </w:p>
    <w:p w:rsidR="00B23B94" w:rsidRDefault="003B2D3B">
      <w:pPr>
        <w:pStyle w:val="a3"/>
        <w:spacing w:line="360" w:lineRule="auto"/>
        <w:ind w:right="303" w:firstLine="707"/>
      </w:pPr>
      <w:r>
        <w:t xml:space="preserve">The thesis is devoted to the investigation of the problem of infectious-septic complications in patients with destructive forms of acute pancreatitis. According to various authors, the incidence of acute pancreatitis ranges from 38 to 95 per 100,000 population. Destructive forms of acute pancreatitis develop in 15-25% of patients. Mortality in destructive forms of acute pancreatitis, according to foreign authors, ranges from 27-45%. These patients are the most difficult group in the diagnostic, medical, social and economic plan, which is confirmed by the data on high mortality rates, frequency of complications, hospitalization time and significant financial expenses in the treatment of this category of patients. According to the updated classification of acute pancreatitis "Antanta-2012" it is determined that for severe form of acute pancreatitis there are widespread peri- and intra-pancreatic necrosis, localized or diffuse necrosis of the parenchyma, peripancreatic phlegmonosis, infected pestilence, infected. In the literature, insufficient attention is paid to the choice of surgical tactics for these complications, depending on the nature and location of the infected parapancreatic cell. Recently, there has been work on the role of thyroid hormones in predicting the development of bacterial infection. It is known that an increase in procalcitonin above 1.8 ng / </w:t>
      </w:r>
      <w:r>
        <w:rPr>
          <w:spacing w:val="-3"/>
        </w:rPr>
        <w:t xml:space="preserve">ml </w:t>
      </w:r>
      <w:r>
        <w:t>in acute pancreatitis indicates the development of infectious complications, which in turn, with inadequate subsequent treatment, can lead to the development of severe sepsis or multiple organ failure and death of the patient. Therefore, it is advisable to study the level of thyroid hormones in patients with destructive pancreatitis, since it is known that low T3 syndrome is a predictor</w:t>
      </w:r>
      <w:r>
        <w:rPr>
          <w:spacing w:val="29"/>
        </w:rPr>
        <w:t xml:space="preserve"> </w:t>
      </w:r>
      <w:r>
        <w:t>of</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15"/>
      </w:pPr>
      <w:r>
        <w:lastRenderedPageBreak/>
        <w:t>multiple organ failure syndrome and adverse course of somatic pathology. Thus, unresolved issues in the diagnosis and choice of therapeutic tactics in patients with destructive pancreatitis, different views on indications for surgery, definition of timing and volume of surgery, analysis of the influence of thyroid profile hormones on the dynamics of the disease, determine the relevance of the</w:t>
      </w:r>
      <w:r>
        <w:rPr>
          <w:spacing w:val="-26"/>
        </w:rPr>
        <w:t xml:space="preserve"> </w:t>
      </w:r>
      <w:r>
        <w:t>study.</w:t>
      </w:r>
    </w:p>
    <w:p w:rsidR="00B23B94" w:rsidRDefault="003B2D3B">
      <w:pPr>
        <w:pStyle w:val="a3"/>
        <w:spacing w:before="2" w:line="360" w:lineRule="auto"/>
        <w:ind w:right="304" w:firstLine="707"/>
      </w:pPr>
      <w:r>
        <w:t>The study was conducted at the Department of Surgery №2, Ukrainian Medical Stomatological Academy. The clinical base was the Municipal Enterprise "Poltava Regional Clinical Hospital named after M.V. Sklifosovsky” of Poltava Regional Council". All patients with parapancreatic infectious-septic complications of destructive pancreatitis were subjected to a complete clinical, laboratory and instrumental examination in accordance with the order of the Ministry of Health of Ukraine (Order No. 297 of April 2, 2010). Additionally, the determination of procalcitonin, C-reactive protein, T3, T4, T3 free and TSH was performed.</w:t>
      </w:r>
    </w:p>
    <w:p w:rsidR="00B23B94" w:rsidRDefault="003B2D3B">
      <w:pPr>
        <w:pStyle w:val="a3"/>
        <w:spacing w:before="1" w:line="360" w:lineRule="auto"/>
        <w:ind w:right="309" w:firstLine="707"/>
      </w:pPr>
      <w:r>
        <w:t>The study is based on retrospective and prospective analysis of the treatment of 127 patients with infectious-septic complications of acute destructive pancreatitis, who were treated in the surgical and anesthesiology, resuscitation and intensive care units of the above institution from 2010 to 2018.</w:t>
      </w:r>
    </w:p>
    <w:p w:rsidR="00B23B94" w:rsidRDefault="003B2D3B">
      <w:pPr>
        <w:pStyle w:val="a3"/>
        <w:spacing w:line="360" w:lineRule="auto"/>
        <w:ind w:right="303" w:firstLine="707"/>
      </w:pPr>
      <w:r>
        <w:t>During the first stage of the study, diagnostic and therapeutic tactics were analyzed in 87 patients (comparison group) with parapancreatic infectious-septic complications of destructive pancreatitis. Surgical tactics of treatment of patients of this group as a whole corresponded to the generally accepted standards and relied mainly on the nature of parapancreatic complications and the prevalence of the local process. Thus, with the prevalence of fluid clusters without sequestral masses on 1 or 2 PNZ, patients underwent drainage under ultrasound control. Obtained secretions during drainage were sent for further examination: bacterioscopy, amylase level, sowing on the microflora and for the study of sensitivity to antibacterial drugs. The indication for polydrainage was the spread of fluid accumulations by 2-4 PNZ, with the predominance of the fluid component (5 patients - 5.7%), with the final stage of treatment being in 1 patient (1.1%). All others needed further examination and open surgery. A direct correlation</w:t>
      </w:r>
      <w:r>
        <w:rPr>
          <w:spacing w:val="6"/>
        </w:rPr>
        <w:t xml:space="preserve"> </w:t>
      </w:r>
      <w:r>
        <w:t>was</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pPr>
      <w:r>
        <w:lastRenderedPageBreak/>
        <w:t>found between the prevalence of local parapancreatic complications and the onset of organ dysfunction in patients with acute severe pancreatitis. Thus, with spread of parapancreatic local complications of 1 or 2 PNZ, the duration of MOD was observed only in 12.5% of patients, with spread to 3-4 PNZ - 30-44% of patients, and with the spread of local complications to more than 5 PNZ, persistent MOF was observed in almost all patients (&gt;</w:t>
      </w:r>
      <w:r>
        <w:rPr>
          <w:spacing w:val="-7"/>
        </w:rPr>
        <w:t xml:space="preserve"> </w:t>
      </w:r>
      <w:r>
        <w:t>80%).</w:t>
      </w:r>
    </w:p>
    <w:p w:rsidR="00B23B94" w:rsidRDefault="003B2D3B">
      <w:pPr>
        <w:pStyle w:val="a3"/>
        <w:spacing w:before="1" w:line="360" w:lineRule="auto"/>
        <w:ind w:right="306" w:firstLine="707"/>
      </w:pPr>
      <w:r>
        <w:t>Despite the treatment, a high rate of postoperative complications was observed in this group of patients - 9 (10.3%) patients. It should be noted that all complications occurred after open surgery, complications after drainage/polydrainage were not observed. The most common complications were arrosive bleeding (5.7%) and intestinal fistula (4.5%). In addition, the mortality rate was 39.1% and the incidence of recurrent surgery was 46%. It has also been shown that routine primary drainage of parapancreatic local complications of acute severe pancreatitis under ultrasound control leads to early infection of these clusters and an increase of almost one third of hospital strains and S. aureus. As a consequence, the early administration of antibacterial reserve drugs leads to the development of multi-resistance hospital infection, which in turn has a negative effect on antibiotic therapy after open NSE and impairs the prognosis of these patients.</w:t>
      </w:r>
    </w:p>
    <w:p w:rsidR="00B23B94" w:rsidRDefault="003B2D3B">
      <w:pPr>
        <w:pStyle w:val="a3"/>
        <w:spacing w:before="1" w:line="360" w:lineRule="auto"/>
        <w:ind w:right="302" w:firstLine="707"/>
      </w:pPr>
      <w:r>
        <w:t xml:space="preserve">In the second stage of the study, an analysis of the treatment of 40 patients (the main group) was carried out with the division into 2 subgroups. The first subgroup (2a, n = 17) consisted of patients who, in addition to standard examination methods, additionally determined the levels of procalcitonin, </w:t>
      </w:r>
      <w:r>
        <w:rPr>
          <w:spacing w:val="4"/>
        </w:rPr>
        <w:t xml:space="preserve">C- </w:t>
      </w:r>
      <w:r>
        <w:t>reactive protein, and thyroid hormones: T3, T4, TSH, and T3 free. The examination was performed before the planned surgery. Infected parapancreatic fluid accumulation was considered with increasing procalcitonin level above 3.8 ng/ml, C-reactive protein was considered a marker of purulent-septic  complications with acute severe pancreatitis at a concentration above 100.0 mg/l, development of low triiodothyroid syndrome T3free was less than 2.5 nmol/L. It is mandatory</w:t>
      </w:r>
      <w:r>
        <w:rPr>
          <w:spacing w:val="11"/>
        </w:rPr>
        <w:t xml:space="preserve"> </w:t>
      </w:r>
      <w:r>
        <w:t>to</w:t>
      </w:r>
      <w:r>
        <w:rPr>
          <w:spacing w:val="17"/>
        </w:rPr>
        <w:t xml:space="preserve"> </w:t>
      </w:r>
      <w:r>
        <w:t>determine</w:t>
      </w:r>
      <w:r>
        <w:rPr>
          <w:spacing w:val="16"/>
        </w:rPr>
        <w:t xml:space="preserve"> </w:t>
      </w:r>
      <w:r>
        <w:t>the</w:t>
      </w:r>
      <w:r>
        <w:rPr>
          <w:spacing w:val="16"/>
        </w:rPr>
        <w:t xml:space="preserve"> </w:t>
      </w:r>
      <w:r>
        <w:t>levels</w:t>
      </w:r>
      <w:r>
        <w:rPr>
          <w:spacing w:val="17"/>
        </w:rPr>
        <w:t xml:space="preserve"> </w:t>
      </w:r>
      <w:r>
        <w:t>of</w:t>
      </w:r>
      <w:r>
        <w:rPr>
          <w:spacing w:val="16"/>
        </w:rPr>
        <w:t xml:space="preserve"> </w:t>
      </w:r>
      <w:r>
        <w:t>hormones</w:t>
      </w:r>
      <w:r>
        <w:rPr>
          <w:spacing w:val="15"/>
        </w:rPr>
        <w:t xml:space="preserve"> </w:t>
      </w:r>
      <w:r>
        <w:t>triiodothyronine,</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pPr>
      <w:r>
        <w:lastRenderedPageBreak/>
        <w:t xml:space="preserve">tetraiodothyronine and thyrotropic hormone to eliminate thyroid disease, which could be misleading. In this subgroup, deviations from the normal level of thyroid hormones were not observed. The analysis of potential markers of GSU in patients 2a of the subgroup of the main group found that in patients with moderate pancreatitis, an increase in the level of proSa more than 3.8 ng / </w:t>
      </w:r>
      <w:r>
        <w:rPr>
          <w:spacing w:val="-3"/>
        </w:rPr>
        <w:t xml:space="preserve">ml </w:t>
      </w:r>
      <w:r>
        <w:t xml:space="preserve">was observed in 10% of patients, an increase in CRP above 100.0 </w:t>
      </w:r>
      <w:r>
        <w:rPr>
          <w:spacing w:val="-3"/>
        </w:rPr>
        <w:t xml:space="preserve">mg </w:t>
      </w:r>
      <w:r>
        <w:t>/ l - in in none of the patients, the development of low T3 syndrome was observed in 10% of patients. Whereas in patients with severe AP, an increase in CRP was also not detected, an increase in MSA above the threshold in 42.9% of patients, the development of low T3 syndrome was observed in all patients</w:t>
      </w:r>
      <w:r>
        <w:rPr>
          <w:spacing w:val="-1"/>
        </w:rPr>
        <w:t xml:space="preserve"> </w:t>
      </w:r>
      <w:r>
        <w:t>(100%).</w:t>
      </w:r>
    </w:p>
    <w:p w:rsidR="00B23B94" w:rsidRDefault="003B2D3B">
      <w:pPr>
        <w:pStyle w:val="a3"/>
        <w:spacing w:before="2" w:line="360" w:lineRule="auto"/>
        <w:ind w:right="305" w:firstLine="707"/>
      </w:pPr>
      <w:r>
        <w:t>4-5 days after the surgical treatment, the patients were re-determined the level of the above hormones. ProSa levels below 3.8 ng / ml were determined in only 5.9% of patients with severe pancreatitis. The CRP indicator was defined as uninformative. Low T3 syndrome persisted in only 6 patients (85.7%) with severe acute pancreatitis. 6 patients died in the 2a subgroup of the main group. It was found that all 6 patients had no regression of low T3 syndrome.</w:t>
      </w:r>
    </w:p>
    <w:p w:rsidR="00B23B94" w:rsidRDefault="003B2D3B">
      <w:pPr>
        <w:pStyle w:val="a3"/>
        <w:spacing w:line="360" w:lineRule="auto"/>
        <w:ind w:right="314" w:firstLine="707"/>
      </w:pPr>
      <w:r>
        <w:t>Therefore, the development of low T3 syndrome is a predictor of an adverse disease course with a sensitivity of 85.7% and a specificity of 90.1%, which makes it possible to use this marker in the planning of surgical interventions to prevent the development of irreversible organ</w:t>
      </w:r>
      <w:r>
        <w:rPr>
          <w:spacing w:val="-12"/>
        </w:rPr>
        <w:t xml:space="preserve"> </w:t>
      </w:r>
      <w:r>
        <w:t>dysfunction.</w:t>
      </w:r>
    </w:p>
    <w:p w:rsidR="00B23B94" w:rsidRDefault="003B2D3B">
      <w:pPr>
        <w:pStyle w:val="a3"/>
        <w:spacing w:line="360" w:lineRule="auto"/>
        <w:ind w:right="314" w:firstLine="707"/>
      </w:pPr>
      <w:r>
        <w:t>Based on the results obtained, an algorithm for differentiated surgical tactics was developed.</w:t>
      </w:r>
    </w:p>
    <w:p w:rsidR="00B23B94" w:rsidRDefault="003B2D3B">
      <w:pPr>
        <w:pStyle w:val="a3"/>
        <w:spacing w:before="1" w:line="360" w:lineRule="auto"/>
        <w:ind w:right="302" w:firstLine="707"/>
      </w:pPr>
      <w:r>
        <w:t>Patients during the first 4 weeks of the disease are monitored for laboratory parameters, evaluated the severity of the condition and the presence of organ dysfunction in the dynamics. Using ray examination methods, local parapancreatic complications are monitored. In the presence of a liquid component in the latter, it is necessary to perform first the puncture of clusters, in order to decompression and to determine the pathogen, if any. In the case of receiving manure in the punctate - the drainage of this fluid accumulation is shown. In the absence of a positive effect from diagnostic puncture and ultrasound control or the formation of repeated fluid</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clusters - the patient is shown an MRI study for the potential determination of low- density sequestral masses. The results of MRI determine the predominance of fluid or tissue components - with further definition of surgical tactics. Wherever possible, drainage through the flanges should be preferred - with subsequent bougainage of the abscess cavity by means of an abscess cougar device developed at the clinic (Ukrainian patent No. 1277401 dated 25.07.2018). In the case where the MRI is dominated by the liquid component and there is no effect from the fine needle puncture, the determination of free T3 is obligatory in parallel. In the case of diagnosis of lowT3 syndrome, the patient is shown open surgery. It is mandatory to re-evaluate your thyroid hormone levels for 4-5 days. Indications for stage surgical interventions are persistence of low triiodothyronine syndrome and / or diagnosis of fixed sequesters according to instrumental research methods. In the period of the disease more than 4 weeks, in the presence of signs of SIRS, patients are shown conducting CT scan with / in contrast to diagnose the formed parapancreatic clusters, with subsequent determination of the volume of surgical admission.</w:t>
      </w:r>
    </w:p>
    <w:p w:rsidR="00B23B94" w:rsidRDefault="003B2D3B">
      <w:pPr>
        <w:pStyle w:val="a3"/>
        <w:spacing w:before="1" w:line="360" w:lineRule="auto"/>
        <w:ind w:right="313" w:firstLine="707"/>
      </w:pPr>
      <w:r>
        <w:t>This algorithm was used in the treatment of the second subgroup of the main group (2b, n = 23). The number of postoperative complications was reduced by 4.4% due to the use of mini-accesses, as well as a decrease in the mortality rate in patients with ISC by 13.0%.</w:t>
      </w:r>
    </w:p>
    <w:p w:rsidR="00B23B94" w:rsidRDefault="003B2D3B">
      <w:pPr>
        <w:pStyle w:val="a3"/>
        <w:spacing w:before="1" w:line="360" w:lineRule="auto"/>
        <w:ind w:right="312" w:firstLine="707"/>
      </w:pPr>
      <w:r>
        <w:rPr>
          <w:b/>
        </w:rPr>
        <w:t xml:space="preserve">Key words: </w:t>
      </w:r>
      <w:r>
        <w:t>acute severe pancreatitis, infectious and septic complications, surgical tactics.</w:t>
      </w:r>
    </w:p>
    <w:p w:rsidR="000314C1" w:rsidRDefault="000314C1" w:rsidP="00725500">
      <w:pPr>
        <w:pStyle w:val="1"/>
        <w:spacing w:before="0" w:line="360" w:lineRule="auto"/>
        <w:ind w:left="252" w:right="340"/>
        <w:jc w:val="center"/>
      </w:pPr>
    </w:p>
    <w:p w:rsidR="00725500" w:rsidRDefault="00725500" w:rsidP="00725500">
      <w:pPr>
        <w:pStyle w:val="1"/>
        <w:spacing w:before="0" w:line="360" w:lineRule="auto"/>
        <w:ind w:left="252" w:right="340"/>
        <w:jc w:val="center"/>
      </w:pPr>
      <w:r>
        <w:t>СПИСОК НАУКОВИХ ПРАЦЬ, ОПУБЛІКОВАНИХ ЗА ТЕМОЮ ДИСЕРТАЦІЇ</w:t>
      </w:r>
    </w:p>
    <w:p w:rsidR="00725500" w:rsidRDefault="00725500" w:rsidP="00725500">
      <w:pPr>
        <w:spacing w:before="120"/>
        <w:ind w:left="253" w:right="340"/>
        <w:jc w:val="center"/>
        <w:rPr>
          <w:i/>
          <w:sz w:val="28"/>
        </w:rPr>
      </w:pPr>
      <w:r>
        <w:rPr>
          <w:i/>
          <w:sz w:val="28"/>
        </w:rPr>
        <w:t>Праці, в яких опубліковані основні наукові результати дисертації</w:t>
      </w:r>
    </w:p>
    <w:p w:rsidR="00725500" w:rsidRDefault="00725500" w:rsidP="00725500">
      <w:pPr>
        <w:pStyle w:val="a3"/>
        <w:spacing w:before="4"/>
        <w:ind w:left="0"/>
        <w:jc w:val="left"/>
        <w:rPr>
          <w:i/>
          <w:sz w:val="24"/>
        </w:rPr>
      </w:pPr>
    </w:p>
    <w:p w:rsidR="00725500" w:rsidRDefault="00725500" w:rsidP="00725500">
      <w:pPr>
        <w:pStyle w:val="a4"/>
        <w:numPr>
          <w:ilvl w:val="0"/>
          <w:numId w:val="16"/>
        </w:numPr>
        <w:tabs>
          <w:tab w:val="left" w:pos="1638"/>
        </w:tabs>
        <w:spacing w:line="360" w:lineRule="auto"/>
        <w:ind w:right="304" w:firstLine="707"/>
        <w:rPr>
          <w:sz w:val="28"/>
        </w:rPr>
      </w:pPr>
      <w:r>
        <w:rPr>
          <w:sz w:val="28"/>
        </w:rPr>
        <w:t>Черкун О.Ю. Прогнозування етапних хірургічних втручань при інфекційно-септичних ускладненнях деструктивного панкреатиту / О.Ю. Черкун, В.В. Кас</w:t>
      </w:r>
      <w:r>
        <w:rPr>
          <w:sz w:val="24"/>
        </w:rPr>
        <w:t>’</w:t>
      </w:r>
      <w:r>
        <w:rPr>
          <w:sz w:val="28"/>
        </w:rPr>
        <w:t xml:space="preserve">ян, А.С. Калюжка. В.Д. Шейко // Актуальні проблеми сучасної медицини: Вісник Української медичної стоматологічної академії. – 2017.- Т. 17, Вип.3 (59).-С. 315-318. (Автором особисто проаналізовані </w:t>
      </w:r>
      <w:r>
        <w:rPr>
          <w:sz w:val="28"/>
        </w:rPr>
        <w:lastRenderedPageBreak/>
        <w:t>літературні джерела, виконано клінічне дослідження та підготовлений текст статті).</w:t>
      </w:r>
    </w:p>
    <w:p w:rsidR="00725500" w:rsidRDefault="00725500" w:rsidP="00725500">
      <w:pPr>
        <w:pStyle w:val="a4"/>
        <w:numPr>
          <w:ilvl w:val="0"/>
          <w:numId w:val="16"/>
        </w:numPr>
        <w:tabs>
          <w:tab w:val="left" w:pos="1638"/>
        </w:tabs>
        <w:spacing w:line="360" w:lineRule="auto"/>
        <w:ind w:right="306" w:firstLine="707"/>
        <w:rPr>
          <w:sz w:val="28"/>
        </w:rPr>
      </w:pPr>
      <w:r>
        <w:rPr>
          <w:sz w:val="28"/>
        </w:rPr>
        <w:t>Кас</w:t>
      </w:r>
      <w:r>
        <w:rPr>
          <w:sz w:val="24"/>
        </w:rPr>
        <w:t>’</w:t>
      </w:r>
      <w:r>
        <w:rPr>
          <w:sz w:val="28"/>
        </w:rPr>
        <w:t>ян В.В. Прогностичні критерії тяжкого перебігу гострого панкреатиту з останніх переглядів класифікаційних ознак / В.В. Кас</w:t>
      </w:r>
      <w:r>
        <w:rPr>
          <w:sz w:val="24"/>
        </w:rPr>
        <w:t>’</w:t>
      </w:r>
      <w:r>
        <w:rPr>
          <w:sz w:val="28"/>
        </w:rPr>
        <w:t>ян, О.Ю. Черкун, Д.А. Ситнік, В.Д. Шейко // Актуальні проблеми сучасної медицини: Вісник Української медичної стоматологічної академії. – 2018.- Т. 18, Вип.4 (64).-С. 128-131. (Автором особисто проаналізовано літературні джерела та підготовлено текст</w:t>
      </w:r>
      <w:r>
        <w:rPr>
          <w:spacing w:val="-3"/>
          <w:sz w:val="28"/>
        </w:rPr>
        <w:t xml:space="preserve"> </w:t>
      </w:r>
      <w:r>
        <w:rPr>
          <w:sz w:val="28"/>
        </w:rPr>
        <w:t>статті).</w:t>
      </w:r>
    </w:p>
    <w:p w:rsidR="00725500" w:rsidRPr="00725500" w:rsidRDefault="00725500" w:rsidP="00725500">
      <w:pPr>
        <w:pStyle w:val="a4"/>
        <w:numPr>
          <w:ilvl w:val="0"/>
          <w:numId w:val="16"/>
        </w:numPr>
        <w:tabs>
          <w:tab w:val="left" w:pos="1638"/>
        </w:tabs>
        <w:spacing w:before="1" w:line="360" w:lineRule="auto"/>
        <w:ind w:right="305" w:firstLine="707"/>
        <w:rPr>
          <w:sz w:val="28"/>
        </w:rPr>
      </w:pPr>
      <w:r>
        <w:rPr>
          <w:sz w:val="28"/>
        </w:rPr>
        <w:t>Черкун О.Ю. Органна дисфункція в динаміці гострого панкреатиту / О.Ю. Черкун, Д.А. Ситнік, А.С. Калюжка, В.Д. Шейко // Клінічна хірургія. – 2018.-Т.85.- № (8).– С. 15-17. (Дисертант</w:t>
      </w:r>
      <w:r>
        <w:rPr>
          <w:spacing w:val="55"/>
          <w:sz w:val="28"/>
        </w:rPr>
        <w:t xml:space="preserve"> </w:t>
      </w:r>
      <w:r>
        <w:rPr>
          <w:sz w:val="28"/>
        </w:rPr>
        <w:t>самостійно</w:t>
      </w:r>
      <w:r>
        <w:rPr>
          <w:sz w:val="28"/>
        </w:rPr>
        <w:t xml:space="preserve"> </w:t>
      </w:r>
      <w:r w:rsidRPr="00725500">
        <w:rPr>
          <w:sz w:val="28"/>
          <w:szCs w:val="28"/>
        </w:rPr>
        <w:t>провів аналіз динаміки перебігу гострого тяжкого панкреатиту, систематизував отримані результати, написав основні розділи статті)</w:t>
      </w:r>
      <w:r>
        <w:t>.</w:t>
      </w:r>
    </w:p>
    <w:p w:rsidR="00725500" w:rsidRDefault="00725500" w:rsidP="00725500">
      <w:pPr>
        <w:pStyle w:val="a4"/>
        <w:numPr>
          <w:ilvl w:val="0"/>
          <w:numId w:val="16"/>
        </w:numPr>
        <w:tabs>
          <w:tab w:val="left" w:pos="1638"/>
        </w:tabs>
        <w:spacing w:line="360" w:lineRule="auto"/>
        <w:ind w:right="302" w:firstLine="707"/>
        <w:rPr>
          <w:sz w:val="28"/>
        </w:rPr>
      </w:pPr>
      <w:r>
        <w:rPr>
          <w:sz w:val="28"/>
        </w:rPr>
        <w:t>Cherkun O. Yu. Evaluation of the effectiveness of surgical management in local purulent-septic complications of acute pancreatitis / O. Yu. Cherkun, D.A. Sytnik, A.S. Kaliuzka, V.D. Sheyko, V.H. Hryn // Wiadomosti Lecarsie. – 2018.-T LXXI.-nr 6.-S.1231-1234. (Автором особисто проаналізовані літературні джерела, виконано клінічне дослідження та підготовлений текст</w:t>
      </w:r>
      <w:r>
        <w:rPr>
          <w:spacing w:val="-3"/>
          <w:sz w:val="28"/>
        </w:rPr>
        <w:t xml:space="preserve"> </w:t>
      </w:r>
      <w:r>
        <w:rPr>
          <w:sz w:val="28"/>
        </w:rPr>
        <w:t>статті).</w:t>
      </w:r>
    </w:p>
    <w:p w:rsidR="00725500" w:rsidRDefault="00725500" w:rsidP="00725500">
      <w:pPr>
        <w:pStyle w:val="a4"/>
        <w:numPr>
          <w:ilvl w:val="0"/>
          <w:numId w:val="16"/>
        </w:numPr>
        <w:tabs>
          <w:tab w:val="left" w:pos="1638"/>
        </w:tabs>
        <w:spacing w:line="360" w:lineRule="auto"/>
        <w:ind w:right="302" w:firstLine="707"/>
        <w:rPr>
          <w:sz w:val="28"/>
        </w:rPr>
      </w:pPr>
      <w:r>
        <w:rPr>
          <w:sz w:val="28"/>
        </w:rPr>
        <w:t>Кас</w:t>
      </w:r>
      <w:r>
        <w:rPr>
          <w:sz w:val="24"/>
        </w:rPr>
        <w:t>’</w:t>
      </w:r>
      <w:r>
        <w:rPr>
          <w:sz w:val="28"/>
        </w:rPr>
        <w:t>ян В.В. Перспективи вивчення тиреоїдного профілю у пацієнтів з органними дисфункціями при гострому панкреатиті / В.В. Кас</w:t>
      </w:r>
      <w:r>
        <w:rPr>
          <w:sz w:val="24"/>
        </w:rPr>
        <w:t>’</w:t>
      </w:r>
      <w:r>
        <w:rPr>
          <w:sz w:val="28"/>
        </w:rPr>
        <w:t>ян, О.Ю. Черкун, Д.А. Ситнік, В.Д. Шейко // Вісник проблем біології і  медицини. – 2019. – Вип.1. – Т.1 (148).-С. 43-47. (Дисертантом проведено частину клінічних досліджень, опрацьовано аналізи результатів дослідження, підготовлено статтю до друку).</w:t>
      </w:r>
    </w:p>
    <w:p w:rsidR="00725500" w:rsidRDefault="00725500" w:rsidP="00725500">
      <w:pPr>
        <w:pStyle w:val="a4"/>
        <w:numPr>
          <w:ilvl w:val="0"/>
          <w:numId w:val="16"/>
        </w:numPr>
        <w:tabs>
          <w:tab w:val="left" w:pos="1638"/>
        </w:tabs>
        <w:spacing w:line="360" w:lineRule="auto"/>
        <w:ind w:right="310" w:firstLine="707"/>
        <w:rPr>
          <w:sz w:val="28"/>
        </w:rPr>
      </w:pPr>
      <w:r>
        <w:rPr>
          <w:sz w:val="28"/>
        </w:rPr>
        <w:t>Черкун О.Ю. Прогностичне значення біохімічних маркерів при гнійно-септичних ускладненнях гострого тяжкого панкреатиту / О.Ю. Черкун, Д.А. Ситнік, О.А. Крижановський, В.Д. Шейко // Актуальні проблеми сучасної медицини: Вісник Української медичної стоматологічної академії. – 2019.- Т. 19, Вип.2 (66).-С.</w:t>
      </w:r>
      <w:r>
        <w:rPr>
          <w:spacing w:val="-10"/>
          <w:sz w:val="28"/>
        </w:rPr>
        <w:t xml:space="preserve"> </w:t>
      </w:r>
      <w:r>
        <w:rPr>
          <w:sz w:val="28"/>
        </w:rPr>
        <w:t>99-102.</w:t>
      </w:r>
    </w:p>
    <w:p w:rsidR="00725500" w:rsidRDefault="00725500" w:rsidP="00725500">
      <w:pPr>
        <w:pStyle w:val="a4"/>
        <w:numPr>
          <w:ilvl w:val="0"/>
          <w:numId w:val="16"/>
        </w:numPr>
        <w:tabs>
          <w:tab w:val="left" w:pos="1638"/>
        </w:tabs>
        <w:spacing w:line="360" w:lineRule="auto"/>
        <w:ind w:right="304" w:firstLine="707"/>
        <w:rPr>
          <w:sz w:val="28"/>
        </w:rPr>
      </w:pPr>
      <w:r>
        <w:rPr>
          <w:sz w:val="28"/>
        </w:rPr>
        <w:t>Кас</w:t>
      </w:r>
      <w:r>
        <w:rPr>
          <w:sz w:val="24"/>
        </w:rPr>
        <w:t>’</w:t>
      </w:r>
      <w:r>
        <w:rPr>
          <w:sz w:val="28"/>
        </w:rPr>
        <w:t>ян В.В. Хірургічна тактика при гострому панкреатиті, що ускладнений асцит-перитонітом / В.В. Кас</w:t>
      </w:r>
      <w:r>
        <w:rPr>
          <w:sz w:val="24"/>
        </w:rPr>
        <w:t>’</w:t>
      </w:r>
      <w:r>
        <w:rPr>
          <w:sz w:val="28"/>
        </w:rPr>
        <w:t xml:space="preserve">ян. О.Ю. Черкун, Д.А. Ситнік, </w:t>
      </w:r>
      <w:r>
        <w:rPr>
          <w:sz w:val="28"/>
        </w:rPr>
        <w:lastRenderedPageBreak/>
        <w:t>В.Д. Шейко // Запорожский медицинский журнал. – 2019. – Т. 21, №4(115). – С. 522-527. (Дисертантом проведено частину клінічних досліджень, опрацьовано аналізи результатів</w:t>
      </w:r>
      <w:r>
        <w:rPr>
          <w:spacing w:val="-4"/>
          <w:sz w:val="28"/>
        </w:rPr>
        <w:t xml:space="preserve"> </w:t>
      </w:r>
      <w:r>
        <w:rPr>
          <w:sz w:val="28"/>
        </w:rPr>
        <w:t>дослідження).</w:t>
      </w:r>
    </w:p>
    <w:p w:rsidR="00725500" w:rsidRDefault="00725500" w:rsidP="00725500">
      <w:pPr>
        <w:pStyle w:val="a4"/>
        <w:numPr>
          <w:ilvl w:val="0"/>
          <w:numId w:val="16"/>
        </w:numPr>
        <w:tabs>
          <w:tab w:val="left" w:pos="1638"/>
        </w:tabs>
        <w:spacing w:line="360" w:lineRule="auto"/>
        <w:ind w:right="302" w:firstLine="707"/>
        <w:rPr>
          <w:sz w:val="28"/>
        </w:rPr>
      </w:pPr>
      <w:r>
        <w:rPr>
          <w:sz w:val="28"/>
        </w:rPr>
        <w:t>Должковий С.В. Вивчення динаміки вироблення бета-лактамаз збудниками інтраабдомінальних хірургічних інфекцій / С.В. Должковий, О.Ю. Черкун // Актуальні проблеми сучасної медицини: Вісник Української медичної стоматологічної академії. – 2015. – Т. 15, № 1 (49). – С. 74-76. (Автором проведено частину клінічних досліджень, підготовлено статтю до друку).</w:t>
      </w:r>
    </w:p>
    <w:p w:rsidR="00725500" w:rsidRDefault="00725500" w:rsidP="00725500">
      <w:pPr>
        <w:pStyle w:val="a3"/>
        <w:ind w:left="0"/>
        <w:jc w:val="left"/>
        <w:rPr>
          <w:sz w:val="20"/>
        </w:rPr>
      </w:pPr>
    </w:p>
    <w:p w:rsidR="00725500" w:rsidRDefault="00725500" w:rsidP="00725500">
      <w:pPr>
        <w:pStyle w:val="a3"/>
        <w:spacing w:before="3"/>
        <w:ind w:left="0"/>
        <w:jc w:val="left"/>
        <w:rPr>
          <w:sz w:val="21"/>
        </w:rPr>
      </w:pPr>
    </w:p>
    <w:p w:rsidR="00725500" w:rsidRDefault="00725500" w:rsidP="00725500">
      <w:pPr>
        <w:spacing w:before="89"/>
        <w:ind w:left="675" w:right="60"/>
        <w:jc w:val="center"/>
        <w:rPr>
          <w:i/>
          <w:sz w:val="28"/>
        </w:rPr>
      </w:pPr>
      <w:r>
        <w:rPr>
          <w:i/>
          <w:sz w:val="28"/>
        </w:rPr>
        <w:t>Видання, які засвідчують апробацію матеріалів дисертації</w:t>
      </w:r>
    </w:p>
    <w:p w:rsidR="00725500" w:rsidRDefault="00725500" w:rsidP="00725500">
      <w:pPr>
        <w:pStyle w:val="a3"/>
        <w:ind w:left="0"/>
        <w:jc w:val="left"/>
        <w:rPr>
          <w:i/>
          <w:sz w:val="30"/>
        </w:rPr>
      </w:pPr>
    </w:p>
    <w:p w:rsidR="00725500" w:rsidRDefault="00725500" w:rsidP="00725500">
      <w:pPr>
        <w:pStyle w:val="a3"/>
        <w:spacing w:before="10"/>
        <w:ind w:left="0"/>
        <w:jc w:val="left"/>
        <w:rPr>
          <w:i/>
          <w:sz w:val="25"/>
        </w:rPr>
      </w:pPr>
    </w:p>
    <w:p w:rsidR="00725500" w:rsidRDefault="00725500" w:rsidP="00725500">
      <w:pPr>
        <w:pStyle w:val="a4"/>
        <w:numPr>
          <w:ilvl w:val="0"/>
          <w:numId w:val="16"/>
        </w:numPr>
        <w:tabs>
          <w:tab w:val="left" w:pos="1638"/>
        </w:tabs>
        <w:spacing w:before="1" w:line="360" w:lineRule="auto"/>
        <w:ind w:right="304" w:firstLine="707"/>
        <w:rPr>
          <w:sz w:val="28"/>
        </w:rPr>
      </w:pPr>
      <w:r>
        <w:rPr>
          <w:sz w:val="28"/>
        </w:rPr>
        <w:t>Шейко В.Д., Черкун О.Ю. Тактика step-up при лікуванні тяжкого панкреатиту. Матеріали засідання Полтавської обласної громадської організації лікарів-хірургів «Асоціація хірургів Полтавщини», Полтава 2019. (Здобувач проаналізував сучасний стан питання сформулював висновки та підготував текст до</w:t>
      </w:r>
      <w:r>
        <w:rPr>
          <w:spacing w:val="-4"/>
          <w:sz w:val="28"/>
        </w:rPr>
        <w:t xml:space="preserve"> </w:t>
      </w:r>
      <w:r>
        <w:rPr>
          <w:sz w:val="28"/>
        </w:rPr>
        <w:t>доповіді).</w:t>
      </w:r>
    </w:p>
    <w:p w:rsidR="00725500" w:rsidRDefault="00725500" w:rsidP="00725500">
      <w:pPr>
        <w:pStyle w:val="a3"/>
        <w:spacing w:before="1"/>
        <w:ind w:left="0"/>
        <w:jc w:val="left"/>
        <w:rPr>
          <w:sz w:val="42"/>
        </w:rPr>
      </w:pPr>
    </w:p>
    <w:p w:rsidR="00725500" w:rsidRDefault="00725500" w:rsidP="00725500">
      <w:pPr>
        <w:spacing w:before="1"/>
        <w:ind w:left="675" w:right="61"/>
        <w:jc w:val="center"/>
        <w:rPr>
          <w:i/>
          <w:sz w:val="28"/>
        </w:rPr>
      </w:pPr>
      <w:r>
        <w:rPr>
          <w:i/>
          <w:sz w:val="28"/>
        </w:rPr>
        <w:t>Видання, які додатково відображують наукові результати дисертації</w:t>
      </w:r>
    </w:p>
    <w:p w:rsidR="00725500" w:rsidRDefault="00725500" w:rsidP="00725500">
      <w:pPr>
        <w:pStyle w:val="a3"/>
        <w:ind w:left="0"/>
        <w:jc w:val="left"/>
        <w:rPr>
          <w:i/>
          <w:sz w:val="30"/>
        </w:rPr>
      </w:pPr>
    </w:p>
    <w:p w:rsidR="00725500" w:rsidRDefault="00725500" w:rsidP="00725500">
      <w:pPr>
        <w:pStyle w:val="a3"/>
        <w:spacing w:before="10"/>
        <w:ind w:left="0"/>
        <w:jc w:val="left"/>
        <w:rPr>
          <w:i/>
          <w:sz w:val="25"/>
        </w:rPr>
      </w:pPr>
    </w:p>
    <w:p w:rsidR="00725500" w:rsidRDefault="00725500" w:rsidP="00725500">
      <w:pPr>
        <w:pStyle w:val="a4"/>
        <w:numPr>
          <w:ilvl w:val="0"/>
          <w:numId w:val="16"/>
        </w:numPr>
        <w:tabs>
          <w:tab w:val="left" w:pos="1638"/>
        </w:tabs>
        <w:spacing w:line="360" w:lineRule="auto"/>
        <w:ind w:right="309" w:firstLine="707"/>
        <w:rPr>
          <w:sz w:val="28"/>
        </w:rPr>
      </w:pPr>
      <w:r>
        <w:rPr>
          <w:sz w:val="28"/>
        </w:rPr>
        <w:t>Пат.128237 МПК А 61 В 17/00. Спосіб хірургічного лікування парапанкреатичних локальних ускладнень гострого тяжкого панкреатиту / Шейко В.Д., Черкун О.Ю., Калюжка А.С.; заявники та патентовласники Шейко В.Д., Черкун О.Ю., Калюжка А.С. - № u 201802764 ; заявл. 19.03.18 ; опубл. 10.09.18,</w:t>
      </w:r>
      <w:r>
        <w:rPr>
          <w:spacing w:val="-3"/>
          <w:sz w:val="28"/>
        </w:rPr>
        <w:t xml:space="preserve"> </w:t>
      </w:r>
      <w:r>
        <w:rPr>
          <w:sz w:val="28"/>
        </w:rPr>
        <w:t>Бюл.№17.</w:t>
      </w:r>
    </w:p>
    <w:p w:rsidR="00725500" w:rsidRDefault="00725500" w:rsidP="00725500">
      <w:pPr>
        <w:pStyle w:val="a4"/>
        <w:numPr>
          <w:ilvl w:val="0"/>
          <w:numId w:val="16"/>
        </w:numPr>
        <w:tabs>
          <w:tab w:val="left" w:pos="1638"/>
        </w:tabs>
        <w:spacing w:line="360" w:lineRule="auto"/>
        <w:ind w:right="306" w:firstLine="707"/>
        <w:rPr>
          <w:sz w:val="28"/>
        </w:rPr>
      </w:pPr>
      <w:r>
        <w:rPr>
          <w:sz w:val="28"/>
        </w:rPr>
        <w:t>Пат. 127401 МПК А 61 В 29/00. Пристрій для бужування порожнини абсцесу / Шейко В.Д., Черкун О.Ю., Калюжка А.С.; заявники та патентовласники Шейко В.Д., Черкун О.Ю., Калюжка А.С. - № u 201802799 ; заявл. 19.03.18 ; опубл. 25.07.18,</w:t>
      </w:r>
      <w:r>
        <w:rPr>
          <w:spacing w:val="-7"/>
          <w:sz w:val="28"/>
        </w:rPr>
        <w:t xml:space="preserve"> </w:t>
      </w:r>
      <w:r>
        <w:rPr>
          <w:sz w:val="28"/>
        </w:rPr>
        <w:t>Бюл.№14.</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ind w:left="260" w:right="340"/>
        <w:jc w:val="center"/>
      </w:pPr>
      <w:r>
        <w:lastRenderedPageBreak/>
        <w:t>ЗМІСТ</w:t>
      </w:r>
    </w:p>
    <w:p w:rsidR="00B23B94" w:rsidRDefault="00B23B94">
      <w:pPr>
        <w:jc w:val="center"/>
        <w:sectPr w:rsidR="00B23B94">
          <w:pgSz w:w="11910" w:h="16840"/>
          <w:pgMar w:top="1040" w:right="540" w:bottom="2158" w:left="1480" w:header="719" w:footer="0" w:gutter="0"/>
          <w:cols w:space="720"/>
        </w:sectPr>
      </w:pPr>
    </w:p>
    <w:sdt>
      <w:sdtPr>
        <w:id w:val="1449504313"/>
        <w:docPartObj>
          <w:docPartGallery w:val="Table of Contents"/>
          <w:docPartUnique/>
        </w:docPartObj>
      </w:sdtPr>
      <w:sdtContent>
        <w:p w:rsidR="00B23B94" w:rsidRDefault="003B2D3B">
          <w:pPr>
            <w:pStyle w:val="10"/>
            <w:tabs>
              <w:tab w:val="left" w:leader="dot" w:pos="9106"/>
            </w:tabs>
            <w:spacing w:before="163"/>
            <w:jc w:val="both"/>
          </w:pPr>
          <w:r>
            <w:t>ПЕРЕЛІК</w:t>
          </w:r>
          <w:r>
            <w:rPr>
              <w:spacing w:val="-5"/>
            </w:rPr>
            <w:t xml:space="preserve"> </w:t>
          </w:r>
          <w:r>
            <w:t>УМОВНИХ</w:t>
          </w:r>
          <w:r>
            <w:rPr>
              <w:spacing w:val="-3"/>
            </w:rPr>
            <w:t xml:space="preserve"> </w:t>
          </w:r>
          <w:r>
            <w:t>СКОРОЧЕНЬ</w:t>
          </w:r>
          <w:r>
            <w:tab/>
            <w:t>17</w:t>
          </w:r>
        </w:p>
        <w:p w:rsidR="00B23B94" w:rsidRDefault="00411E58">
          <w:pPr>
            <w:pStyle w:val="10"/>
            <w:tabs>
              <w:tab w:val="left" w:leader="dot" w:pos="9074"/>
            </w:tabs>
            <w:spacing w:before="160"/>
          </w:pPr>
          <w:hyperlink w:anchor="_TOC_250015" w:history="1">
            <w:r w:rsidR="003B2D3B">
              <w:t>ВСТУП</w:t>
            </w:r>
            <w:r w:rsidR="003B2D3B">
              <w:tab/>
              <w:t>18</w:t>
            </w:r>
          </w:hyperlink>
        </w:p>
        <w:p w:rsidR="00B23B94" w:rsidRDefault="003B2D3B">
          <w:pPr>
            <w:pStyle w:val="10"/>
            <w:tabs>
              <w:tab w:val="left" w:leader="dot" w:pos="9149"/>
            </w:tabs>
            <w:spacing w:before="161" w:line="360" w:lineRule="auto"/>
            <w:ind w:right="304"/>
            <w:jc w:val="both"/>
          </w:pPr>
          <w:r>
            <w:t>РОЗДІЛ 1. СУЧАСНИЙ СТАН ПРОБЛЕМИ ДІАГНОСТИКИ ТА ЛІКУВАННЯ ПАРАПАНКРЕАТИЧНИХ ІНФЕКЦІЙНО-СЕПТИЧНИХ УСКЛАДНЕНЬ</w:t>
          </w:r>
          <w:r>
            <w:rPr>
              <w:spacing w:val="-6"/>
            </w:rPr>
            <w:t xml:space="preserve"> </w:t>
          </w:r>
          <w:r>
            <w:t>ДЕСТРУКТИВНОГО</w:t>
          </w:r>
          <w:r>
            <w:rPr>
              <w:spacing w:val="-5"/>
            </w:rPr>
            <w:t xml:space="preserve"> </w:t>
          </w:r>
          <w:r>
            <w:t>ПАНКРЕАТИТУ…</w:t>
          </w:r>
          <w:r>
            <w:tab/>
            <w:t>24</w:t>
          </w:r>
        </w:p>
        <w:p w:rsidR="00B23B94" w:rsidRDefault="00411E58">
          <w:pPr>
            <w:pStyle w:val="10"/>
            <w:numPr>
              <w:ilvl w:val="1"/>
              <w:numId w:val="15"/>
            </w:numPr>
            <w:tabs>
              <w:tab w:val="left" w:pos="748"/>
              <w:tab w:val="left" w:leader="dot" w:pos="9293"/>
            </w:tabs>
            <w:spacing w:line="360" w:lineRule="auto"/>
            <w:ind w:right="308"/>
          </w:pPr>
          <w:hyperlink w:anchor="_TOC_250014" w:history="1">
            <w:r w:rsidR="003B2D3B">
              <w:t>Причини виникнення інфекційно-септичних ускладнень при гострому деструктивному</w:t>
            </w:r>
            <w:r w:rsidR="003B2D3B">
              <w:rPr>
                <w:spacing w:val="-7"/>
              </w:rPr>
              <w:t xml:space="preserve"> </w:t>
            </w:r>
            <w:r w:rsidR="003B2D3B">
              <w:t>панкреатиті</w:t>
            </w:r>
            <w:r w:rsidR="003B2D3B">
              <w:tab/>
            </w:r>
            <w:r w:rsidR="003B2D3B">
              <w:rPr>
                <w:spacing w:val="-8"/>
              </w:rPr>
              <w:t>24</w:t>
            </w:r>
          </w:hyperlink>
        </w:p>
        <w:p w:rsidR="00B23B94" w:rsidRDefault="00411E58">
          <w:pPr>
            <w:pStyle w:val="10"/>
            <w:numPr>
              <w:ilvl w:val="1"/>
              <w:numId w:val="15"/>
            </w:numPr>
            <w:tabs>
              <w:tab w:val="left" w:pos="748"/>
              <w:tab w:val="left" w:leader="dot" w:pos="9288"/>
            </w:tabs>
            <w:spacing w:line="321" w:lineRule="exact"/>
          </w:pPr>
          <w:hyperlink w:anchor="_TOC_250013" w:history="1">
            <w:r w:rsidR="003B2D3B">
              <w:t>Діагностика парапанкреатичних</w:t>
            </w:r>
            <w:r w:rsidR="003B2D3B">
              <w:rPr>
                <w:spacing w:val="-7"/>
              </w:rPr>
              <w:t xml:space="preserve"> </w:t>
            </w:r>
            <w:r w:rsidR="003B2D3B">
              <w:t>гнійно-септичних</w:t>
            </w:r>
            <w:r w:rsidR="003B2D3B">
              <w:rPr>
                <w:spacing w:val="-3"/>
              </w:rPr>
              <w:t xml:space="preserve"> </w:t>
            </w:r>
            <w:r w:rsidR="003B2D3B">
              <w:t>ускладнень…</w:t>
            </w:r>
            <w:r w:rsidR="003B2D3B">
              <w:tab/>
              <w:t>29</w:t>
            </w:r>
          </w:hyperlink>
        </w:p>
        <w:p w:rsidR="00B23B94" w:rsidRDefault="00411E58">
          <w:pPr>
            <w:pStyle w:val="10"/>
            <w:numPr>
              <w:ilvl w:val="1"/>
              <w:numId w:val="15"/>
            </w:numPr>
            <w:tabs>
              <w:tab w:val="left" w:pos="748"/>
              <w:tab w:val="left" w:leader="dot" w:pos="9238"/>
            </w:tabs>
            <w:spacing w:before="164" w:line="360" w:lineRule="auto"/>
            <w:ind w:right="302"/>
          </w:pPr>
          <w:hyperlink w:anchor="_TOC_250012" w:history="1">
            <w:r w:rsidR="003B2D3B">
              <w:t>Оцінка тяжкості та прогнозування динаміки захворювання при гнійно- септичних ускладненнях гострого</w:t>
            </w:r>
            <w:r w:rsidR="003B2D3B">
              <w:rPr>
                <w:spacing w:val="-13"/>
              </w:rPr>
              <w:t xml:space="preserve"> </w:t>
            </w:r>
            <w:r w:rsidR="003B2D3B">
              <w:t>деструктивного</w:t>
            </w:r>
            <w:r w:rsidR="003B2D3B">
              <w:rPr>
                <w:spacing w:val="-5"/>
              </w:rPr>
              <w:t xml:space="preserve"> </w:t>
            </w:r>
            <w:r w:rsidR="003B2D3B">
              <w:t>панкреатиту</w:t>
            </w:r>
            <w:r w:rsidR="003B2D3B">
              <w:tab/>
              <w:t>37</w:t>
            </w:r>
          </w:hyperlink>
        </w:p>
        <w:p w:rsidR="00B23B94" w:rsidRDefault="00411E58">
          <w:pPr>
            <w:pStyle w:val="10"/>
            <w:numPr>
              <w:ilvl w:val="1"/>
              <w:numId w:val="15"/>
            </w:numPr>
            <w:tabs>
              <w:tab w:val="left" w:pos="748"/>
              <w:tab w:val="left" w:pos="2341"/>
              <w:tab w:val="left" w:pos="3541"/>
              <w:tab w:val="left" w:pos="4267"/>
              <w:tab w:val="left" w:leader="dot" w:pos="9262"/>
            </w:tabs>
            <w:spacing w:line="360" w:lineRule="auto"/>
            <w:ind w:right="305"/>
          </w:pPr>
          <w:hyperlink w:anchor="_TOC_250011" w:history="1">
            <w:r w:rsidR="003B2D3B">
              <w:t>Хірургічна</w:t>
            </w:r>
            <w:r w:rsidR="003B2D3B">
              <w:tab/>
              <w:t>тактика</w:t>
            </w:r>
            <w:r w:rsidR="003B2D3B">
              <w:tab/>
              <w:t>при</w:t>
            </w:r>
            <w:r w:rsidR="003B2D3B">
              <w:tab/>
              <w:t>парапанкреатичних інфекційно-септичних ускладненнях</w:t>
            </w:r>
            <w:r w:rsidR="003B2D3B">
              <w:rPr>
                <w:spacing w:val="-2"/>
              </w:rPr>
              <w:t xml:space="preserve"> </w:t>
            </w:r>
            <w:r w:rsidR="003B2D3B">
              <w:t>деструктивного</w:t>
            </w:r>
            <w:r w:rsidR="003B2D3B">
              <w:rPr>
                <w:spacing w:val="-4"/>
              </w:rPr>
              <w:t xml:space="preserve"> </w:t>
            </w:r>
            <w:r w:rsidR="003B2D3B">
              <w:t>панкреатиту</w:t>
            </w:r>
            <w:r w:rsidR="003B2D3B">
              <w:tab/>
              <w:t>42</w:t>
            </w:r>
          </w:hyperlink>
        </w:p>
        <w:p w:rsidR="00B23B94" w:rsidRDefault="003B2D3B">
          <w:pPr>
            <w:pStyle w:val="10"/>
            <w:tabs>
              <w:tab w:val="left" w:leader="dot" w:pos="9259"/>
            </w:tabs>
            <w:jc w:val="both"/>
          </w:pPr>
          <w:r>
            <w:t>РОЗДІЛ 2. МАТЕРІАЛИ І</w:t>
          </w:r>
          <w:r>
            <w:rPr>
              <w:spacing w:val="-12"/>
            </w:rPr>
            <w:t xml:space="preserve"> </w:t>
          </w:r>
          <w:r>
            <w:t>МЕТОДИ</w:t>
          </w:r>
          <w:r>
            <w:rPr>
              <w:spacing w:val="-3"/>
            </w:rPr>
            <w:t xml:space="preserve"> </w:t>
          </w:r>
          <w:r>
            <w:t>ДОСЛІДЖЕННЯ…</w:t>
          </w:r>
          <w:r>
            <w:tab/>
            <w:t>47</w:t>
          </w:r>
        </w:p>
        <w:p w:rsidR="00B23B94" w:rsidRDefault="00411E58">
          <w:pPr>
            <w:pStyle w:val="10"/>
            <w:numPr>
              <w:ilvl w:val="1"/>
              <w:numId w:val="14"/>
            </w:numPr>
            <w:tabs>
              <w:tab w:val="left" w:pos="642"/>
              <w:tab w:val="left" w:leader="dot" w:pos="9274"/>
            </w:tabs>
            <w:spacing w:before="160"/>
          </w:pPr>
          <w:hyperlink w:anchor="_TOC_250010" w:history="1">
            <w:r w:rsidR="003B2D3B">
              <w:t>Загальна характеристика</w:t>
            </w:r>
            <w:r w:rsidR="003B2D3B">
              <w:rPr>
                <w:spacing w:val="-9"/>
              </w:rPr>
              <w:t xml:space="preserve"> </w:t>
            </w:r>
            <w:r w:rsidR="003B2D3B">
              <w:t>клінічного</w:t>
            </w:r>
            <w:r w:rsidR="003B2D3B">
              <w:rPr>
                <w:spacing w:val="-2"/>
              </w:rPr>
              <w:t xml:space="preserve"> </w:t>
            </w:r>
            <w:r w:rsidR="003B2D3B">
              <w:t>матеріалу</w:t>
            </w:r>
            <w:r w:rsidR="003B2D3B">
              <w:tab/>
              <w:t>47</w:t>
            </w:r>
          </w:hyperlink>
        </w:p>
        <w:p w:rsidR="00B23B94" w:rsidRDefault="00411E58">
          <w:pPr>
            <w:pStyle w:val="10"/>
            <w:numPr>
              <w:ilvl w:val="1"/>
              <w:numId w:val="14"/>
            </w:numPr>
            <w:tabs>
              <w:tab w:val="left" w:pos="645"/>
              <w:tab w:val="left" w:leader="dot" w:pos="9245"/>
            </w:tabs>
            <w:spacing w:before="161"/>
            <w:ind w:left="644" w:hanging="423"/>
          </w:pPr>
          <w:hyperlink w:anchor="_TOC_250009" w:history="1">
            <w:r w:rsidR="003B2D3B">
              <w:t>Методи</w:t>
            </w:r>
            <w:r w:rsidR="003B2D3B">
              <w:rPr>
                <w:spacing w:val="-6"/>
              </w:rPr>
              <w:t xml:space="preserve"> </w:t>
            </w:r>
            <w:r w:rsidR="003B2D3B">
              <w:t>дослідження</w:t>
            </w:r>
            <w:r w:rsidR="003B2D3B">
              <w:tab/>
              <w:t>56</w:t>
            </w:r>
          </w:hyperlink>
        </w:p>
        <w:p w:rsidR="00B23B94" w:rsidRDefault="003B2D3B">
          <w:pPr>
            <w:pStyle w:val="10"/>
            <w:tabs>
              <w:tab w:val="left" w:leader="dot" w:pos="9283"/>
            </w:tabs>
            <w:spacing w:before="160" w:line="360" w:lineRule="auto"/>
            <w:ind w:right="307"/>
            <w:jc w:val="both"/>
          </w:pPr>
          <w:r>
            <w:t>РОЗДІЛ 3. КЛІНІЧНИЙ ПЕРЕБІГ, ДІАГНОСТИКА ТА ЛІКУВАЛЬНА ТАКТИКА У ХВОРИХ З ІНФІКОВАНИМ ДЕСТРУКТИВНИМ ПАНКРЕАТИТОМ В ЗАЛЕЖНОСТІ ВІД ЛОКАЛІЗАЦІЇ ТА ПОШИРЕНОСТІ</w:t>
          </w:r>
          <w:r>
            <w:rPr>
              <w:spacing w:val="-5"/>
            </w:rPr>
            <w:t xml:space="preserve"> </w:t>
          </w:r>
          <w:r>
            <w:t>СЕПТИЧНОГО</w:t>
          </w:r>
          <w:r>
            <w:rPr>
              <w:spacing w:val="-4"/>
            </w:rPr>
            <w:t xml:space="preserve"> </w:t>
          </w:r>
          <w:r>
            <w:t>ОСЕРЕДКУ…</w:t>
          </w:r>
          <w:r>
            <w:tab/>
            <w:t>61</w:t>
          </w:r>
        </w:p>
        <w:p w:rsidR="00B23B94" w:rsidRDefault="00411E58">
          <w:pPr>
            <w:pStyle w:val="10"/>
            <w:numPr>
              <w:ilvl w:val="1"/>
              <w:numId w:val="13"/>
            </w:numPr>
            <w:tabs>
              <w:tab w:val="left" w:pos="680"/>
              <w:tab w:val="left" w:leader="dot" w:pos="9238"/>
            </w:tabs>
            <w:spacing w:before="1" w:line="360" w:lineRule="auto"/>
            <w:ind w:right="302" w:firstLine="0"/>
            <w:jc w:val="both"/>
          </w:pPr>
          <w:hyperlink w:anchor="_TOC_250008" w:history="1">
            <w:r w:rsidR="003B2D3B">
              <w:t>Оцінка тяжкості стану та органної дисфункції у пацієнтів з інфекційно- септичними ускладненнями деструктивного панкреатиту в залежності від поширеності</w:t>
            </w:r>
            <w:r w:rsidR="003B2D3B">
              <w:rPr>
                <w:spacing w:val="-3"/>
              </w:rPr>
              <w:t xml:space="preserve"> </w:t>
            </w:r>
            <w:r w:rsidR="003B2D3B">
              <w:t>парапанкреатичних</w:t>
            </w:r>
            <w:r w:rsidR="003B2D3B">
              <w:rPr>
                <w:spacing w:val="1"/>
              </w:rPr>
              <w:t xml:space="preserve"> </w:t>
            </w:r>
            <w:r w:rsidR="003B2D3B">
              <w:t>ускладнень</w:t>
            </w:r>
            <w:r w:rsidR="003B2D3B">
              <w:tab/>
              <w:t>61</w:t>
            </w:r>
          </w:hyperlink>
        </w:p>
        <w:p w:rsidR="00B23B94" w:rsidRDefault="00411E58">
          <w:pPr>
            <w:pStyle w:val="10"/>
            <w:numPr>
              <w:ilvl w:val="1"/>
              <w:numId w:val="13"/>
            </w:numPr>
            <w:tabs>
              <w:tab w:val="left" w:pos="645"/>
              <w:tab w:val="left" w:leader="dot" w:pos="9204"/>
            </w:tabs>
            <w:spacing w:line="360" w:lineRule="auto"/>
            <w:ind w:right="307" w:firstLine="0"/>
            <w:jc w:val="both"/>
          </w:pPr>
          <w:hyperlink w:anchor="_TOC_250007" w:history="1">
            <w:r w:rsidR="003B2D3B">
              <w:t>Особливості хірургічної тактики в залежності від характеру, локалізації та поширеності інфекційно-септичного осередку при деструктивному панкреатиті</w:t>
            </w:r>
            <w:r w:rsidR="003B2D3B">
              <w:tab/>
              <w:t>67</w:t>
            </w:r>
          </w:hyperlink>
        </w:p>
        <w:p w:rsidR="00B23B94" w:rsidRDefault="00411E58">
          <w:pPr>
            <w:pStyle w:val="10"/>
            <w:numPr>
              <w:ilvl w:val="1"/>
              <w:numId w:val="13"/>
            </w:numPr>
            <w:tabs>
              <w:tab w:val="left" w:pos="829"/>
              <w:tab w:val="left" w:leader="dot" w:pos="9058"/>
            </w:tabs>
            <w:spacing w:before="2" w:after="20" w:line="360" w:lineRule="auto"/>
            <w:ind w:right="302" w:firstLine="0"/>
            <w:jc w:val="both"/>
          </w:pPr>
          <w:hyperlink w:anchor="_TOC_250006" w:history="1">
            <w:r w:rsidR="003B2D3B">
              <w:t>Бактеріальний пасаж та антибіотикочутливість збудників гнійно- септичних ускладнень у пацієнтів з гострим</w:t>
            </w:r>
            <w:r w:rsidR="003B2D3B">
              <w:rPr>
                <w:spacing w:val="-15"/>
              </w:rPr>
              <w:t xml:space="preserve"> </w:t>
            </w:r>
            <w:r w:rsidR="003B2D3B">
              <w:t>тяжким</w:t>
            </w:r>
            <w:r w:rsidR="003B2D3B">
              <w:rPr>
                <w:spacing w:val="-2"/>
              </w:rPr>
              <w:t xml:space="preserve"> </w:t>
            </w:r>
            <w:r w:rsidR="003B2D3B">
              <w:t>панкреатитом</w:t>
            </w:r>
            <w:r w:rsidR="003B2D3B">
              <w:tab/>
              <w:t>76</w:t>
            </w:r>
          </w:hyperlink>
        </w:p>
        <w:p w:rsidR="00B23B94" w:rsidRDefault="003B2D3B">
          <w:pPr>
            <w:pStyle w:val="10"/>
            <w:tabs>
              <w:tab w:val="left" w:pos="1644"/>
              <w:tab w:val="left" w:pos="2304"/>
              <w:tab w:val="left" w:pos="4237"/>
              <w:tab w:val="left" w:pos="5056"/>
              <w:tab w:val="left" w:pos="6985"/>
              <w:tab w:val="left" w:pos="7247"/>
              <w:tab w:val="left" w:pos="9013"/>
            </w:tabs>
            <w:spacing w:before="79" w:line="362" w:lineRule="auto"/>
            <w:ind w:right="306"/>
          </w:pPr>
          <w:bookmarkStart w:id="0" w:name="_GoBack"/>
          <w:bookmarkEnd w:id="0"/>
          <w:r>
            <w:lastRenderedPageBreak/>
            <w:t>РОЗДІЛ</w:t>
          </w:r>
          <w:r>
            <w:tab/>
            <w:t>4.</w:t>
          </w:r>
          <w:r>
            <w:tab/>
            <w:t>ОБ’ЄКТИВІЗАЦІЯ</w:t>
          </w:r>
          <w:r>
            <w:tab/>
            <w:t>ХІРУРГІЧНОЇ</w:t>
          </w:r>
          <w:r>
            <w:tab/>
          </w:r>
          <w:r>
            <w:tab/>
            <w:t>ТАКТИКИ</w:t>
          </w:r>
          <w:r>
            <w:tab/>
          </w:r>
          <w:r>
            <w:rPr>
              <w:spacing w:val="-6"/>
            </w:rPr>
            <w:t xml:space="preserve">ПРИ </w:t>
          </w:r>
          <w:r>
            <w:t>ІНФЕКЦІЙНО-СЕПТИЧНИХ</w:t>
          </w:r>
          <w:r>
            <w:tab/>
            <w:t>УСКЛАДНЕННЯХ</w:t>
          </w:r>
          <w:r>
            <w:tab/>
          </w:r>
          <w:r>
            <w:rPr>
              <w:spacing w:val="-1"/>
            </w:rPr>
            <w:t>ДЕСТРУКТИВНОГО</w:t>
          </w:r>
        </w:p>
        <w:p w:rsidR="00B23B94" w:rsidRDefault="003B2D3B">
          <w:pPr>
            <w:pStyle w:val="10"/>
            <w:tabs>
              <w:tab w:val="left" w:leader="dot" w:pos="9147"/>
            </w:tabs>
            <w:spacing w:line="317" w:lineRule="exact"/>
          </w:pPr>
          <w:r>
            <w:t>ПАНКРЕАТИТУ…</w:t>
          </w:r>
          <w:r>
            <w:tab/>
            <w:t>82</w:t>
          </w:r>
        </w:p>
        <w:p w:rsidR="00B23B94" w:rsidRDefault="00411E58">
          <w:pPr>
            <w:pStyle w:val="10"/>
            <w:numPr>
              <w:ilvl w:val="1"/>
              <w:numId w:val="12"/>
            </w:numPr>
            <w:tabs>
              <w:tab w:val="left" w:pos="822"/>
              <w:tab w:val="left" w:leader="dot" w:pos="9125"/>
            </w:tabs>
            <w:spacing w:before="160" w:line="360" w:lineRule="auto"/>
            <w:ind w:right="307" w:firstLine="0"/>
            <w:jc w:val="both"/>
          </w:pPr>
          <w:hyperlink w:anchor="_TOC_250005" w:history="1">
            <w:r w:rsidR="003B2D3B">
              <w:t>Прогностичне значення прокальцитоніну, С-реактивного білку та синдрому lowT</w:t>
            </w:r>
            <w:r w:rsidR="003B2D3B">
              <w:rPr>
                <w:vertAlign w:val="subscript"/>
              </w:rPr>
              <w:t>3</w:t>
            </w:r>
            <w:r w:rsidR="003B2D3B">
              <w:t xml:space="preserve"> при інфекційно-септичних ускладненнях деструктивного панкреатиту</w:t>
            </w:r>
            <w:r w:rsidR="003B2D3B">
              <w:tab/>
              <w:t>82</w:t>
            </w:r>
          </w:hyperlink>
        </w:p>
        <w:p w:rsidR="00B23B94" w:rsidRDefault="00411E58">
          <w:pPr>
            <w:pStyle w:val="10"/>
            <w:numPr>
              <w:ilvl w:val="1"/>
              <w:numId w:val="12"/>
            </w:numPr>
            <w:tabs>
              <w:tab w:val="left" w:pos="812"/>
              <w:tab w:val="left" w:leader="dot" w:pos="9115"/>
            </w:tabs>
            <w:spacing w:before="1" w:line="360" w:lineRule="auto"/>
            <w:ind w:right="312" w:firstLine="0"/>
            <w:jc w:val="both"/>
          </w:pPr>
          <w:hyperlink w:anchor="_TOC_250004" w:history="1">
            <w:r w:rsidR="003B2D3B">
              <w:t>Особливості бактеріальної флори у пацієнтів з гострим тяжким панкреатитом основної групи</w:t>
            </w:r>
            <w:r w:rsidR="003B2D3B">
              <w:rPr>
                <w:spacing w:val="-10"/>
              </w:rPr>
              <w:t xml:space="preserve"> </w:t>
            </w:r>
            <w:r w:rsidR="003B2D3B">
              <w:t>(підгрупа</w:t>
            </w:r>
            <w:r w:rsidR="003B2D3B">
              <w:rPr>
                <w:spacing w:val="2"/>
              </w:rPr>
              <w:t xml:space="preserve"> </w:t>
            </w:r>
            <w:r w:rsidR="003B2D3B">
              <w:t>2а)…</w:t>
            </w:r>
            <w:r w:rsidR="003B2D3B">
              <w:tab/>
              <w:t>97</w:t>
            </w:r>
          </w:hyperlink>
        </w:p>
        <w:p w:rsidR="00B23B94" w:rsidRDefault="003B2D3B">
          <w:pPr>
            <w:pStyle w:val="10"/>
            <w:numPr>
              <w:ilvl w:val="1"/>
              <w:numId w:val="12"/>
            </w:numPr>
            <w:tabs>
              <w:tab w:val="left" w:pos="803"/>
              <w:tab w:val="left" w:leader="dot" w:pos="9094"/>
            </w:tabs>
            <w:spacing w:line="360" w:lineRule="auto"/>
            <w:ind w:right="313" w:firstLine="0"/>
            <w:jc w:val="both"/>
          </w:pPr>
          <w:r>
            <w:t>Алгоритм диференційованої хірургічної тактики в залежності від локалізації та характеру інфікованого септичного осередку у пацієнтів при некротичному</w:t>
          </w:r>
          <w:r>
            <w:rPr>
              <w:spacing w:val="-6"/>
            </w:rPr>
            <w:t xml:space="preserve"> </w:t>
          </w:r>
          <w:r>
            <w:t>панкреатиті</w:t>
          </w:r>
          <w:r>
            <w:tab/>
            <w:t>101</w:t>
          </w:r>
        </w:p>
        <w:p w:rsidR="00B23B94" w:rsidRDefault="00411E58">
          <w:pPr>
            <w:pStyle w:val="10"/>
            <w:numPr>
              <w:ilvl w:val="1"/>
              <w:numId w:val="12"/>
            </w:numPr>
            <w:tabs>
              <w:tab w:val="left" w:pos="839"/>
              <w:tab w:val="left" w:leader="dot" w:pos="9156"/>
            </w:tabs>
            <w:spacing w:line="360" w:lineRule="auto"/>
            <w:ind w:right="305" w:firstLine="0"/>
            <w:jc w:val="both"/>
          </w:pPr>
          <w:hyperlink w:anchor="_TOC_250003" w:history="1">
            <w:r w:rsidR="003B2D3B">
              <w:t>Хірургічна тактика при парапанкреатичних інфекційно-септичних ускладненнях</w:t>
            </w:r>
            <w:r w:rsidR="003B2D3B">
              <w:rPr>
                <w:spacing w:val="-2"/>
              </w:rPr>
              <w:t xml:space="preserve"> </w:t>
            </w:r>
            <w:r w:rsidR="003B2D3B">
              <w:t>деструктивного</w:t>
            </w:r>
            <w:r w:rsidR="003B2D3B">
              <w:rPr>
                <w:spacing w:val="-4"/>
              </w:rPr>
              <w:t xml:space="preserve"> </w:t>
            </w:r>
            <w:r w:rsidR="003B2D3B">
              <w:t>панкреатиту</w:t>
            </w:r>
            <w:r w:rsidR="003B2D3B">
              <w:tab/>
            </w:r>
            <w:r w:rsidR="003B2D3B">
              <w:rPr>
                <w:spacing w:val="-2"/>
              </w:rPr>
              <w:t>105</w:t>
            </w:r>
          </w:hyperlink>
        </w:p>
        <w:p w:rsidR="00B23B94" w:rsidRDefault="003B2D3B">
          <w:pPr>
            <w:pStyle w:val="10"/>
            <w:tabs>
              <w:tab w:val="left" w:leader="dot" w:pos="9041"/>
            </w:tabs>
            <w:spacing w:before="1"/>
          </w:pPr>
          <w:r>
            <w:t>АНАЛАІЗ ТА</w:t>
          </w:r>
          <w:r>
            <w:rPr>
              <w:spacing w:val="-5"/>
            </w:rPr>
            <w:t xml:space="preserve"> </w:t>
          </w:r>
          <w:r>
            <w:t>УЗАГАЛЬНЕННЯ</w:t>
          </w:r>
          <w:r>
            <w:rPr>
              <w:spacing w:val="-3"/>
            </w:rPr>
            <w:t xml:space="preserve"> </w:t>
          </w:r>
          <w:r>
            <w:t>РЕЗУЛЬТАТІВ…</w:t>
          </w:r>
          <w:r>
            <w:tab/>
            <w:t>117</w:t>
          </w:r>
        </w:p>
        <w:p w:rsidR="00B23B94" w:rsidRDefault="00411E58">
          <w:pPr>
            <w:pStyle w:val="10"/>
            <w:tabs>
              <w:tab w:val="left" w:leader="dot" w:pos="9058"/>
            </w:tabs>
            <w:spacing w:before="161"/>
          </w:pPr>
          <w:hyperlink w:anchor="_TOC_250002" w:history="1">
            <w:r w:rsidR="003B2D3B">
              <w:t>ВИСНОВКИ</w:t>
            </w:r>
            <w:r w:rsidR="003B2D3B">
              <w:tab/>
              <w:t>127</w:t>
            </w:r>
          </w:hyperlink>
        </w:p>
        <w:p w:rsidR="00B23B94" w:rsidRDefault="00411E58">
          <w:pPr>
            <w:pStyle w:val="10"/>
            <w:tabs>
              <w:tab w:val="left" w:leader="dot" w:pos="9118"/>
            </w:tabs>
            <w:spacing w:before="160"/>
          </w:pPr>
          <w:hyperlink w:anchor="_TOC_250001" w:history="1">
            <w:r w:rsidR="003B2D3B">
              <w:t>ПРАКТИЧНІ</w:t>
            </w:r>
            <w:r w:rsidR="003B2D3B">
              <w:rPr>
                <w:spacing w:val="-4"/>
              </w:rPr>
              <w:t xml:space="preserve"> </w:t>
            </w:r>
            <w:r w:rsidR="003B2D3B">
              <w:t>РЕКОМЕНДАЦІЇ…</w:t>
            </w:r>
            <w:r w:rsidR="003B2D3B">
              <w:tab/>
              <w:t>128</w:t>
            </w:r>
          </w:hyperlink>
        </w:p>
        <w:p w:rsidR="00B23B94" w:rsidRDefault="00411E58">
          <w:pPr>
            <w:pStyle w:val="10"/>
            <w:tabs>
              <w:tab w:val="left" w:leader="dot" w:pos="9094"/>
            </w:tabs>
            <w:spacing w:before="160"/>
          </w:pPr>
          <w:hyperlink w:anchor="_TOC_250000" w:history="1">
            <w:r w:rsidR="003B2D3B">
              <w:t>СПИСОК</w:t>
            </w:r>
            <w:r w:rsidR="003B2D3B">
              <w:rPr>
                <w:spacing w:val="-3"/>
              </w:rPr>
              <w:t xml:space="preserve"> </w:t>
            </w:r>
            <w:r w:rsidR="003B2D3B">
              <w:t>ВИКОРИСТАНИХ</w:t>
            </w:r>
            <w:r w:rsidR="003B2D3B">
              <w:rPr>
                <w:spacing w:val="-4"/>
              </w:rPr>
              <w:t xml:space="preserve"> </w:t>
            </w:r>
            <w:r w:rsidR="003B2D3B">
              <w:t>ДЖЕРЕЛ</w:t>
            </w:r>
            <w:r w:rsidR="003B2D3B">
              <w:tab/>
              <w:t>130</w:t>
            </w:r>
          </w:hyperlink>
        </w:p>
        <w:p w:rsidR="00B23B94" w:rsidRDefault="00411E58">
          <w:pPr>
            <w:pStyle w:val="10"/>
            <w:tabs>
              <w:tab w:val="left" w:leader="dot" w:pos="9066"/>
            </w:tabs>
            <w:spacing w:before="161"/>
          </w:pPr>
          <w:r>
            <w:t xml:space="preserve">Додаток А </w:t>
          </w:r>
          <w:r w:rsidR="003B2D3B">
            <w:tab/>
            <w:t>148</w:t>
          </w:r>
        </w:p>
      </w:sdtContent>
    </w:sdt>
    <w:p w:rsidR="00B23B94" w:rsidRDefault="00B23B94">
      <w:pPr>
        <w:sectPr w:rsidR="00B23B94">
          <w:type w:val="continuous"/>
          <w:pgSz w:w="11910" w:h="16840"/>
          <w:pgMar w:top="1055" w:right="540" w:bottom="2158" w:left="1480" w:header="708" w:footer="708" w:gutter="0"/>
          <w:cols w:space="720"/>
        </w:sectPr>
      </w:pPr>
    </w:p>
    <w:p w:rsidR="00B23B94" w:rsidRDefault="003B2D3B">
      <w:pPr>
        <w:pStyle w:val="a3"/>
        <w:spacing w:before="79"/>
        <w:ind w:left="254" w:right="340"/>
        <w:jc w:val="center"/>
      </w:pPr>
      <w:r>
        <w:lastRenderedPageBreak/>
        <w:t>ПЕРЕЛІК УМОВНИХ СКОРОЧЕНЬ</w:t>
      </w:r>
    </w:p>
    <w:p w:rsidR="00B23B94" w:rsidRDefault="003B2D3B">
      <w:pPr>
        <w:pStyle w:val="a3"/>
        <w:spacing w:before="163" w:line="360" w:lineRule="auto"/>
        <w:ind w:right="5475"/>
        <w:jc w:val="left"/>
      </w:pPr>
      <w:r>
        <w:t>АБП – антибактеріальні препарати БП – бактеріальний пасаж</w:t>
      </w:r>
    </w:p>
    <w:p w:rsidR="00B23B94" w:rsidRDefault="003B2D3B">
      <w:pPr>
        <w:pStyle w:val="a3"/>
        <w:spacing w:line="321" w:lineRule="exact"/>
        <w:jc w:val="left"/>
      </w:pPr>
      <w:r>
        <w:t>ГП – гострий панкреатит</w:t>
      </w:r>
    </w:p>
    <w:p w:rsidR="00B23B94" w:rsidRDefault="003B2D3B">
      <w:pPr>
        <w:pStyle w:val="a3"/>
        <w:spacing w:before="160"/>
        <w:jc w:val="left"/>
      </w:pPr>
      <w:r>
        <w:t>ГТП – гострий тяжкий панкреатит</w:t>
      </w:r>
    </w:p>
    <w:p w:rsidR="00B23B94" w:rsidRDefault="003B2D3B">
      <w:pPr>
        <w:pStyle w:val="a3"/>
        <w:spacing w:before="163" w:line="360" w:lineRule="auto"/>
        <w:ind w:right="4580"/>
        <w:jc w:val="left"/>
      </w:pPr>
      <w:r>
        <w:t>ЗППН – зона перипанкреатичних некрозів ІСУ – інфекційно-септичні ускладнення КТ – комп’ютерна томографія</w:t>
      </w:r>
    </w:p>
    <w:p w:rsidR="00B23B94" w:rsidRDefault="003B2D3B">
      <w:pPr>
        <w:pStyle w:val="a3"/>
        <w:spacing w:line="362" w:lineRule="auto"/>
        <w:ind w:right="6581"/>
        <w:jc w:val="left"/>
      </w:pPr>
      <w:r>
        <w:t>ОД – органна дисфункція проСа - прокальцитонін</w:t>
      </w:r>
    </w:p>
    <w:p w:rsidR="00B23B94" w:rsidRDefault="003B2D3B">
      <w:pPr>
        <w:pStyle w:val="a3"/>
        <w:spacing w:line="360" w:lineRule="auto"/>
        <w:ind w:right="5029"/>
        <w:jc w:val="left"/>
      </w:pPr>
      <w:r>
        <w:t>ПДВ – пункційно-дренуючі втручання ПОД – поліорганна дисфункція</w:t>
      </w:r>
    </w:p>
    <w:p w:rsidR="00B23B94" w:rsidRDefault="003B2D3B">
      <w:pPr>
        <w:pStyle w:val="a3"/>
        <w:spacing w:line="321" w:lineRule="exact"/>
        <w:jc w:val="left"/>
      </w:pPr>
      <w:r>
        <w:t>УЗД – ультразвукове дослідження</w:t>
      </w:r>
    </w:p>
    <w:p w:rsidR="00B23B94" w:rsidRDefault="003B2D3B">
      <w:pPr>
        <w:pStyle w:val="a3"/>
        <w:spacing w:before="157" w:line="360" w:lineRule="auto"/>
        <w:ind w:right="4301"/>
        <w:jc w:val="left"/>
      </w:pPr>
      <w:r>
        <w:t>ACS – абдомінальний компартмент синдром СРБ – С-реактивний білок</w:t>
      </w:r>
    </w:p>
    <w:p w:rsidR="00B23B94" w:rsidRDefault="003B2D3B">
      <w:pPr>
        <w:pStyle w:val="a3"/>
        <w:spacing w:line="360" w:lineRule="auto"/>
        <w:ind w:right="4136"/>
        <w:jc w:val="left"/>
      </w:pPr>
      <w:r>
        <w:t>lowT</w:t>
      </w:r>
      <w:r>
        <w:rPr>
          <w:vertAlign w:val="subscript"/>
        </w:rPr>
        <w:t>3</w:t>
      </w:r>
      <w:r>
        <w:t xml:space="preserve"> – синдром низького трийодтироніну SIRS – синдром системної запальної відповіді</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spacing w:before="79"/>
        <w:ind w:left="260" w:right="340"/>
        <w:jc w:val="center"/>
      </w:pPr>
      <w:bookmarkStart w:id="1" w:name="_TOC_250015"/>
      <w:bookmarkEnd w:id="1"/>
      <w:r>
        <w:lastRenderedPageBreak/>
        <w:t>ВСТУП</w:t>
      </w:r>
    </w:p>
    <w:p w:rsidR="00B23B94" w:rsidRDefault="00B23B94">
      <w:pPr>
        <w:pStyle w:val="a3"/>
        <w:spacing w:before="1"/>
        <w:ind w:left="0"/>
        <w:jc w:val="left"/>
        <w:rPr>
          <w:b/>
        </w:rPr>
      </w:pPr>
    </w:p>
    <w:p w:rsidR="00B23B94" w:rsidRDefault="003B2D3B">
      <w:pPr>
        <w:pStyle w:val="a3"/>
        <w:spacing w:before="1" w:line="360" w:lineRule="auto"/>
        <w:ind w:right="304" w:firstLine="707"/>
      </w:pPr>
      <w:r>
        <w:rPr>
          <w:b/>
        </w:rPr>
        <w:t xml:space="preserve">Актуальність теми. </w:t>
      </w:r>
      <w:r>
        <w:t>За даними різних авторів захворюваність на гострий панкреатит складає від 38 до 95 на 100000 населення. Деструктивні форми гострого панкреатиту розвиваються у 15-25% пацієнтів. [2, 15, 22, 28, 40, 46, 68] Летальність при деструктивних формах гострого панкреатиту, за даними закордонних авторів, коливається в межах 27-45% пацієнтів [3, 36-37, 68-70, 73, 83, 111, 125]. Саме ці пацієнти є найбільш тяжкою групою в діагностичному, лікувальному, соціальному і економічному плані, що підтверджується даними про високі показники летальності, частоти ускладнень, термінів госпіталізації та фінансових витрат у лікуванні даної категорії пацієнтів.</w:t>
      </w:r>
    </w:p>
    <w:p w:rsidR="00B23B94" w:rsidRDefault="003B2D3B">
      <w:pPr>
        <w:pStyle w:val="a3"/>
        <w:spacing w:line="360" w:lineRule="auto"/>
        <w:ind w:right="304" w:firstLine="707"/>
      </w:pPr>
      <w:r>
        <w:t>За оновленою класифікацією гострого панкреатиту Антанта – 2012 визначено, що для тяжкої форми гострого панкреатиту притаманні поширені пери- та інтрапанкреатичний некроз, локалізовані чи дифузні некрози паренхіми, перипанкреатична флегмона, інфікований некроз, формування псевдокіст і абсцесів. Інфекційно-септичні ускладнення при гострому панкреатиті зазвичай розвиваються з 3-4 тижня від початку захворювання. [37, 76-77, 95, 100, 102] В літературі недостатньо приділяється уваги саме вибору хірургічної тактики при даних ускладненнях в залежності від характеру та локалізації інфікованого парапанкреатичного осередку.</w:t>
      </w:r>
    </w:p>
    <w:p w:rsidR="00B23B94" w:rsidRDefault="003B2D3B">
      <w:pPr>
        <w:pStyle w:val="a3"/>
        <w:spacing w:line="360" w:lineRule="auto"/>
        <w:ind w:right="302" w:firstLine="707"/>
      </w:pPr>
      <w:r>
        <w:t>Останнім часом з’являються роботи про роль гормонів щитоподібної залози у прогнозуванні розвитку бактеріальної інфекції. Так, відомо що, підвищення рівня прокальцитоніну вище 1,8 нг/мл при гострому панкреатиті, вказує на розвиток інфекційних ускладнень, які в свою чергу, при неадекватному подальшому лікуванні, можуть призвести до розвитку тяжкого сепсису чи поліорганної недостатності та смерті пацієнта [69, 86-92, 98]. Тому доцільно вивчення рівня тиреоїдних гормонів у пацієнтів з деструктивним панкреатитом, оскільки відомо, що синдром низького Т</w:t>
      </w:r>
      <w:r>
        <w:rPr>
          <w:vertAlign w:val="subscript"/>
        </w:rPr>
        <w:t>3</w:t>
      </w:r>
      <w:r>
        <w:t xml:space="preserve"> є предиктором синдрому поліорганної недостатності та</w:t>
      </w:r>
      <w:r>
        <w:rPr>
          <w:spacing w:val="43"/>
        </w:rPr>
        <w:t xml:space="preserve"> </w:t>
      </w:r>
      <w:r>
        <w:t>несприятливого</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3"/>
      </w:pPr>
      <w:r>
        <w:lastRenderedPageBreak/>
        <w:t>перебігу соматичної патології. Специфічного лікування даний стан не потребує, а вирішення його полягає в усуненні основної причини.</w:t>
      </w:r>
    </w:p>
    <w:p w:rsidR="00B23B94" w:rsidRDefault="003B2D3B">
      <w:pPr>
        <w:pStyle w:val="a3"/>
        <w:spacing w:line="360" w:lineRule="auto"/>
        <w:ind w:right="309" w:firstLine="707"/>
      </w:pPr>
      <w:r>
        <w:t>Таким чином, невирішені питання в діагностиці та виборі лікувальної тактики у пацієнтів з деструктивним панкреатитом, різні погляди на показання до оперативного втручання, визначення термінів та об’єму оперативного втручання, аналіз впливу гормонів тиреоїдного профілю на динаміку захворювання, обумовлюють актуальність проведення даного дослідження, направленого на їх вирішення.</w:t>
      </w:r>
    </w:p>
    <w:p w:rsidR="00B23B94" w:rsidRDefault="003B2D3B">
      <w:pPr>
        <w:pStyle w:val="a3"/>
        <w:spacing w:line="360" w:lineRule="auto"/>
        <w:ind w:right="304" w:firstLine="707"/>
      </w:pPr>
      <w:r>
        <w:rPr>
          <w:b/>
        </w:rPr>
        <w:t xml:space="preserve">Зв'язок дисертації з науковими програмами, планами, темами. </w:t>
      </w:r>
      <w:r>
        <w:t xml:space="preserve">Дисертаційна робота є фрагментом НДР кафедри хірургії №2 Української медичної стоматологічної академії: «Диференційована хірургічна тактика при парапанкреатичних інфекційно-септичних ускладненнях деструктивного панкреатиту». (№ державної реєстрації: 0116/U005439) та складовою науково-дослідницької роботи НДІ Генетичних та імунологічних основ розвитку патології та фармакокінетики «Українська медична стоматологічна академія»: «Комплексне дослідження патогенетичної ролі субпопуляції </w:t>
      </w:r>
      <w:r>
        <w:rPr>
          <w:spacing w:val="-3"/>
        </w:rPr>
        <w:t xml:space="preserve">М1  </w:t>
      </w:r>
      <w:r>
        <w:t>та М2 макрофагів в розвитку хронічного обструктивного захворювання легень для розробки та обґрунтування персоналізованої терапії з урахуванням маси тіла» (№ державної реєстрації:</w:t>
      </w:r>
      <w:r>
        <w:rPr>
          <w:spacing w:val="-3"/>
        </w:rPr>
        <w:t xml:space="preserve"> </w:t>
      </w:r>
      <w:r>
        <w:t>0117U005252).</w:t>
      </w:r>
    </w:p>
    <w:p w:rsidR="00B23B94" w:rsidRDefault="003B2D3B">
      <w:pPr>
        <w:pStyle w:val="a3"/>
        <w:spacing w:line="360" w:lineRule="auto"/>
        <w:ind w:right="305" w:firstLine="707"/>
      </w:pPr>
      <w:r>
        <w:rPr>
          <w:b/>
        </w:rPr>
        <w:t xml:space="preserve">Мета дослідження. </w:t>
      </w:r>
      <w:r>
        <w:t>Поліпшити результати лікування хворих з ускладненим перебігом деструктивного панкреатиту шляхом визначення оптимальних термінів та методів хірургічних втручань в залежності від форми, поширеності та локалізації інфікованого парапанкреатичного осередку.</w:t>
      </w:r>
    </w:p>
    <w:p w:rsidR="00B23B94" w:rsidRDefault="003B2D3B">
      <w:pPr>
        <w:pStyle w:val="1"/>
        <w:spacing w:before="0" w:line="322" w:lineRule="exact"/>
        <w:ind w:left="930"/>
        <w:jc w:val="both"/>
      </w:pPr>
      <w:r>
        <w:t>Завдання дослідження:</w:t>
      </w:r>
    </w:p>
    <w:p w:rsidR="00B23B94" w:rsidRDefault="003B2D3B">
      <w:pPr>
        <w:pStyle w:val="a4"/>
        <w:numPr>
          <w:ilvl w:val="2"/>
          <w:numId w:val="12"/>
        </w:numPr>
        <w:tabs>
          <w:tab w:val="left" w:pos="930"/>
        </w:tabs>
        <w:spacing w:before="157" w:line="362" w:lineRule="auto"/>
        <w:ind w:right="304"/>
        <w:rPr>
          <w:sz w:val="28"/>
        </w:rPr>
      </w:pPr>
      <w:r>
        <w:rPr>
          <w:sz w:val="28"/>
        </w:rPr>
        <w:t>Проаналізувати особливості перебігу органної дисфункції у пацієнтів з інфекційно-септичними ускладненнями гострого тяжкого</w:t>
      </w:r>
      <w:r>
        <w:rPr>
          <w:spacing w:val="-17"/>
          <w:sz w:val="28"/>
        </w:rPr>
        <w:t xml:space="preserve"> </w:t>
      </w:r>
      <w:r>
        <w:rPr>
          <w:sz w:val="28"/>
        </w:rPr>
        <w:t>панкреатиту.</w:t>
      </w:r>
    </w:p>
    <w:p w:rsidR="00B23B94" w:rsidRDefault="003B2D3B">
      <w:pPr>
        <w:pStyle w:val="a4"/>
        <w:numPr>
          <w:ilvl w:val="2"/>
          <w:numId w:val="12"/>
        </w:numPr>
        <w:tabs>
          <w:tab w:val="left" w:pos="930"/>
        </w:tabs>
        <w:spacing w:line="360" w:lineRule="auto"/>
        <w:ind w:right="304"/>
        <w:rPr>
          <w:sz w:val="28"/>
        </w:rPr>
      </w:pPr>
      <w:r>
        <w:rPr>
          <w:sz w:val="28"/>
        </w:rPr>
        <w:t>Визначити ранні клінічні, лабораторні, ультрасонографічні та комп’ютернотомографічні ознаки локальних</w:t>
      </w:r>
      <w:r>
        <w:rPr>
          <w:spacing w:val="21"/>
          <w:sz w:val="28"/>
        </w:rPr>
        <w:t xml:space="preserve"> </w:t>
      </w:r>
      <w:r>
        <w:rPr>
          <w:sz w:val="28"/>
        </w:rPr>
        <w:t>інфекційно-септичних</w:t>
      </w:r>
    </w:p>
    <w:p w:rsidR="00B23B94" w:rsidRDefault="00B23B94">
      <w:pPr>
        <w:spacing w:line="360" w:lineRule="auto"/>
        <w:jc w:val="both"/>
        <w:rPr>
          <w:sz w:val="28"/>
        </w:rPr>
        <w:sectPr w:rsidR="00B23B94">
          <w:pgSz w:w="11910" w:h="16840"/>
          <w:pgMar w:top="1040" w:right="540" w:bottom="280" w:left="1480" w:header="719" w:footer="0" w:gutter="0"/>
          <w:cols w:space="720"/>
        </w:sectPr>
      </w:pPr>
    </w:p>
    <w:p w:rsidR="00B23B94" w:rsidRDefault="003B2D3B">
      <w:pPr>
        <w:pStyle w:val="a3"/>
        <w:spacing w:before="79" w:line="362" w:lineRule="auto"/>
        <w:ind w:left="930" w:right="313"/>
      </w:pPr>
      <w:r>
        <w:lastRenderedPageBreak/>
        <w:t>ускладнень та оцінити їх прогностичну значимість для хірургічної тактики у пацієнтів з гострим тяжким панкреатитом.</w:t>
      </w:r>
    </w:p>
    <w:p w:rsidR="00B23B94" w:rsidRDefault="003B2D3B">
      <w:pPr>
        <w:pStyle w:val="a4"/>
        <w:numPr>
          <w:ilvl w:val="2"/>
          <w:numId w:val="12"/>
        </w:numPr>
        <w:tabs>
          <w:tab w:val="left" w:pos="930"/>
        </w:tabs>
        <w:spacing w:line="360" w:lineRule="auto"/>
        <w:ind w:right="302"/>
        <w:rPr>
          <w:sz w:val="28"/>
        </w:rPr>
      </w:pPr>
      <w:r>
        <w:rPr>
          <w:sz w:val="28"/>
        </w:rPr>
        <w:t>Проаналізувати бактеріальний пейзаж та результати чутливості збудників до антибактеріальних препаратів у пацієнтів з інфекційно- септичними ускладненнями гострого тяжкого панкератиту в залежності від терміну та характеру хірургічного</w:t>
      </w:r>
      <w:r>
        <w:rPr>
          <w:spacing w:val="-8"/>
          <w:sz w:val="28"/>
        </w:rPr>
        <w:t xml:space="preserve"> </w:t>
      </w:r>
      <w:r>
        <w:rPr>
          <w:sz w:val="28"/>
        </w:rPr>
        <w:t>втручання.</w:t>
      </w:r>
    </w:p>
    <w:p w:rsidR="00B23B94" w:rsidRDefault="003B2D3B">
      <w:pPr>
        <w:pStyle w:val="a4"/>
        <w:numPr>
          <w:ilvl w:val="2"/>
          <w:numId w:val="12"/>
        </w:numPr>
        <w:tabs>
          <w:tab w:val="left" w:pos="930"/>
        </w:tabs>
        <w:spacing w:line="360" w:lineRule="auto"/>
        <w:ind w:right="306"/>
        <w:rPr>
          <w:sz w:val="28"/>
        </w:rPr>
      </w:pPr>
      <w:r>
        <w:rPr>
          <w:sz w:val="28"/>
        </w:rPr>
        <w:t>Оцінити прогностичне значення синдрому lowT</w:t>
      </w:r>
      <w:r>
        <w:rPr>
          <w:sz w:val="28"/>
          <w:vertAlign w:val="subscript"/>
        </w:rPr>
        <w:t>3</w:t>
      </w:r>
      <w:r>
        <w:rPr>
          <w:sz w:val="28"/>
        </w:rPr>
        <w:t xml:space="preserve"> у пацієнтів з інфекційно-септичними ускладненнями гострого тяжкого</w:t>
      </w:r>
      <w:r>
        <w:rPr>
          <w:spacing w:val="-17"/>
          <w:sz w:val="28"/>
        </w:rPr>
        <w:t xml:space="preserve"> </w:t>
      </w:r>
      <w:r>
        <w:rPr>
          <w:sz w:val="28"/>
        </w:rPr>
        <w:t>панкреатиту.</w:t>
      </w:r>
    </w:p>
    <w:p w:rsidR="00B23B94" w:rsidRDefault="003B2D3B">
      <w:pPr>
        <w:pStyle w:val="a4"/>
        <w:numPr>
          <w:ilvl w:val="2"/>
          <w:numId w:val="12"/>
        </w:numPr>
        <w:tabs>
          <w:tab w:val="left" w:pos="930"/>
        </w:tabs>
        <w:spacing w:line="360" w:lineRule="auto"/>
        <w:ind w:right="302"/>
        <w:rPr>
          <w:sz w:val="28"/>
        </w:rPr>
      </w:pPr>
      <w:r>
        <w:rPr>
          <w:sz w:val="28"/>
        </w:rPr>
        <w:t>Визначити показання для застосування пункційно-дренуючих, відкритих хірургічних втручань, в структурі етапного хірургічного лікування та розробити алгоритм диференційованої хірургічної тактики в залежності від локалізації, поширеності та характеру інфікованого септичного осередку у пацієнтів з гострим тяжким</w:t>
      </w:r>
      <w:r>
        <w:rPr>
          <w:spacing w:val="-12"/>
          <w:sz w:val="28"/>
        </w:rPr>
        <w:t xml:space="preserve"> </w:t>
      </w:r>
      <w:r>
        <w:rPr>
          <w:sz w:val="28"/>
        </w:rPr>
        <w:t>панкреатитом.</w:t>
      </w:r>
    </w:p>
    <w:p w:rsidR="00B23B94" w:rsidRDefault="003B2D3B">
      <w:pPr>
        <w:pStyle w:val="a4"/>
        <w:numPr>
          <w:ilvl w:val="2"/>
          <w:numId w:val="12"/>
        </w:numPr>
        <w:tabs>
          <w:tab w:val="left" w:pos="930"/>
        </w:tabs>
        <w:spacing w:line="360" w:lineRule="auto"/>
        <w:ind w:right="307"/>
        <w:rPr>
          <w:sz w:val="28"/>
        </w:rPr>
      </w:pPr>
      <w:r>
        <w:rPr>
          <w:sz w:val="28"/>
        </w:rPr>
        <w:t>Розробити пристрій для оптимізації мінідоступів при хірургічному лікуванні пацієнтів з інфекційно-септичними ускладненнями гострого тяжкого панкреатиту.</w:t>
      </w:r>
    </w:p>
    <w:p w:rsidR="00B23B94" w:rsidRDefault="003B2D3B">
      <w:pPr>
        <w:pStyle w:val="a4"/>
        <w:numPr>
          <w:ilvl w:val="2"/>
          <w:numId w:val="12"/>
        </w:numPr>
        <w:tabs>
          <w:tab w:val="left" w:pos="930"/>
        </w:tabs>
        <w:spacing w:line="360" w:lineRule="auto"/>
        <w:ind w:right="307"/>
        <w:rPr>
          <w:sz w:val="28"/>
        </w:rPr>
      </w:pPr>
      <w:r>
        <w:rPr>
          <w:sz w:val="28"/>
        </w:rPr>
        <w:t>Проаналізувати результати запропонованої диференційованої хірургічної тактики у хворих з інфекційно-септичними ускладненнями деструктивного</w:t>
      </w:r>
      <w:r>
        <w:rPr>
          <w:spacing w:val="-4"/>
          <w:sz w:val="28"/>
        </w:rPr>
        <w:t xml:space="preserve"> </w:t>
      </w:r>
      <w:r>
        <w:rPr>
          <w:sz w:val="28"/>
        </w:rPr>
        <w:t>панкреатиту.</w:t>
      </w:r>
    </w:p>
    <w:p w:rsidR="00B23B94" w:rsidRDefault="003B2D3B">
      <w:pPr>
        <w:spacing w:line="360" w:lineRule="auto"/>
        <w:ind w:left="222" w:right="304" w:firstLine="707"/>
        <w:jc w:val="both"/>
        <w:rPr>
          <w:sz w:val="28"/>
        </w:rPr>
      </w:pPr>
      <w:r>
        <w:rPr>
          <w:b/>
          <w:sz w:val="28"/>
        </w:rPr>
        <w:t xml:space="preserve">Об’єкт дослідження </w:t>
      </w:r>
      <w:r>
        <w:rPr>
          <w:sz w:val="28"/>
        </w:rPr>
        <w:t>–інфекційно-септичні ускладненнями деструктивного панкреатиту.</w:t>
      </w:r>
    </w:p>
    <w:p w:rsidR="00B23B94" w:rsidRDefault="003B2D3B">
      <w:pPr>
        <w:pStyle w:val="a3"/>
        <w:spacing w:line="360" w:lineRule="auto"/>
        <w:ind w:right="304" w:firstLine="707"/>
      </w:pPr>
      <w:r>
        <w:rPr>
          <w:b/>
        </w:rPr>
        <w:t xml:space="preserve">Предмет дослідження </w:t>
      </w:r>
      <w:r>
        <w:t xml:space="preserve">– дані комп’ютерно-томографічного </w:t>
      </w:r>
      <w:r>
        <w:rPr>
          <w:spacing w:val="-3"/>
        </w:rPr>
        <w:t xml:space="preserve">та </w:t>
      </w:r>
      <w:r>
        <w:t>ультрасонографічного досліджень в динаміці лікування; оцінка зміни рівня Т</w:t>
      </w:r>
      <w:r>
        <w:rPr>
          <w:vertAlign w:val="subscript"/>
        </w:rPr>
        <w:t>3,</w:t>
      </w:r>
      <w:r>
        <w:t xml:space="preserve"> Т</w:t>
      </w:r>
      <w:r>
        <w:rPr>
          <w:vertAlign w:val="subscript"/>
        </w:rPr>
        <w:t>4,</w:t>
      </w:r>
      <w:r>
        <w:t xml:space="preserve"> ТТГ, прокальцитоніну, С-реактивного білка, іонізованого кальцію в динаміці лікування; ефективність мініінвазивних та відкритих хірургічних втручань у хворих при інфекційно-септичних ускладненнях деструктивного панкреатиту.</w:t>
      </w:r>
    </w:p>
    <w:p w:rsidR="00B23B94" w:rsidRDefault="003B2D3B">
      <w:pPr>
        <w:pStyle w:val="a3"/>
        <w:tabs>
          <w:tab w:val="left" w:pos="5095"/>
        </w:tabs>
        <w:spacing w:line="360" w:lineRule="auto"/>
        <w:ind w:right="308" w:firstLine="707"/>
      </w:pPr>
      <w:r>
        <w:rPr>
          <w:b/>
        </w:rPr>
        <w:t xml:space="preserve">Методи дослідження: </w:t>
      </w:r>
      <w:r>
        <w:t xml:space="preserve">методи клінічного спостереження за хворими, біохімічні    </w:t>
      </w:r>
      <w:r>
        <w:rPr>
          <w:spacing w:val="18"/>
        </w:rPr>
        <w:t xml:space="preserve"> </w:t>
      </w:r>
      <w:r>
        <w:t xml:space="preserve">та    </w:t>
      </w:r>
      <w:r>
        <w:rPr>
          <w:spacing w:val="18"/>
        </w:rPr>
        <w:t xml:space="preserve"> </w:t>
      </w:r>
      <w:r>
        <w:t>імуноферментні</w:t>
      </w:r>
      <w:r>
        <w:tab/>
        <w:t>методи, інструментальні</w:t>
      </w:r>
      <w:r>
        <w:rPr>
          <w:spacing w:val="35"/>
        </w:rPr>
        <w:t xml:space="preserve"> </w:t>
      </w:r>
      <w:r>
        <w:t>методи</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09"/>
      </w:pPr>
      <w:r>
        <w:lastRenderedPageBreak/>
        <w:t>(ультрасонографічний, рентгенологічний, комп’ютерної томографії, ендоскопічний), метод статистичного аналізу.</w:t>
      </w:r>
    </w:p>
    <w:p w:rsidR="00B23B94" w:rsidRDefault="003B2D3B">
      <w:pPr>
        <w:pStyle w:val="1"/>
        <w:spacing w:before="0" w:line="317" w:lineRule="exact"/>
        <w:ind w:left="930"/>
        <w:jc w:val="both"/>
      </w:pPr>
      <w:r>
        <w:t>Наукова новизна одержаних результатів:</w:t>
      </w:r>
    </w:p>
    <w:p w:rsidR="00B23B94" w:rsidRDefault="003B2D3B">
      <w:pPr>
        <w:pStyle w:val="a3"/>
        <w:spacing w:before="160" w:line="360" w:lineRule="auto"/>
        <w:ind w:right="302" w:firstLine="707"/>
      </w:pPr>
      <w:r>
        <w:t>Дисертаційна робота містить новий підхід до вирішення наукового завдання, що передбачає поліпшення результатів лікування хворих з інфекційно-септичними ускладненнями деструктивного панкреатиту,  шляхом визначення чітких показань, методів та оптимальних термінів виконання оперативних втручань.</w:t>
      </w:r>
    </w:p>
    <w:p w:rsidR="00B23B94" w:rsidRDefault="003B2D3B">
      <w:pPr>
        <w:pStyle w:val="a3"/>
        <w:spacing w:line="360" w:lineRule="auto"/>
        <w:ind w:right="305" w:firstLine="707"/>
      </w:pPr>
      <w:r>
        <w:t>Доповнено наукові дані про залежність тривалості первинної та другої хвилі поліорганної дисфункції на 10-14 добу від початку захворювання від поширеності локальних парапанкреатичних інфекційно-септичних ускладнень у хворих з гострим тяжким панкреатитом на підставі аналізу даних клініко-лабораторних та інструментальних досліджень.</w:t>
      </w:r>
    </w:p>
    <w:p w:rsidR="00B23B94" w:rsidRDefault="003B2D3B">
      <w:pPr>
        <w:pStyle w:val="a3"/>
        <w:spacing w:before="2" w:line="360" w:lineRule="auto"/>
        <w:ind w:right="305" w:firstLine="707"/>
      </w:pPr>
      <w:r>
        <w:t>Обґрунтовано необхідність відмови від раннього застосування емпіричної антибактеріальної терапії препаратами резерву на початку лікування пацієнтів з гострим тяжким панкреатитом для попередження розвитку антибіотикорезистентності серед збудників інфекційно-септичних ускладнень гострого тяжкого панкреатиту.</w:t>
      </w:r>
    </w:p>
    <w:p w:rsidR="00B23B94" w:rsidRDefault="003B2D3B">
      <w:pPr>
        <w:pStyle w:val="a3"/>
        <w:spacing w:line="360" w:lineRule="auto"/>
        <w:ind w:right="309" w:firstLine="707"/>
      </w:pPr>
      <w:r>
        <w:t>Розширено наукові поняття про те, що розвиток синдрому lowT3 у пацієнтів з інфекційно-септичними ускладненнями гострого тяжкого панкреатиту свідчить про тенденцію до декомпенсації функцій систем життєзабезпечення організму з розвитком незворотної поліорганної дисфункції, що визначає його як предиктора несприятливого перебігу захворювання.</w:t>
      </w:r>
    </w:p>
    <w:p w:rsidR="00B23B94" w:rsidRDefault="003B2D3B">
      <w:pPr>
        <w:pStyle w:val="a3"/>
        <w:spacing w:line="360" w:lineRule="auto"/>
        <w:ind w:right="308" w:firstLine="707"/>
      </w:pPr>
      <w:r>
        <w:t>Розроблено алгоритм диференційованої хірургічної тактики у пацієнтів з інфекційно-септичними ускладненнями гострого тяжкого панкреатиту, який враховує поширеність локальних парапанкреатичних ускладнень, наявність органної і поліорганної дисфункції, та розвиток синдрому</w:t>
      </w:r>
      <w:r>
        <w:rPr>
          <w:spacing w:val="-23"/>
        </w:rPr>
        <w:t xml:space="preserve"> </w:t>
      </w:r>
      <w:r>
        <w:t>lowT3.</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spacing w:before="79"/>
        <w:ind w:left="930"/>
        <w:jc w:val="both"/>
      </w:pPr>
      <w:r>
        <w:lastRenderedPageBreak/>
        <w:t>Практичне значення отриманих результатів.</w:t>
      </w:r>
    </w:p>
    <w:p w:rsidR="00B23B94" w:rsidRDefault="003B2D3B">
      <w:pPr>
        <w:pStyle w:val="a3"/>
        <w:spacing w:before="163" w:line="360" w:lineRule="auto"/>
        <w:ind w:right="304" w:firstLine="707"/>
      </w:pPr>
      <w:r>
        <w:t>Доведено що застосування раннього рутинного дренування рідинних скупчень під УЗ-контролем сприяє ранній колонізації їх мультирезистентною нозокоміальною флорою та підвищенню антибіотикорезистентності збудників інфекційно-септичних ускладнень при гострому тяжкому панкреатиті майже на 20%. Дренування доцільне лише за наявності гною, отриманого при</w:t>
      </w:r>
      <w:r>
        <w:rPr>
          <w:spacing w:val="-3"/>
        </w:rPr>
        <w:t xml:space="preserve"> </w:t>
      </w:r>
      <w:r>
        <w:t>пункції.</w:t>
      </w:r>
    </w:p>
    <w:p w:rsidR="00B23B94" w:rsidRDefault="003B2D3B">
      <w:pPr>
        <w:pStyle w:val="a3"/>
        <w:spacing w:line="360" w:lineRule="auto"/>
        <w:ind w:right="302" w:firstLine="707"/>
      </w:pPr>
      <w:r>
        <w:t>Обґрунтована доцільність ранньої МРТ для виявлення УЗД/КТ- негативних секвестральних мас при відсутності декомпресійного ефекту після пункції/дренування рідинних скупчень для оптимізації хірургічної тактики.</w:t>
      </w:r>
    </w:p>
    <w:p w:rsidR="00B23B94" w:rsidRDefault="003B2D3B">
      <w:pPr>
        <w:pStyle w:val="a3"/>
        <w:spacing w:line="360" w:lineRule="auto"/>
        <w:ind w:right="303" w:firstLine="707"/>
      </w:pPr>
      <w:r>
        <w:t>Доведена можливість зменшити рівень післяопераційних ускладнень за рахунок застосування розробленого пристрою для бужування порожнини абсцесу (патент України на корисну модель №127401 від 25.07.2018) у пацієнтів з інфекційно-септичними ускладненнями гострого тяжкого панкреатиту за умови виконання міні-доступів для НСЕ після попереднього дренування перипанкреатичних некрозів під місцевою анестезією (патент України на корисну модель № 128237 від 10.09.2018).</w:t>
      </w:r>
    </w:p>
    <w:p w:rsidR="00B23B94" w:rsidRDefault="003B2D3B">
      <w:pPr>
        <w:pStyle w:val="a3"/>
        <w:spacing w:before="1" w:line="360" w:lineRule="auto"/>
        <w:ind w:right="305" w:firstLine="707"/>
      </w:pPr>
      <w:r>
        <w:rPr>
          <w:b/>
        </w:rPr>
        <w:t xml:space="preserve">Особистий внесок здобувача. </w:t>
      </w:r>
      <w:r>
        <w:t>Дисертантом особисто проведений аналіз вітчизняної та зарубіжної наукової літератури за темою дисертації, проведено патентно-інформаційний пошук, сформульовано мету та визначено основні теоретичні і практичні напрямки дослідження. Автором було проведено набір клінічного матеріалу (87 хворих ретроспективної та 40 хворих основної групи), виконано статистичну обробку даних, написано та опубліковано низку наукових статей, розроблено пристрій для бужування порожнини абсцесу та спосіб хірургічного лікування парапанкреатичних локальних ускладнень гострого тяжкого панкреатиту. У наукових статтях, які були публіковані у співавторстві, здобувачу належить ідея роботи, фактичний матеріал і формулювання</w:t>
      </w:r>
      <w:r>
        <w:rPr>
          <w:spacing w:val="-4"/>
        </w:rPr>
        <w:t xml:space="preserve"> </w:t>
      </w:r>
      <w:r>
        <w:t>висновків.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tabs>
          <w:tab w:val="left" w:pos="2649"/>
          <w:tab w:val="left" w:pos="4199"/>
          <w:tab w:val="left" w:pos="4652"/>
          <w:tab w:val="left" w:pos="6241"/>
          <w:tab w:val="left" w:pos="7812"/>
        </w:tabs>
        <w:spacing w:before="79" w:line="362" w:lineRule="auto"/>
        <w:ind w:right="310" w:firstLine="707"/>
        <w:jc w:val="left"/>
      </w:pPr>
      <w:r>
        <w:lastRenderedPageBreak/>
        <w:t>Планування,</w:t>
      </w:r>
      <w:r>
        <w:tab/>
        <w:t>організація</w:t>
      </w:r>
      <w:r>
        <w:tab/>
        <w:t>та</w:t>
      </w:r>
      <w:r>
        <w:tab/>
        <w:t>проведення</w:t>
      </w:r>
      <w:r>
        <w:tab/>
        <w:t>досліджень</w:t>
      </w:r>
      <w:r>
        <w:tab/>
      </w:r>
      <w:r>
        <w:rPr>
          <w:spacing w:val="-1"/>
        </w:rPr>
        <w:t xml:space="preserve">здійснювались </w:t>
      </w:r>
      <w:r>
        <w:t>сумісно з науковим</w:t>
      </w:r>
      <w:r>
        <w:rPr>
          <w:spacing w:val="-4"/>
        </w:rPr>
        <w:t xml:space="preserve"> </w:t>
      </w:r>
      <w:r>
        <w:t>керівником.</w:t>
      </w:r>
    </w:p>
    <w:p w:rsidR="00B23B94" w:rsidRDefault="003B2D3B">
      <w:pPr>
        <w:pStyle w:val="1"/>
        <w:spacing w:before="0" w:line="317" w:lineRule="exact"/>
        <w:ind w:left="930"/>
      </w:pPr>
      <w:r>
        <w:t>Апробація результатів дисертації.</w:t>
      </w:r>
    </w:p>
    <w:p w:rsidR="00B23B94" w:rsidRDefault="003B2D3B">
      <w:pPr>
        <w:pStyle w:val="a3"/>
        <w:spacing w:before="160" w:line="360" w:lineRule="auto"/>
        <w:ind w:right="370" w:firstLine="707"/>
        <w:jc w:val="left"/>
      </w:pPr>
      <w:r>
        <w:t>Основні положення та матеріали дисертаційної роботи були викладені й обговорені на Всеукраїнській наукової конференції молодих</w:t>
      </w:r>
      <w:r>
        <w:rPr>
          <w:spacing w:val="7"/>
        </w:rPr>
        <w:t xml:space="preserve"> </w:t>
      </w:r>
      <w:r>
        <w:t>учених:</w:t>
      </w:r>
    </w:p>
    <w:p w:rsidR="00B23B94" w:rsidRDefault="003B2D3B">
      <w:pPr>
        <w:pStyle w:val="a3"/>
        <w:spacing w:before="1" w:line="360" w:lineRule="auto"/>
        <w:ind w:right="292"/>
        <w:jc w:val="left"/>
      </w:pPr>
      <w:r>
        <w:t>«Медична наука у практику охорони здоров`я» (Полтава 2019), а також на засіданні Полтавської обласної асоціації хірургів (Полтава, 2018, 2019).</w:t>
      </w:r>
    </w:p>
    <w:p w:rsidR="00B23B94" w:rsidRDefault="003B2D3B">
      <w:pPr>
        <w:pStyle w:val="1"/>
        <w:spacing w:before="0" w:line="321" w:lineRule="exact"/>
        <w:ind w:left="930"/>
      </w:pPr>
      <w:r>
        <w:t>Публікації.</w:t>
      </w:r>
    </w:p>
    <w:p w:rsidR="00B23B94" w:rsidRDefault="003B2D3B">
      <w:pPr>
        <w:pStyle w:val="a3"/>
        <w:spacing w:before="161" w:line="360" w:lineRule="auto"/>
        <w:ind w:right="304" w:firstLine="707"/>
      </w:pPr>
      <w:r>
        <w:t>За матеріалами дисертації опубліковано 11 наукових робіт. З них в фахових виданнях рекомендованих МОН України опубліковано 7 статей (в тому числі у виданнях, що цитуються міжнародними науковометричними базами – 3 публікації), а також 1 наукова стаття в закордонному журналі, 1 тези доповідей в матеріалах практичної конференції. Отримано 2 патенти України на корисну модель.</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spacing w:before="79"/>
        <w:ind w:left="4271"/>
        <w:jc w:val="both"/>
      </w:pPr>
      <w:r>
        <w:lastRenderedPageBreak/>
        <w:t>РОЗДІЛ 1</w:t>
      </w:r>
    </w:p>
    <w:p w:rsidR="00B23B94" w:rsidRDefault="003B2D3B">
      <w:pPr>
        <w:tabs>
          <w:tab w:val="left" w:pos="5692"/>
        </w:tabs>
        <w:spacing w:before="163" w:line="360" w:lineRule="auto"/>
        <w:ind w:left="222" w:right="302"/>
        <w:jc w:val="both"/>
        <w:rPr>
          <w:b/>
          <w:sz w:val="28"/>
        </w:rPr>
      </w:pPr>
      <w:r>
        <w:rPr>
          <w:b/>
          <w:sz w:val="28"/>
        </w:rPr>
        <w:t>СУЧАСНИЙ СТАН ПРОБЛЕМИ ДІАГНОСТИКИ ТА ЛІКУВАННЯ ПАРАПАНКРЕАТИЧНИХ</w:t>
      </w:r>
      <w:r>
        <w:rPr>
          <w:b/>
          <w:sz w:val="28"/>
        </w:rPr>
        <w:tab/>
      </w:r>
      <w:r>
        <w:rPr>
          <w:b/>
          <w:spacing w:val="-1"/>
          <w:sz w:val="28"/>
        </w:rPr>
        <w:t xml:space="preserve">ІНФЕКЦІЙНО-СЕПТИЧНИХ </w:t>
      </w:r>
      <w:r>
        <w:rPr>
          <w:b/>
          <w:sz w:val="28"/>
        </w:rPr>
        <w:t>УСКЛАДНЕНЬ ДЕСТРУКТИВНОГО ПАНКРЕАТИТУ (ОГЛЯД ЛІТЕРАТУРИ)</w:t>
      </w:r>
    </w:p>
    <w:p w:rsidR="00B23B94" w:rsidRDefault="003B2D3B">
      <w:pPr>
        <w:pStyle w:val="1"/>
        <w:spacing w:before="0" w:line="360" w:lineRule="auto"/>
        <w:ind w:left="222" w:right="292" w:firstLine="707"/>
      </w:pPr>
      <w:bookmarkStart w:id="2" w:name="_TOC_250014"/>
      <w:bookmarkEnd w:id="2"/>
      <w:r>
        <w:t>1.1. Причини виникнення інфекційно-септичних ускладнень при гострому деструктивному панкреатиті</w:t>
      </w:r>
    </w:p>
    <w:p w:rsidR="00B23B94" w:rsidRDefault="00B23B94">
      <w:pPr>
        <w:pStyle w:val="a3"/>
        <w:spacing w:before="10"/>
        <w:ind w:left="0"/>
        <w:jc w:val="left"/>
        <w:rPr>
          <w:b/>
          <w:sz w:val="41"/>
        </w:rPr>
      </w:pPr>
    </w:p>
    <w:p w:rsidR="00B23B94" w:rsidRDefault="003B2D3B">
      <w:pPr>
        <w:pStyle w:val="a3"/>
        <w:spacing w:line="360" w:lineRule="auto"/>
        <w:ind w:right="305" w:firstLine="707"/>
      </w:pPr>
      <w:r>
        <w:t xml:space="preserve">У даний час, ГП займає провідну позицію серед структури ургентних абдомінальних захворювань, у деяких регіонах відтіснивши на другий план гострий   апендицит   [55,   65,   77,   100,   103].   За   даними   різних  </w:t>
      </w:r>
      <w:r>
        <w:rPr>
          <w:spacing w:val="8"/>
        </w:rPr>
        <w:t xml:space="preserve"> </w:t>
      </w:r>
      <w:r>
        <w:t>авторів</w:t>
      </w:r>
    </w:p>
    <w:p w:rsidR="00B23B94" w:rsidRDefault="003B2D3B">
      <w:pPr>
        <w:pStyle w:val="a3"/>
        <w:spacing w:before="1" w:line="360" w:lineRule="auto"/>
        <w:ind w:right="301"/>
      </w:pPr>
      <w:r>
        <w:t>захворюваність на ГП складає від 8,6 до 47 на 10 000 населення. Деструктивні форми цього захворювання розвиваються у 15-25% пацієнтів [53, 56, 85]. Згідно даних закордонних авторів, летальність при ДГП коливається</w:t>
      </w:r>
      <w:r>
        <w:rPr>
          <w:spacing w:val="28"/>
        </w:rPr>
        <w:t xml:space="preserve"> </w:t>
      </w:r>
      <w:r>
        <w:t>в</w:t>
      </w:r>
      <w:r>
        <w:rPr>
          <w:spacing w:val="27"/>
        </w:rPr>
        <w:t xml:space="preserve"> </w:t>
      </w:r>
      <w:r>
        <w:t>межах</w:t>
      </w:r>
      <w:r>
        <w:rPr>
          <w:spacing w:val="29"/>
        </w:rPr>
        <w:t xml:space="preserve"> </w:t>
      </w:r>
      <w:r>
        <w:t>27-45%</w:t>
      </w:r>
      <w:r>
        <w:rPr>
          <w:spacing w:val="27"/>
        </w:rPr>
        <w:t xml:space="preserve"> </w:t>
      </w:r>
      <w:r>
        <w:t>[58,</w:t>
      </w:r>
      <w:r>
        <w:rPr>
          <w:spacing w:val="29"/>
        </w:rPr>
        <w:t xml:space="preserve"> </w:t>
      </w:r>
      <w:r>
        <w:t>77,</w:t>
      </w:r>
      <w:r>
        <w:rPr>
          <w:spacing w:val="27"/>
        </w:rPr>
        <w:t xml:space="preserve"> </w:t>
      </w:r>
      <w:r>
        <w:t>85,</w:t>
      </w:r>
      <w:r>
        <w:rPr>
          <w:spacing w:val="27"/>
        </w:rPr>
        <w:t xml:space="preserve"> </w:t>
      </w:r>
      <w:r>
        <w:t>98,</w:t>
      </w:r>
      <w:r>
        <w:rPr>
          <w:spacing w:val="27"/>
        </w:rPr>
        <w:t xml:space="preserve"> </w:t>
      </w:r>
      <w:r>
        <w:t>133].</w:t>
      </w:r>
      <w:r>
        <w:rPr>
          <w:spacing w:val="27"/>
        </w:rPr>
        <w:t xml:space="preserve"> </w:t>
      </w:r>
      <w:r>
        <w:t>В</w:t>
      </w:r>
      <w:r>
        <w:rPr>
          <w:spacing w:val="28"/>
        </w:rPr>
        <w:t xml:space="preserve"> </w:t>
      </w:r>
      <w:r>
        <w:t>Україні</w:t>
      </w:r>
      <w:r>
        <w:rPr>
          <w:spacing w:val="29"/>
        </w:rPr>
        <w:t xml:space="preserve"> </w:t>
      </w:r>
      <w:r>
        <w:t>захворюваність</w:t>
      </w:r>
    </w:p>
    <w:p w:rsidR="00B23B94" w:rsidRDefault="003B2D3B">
      <w:pPr>
        <w:pStyle w:val="a3"/>
        <w:spacing w:line="360" w:lineRule="auto"/>
        <w:ind w:right="302"/>
      </w:pPr>
      <w:r>
        <w:t>на ГП коливається в межах 9-17 на 10 000 населення [3, 21, 70, 73]. В свою чергу, ДГП розвивається приблизно у 15-20%, а в деяких регіонах — до 30% хворих на ГП [33, 56]. Відповідно оновленій класифікації гострого панкреатиту (Атланта – 2012) визначено, що для тяжкої форми гострого панкреатиту притаманні поширені пери- та інтрапанкреатичний некроз, локалізовані чи дифузні некрози паренхіми, перипанкреатична флегмона, інфікований некроз, формування псевдокіст і абсцесів [2, 76, 93].</w:t>
      </w:r>
    </w:p>
    <w:p w:rsidR="00B23B94" w:rsidRDefault="003B2D3B">
      <w:pPr>
        <w:pStyle w:val="a3"/>
        <w:spacing w:before="2" w:line="360" w:lineRule="auto"/>
        <w:ind w:right="305" w:firstLine="707"/>
      </w:pPr>
      <w:r>
        <w:t>Головним патогенетичним механізмом розвитку ДГП є пошкодження паренхіми ПЗ з подальшим вивільненням і активацією протеолітичних ферментів та секвестрацією рідини, що призводить до розвитку SIRS, який запускає виникнення низки інших системних ускладнень. Найбільш небезпечне з них – СПОН, що обумовлює першу хвилю летальності при  ДГП. За даними різних досліджень, вона складає від 20% до 60% всіх летальних випадків при ДГП [37, 120]. Розвиток недостатності як мінімум однієї</w:t>
      </w:r>
      <w:r>
        <w:rPr>
          <w:spacing w:val="48"/>
        </w:rPr>
        <w:t xml:space="preserve"> </w:t>
      </w:r>
      <w:r>
        <w:t>з</w:t>
      </w:r>
      <w:r>
        <w:rPr>
          <w:spacing w:val="45"/>
        </w:rPr>
        <w:t xml:space="preserve"> </w:t>
      </w:r>
      <w:r>
        <w:t>систем</w:t>
      </w:r>
      <w:r>
        <w:rPr>
          <w:spacing w:val="45"/>
        </w:rPr>
        <w:t xml:space="preserve"> </w:t>
      </w:r>
      <w:r>
        <w:t>органів</w:t>
      </w:r>
      <w:r>
        <w:rPr>
          <w:spacing w:val="47"/>
        </w:rPr>
        <w:t xml:space="preserve"> </w:t>
      </w:r>
      <w:r>
        <w:t>у</w:t>
      </w:r>
      <w:r>
        <w:rPr>
          <w:spacing w:val="49"/>
        </w:rPr>
        <w:t xml:space="preserve"> </w:t>
      </w:r>
      <w:r>
        <w:t>пацієнтів</w:t>
      </w:r>
      <w:r>
        <w:rPr>
          <w:spacing w:val="45"/>
        </w:rPr>
        <w:t xml:space="preserve"> </w:t>
      </w:r>
      <w:r>
        <w:t>з</w:t>
      </w:r>
      <w:r>
        <w:rPr>
          <w:spacing w:val="47"/>
        </w:rPr>
        <w:t xml:space="preserve"> </w:t>
      </w:r>
      <w:r>
        <w:t>ГП</w:t>
      </w:r>
      <w:r>
        <w:rPr>
          <w:spacing w:val="44"/>
        </w:rPr>
        <w:t xml:space="preserve"> </w:t>
      </w:r>
      <w:r>
        <w:t>протягом</w:t>
      </w:r>
      <w:r>
        <w:rPr>
          <w:spacing w:val="43"/>
        </w:rPr>
        <w:t xml:space="preserve"> </w:t>
      </w:r>
      <w:r>
        <w:t>перших</w:t>
      </w:r>
      <w:r>
        <w:rPr>
          <w:spacing w:val="46"/>
        </w:rPr>
        <w:t xml:space="preserve"> </w:t>
      </w:r>
      <w:r>
        <w:t>п’яти</w:t>
      </w:r>
      <w:r>
        <w:rPr>
          <w:spacing w:val="46"/>
        </w:rPr>
        <w:t xml:space="preserve"> </w:t>
      </w:r>
      <w:r>
        <w:t>діб</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pPr>
      <w:r>
        <w:lastRenderedPageBreak/>
        <w:t>захворювання пов’язаний з підвищенням летальності до 45% та вище  [22, 63]. Тривалість СПОН протягом тижня або більше асоційована з рівнем летальності у 40 - 60% [59]. У свою чергу, ступінь поширення некрозу ПЗ або заочеревинної клітковини прямо корелює з розвитком СПОН [68, 123, 135]. Так, при площі некрозу до 20% тканини залози загальний рівень летальності складає близько 10%, а при некротичному ураженні половини паренхіми ПЗ та більше - рівень летальності становить вже 35%. За даними деяких авторів встановлено, що у 90% померлих від ДГП був наявний некроз ПЗ або парапанкреатичної клітковини [130,</w:t>
      </w:r>
      <w:r>
        <w:rPr>
          <w:spacing w:val="-7"/>
        </w:rPr>
        <w:t xml:space="preserve"> </w:t>
      </w:r>
      <w:r>
        <w:t>134].</w:t>
      </w:r>
    </w:p>
    <w:p w:rsidR="00B23B94" w:rsidRDefault="003B2D3B">
      <w:pPr>
        <w:pStyle w:val="a3"/>
        <w:spacing w:before="3" w:line="360" w:lineRule="auto"/>
        <w:ind w:right="302" w:firstLine="707"/>
      </w:pPr>
      <w:r>
        <w:t>Мікробна інвазія ПЗ та парапанкреатичних ділянок обумовлена порушенням гемодинаміки, насамперед мезентеріального кровотоку, що призводить до редукції спланхнічного кровотоку (ішемії) з наступною реперфузією, порушуючи бар’єрні можливості кишкової стінки, та призводить до транслокації (міграції) кишкової флори і продуктів її життєдіяльності, як у черевну порожнину, так і в системний кровообіг [48- 50]. Вперше Дж. Меакінс та Дж. Маршал у 1986р. висунули гіпотезу розвитку сепсису та СПОН у результаті змін у слизовій кишечника. За образним виразом авторів: «Ішемізований кишечник – це недренований абсцес та двигун поліорганної</w:t>
      </w:r>
      <w:r>
        <w:rPr>
          <w:spacing w:val="-8"/>
        </w:rPr>
        <w:t xml:space="preserve"> </w:t>
      </w:r>
      <w:r>
        <w:t>недостатності».</w:t>
      </w:r>
    </w:p>
    <w:p w:rsidR="00B23B94" w:rsidRDefault="003B2D3B">
      <w:pPr>
        <w:pStyle w:val="a3"/>
        <w:spacing w:line="360" w:lineRule="auto"/>
        <w:ind w:right="302" w:firstLine="707"/>
      </w:pPr>
      <w:r>
        <w:t>Основною тактикою лікування пацієнтів з ДГП протягом перших двох тижнів захворювання на даний час вважається відмова від травматичних хірургічних втручань [9, 17, 22, 38, 42, 57]. Перевага надається забезпеченню адекватного водного балансу та рівня тканинної оксигенаціїї з використанням постійного моніторингу стану пацієнта. Виважене відтермінування проведення операції та застосування останніх досягнень інтенсивної терапії дозволило відчутно знизити летальність від ДГП на ранніх стадіях. Так, у 70-х та 80-х роках внаслідок ранньої активної хірургічної тактики на перший тиждень захворювання припадало до 60% летальних випадків від ДГП, а у 90-х із зниженням хірургічної активності - близько</w:t>
      </w:r>
      <w:r>
        <w:rPr>
          <w:spacing w:val="23"/>
        </w:rPr>
        <w:t xml:space="preserve"> </w:t>
      </w:r>
      <w:r>
        <w:t>35%</w:t>
      </w:r>
      <w:r>
        <w:rPr>
          <w:spacing w:val="21"/>
        </w:rPr>
        <w:t xml:space="preserve"> </w:t>
      </w:r>
      <w:r>
        <w:t>[10,</w:t>
      </w:r>
      <w:r>
        <w:rPr>
          <w:spacing w:val="22"/>
        </w:rPr>
        <w:t xml:space="preserve"> </w:t>
      </w:r>
      <w:r>
        <w:t>20,</w:t>
      </w:r>
      <w:r>
        <w:rPr>
          <w:spacing w:val="21"/>
        </w:rPr>
        <w:t xml:space="preserve"> </w:t>
      </w:r>
      <w:r>
        <w:t>35,</w:t>
      </w:r>
      <w:r>
        <w:rPr>
          <w:spacing w:val="22"/>
        </w:rPr>
        <w:t xml:space="preserve"> </w:t>
      </w:r>
      <w:r>
        <w:t>75].</w:t>
      </w:r>
      <w:r>
        <w:rPr>
          <w:spacing w:val="21"/>
        </w:rPr>
        <w:t xml:space="preserve"> </w:t>
      </w:r>
      <w:r>
        <w:t>Саме</w:t>
      </w:r>
      <w:r>
        <w:rPr>
          <w:spacing w:val="22"/>
        </w:rPr>
        <w:t xml:space="preserve"> </w:t>
      </w:r>
      <w:r>
        <w:t>ці</w:t>
      </w:r>
      <w:r>
        <w:rPr>
          <w:spacing w:val="21"/>
        </w:rPr>
        <w:t xml:space="preserve"> </w:t>
      </w:r>
      <w:r>
        <w:t>пацієнти</w:t>
      </w:r>
      <w:r>
        <w:rPr>
          <w:spacing w:val="22"/>
        </w:rPr>
        <w:t xml:space="preserve"> </w:t>
      </w:r>
      <w:r>
        <w:t>є</w:t>
      </w:r>
      <w:r>
        <w:rPr>
          <w:spacing w:val="22"/>
        </w:rPr>
        <w:t xml:space="preserve"> </w:t>
      </w:r>
      <w:r>
        <w:t>найбільш</w:t>
      </w:r>
      <w:r>
        <w:rPr>
          <w:spacing w:val="22"/>
        </w:rPr>
        <w:t xml:space="preserve"> </w:t>
      </w:r>
      <w:r>
        <w:t>тяжкою</w:t>
      </w:r>
      <w:r>
        <w:rPr>
          <w:spacing w:val="22"/>
        </w:rPr>
        <w:t xml:space="preserve"> </w:t>
      </w:r>
      <w:r>
        <w:t>групою</w:t>
      </w:r>
      <w:r>
        <w:rPr>
          <w:spacing w:val="21"/>
        </w:rPr>
        <w:t xml:space="preserve"> </w:t>
      </w:r>
      <w:r>
        <w:t>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11"/>
      </w:pPr>
      <w:r>
        <w:lastRenderedPageBreak/>
        <w:t>діагностичному, лікувальному, соціальному і економічному аспектах, що підтверджується високими показниками летальності, частоти ускладнень, термінів госпіталізації та фінансових витрат при їх лікуванні.</w:t>
      </w:r>
    </w:p>
    <w:p w:rsidR="00B23B94" w:rsidRDefault="003B2D3B">
      <w:pPr>
        <w:pStyle w:val="a3"/>
        <w:spacing w:before="1" w:line="360" w:lineRule="auto"/>
        <w:ind w:right="306" w:firstLine="707"/>
      </w:pPr>
      <w:r>
        <w:t>Отже, на сьогодні більшість пацієнтів з ДГП завдяки комплексному консервативному лікуванню виживають на ранніх стадіях захворювання [16, 34, 45, 55].</w:t>
      </w:r>
    </w:p>
    <w:p w:rsidR="00B23B94" w:rsidRDefault="003B2D3B">
      <w:pPr>
        <w:pStyle w:val="a3"/>
        <w:spacing w:line="360" w:lineRule="auto"/>
        <w:ind w:right="304" w:firstLine="707"/>
      </w:pPr>
      <w:r>
        <w:t>Основним чинником, що зумовлює летальність починаючи з 3-го  тижня перебігу ДГП вважають розвиток ГСУ. За даними Beger H.G. вони виникають у 35 - 70% хворих з некрозом ПЗ [80]. В той же час, у пацієнтів з відсутніми вогнищами некрозу ПЗ або парапанкреатичної клітковини ГСУ виникають дуже рідко. За даними багатьох публікацій встановлено, що летальність при наявності ГСУ сягає 30-50% навіть у спеціалізованих центрах, а у разі асептичного перебігу захворювання – 4-12% [4, 19, 67, 112, 137]. У пацієнтів з ГСУ частіше виникають гострі дихальна, ниркова і серцево-судинна недостатності. Незважаючи на широке застосування протягом останніх років максимально раннього призначення тривалого курсу профілактичної антибіотикотерапії, питома вага пацієнтів з ГСУ залишається практично незмінною [109, 121]. Єдиним загальноприйнятим шляхом лікування ГСУ залишається хірургічний, метою якого є проведення некрсеквестректомії з подальшим забезпеченням дренування гнійного вогнища [14, 27, 33, 38, 55, 74-78, 91, 138]. Останнім часом все більше авторів для лікування хворих з ГСУ при ДГП використовують мініінвазивні втручання [34, 59-61, 70, 108,</w:t>
      </w:r>
      <w:r>
        <w:rPr>
          <w:spacing w:val="-8"/>
        </w:rPr>
        <w:t xml:space="preserve"> </w:t>
      </w:r>
      <w:r>
        <w:t>111].</w:t>
      </w:r>
    </w:p>
    <w:p w:rsidR="00B23B94" w:rsidRDefault="003B2D3B">
      <w:pPr>
        <w:pStyle w:val="a3"/>
        <w:spacing w:before="1" w:line="360" w:lineRule="auto"/>
        <w:ind w:right="302" w:firstLine="707"/>
      </w:pPr>
      <w:r>
        <w:t>На сучасному етапі розвитку абдомінальної хірургії актуальним залишається питання вибору раціональної тактики лікування та адекватної оцінки проведеної терапії у пацієнтів із розвитком ГСУ при ДГП, що зумовлено високими показниками летальності. Незважаючи  на запропоновані нові методи діагностики і лікування, удосконалення хірургічної техніки, досягнення анестезіології та реаніматології,</w:t>
      </w:r>
      <w:r>
        <w:rPr>
          <w:spacing w:val="17"/>
        </w:rPr>
        <w:t xml:space="preserve"> </w:t>
      </w:r>
      <w:r>
        <w:t>розширення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03"/>
      </w:pPr>
      <w:r>
        <w:lastRenderedPageBreak/>
        <w:t>можливостей антибактеріальної терапії, летальність при розвитку ГСУ суттєво не зменшується [109, 121].</w:t>
      </w:r>
    </w:p>
    <w:p w:rsidR="00B23B94" w:rsidRDefault="003B2D3B">
      <w:pPr>
        <w:pStyle w:val="a3"/>
        <w:spacing w:line="360" w:lineRule="auto"/>
        <w:ind w:right="303" w:firstLine="707"/>
      </w:pPr>
      <w:r>
        <w:t>Так, показники летальності при застосуванні різних видів хірургічного лікування даного типу ускладнень ДГП залишаються досить високими та складають в середньому близько 23%, досягаючи 40% в деяких серіях досліджень. В зв’язку з цим останнім часом проводяться окремі спроби консервативного ведення інфікованого некрозу ПЗ, проте їхні результати свідчать про відсутність переваг такого підходу [11, 18, 40, 42-47, 61-65, 72,</w:t>
      </w:r>
    </w:p>
    <w:p w:rsidR="00B23B94" w:rsidRDefault="003B2D3B">
      <w:pPr>
        <w:pStyle w:val="a3"/>
        <w:spacing w:line="321" w:lineRule="exact"/>
      </w:pPr>
      <w:r>
        <w:t>121, 128].</w:t>
      </w:r>
    </w:p>
    <w:p w:rsidR="00B23B94" w:rsidRDefault="003B2D3B">
      <w:pPr>
        <w:pStyle w:val="a3"/>
        <w:spacing w:before="158" w:line="360" w:lineRule="auto"/>
        <w:ind w:right="304" w:firstLine="707"/>
      </w:pPr>
      <w:r>
        <w:t>Серед збудників ГСУ при ДГП в кінці XX сторіччя на перше місце вийшов стафілокок [114]. Разом із ним і іншою грампозитивною коковою флорою зростає роль грамнегативної мікрофлори. В даний час спостерігається значне зростання захворювань, що викликаються грамнегативними бактеріями. Якщо ще 30 років тому на 1000 хворих доводився 1 хворий з сепсисом, то до середини 90–х років ХХ сторіччя тільки в США випадки цього захворювання були відмічені у 500 тис. чоловік, причому летальний результат мав місце у 175 тис. хворих [114, 120,</w:t>
      </w:r>
      <w:r>
        <w:rPr>
          <w:spacing w:val="-24"/>
        </w:rPr>
        <w:t xml:space="preserve"> </w:t>
      </w:r>
      <w:r>
        <w:t>122].</w:t>
      </w:r>
    </w:p>
    <w:p w:rsidR="00B23B94" w:rsidRDefault="003B2D3B">
      <w:pPr>
        <w:pStyle w:val="a3"/>
        <w:spacing w:line="360" w:lineRule="auto"/>
        <w:ind w:right="307" w:firstLine="707"/>
      </w:pPr>
      <w:r>
        <w:t>Згідно даних багатьох експериментальних та клінічних досліджень інфікування некротизованої паренхіми ПЗ відбувається переважно шляхом транслокації мікроорганізмів з товстої кишки. Тому при зволіканні з призначенням антибактеріальних препаратів основними збудниками ГСУ є грамнегативні мікроорганізми: E. coli, Klebsiella spp., Proteus spp. та інші. У випадках застосування при ДГП тривалої антибіотикопрофілактики частіше за все збудниками ГСУ є грампозитивні бактерії: Staphyllococcus aureus, Enterococcus spp., а також мультирезистентні штами (в т. ч. MRSA), гриби (переважно Candida spp.) і анаеробні мікроорганізми. На ранніх стадіях формування гнійного вогнища у 60-87% випадків характерна персистенція в ньому єдиного збудника, в той час як при дослідженні вмісту сформованих панкреатичних абсцесів отримують переважно полімікробну флору з клінічними ознаками наявності анаеробної мікрофлори. Незалежно</w:t>
      </w:r>
      <w:r>
        <w:rPr>
          <w:spacing w:val="61"/>
        </w:rPr>
        <w:t xml:space="preserve"> </w:t>
      </w:r>
      <w:r>
        <w:t>від</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11"/>
      </w:pPr>
      <w:r>
        <w:lastRenderedPageBreak/>
        <w:t>кількості видів мікроорганізмів, отриманих з клінічного матеріалу хворих на ДГП, наявність мультирезистентних бактерій і/або грибкової інфекції підвищує показники летальності до 84% [78, 114].</w:t>
      </w:r>
    </w:p>
    <w:p w:rsidR="00B23B94" w:rsidRDefault="003B2D3B">
      <w:pPr>
        <w:pStyle w:val="a3"/>
        <w:spacing w:before="1" w:line="360" w:lineRule="auto"/>
        <w:ind w:right="308" w:firstLine="707"/>
      </w:pPr>
      <w:r>
        <w:t>Таким чином для ГСУ при ДГП характерною рисою є відсутність специфічного збудника. Мало ймовірною вважається також можливість прогнозування видового спектру та антибіотикочутливості збудників ГСУ у кожного конкретного хворого [19].</w:t>
      </w:r>
    </w:p>
    <w:p w:rsidR="00B23B94" w:rsidRDefault="003B2D3B">
      <w:pPr>
        <w:pStyle w:val="a3"/>
        <w:spacing w:line="360" w:lineRule="auto"/>
        <w:ind w:right="305" w:firstLine="707"/>
      </w:pPr>
      <w:r>
        <w:t>Таким чином, незважаючи на наявність великої кількості інформації щодо діагностики та лікування ДГП, летальність при даному захворюванні все ще залишається досить високою. Незважаючи на те, що близько третини хворих на ДГП помирає через розвиток ГСУ, лікувальна тактика цієї категорії пацієнтів залишається чітко не визначеною. В даний час не розробленими залишаються чіткі критерії або методики для прогнозування виникнення цього типу ускладнень. Відсутні також підтверджені з позицій доказової медицини методи профілактики розвитку ГСУ при</w:t>
      </w:r>
      <w:r>
        <w:rPr>
          <w:spacing w:val="-9"/>
        </w:rPr>
        <w:t xml:space="preserve"> </w:t>
      </w:r>
      <w:r>
        <w:t>ДГП.</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numPr>
          <w:ilvl w:val="1"/>
          <w:numId w:val="11"/>
        </w:numPr>
        <w:tabs>
          <w:tab w:val="left" w:pos="1353"/>
        </w:tabs>
        <w:spacing w:before="79"/>
      </w:pPr>
      <w:bookmarkStart w:id="3" w:name="_TOC_250013"/>
      <w:r>
        <w:lastRenderedPageBreak/>
        <w:t>Діагностика парапанкреатичних гнійно-септичних</w:t>
      </w:r>
      <w:r>
        <w:rPr>
          <w:spacing w:val="-7"/>
        </w:rPr>
        <w:t xml:space="preserve"> </w:t>
      </w:r>
      <w:bookmarkEnd w:id="3"/>
      <w:r>
        <w:t>ускладнень</w:t>
      </w:r>
    </w:p>
    <w:p w:rsidR="00B23B94" w:rsidRDefault="00B23B94">
      <w:pPr>
        <w:pStyle w:val="a3"/>
        <w:ind w:left="0"/>
        <w:jc w:val="left"/>
        <w:rPr>
          <w:b/>
          <w:sz w:val="30"/>
        </w:rPr>
      </w:pPr>
    </w:p>
    <w:p w:rsidR="00B23B94" w:rsidRDefault="00B23B94">
      <w:pPr>
        <w:pStyle w:val="a3"/>
        <w:spacing w:before="1"/>
        <w:ind w:left="0"/>
        <w:jc w:val="left"/>
        <w:rPr>
          <w:b/>
          <w:sz w:val="26"/>
        </w:rPr>
      </w:pPr>
    </w:p>
    <w:p w:rsidR="00B23B94" w:rsidRDefault="003B2D3B">
      <w:pPr>
        <w:pStyle w:val="a3"/>
        <w:spacing w:line="360" w:lineRule="auto"/>
        <w:ind w:right="302" w:firstLine="707"/>
      </w:pPr>
      <w:r>
        <w:t xml:space="preserve">Рання діагностика інфікованого панкреонекрозу значною мірою залежить від адекватного прогнозування розвитку панкреатичної інфекції. Проблеми визначення тяжкості ГП і прогнозування летального кінця при ДГП досить широко висвітлено в медичній літературі </w:t>
      </w:r>
      <w:r>
        <w:rPr>
          <w:spacing w:val="2"/>
        </w:rPr>
        <w:t xml:space="preserve">[2, </w:t>
      </w:r>
      <w:r>
        <w:t>11, 42, 44, 67, 71-73, 118, 137], в той час як визначенню вірогідності розвитку панкреатичної інфекції</w:t>
      </w:r>
      <w:r>
        <w:rPr>
          <w:spacing w:val="21"/>
        </w:rPr>
        <w:t xml:space="preserve"> </w:t>
      </w:r>
      <w:r>
        <w:t>та</w:t>
      </w:r>
      <w:r>
        <w:rPr>
          <w:spacing w:val="17"/>
        </w:rPr>
        <w:t xml:space="preserve"> </w:t>
      </w:r>
      <w:r>
        <w:t>септичних</w:t>
      </w:r>
      <w:r>
        <w:rPr>
          <w:spacing w:val="21"/>
        </w:rPr>
        <w:t xml:space="preserve"> </w:t>
      </w:r>
      <w:r>
        <w:t>ускладнень</w:t>
      </w:r>
      <w:r>
        <w:rPr>
          <w:spacing w:val="19"/>
        </w:rPr>
        <w:t xml:space="preserve"> </w:t>
      </w:r>
      <w:r>
        <w:t>присвячені</w:t>
      </w:r>
      <w:r>
        <w:rPr>
          <w:spacing w:val="22"/>
        </w:rPr>
        <w:t xml:space="preserve"> </w:t>
      </w:r>
      <w:r>
        <w:t>лише</w:t>
      </w:r>
      <w:r>
        <w:rPr>
          <w:spacing w:val="17"/>
        </w:rPr>
        <w:t xml:space="preserve"> </w:t>
      </w:r>
      <w:r>
        <w:t>поодинокі</w:t>
      </w:r>
      <w:r>
        <w:rPr>
          <w:spacing w:val="21"/>
        </w:rPr>
        <w:t xml:space="preserve"> </w:t>
      </w:r>
      <w:r>
        <w:t>дослідження</w:t>
      </w:r>
      <w:r>
        <w:rPr>
          <w:spacing w:val="18"/>
        </w:rPr>
        <w:t xml:space="preserve"> </w:t>
      </w:r>
      <w:r>
        <w:t>[</w:t>
      </w:r>
    </w:p>
    <w:p w:rsidR="00B23B94" w:rsidRDefault="003B2D3B">
      <w:pPr>
        <w:pStyle w:val="a3"/>
        <w:spacing w:line="360" w:lineRule="auto"/>
        <w:ind w:right="302"/>
      </w:pPr>
      <w:r>
        <w:t>]. Веger H.G. et al., (2008) показали, що частота гнійно-септичних ускладнень при панкреонекрозі корелює з тривалістю захворювання [80, 109]. За їх даними, при операціях, що були виконані з приводу панкреонекрозу, інфікування виявлене у 28% пацієнтів через 1 тиждень, 45% — через 2 тижні, у 78% — через 3 тижні від моменту початку панкреатичної атаки. Схожі дані отримані Gerzof S.G. et al (2010) [130], автори, використовуючи тонкоголкову тканинну біопсію тканини ПЗ при панкреонекрозі, виявили інфікування в 27% випадків через 1 тиждень і у 55% хворих через 2 тижні від початку захворювання. Інша група дослідників на великому клінічному матеріалі виявила інфікування тканини підшлункової залози у 7% випадків протягом першого тижня, 32% і 49 % протягом третього та четвертого тижнів з моменту початку захворювання. Розвиток ГСУ також корелює зі ступенем поширеності некрозу паренхіми ПЗ [68, 70, 137]. Відомо, що при ураженні 50% та більше тканини ПЗ, ГСУ розвиваються у 70% пацієнтів [38-39, 70]. Тому, ряд дослідників вважає, що наявність некрозу 50 та більше відсотків тканини ПЗ, не тільки переконливо свідчить на користь тяжкої форми ГП,  але й дозволяє визначити групу хворих з великою вірогідністю розвитку ГСУ [1, 14, 19, 40,</w:t>
      </w:r>
      <w:r>
        <w:rPr>
          <w:spacing w:val="-4"/>
        </w:rPr>
        <w:t xml:space="preserve"> </w:t>
      </w:r>
      <w:r>
        <w:rPr>
          <w:spacing w:val="-3"/>
        </w:rPr>
        <w:t>].</w:t>
      </w:r>
    </w:p>
    <w:p w:rsidR="00B23B94" w:rsidRDefault="003B2D3B">
      <w:pPr>
        <w:pStyle w:val="a3"/>
        <w:spacing w:before="3" w:line="360" w:lineRule="auto"/>
        <w:ind w:right="306" w:firstLine="707"/>
      </w:pPr>
      <w:r>
        <w:t>Подібні дані були отримані й при проведенні іншого дослідження, автори якого виявили, що частота інфікування при ДГП корелює з тяжкістю ГП за критеріями Ranson. У хворих на ГП та наявністю 1 позитивного критерію панкреатична інфекція виявлена в 5,3% випадків, тоді як при 5</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балах за шкалою Ranson — у 58,8% хворих [12, 96-97]. Частота інфікування при ДГП складає 40-70%, причому інфікується не лише некротизована тканина ПЗ, але і парапанкреатична клітковина, ексудат сальникової сумки та черевної порожнини [2, 4, 31, 38, 101, 117]. Найбільш вірогідним є розвиток панкреатичної інфекції на третьому тижні від початку захворювання. За даними інтраопераційних бактеріологічних досліджень, інфікування паренхіми ПЗ настає через 2 тижні від моменту госпіталізації в 27% випадків, у 71% випадків — через 3 тижні від початку захворювання [42, 117, 128]. Слід зазначити, що клініко-лабораторні прояви гнійно-септичних ускладнень залежать від форми панкреатичної інфекції (інфікований панкреонекроз, панкреатичний абсцес, інфікована псевдокіста), локалізації, а також попередніх маніпуляцій на ПЗ [41, 68-71, 112, 136,</w:t>
      </w:r>
      <w:r>
        <w:rPr>
          <w:spacing w:val="-10"/>
        </w:rPr>
        <w:t xml:space="preserve"> </w:t>
      </w:r>
      <w:r>
        <w:t>138].</w:t>
      </w:r>
    </w:p>
    <w:p w:rsidR="00B23B94" w:rsidRDefault="003B2D3B">
      <w:pPr>
        <w:pStyle w:val="a3"/>
        <w:spacing w:before="1" w:line="360" w:lineRule="auto"/>
        <w:ind w:right="304" w:firstLine="707"/>
      </w:pPr>
      <w:r>
        <w:t>Відомо також, що існують відмінності в частоті розвитку панкреатичної інфекції залежно від етіології захворювання [28, 36]. Наявні повідомлення про більш високу вірогідність розвитку ГСУ при ГП, як ускладнення ЕРХПГ [136]. Проте результати інших досліджень свідчать, що сам по собі етіологічний чинник розвитку ГП без урахування інших факторів патогенезу захворювання не може бути незалежним предиктором розвитку ГСУ [8, 72-73, 82]. Відмічений зв’язок між частотою розвитку ГСУ та проміжком часу від дебюту панкреатичної атаки до госпіталізації пацієнтів з ГП. Так, у групі госпіталізованих протягом перших двох діб інфекційні ускладнення зустрічалися в 12% спостережень; протягом першого тижня — в 20-24%, протягом другого тижня — в 45-85%, протягом третього тижня — у 58-64%, при більш пізніх термінах — в 14-20% випадків [19,</w:t>
      </w:r>
      <w:r>
        <w:rPr>
          <w:spacing w:val="-16"/>
        </w:rPr>
        <w:t xml:space="preserve"> </w:t>
      </w:r>
      <w:r>
        <w:t>40].</w:t>
      </w:r>
    </w:p>
    <w:p w:rsidR="00B23B94" w:rsidRDefault="003B2D3B">
      <w:pPr>
        <w:pStyle w:val="a3"/>
        <w:spacing w:before="1" w:line="360" w:lineRule="auto"/>
        <w:ind w:right="304" w:firstLine="707"/>
      </w:pPr>
      <w:r>
        <w:t>Як правило, у хворих із ГП зменшується діурез, а іноді в клінічній картині переважають явища гострої ниркової недостатності, що є поганою прогностичною ознакою [16, 20, 94].</w:t>
      </w:r>
    </w:p>
    <w:p w:rsidR="00B23B94" w:rsidRDefault="003B2D3B">
      <w:pPr>
        <w:pStyle w:val="a3"/>
        <w:spacing w:before="1" w:line="360" w:lineRule="auto"/>
        <w:ind w:right="307" w:firstLine="707"/>
      </w:pPr>
      <w:r>
        <w:t>Слід окремо підкреслити, що об’єктивізація ендогенної інтоксикації за допомогою лабораторних тестів більш специфічна і точна в порівнянні з клінічною картиною. У післяопераційному періоді, і тим більше</w:t>
      </w:r>
      <w:r>
        <w:rPr>
          <w:spacing w:val="57"/>
        </w:rPr>
        <w:t xml:space="preserve"> </w:t>
      </w:r>
      <w:r>
        <w:t>при</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виникненні ГСУ, в організмі хворого відбувається зрушення метаболізму у бік катаболічних реакцій, в крові з’являється велика кількість кінцевих і проміжних продуктів обміну в неприродньо високих концентраціях, різноманітних біохімічно активних речовин, продуктів деструкції органів і тканин, речовин активного протеолізу плазмових білків, продуктів неповного переварювання їжі, що всмоктуються у шлунково-кишковому тракті, мікробних токсинів, гідроперекисів ліпідів, білків і так далі [62, 71, 80, 116]. Загальноприйняті клініко-біохімічні дослідження, що дозволяють дати  оцінку ступеня ураження різних органів, також досить точні, але їх інформативність в діагностиці ендогенної інтоксикації виявляється в пізніших стадіях хвороби, деколи вже при розвинутій поліорганній недостатності, коли резервні можливості того або іншого органу, будь то серце, нирки, печінка або центральна нервова система, уже вичерпані [21, 50, 108-109].</w:t>
      </w:r>
    </w:p>
    <w:p w:rsidR="00B23B94" w:rsidRDefault="003B2D3B">
      <w:pPr>
        <w:pStyle w:val="a3"/>
        <w:spacing w:before="2" w:line="360" w:lineRule="auto"/>
        <w:ind w:right="301" w:firstLine="707"/>
      </w:pPr>
      <w:r>
        <w:t>Вивчення лейкоцитарної реакції крові більш специфічне і вона досить швидко реагує на гнійно-септичну агресію. Проте, при зміненій реактивності хворого показники лейкоцитарної формули крові можуть ввести в оману навіть дуже досвідченого клініциста [52, 57, 62, 84].</w:t>
      </w:r>
    </w:p>
    <w:p w:rsidR="00B23B94" w:rsidRDefault="003B2D3B">
      <w:pPr>
        <w:pStyle w:val="a3"/>
        <w:spacing w:before="1" w:line="360" w:lineRule="auto"/>
        <w:ind w:right="305" w:firstLine="707"/>
      </w:pPr>
      <w:r>
        <w:t>Достовірна діагностика інфікованого панкреонекрозу лише на підставі клінічних даних є вкрай складним завданням. Специфічні клінічні ознаки або симптоми, які дозволяють чітко виключити або підтвердити наявність ГСУ при ДГП в практичній хірургії відсутні. Велика кількість неспецифічних лабораторних показників можуть відрізнятися від референтних значень, відображаючи можливий розвиток панкреатичної інфекції. Аналогічні зміни можуть спостерігатися і у пацієнтів із стерильним панкреонекрозом, біліарною обструкцією, явищами поліорганної недостатності та низкою інших патологічних станів. Через це пошуки високоспецифічного і простого у визначенні лабораторного маркера, що дозволить поліпшити якість діагностики</w:t>
      </w:r>
      <w:r>
        <w:rPr>
          <w:spacing w:val="19"/>
        </w:rPr>
        <w:t xml:space="preserve"> </w:t>
      </w:r>
      <w:r>
        <w:t>ГСУ</w:t>
      </w:r>
      <w:r>
        <w:rPr>
          <w:spacing w:val="18"/>
        </w:rPr>
        <w:t xml:space="preserve"> </w:t>
      </w:r>
      <w:r>
        <w:t>при</w:t>
      </w:r>
      <w:r>
        <w:rPr>
          <w:spacing w:val="19"/>
        </w:rPr>
        <w:t xml:space="preserve"> </w:t>
      </w:r>
      <w:r>
        <w:t>ДГП,</w:t>
      </w:r>
      <w:r>
        <w:rPr>
          <w:spacing w:val="20"/>
        </w:rPr>
        <w:t xml:space="preserve"> </w:t>
      </w:r>
      <w:r>
        <w:t>зробити</w:t>
      </w:r>
      <w:r>
        <w:rPr>
          <w:spacing w:val="21"/>
        </w:rPr>
        <w:t xml:space="preserve"> </w:t>
      </w:r>
      <w:r>
        <w:t>її</w:t>
      </w:r>
      <w:r>
        <w:rPr>
          <w:spacing w:val="21"/>
        </w:rPr>
        <w:t xml:space="preserve"> </w:t>
      </w:r>
      <w:r>
        <w:t>доступнішою,</w:t>
      </w:r>
      <w:r>
        <w:rPr>
          <w:spacing w:val="20"/>
        </w:rPr>
        <w:t xml:space="preserve"> </w:t>
      </w:r>
      <w:r>
        <w:t>дешевшою</w:t>
      </w:r>
      <w:r>
        <w:rPr>
          <w:spacing w:val="20"/>
        </w:rPr>
        <w:t xml:space="preserve"> </w:t>
      </w:r>
      <w:r>
        <w:t>і</w:t>
      </w:r>
      <w:r>
        <w:rPr>
          <w:spacing w:val="22"/>
        </w:rPr>
        <w:t xml:space="preserve"> </w:t>
      </w:r>
      <w:r>
        <w:t>менш</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08"/>
      </w:pPr>
      <w:r>
        <w:lastRenderedPageBreak/>
        <w:t>інвазивною, є дуже актуальними на сучасному етапі розвитку панкреатології [101-102].</w:t>
      </w:r>
    </w:p>
    <w:p w:rsidR="00B23B94" w:rsidRDefault="003B2D3B">
      <w:pPr>
        <w:pStyle w:val="a3"/>
        <w:spacing w:line="360" w:lineRule="auto"/>
        <w:ind w:right="300" w:firstLine="707"/>
      </w:pPr>
      <w:r>
        <w:t xml:space="preserve">В даний час вважається, що якщо у пацієнта з ДГП після певної стабілізації стану на тлі комплексного лікування захворювання з’являється прогресування больового синдрому, гіпертермії, тахікардії, тахіпное, явищ гастростазу, органної недостатності; виникає розм’якшення панкреатогенного інфільтрату, слід запідозрити розвиток вторинної панкреатичної інфекції [1, 70, 83]. У дослідженні </w:t>
      </w:r>
      <w:r>
        <w:rPr>
          <w:spacing w:val="3"/>
        </w:rPr>
        <w:t xml:space="preserve">[6] </w:t>
      </w:r>
      <w:r>
        <w:t>показано, що розвиток СПОН, яка погано корегується за допомогою інтенсивної терапії, підвищує вірогідність виникнення ГСУ при ДГП. До лабораторних критеріїв інфікованого панкреонекрозу деякі автори відносять лейкоцитоз із зсувом лейкоцитарної формули вліво і появою в ній мієлоцитів та метамієлоцитів; збільшення лейкоцитарного індексу інтоксикації; зростання нейтрофільно- лімфоцитарного коефіцієнту; збільшення концентрації глюкози та сечовини в сироватці крові; зменшення кліренсу ендогенного креатиніну; збільшення АСТ і АЛТ. Однак ці показники не є специфічними і можуть лише направити лікаря на активний пошук інших достовірних доказів наявності ГСУ [16,</w:t>
      </w:r>
      <w:r>
        <w:rPr>
          <w:spacing w:val="-23"/>
        </w:rPr>
        <w:t xml:space="preserve"> </w:t>
      </w:r>
      <w:r>
        <w:t>18].</w:t>
      </w:r>
    </w:p>
    <w:p w:rsidR="00B23B94" w:rsidRDefault="003B2D3B">
      <w:pPr>
        <w:pStyle w:val="a3"/>
        <w:spacing w:line="360" w:lineRule="auto"/>
        <w:ind w:right="302" w:firstLine="707"/>
      </w:pPr>
      <w:r>
        <w:t>В останній час в якості раннього, високочутливого і специфічного маркеру системної запальної реакції та тяжкості інфекційного процесу запропоновано визначення концентрації прокальцитоніну сироватки крові [47, 86, 123]. Відомо, що в організмі хворих з хронічними запальними (у тому числі і автоімунними) процесами, вірусними захворюваннями, локалізованими бактеріальними інфекціями рівень прокальцитоніну дуже низький (&lt;0,5 нг/мл). При тяжкій бактеріальній інфекції, сепсисі, інфекційно- токсичному шоці концентрація прокальцитоніну плазми крові перевищує 2 нг/мл і може досягати 100 нг/мл і більше [47, 123]. За результатами досліджень Б.Р. Гельфанда та співавт. визначення концентрації прокальцитоніну в плазмі крові хворих ДГП є оптимальним лабораторним тестом для диференціальної діагностики стерильних та інфікованих форм панкреонекрозу. На думку авторів, визначення прокальцитоніну</w:t>
      </w:r>
      <w:r>
        <w:rPr>
          <w:spacing w:val="51"/>
        </w:rPr>
        <w:t xml:space="preserve"> </w:t>
      </w:r>
      <w:r>
        <w:t>найбільш</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5"/>
      </w:pPr>
      <w:r>
        <w:lastRenderedPageBreak/>
        <w:t>виправдано в сумнівних і важких ситуаціях. Пороговим рівнем, що підтверджує інфікування вогнищ панкреонекрозу, визнана концентрація прокальцитоніну понад 1,8 нг/мл [47]. В той же час, згідно даних WSES (World Society of Emergency Surgery, 2019), рівень цього гормону у сироватці крові 3,8 нг/мл і більше є предиктором розвитку панкреатогенної інфекції та смерті з чутливістю 79% і специфічністю 93% [140]. За даними Rau В. et al. (2007) виявлення порогової концентрації прокальцитоніну щонайменше протягом двох днів поспіль у хворих на ДГП свідчить про наявність інфекційного процесу з 95% чутливістю та 85% специфічністю [123]. Але відомо, що підвищення рівня прокальцитоніну нерідко пов’язане з іншими захворюваннями (злоякісні захворювання, вірусні інфекції, вагітність тощо) і може бути не рідко хибно-позитивним [26].</w:t>
      </w:r>
    </w:p>
    <w:p w:rsidR="00B23B94" w:rsidRDefault="003B2D3B">
      <w:pPr>
        <w:pStyle w:val="a3"/>
        <w:spacing w:before="1" w:line="360" w:lineRule="auto"/>
        <w:ind w:right="304" w:firstLine="707"/>
      </w:pPr>
      <w:r>
        <w:t>Іншим біохімічним маркером, якому в літературі відводиться досить велика увага в якості маркеру ГСУ при ДГП, є С-реактивний білок [118]. Проте слід зазначити, що рівень цього протеїну в плазмі залишається підвищеним протягом декількох днів після усунення інфекційного вогнища; його концентрація не корелює з тяжкістю інфекційного процесу і може диспропорційно збільшуватися при «малих» інфекціях; визначення С-реактивного білку не дозволяє диференціювати запальну реакцію інфекційного та неінфекційного ґенезу. Однак згідно даних World Society of Emergency Surgery (2019р), специфічним для розвитку панкреатогенної інфекції при гострому тяжкому панкреатиті є підвищення С-реактивного білка більше 100 мг/л [140].</w:t>
      </w:r>
    </w:p>
    <w:p w:rsidR="00B23B94" w:rsidRDefault="003B2D3B">
      <w:pPr>
        <w:pStyle w:val="a3"/>
        <w:spacing w:before="1" w:line="360" w:lineRule="auto"/>
        <w:ind w:right="305" w:firstLine="707"/>
      </w:pPr>
      <w:r>
        <w:t>При УЗД верифікація ГСУ досягається в 60 - 91% випадків. За допомогою цього методу доцільно досліджувати наявність рідинних скупчень, які часто розміщуються у парапанкреатичних зонах [ ]. Загальновідомі переваги має комп’ютерна томографія, при якій точність діагностики досягає 88 – 100% [21, 34]. «Золотим стандартом» в діагностиці некрозу паренхіми ПЗ вважають КТ з контрастним підсиленням [118]. Проте проведення КТ для верифікації саме інфікованого панкреонекрозу 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5"/>
      </w:pPr>
      <w:r>
        <w:lastRenderedPageBreak/>
        <w:t>більшості випадків є неефективним. Адже єдиною достовірною ознакою панкреатичної інфекції за даними КТ є симптом «бульбашок газу» в парапанкреатичній клітковині, який спостерігається лише в 20-55% всіх хворих з панкреатичними абсцесами і вкрай рідко у хворих з інфікованим панкреонекрозом. Інші специфічні симптоми при виконанні КТ з контрастним підсиленням, які можуть вказати на відмінність зон стерильного і інфікованого панкреонекрозу, відсутні [33, 108,</w:t>
      </w:r>
      <w:r>
        <w:rPr>
          <w:spacing w:val="-6"/>
        </w:rPr>
        <w:t xml:space="preserve"> </w:t>
      </w:r>
      <w:r>
        <w:t>120].</w:t>
      </w:r>
    </w:p>
    <w:p w:rsidR="00B23B94" w:rsidRDefault="003B2D3B">
      <w:pPr>
        <w:pStyle w:val="a3"/>
        <w:spacing w:before="1" w:line="360" w:lineRule="auto"/>
        <w:ind w:right="303" w:firstLine="707"/>
      </w:pPr>
      <w:r>
        <w:t xml:space="preserve">Враховуючи відсутність надійних загальноприйнятих клінічних або лабораторних критеріїв панкреатичної інфекції, в даний час найбільш раннім і точним методом диференціальної діагностики стерильного та інфікованого панкреонекрозу вважається тонкоголкова пункція та тканинна біопсія під контролем УЗ або КТ [22, 40, 130]. Під час пункції намагаються уникати пошкодження кишкової трубки для запобігання можливості інфікування тканин підшлункової залози [11, 38]. Отриманий пунктат в терміновому порядку забарвлюють за Грамом з подальшою бактеріоскопією, а також проводиться посів аспірованих тканин на спеціальні живильні середовища з метою визначення виду мікрофлори і її чутливості до антибіотиків [20, 129]. В даний час, тонкоголкова пункція є єдиним методом, що дозволяє визначити інфекційно індукований ґенез SIRS у пацієнтів хворих на ДГП [73]. Клінічні спостереження свідчать, що у 80% випадків достатньо проведення однієї маніпуляції для верифікації інфікованого панкреонекрозу, у решти хворих було потрібно дві і більше. Вважається, що виконання тонкоголкової тканинної біопсії показано, якщо після адекватної початкової відповіді на проведену терапію ДГП з’являються клінічні та лабораторні ознаки SIRS </w:t>
      </w:r>
      <w:r>
        <w:rPr>
          <w:spacing w:val="2"/>
        </w:rPr>
        <w:t xml:space="preserve">або </w:t>
      </w:r>
      <w:r>
        <w:t>СПОН [73, 118]. У більшості випадків, ГСУ виникають після десятої доби з моменту первинної панкреатичної атаки, тому проведення тонкоголкової тканинної біопсії в більш ранні терміни зазвичай не проводиться [118, 123]. В одному з досліджень ефективності тонкоголкової тканинної біопсії продемонстровано, що при її проведенні до 12-ої доби від початку захворювання</w:t>
      </w:r>
      <w:r>
        <w:rPr>
          <w:spacing w:val="24"/>
        </w:rPr>
        <w:t xml:space="preserve"> </w:t>
      </w:r>
      <w:r>
        <w:t>у</w:t>
      </w:r>
      <w:r>
        <w:rPr>
          <w:spacing w:val="20"/>
        </w:rPr>
        <w:t xml:space="preserve"> </w:t>
      </w:r>
      <w:r>
        <w:t>всіх</w:t>
      </w:r>
      <w:r>
        <w:rPr>
          <w:spacing w:val="24"/>
        </w:rPr>
        <w:t xml:space="preserve"> </w:t>
      </w:r>
      <w:r>
        <w:t>хворих</w:t>
      </w:r>
      <w:r>
        <w:rPr>
          <w:spacing w:val="25"/>
        </w:rPr>
        <w:t xml:space="preserve"> </w:t>
      </w:r>
      <w:r>
        <w:t>отримані</w:t>
      </w:r>
      <w:r>
        <w:rPr>
          <w:spacing w:val="22"/>
        </w:rPr>
        <w:t xml:space="preserve"> </w:t>
      </w:r>
      <w:r>
        <w:t>негативні</w:t>
      </w:r>
      <w:r>
        <w:rPr>
          <w:spacing w:val="24"/>
        </w:rPr>
        <w:t xml:space="preserve"> </w:t>
      </w:r>
      <w:r>
        <w:t>результати,</w:t>
      </w:r>
      <w:r>
        <w:rPr>
          <w:spacing w:val="23"/>
        </w:rPr>
        <w:t xml:space="preserve"> </w:t>
      </w:r>
      <w:r>
        <w:t>тоді</w:t>
      </w:r>
      <w:r>
        <w:rPr>
          <w:spacing w:val="34"/>
        </w:rPr>
        <w:t xml:space="preserve"> </w:t>
      </w:r>
      <w:r>
        <w:t>як</w:t>
      </w:r>
      <w:r>
        <w:rPr>
          <w:spacing w:val="24"/>
        </w:rPr>
        <w:t xml:space="preserve"> </w:t>
      </w:r>
      <w:r>
        <w:t>на</w:t>
      </w:r>
      <w:r>
        <w:rPr>
          <w:spacing w:val="21"/>
        </w:rPr>
        <w:t xml:space="preserve"> </w:t>
      </w:r>
      <w:r>
        <w:t>17-ту</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0"/>
      </w:pPr>
      <w:r>
        <w:lastRenderedPageBreak/>
        <w:t>добу захворювання у 90% пацієнтів результати передопераційної тонкоголкової тканинної біопсії і подальшого інтраопераційного бактеріоскопічного дослідження були позитивними та ідентичними [71, 90]. Однак, згідно результатів низки досліджень, рутинне використання тонкоголкової пункції у всіх пацієнтів з наявністю некрозу ПЗ за відсутністю рідинних скупчень не є доцільним через можливість отримання хибно- негативних результатів [18, 92, 134]. У більшості проведених досліджень повідомляється про низьку частоту ускладнень після тонкоголкової тканинної біопсії, яка складає 1,6-4,9%. Найпоширенішими ускладненнями є інфікування стерильних вогнищ некрозу та розвиток кровотечі з паренхіми ПЗ [16, 19, 98]. На думку більшості дослідників, тонкоголкова тканинна біопсія повинна виконуватися переважно хворим з вираженими клінічними і лабораторними ознаками можливої панкреатичної інфекції через наявність потенційного ризику вторинного інфікування. Ознаки SIRS в ранній фазі ГП не повинні бути показанням до проведення тонкоголкової тканинної біопсії [55, 59,</w:t>
      </w:r>
      <w:r>
        <w:rPr>
          <w:spacing w:val="-8"/>
        </w:rPr>
        <w:t xml:space="preserve"> </w:t>
      </w:r>
      <w:r>
        <w:t>68].</w:t>
      </w:r>
    </w:p>
    <w:p w:rsidR="00B23B94" w:rsidRDefault="003B2D3B">
      <w:pPr>
        <w:pStyle w:val="a3"/>
        <w:spacing w:before="1" w:line="360" w:lineRule="auto"/>
        <w:ind w:right="302" w:firstLine="707"/>
      </w:pPr>
      <w:r>
        <w:t>Виконання черезшкірних діагностичних та лікувальних втручань при ГСУ ДГП можливе під КТ контролем [31, 96, 118]. В цьому разі втручанню передує комп’ютерна томографія, за результатами якої вибирають найбільш доцільний доступ та оптимальну точку для пункції на шкірі пацієнта. На моніторі розраховують глибину та кут нахилу пункційної голки. На тілі хворого розміщують рентгенконтрастні мітки, відносно яких коригують положення голки. При виконанні втручання під контролем КТ постійний контроль неможливий. тому для контролю положення голки періодично доводиться переривати втручання та виконувати додаткові скани [117-118].</w:t>
      </w:r>
    </w:p>
    <w:p w:rsidR="00B23B94" w:rsidRDefault="003B2D3B">
      <w:pPr>
        <w:pStyle w:val="a3"/>
        <w:spacing w:before="1" w:line="360" w:lineRule="auto"/>
        <w:ind w:right="304" w:firstLine="707"/>
      </w:pPr>
      <w:r>
        <w:t>З розвитком лапароскопічної хірургії та накопиченням досвіду розширюється показання до використання лапароскопії при ДГП [23, 76, 78]. Більшість хірургів вважають відеолапароскопію об’єктивним методом, який дозволяє оцінити прямі ознаки ДГП та ГСУ[ ]. Технічні можливості методу</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2"/>
      </w:pPr>
      <w:r>
        <w:lastRenderedPageBreak/>
        <w:t>дозволяють провести оглядову та детальну ревізію органів черевної порожнини і виконати за можливістю санаційні втручання [41-42, 73].</w:t>
      </w:r>
    </w:p>
    <w:p w:rsidR="00B23B94" w:rsidRDefault="003B2D3B">
      <w:pPr>
        <w:pStyle w:val="a3"/>
        <w:spacing w:line="360" w:lineRule="auto"/>
        <w:ind w:right="302" w:firstLine="707"/>
      </w:pPr>
      <w:r>
        <w:t>Таким чином, тонкоголкова пункція та тканинна біопсія, за даними літератури, є найбільш точним і, в більшості випадків, завершальним методом діагностики інфікованого панкреонекрозу. Проте використання тонкоголкової пункції та тканинної біопсії обмежене межами ехо-вікна та в низці випадків пов’язане з ризиком розвитку ускладнень [34, 69, 99]. Через це тонкоголкова пункція та тканинна біопсія для діагностики інфікування зон некрозу ПЗ при ДГП застосовується лише у 67% хірургічних клінік, КТ з контрастним підсиленням – у 71% [29,</w:t>
      </w:r>
      <w:r>
        <w:rPr>
          <w:spacing w:val="-10"/>
        </w:rPr>
        <w:t xml:space="preserve"> </w:t>
      </w:r>
      <w:r>
        <w:t>112].</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numPr>
          <w:ilvl w:val="1"/>
          <w:numId w:val="11"/>
        </w:numPr>
        <w:tabs>
          <w:tab w:val="left" w:pos="1364"/>
        </w:tabs>
        <w:spacing w:before="79" w:line="362" w:lineRule="auto"/>
        <w:ind w:left="222" w:right="314" w:firstLine="707"/>
      </w:pPr>
      <w:bookmarkStart w:id="4" w:name="_TOC_250012"/>
      <w:r>
        <w:lastRenderedPageBreak/>
        <w:t>Оцінка тяжкості та прогнозування динаміки захворювання при гнійно-септичних ускладненнях гострого деструктивного</w:t>
      </w:r>
      <w:r>
        <w:rPr>
          <w:spacing w:val="-14"/>
        </w:rPr>
        <w:t xml:space="preserve"> </w:t>
      </w:r>
      <w:bookmarkEnd w:id="4"/>
      <w:r>
        <w:t>панкреатиту</w:t>
      </w:r>
    </w:p>
    <w:p w:rsidR="00B23B94" w:rsidRDefault="00B23B94">
      <w:pPr>
        <w:pStyle w:val="a3"/>
        <w:spacing w:before="6"/>
        <w:ind w:left="0"/>
        <w:jc w:val="left"/>
        <w:rPr>
          <w:b/>
          <w:sz w:val="41"/>
        </w:rPr>
      </w:pPr>
    </w:p>
    <w:p w:rsidR="00B23B94" w:rsidRDefault="003B2D3B">
      <w:pPr>
        <w:pStyle w:val="a3"/>
        <w:spacing w:line="360" w:lineRule="auto"/>
        <w:ind w:right="303" w:firstLine="707"/>
      </w:pPr>
      <w:r>
        <w:t>Прогнозування динаміки захворювання при ГСУ ДГП є однією з найбільш інтенсивно досліджуваних проблем панкреатології. Прогностична оцінка тяжкості перебігу ГП має надзвичайно важливе значення і може сприяти зниженню смертності при ДГП. Відомо, що поліорганна дисфункція при ДГП становить 25-37%, а СПОН – 35-66% [59, 78]. Найчастіше у патологічний процес втягуються органи дихання, серцево-судинна система, печінка та нирки – у 39,1-63,0%; 23,0-37,7%; 20,7 і 5,8-13% пацієнтів відповідно [29, 113-116]. Одним із механізмів розвитку синдрому ПОН у хворих з критичним станом вважають абдомінальний компартмент синдром (ACS). Цей діагноз встановлюють, коли рівень внутрішньочеревного тиску перевищує 15 мм рт. ст., а також гостра ниркова недостатність і/або респіраторний дистрес синдром [22, 95-96]. Під цим синдромом розуміють патологічний стан, який супроводжує розвиток ПОН при некерованому прогресуючому збільшенні внутрішньочеревного тиску. Клінічно ACS проявляється значним збільшенням за розмірами живота у поєднанні з дихальною, серцево-судинною, печінково-нирковою недостатністю, енцефалопатією [84]. При ДГП відбувається підвищення внутрішньочеревного тиску в 78% спостережень, при цьому ACS розвивається в 9,3% хворих [71-72]. Встановлено пряму залежність між рівнем внутрішньочеревного тиску та поширеністю панкреатогенного запального процесу в черевній порожнині й заочеревинному просторі, а також між рівнем внутрішньочеревного тиску і ступенем тяжкості стану пацієнтів за шкалою APACHE II [93]. При ДГП спостерігаються два піки смертності: рання смертність – відбувається на початку розвитку SIRS протягом перших кількох днів, і другий пік –індукований СПОН – часто спостерігається після другого тижня захворювання [56,</w:t>
      </w:r>
      <w:r>
        <w:rPr>
          <w:spacing w:val="-5"/>
        </w:rPr>
        <w:t xml:space="preserve"> </w:t>
      </w:r>
      <w:r>
        <w:t>61].</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firstLine="707"/>
      </w:pPr>
      <w:r>
        <w:rPr>
          <w:color w:val="1D1D1D"/>
        </w:rPr>
        <w:lastRenderedPageBreak/>
        <w:t xml:space="preserve">У 80% випадків сепсис при ДГП може призвести до смерті </w:t>
      </w:r>
      <w:r>
        <w:t>[81]</w:t>
      </w:r>
      <w:r>
        <w:rPr>
          <w:color w:val="1D1D1D"/>
        </w:rPr>
        <w:t>. Рання діагностика й адекватне лікування мають важливе значення для зниження смертності. Такі фактори, як етіологія, вік, стать, раса, генетичні особливості, тяжкість загального стану при зверненні за медичною допомогою, інфікування, впливають на рівень смертності.</w:t>
      </w:r>
    </w:p>
    <w:p w:rsidR="00B23B94" w:rsidRDefault="003B2D3B">
      <w:pPr>
        <w:pStyle w:val="a3"/>
        <w:spacing w:before="2" w:line="360" w:lineRule="auto"/>
        <w:ind w:right="305" w:firstLine="707"/>
      </w:pPr>
      <w:r>
        <w:t>В даний час розроблено низку шкал для прогнозування розвитку ГСУ у різних груп пацієнтів. Так, система IPS (Infection Probability Score) включає загальноприйняті критерії інфекції: температура тіла, частота пульсу, частота дихання, кількість лейкоцитів периферичної крові, концентрацію С-реактивного протеїну та шкалу SOFA. Шкала IPS згідно думки авторів, має позитивну прогностичну значущість у 53,6%, може спрогнозувати відсутність розвитку інфекції при кількості балів понад 14 з 89,5% точністю [91].</w:t>
      </w:r>
    </w:p>
    <w:p w:rsidR="00B23B94" w:rsidRDefault="003B2D3B">
      <w:pPr>
        <w:pStyle w:val="a3"/>
        <w:spacing w:before="1" w:line="360" w:lineRule="auto"/>
        <w:ind w:right="309" w:firstLine="707"/>
      </w:pPr>
      <w:r>
        <w:t>Шкала NOSEP розроблена і застосовується для прогнозування виникнення нозокоміального сепсису в неонатології. Вона ґрунтується на оцінці гематологічних показників, наявності гіпертермії та тривалості застосування парентерального харчування. Шкала має чутливість близько 82% та специфічність близько 67% [91, 108].</w:t>
      </w:r>
    </w:p>
    <w:p w:rsidR="00B23B94" w:rsidRDefault="003B2D3B">
      <w:pPr>
        <w:pStyle w:val="a3"/>
        <w:spacing w:line="360" w:lineRule="auto"/>
        <w:ind w:right="302" w:firstLine="707"/>
      </w:pPr>
      <w:r>
        <w:t>На думку деяких авторів, при стерильному панкреонекрозі ступінь деструкції підшлункової залози корелює з ступенем органної дисфункції, в той час як при інфікованому панкреонекрозі спостерігаються більш виражені органні порушення. Тому для прогнозування гнійно-септичних ускладнень можливе використання шкал динамічного визначення функціонального стану пацієнта - SAPS II, APACHE II та ступеня органної дисфункції — MODS, SOFA та ін. [72,91,93].</w:t>
      </w:r>
    </w:p>
    <w:p w:rsidR="00B23B94" w:rsidRDefault="003B2D3B">
      <w:pPr>
        <w:pStyle w:val="a3"/>
        <w:spacing w:line="360" w:lineRule="auto"/>
        <w:ind w:right="309" w:firstLine="707"/>
      </w:pPr>
      <w:r>
        <w:t>Шкала APACHE II тривалий час з успіхом застосовувалася для моніторингу стану «критичних» хворих. Застосування цієї шкали для прогнозування перебігу ГП дозволяє раніше, ніж при використанні шкал Ranson або Imrie передбачити подальший перебіг ГП: кількість балів 8 або більше за шкалою APACHE II через 24 години свідчить про наявність тяжкої</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 xml:space="preserve">форми захворювання (чутливість 71%, специфічність 92%) [ ]. Сума балів 15 або вище через 48 годин після початку панкреатичної атаки свідчить про летальний характер перебігу ГП [61, 91]. На думку багатьох дослідників, шкалі APACHE II властиві велика специфічність і точність при оцінці ступеня тяжкості стану хворих з ДГП. Пацієнти з некротичним панкреатитом, у яких протягом 24-48 год. від початку захворювання показник шкали APACHE II не перевищує 8, зазвичай виживають. При показниках більше 8 спостерігається підвищення летальності [61]. В одному  з клінічних досліджень показано, що рівень летальності серед пацієнтів із ДГП не перевищував 4% при значенні шкали APACHE II менше 9. </w:t>
      </w:r>
      <w:r>
        <w:rPr>
          <w:spacing w:val="-2"/>
        </w:rPr>
        <w:t xml:space="preserve">При </w:t>
      </w:r>
      <w:r>
        <w:t xml:space="preserve">значеннях 11-15 балів летальність зростала до 16%, 16-20 балів — склала 33% [23, 61, 71, 122]. Використання цієї системи дозволяє точніше прогнозувати розвиток летального наслідку у пацієнтів із важким перебігом ГП. Переваги цієї шкали полягають в тому, що вона може бути використана у будь-який момент часу для оцінки як тяжкості стану хворого з панкреонекрозом, так і ефективності застосованої терапії [54, 62]. На думку деяких дослідників, недоліком цієї системи є її складність, що дещо обмежує її застосування в клінічній практиці [81]. Отже, використання шкали APACHE II у хворих з ГП дозволяє виявити групу пацієнтів із тяжким перебігом захворювання і високим ризиком розвитку летального кінця з більшою вірогідністю в порівнянні з використанням інших прогностичних систем </w:t>
      </w:r>
      <w:r>
        <w:rPr>
          <w:spacing w:val="-3"/>
        </w:rPr>
        <w:t>[84].</w:t>
      </w:r>
    </w:p>
    <w:p w:rsidR="00B23B94" w:rsidRDefault="003B2D3B">
      <w:pPr>
        <w:pStyle w:val="a3"/>
        <w:spacing w:before="3" w:line="360" w:lineRule="auto"/>
        <w:ind w:right="304" w:firstLine="707"/>
      </w:pPr>
      <w:r>
        <w:t>Застосування шкали MODS [81] протягом перших 72 годин після госпіталізації з метою стратифікації групи хворих з летальним перебігом ГП, та застосування з цією ж метою шкали APACHE II дозволяє отримати порівнювані результати [72].</w:t>
      </w:r>
    </w:p>
    <w:p w:rsidR="00B23B94" w:rsidRDefault="003B2D3B">
      <w:pPr>
        <w:pStyle w:val="a3"/>
        <w:spacing w:before="1" w:line="360" w:lineRule="auto"/>
        <w:ind w:right="304" w:firstLine="707"/>
      </w:pPr>
      <w:r>
        <w:t>Шкала SOFA (Sequentially Organ Failure Assessment) протягом останніх років отримала майже таке ж широке визнання, як і шкала APACHE II. Існуючі на сьогодні дослідження свідчать, що при госпіталізації у пацієнтів з ГП про летальний кінець захворювання свідчить кількість балів за шкалою</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6"/>
      </w:pPr>
      <w:r>
        <w:lastRenderedPageBreak/>
        <w:t>SOFA 8 або більше та 6 чи більше через 48 годин після надходження пацієнта до стаціонару. У 2017 р. згідно Консенсусу у відношенні сепсису та септичного шоку для визначення поняття сепсису використовується критерій qSOFA (Quick SOFA): частота дихання ≥22 / хв., порушення свідомості, систолічний артеріальний тиск ≤100 мм рт. ст. [97].</w:t>
      </w:r>
    </w:p>
    <w:p w:rsidR="00B23B94" w:rsidRDefault="003B2D3B">
      <w:pPr>
        <w:pStyle w:val="a3"/>
        <w:spacing w:before="2" w:line="360" w:lineRule="auto"/>
        <w:ind w:right="307" w:firstLine="707"/>
      </w:pPr>
      <w:r>
        <w:t>Шкала ASSES була розроблена для оцінки тяжкості стану хворих з гострим сепсисом при ДГП [96-97]. Показано, що застосування цієї шкали з урахуванням додаткових коефіцієнтів дозволяє також оцінювати вірогідність летального кінця при розвитку ГСУ [81].</w:t>
      </w:r>
    </w:p>
    <w:p w:rsidR="00B23B94" w:rsidRDefault="003B2D3B">
      <w:pPr>
        <w:pStyle w:val="a3"/>
        <w:spacing w:before="1" w:line="360" w:lineRule="auto"/>
        <w:ind w:right="312" w:firstLine="707"/>
      </w:pPr>
      <w:r>
        <w:t>Для прогнозування перебігу ГП також застосовують побудову штучних нейронних мереж. Використання даного методу дозволяє прогнозувати розвиток СПОН [55, 131].</w:t>
      </w:r>
    </w:p>
    <w:p w:rsidR="00B23B94" w:rsidRDefault="003B2D3B">
      <w:pPr>
        <w:pStyle w:val="a3"/>
        <w:spacing w:line="360" w:lineRule="auto"/>
        <w:ind w:right="302" w:firstLine="707"/>
      </w:pPr>
      <w:r>
        <w:t>Останнім часом з’явились поодинокі публікації проте, що при різкому зниженні рівня трийодтироніну, у тяжких та критичних пацієнтів виникає порушення вітальних функцій, що з часом приводить до летального наслідку. Наприклад, італійськими вченими (R. Junik et al., 1995; J. R. Stockigt, 1996) встановлено, що у хворих в критичному стані, рівень Т3 виступає важливим прогностичним чинником загальної летальності і вказує на поганий прогноз щодо виживання [44, 47, 69, 78]. Дослідники вважають, що пацієнтам з таким варіантом тиреоїдної дисфункції, а, насамперед, при зниженні концентрації в крові Т3 нижче 0,7 нмоль/л, крім ентерального харчування їжею, збагаченою вуглеводами, показана корекція гормонального статусу тиреоїдними препаратами [69, 78-79, 86-89]. У 2013 р. білоруські вчені Є.А Гусакова і І.В. Городецька вивчали роль тиреоїдних гормонів у  антистрес-системі організму, що дозволило їм дійти наступного висновку: L-тироксин у малих дозах мінімізує негативний вплив стрес-факторів на клітини печінки, зокрема, попереджує прояви дистрофії, лімітує і усуває некроз і інфільтрацію, що робить доцільним призначення L-тироксину у різноманітних стрес-ситуаціях, до яких належать і оперативні втручання [87, 100,</w:t>
      </w:r>
      <w:r>
        <w:rPr>
          <w:spacing w:val="-2"/>
        </w:rPr>
        <w:t xml:space="preserve"> </w:t>
      </w:r>
      <w:r>
        <w:t>119].</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firstLine="707"/>
      </w:pPr>
      <w:r>
        <w:lastRenderedPageBreak/>
        <w:t>Таким чином, на сьогодні існує достатня кількість систем оцінки тяжкості стану хворих із ГП. В основному всі загальновідомі системи дозволяють цілком вірогідно прогнозувати результат лікування в більшості випадків. Універсальної шкали не існує. Кожна шкала має обмеження. Шкала APACHE II може бути використана в якості відносного показання до проведення методів етапного хірургічного лікування. Динамічний моніторинг СПОН при розвитку ГСУ – оптимізує тактику лікування. Не достатньо вивчено рівень трийодтироніну та прокальцитоніну у хворих із сепсисом при розвитку ГСУ за</w:t>
      </w:r>
      <w:r>
        <w:rPr>
          <w:spacing w:val="-9"/>
        </w:rPr>
        <w:t xml:space="preserve"> </w:t>
      </w:r>
      <w:r>
        <w:t>ДГП.</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numPr>
          <w:ilvl w:val="1"/>
          <w:numId w:val="11"/>
        </w:numPr>
        <w:tabs>
          <w:tab w:val="left" w:pos="1543"/>
          <w:tab w:val="left" w:pos="1544"/>
          <w:tab w:val="left" w:pos="3200"/>
          <w:tab w:val="left" w:pos="4502"/>
          <w:tab w:val="left" w:pos="5241"/>
          <w:tab w:val="left" w:pos="8062"/>
        </w:tabs>
        <w:spacing w:before="79" w:line="362" w:lineRule="auto"/>
        <w:ind w:left="222" w:right="305" w:firstLine="707"/>
      </w:pPr>
      <w:bookmarkStart w:id="5" w:name="_TOC_250011"/>
      <w:r>
        <w:lastRenderedPageBreak/>
        <w:t>Хірургічна</w:t>
      </w:r>
      <w:r>
        <w:tab/>
        <w:t>тактика</w:t>
      </w:r>
      <w:r>
        <w:tab/>
        <w:t>при</w:t>
      </w:r>
      <w:r>
        <w:tab/>
        <w:t>парапанкреатичних</w:t>
      </w:r>
      <w:r>
        <w:tab/>
      </w:r>
      <w:r>
        <w:rPr>
          <w:spacing w:val="-3"/>
        </w:rPr>
        <w:t xml:space="preserve">інфекційно- </w:t>
      </w:r>
      <w:r>
        <w:t>септичних ускладненнях деструктивного</w:t>
      </w:r>
      <w:r>
        <w:rPr>
          <w:spacing w:val="-5"/>
        </w:rPr>
        <w:t xml:space="preserve"> </w:t>
      </w:r>
      <w:bookmarkEnd w:id="5"/>
      <w:r>
        <w:t>панкреатиту</w:t>
      </w:r>
    </w:p>
    <w:p w:rsidR="00B23B94" w:rsidRDefault="00B23B94">
      <w:pPr>
        <w:pStyle w:val="a3"/>
        <w:spacing w:before="6"/>
        <w:ind w:left="0"/>
        <w:jc w:val="left"/>
        <w:rPr>
          <w:b/>
          <w:sz w:val="41"/>
        </w:rPr>
      </w:pPr>
    </w:p>
    <w:p w:rsidR="00B23B94" w:rsidRDefault="003B2D3B">
      <w:pPr>
        <w:pStyle w:val="a3"/>
        <w:spacing w:line="360" w:lineRule="auto"/>
        <w:ind w:right="309" w:firstLine="707"/>
      </w:pPr>
      <w:r>
        <w:t>Перші спроби лікування ГСУ при ДГП були зроблені ще Morgagni в 1761 р. та LeDentu 1875 р., але до сьогодні серед хірургів немає єдиної думки про тактику вибору термінів та обсягу оперативного втручання при лікуванні парапанкреатичних інфекційно-септичних ускладнень ДГП [81].</w:t>
      </w:r>
    </w:p>
    <w:p w:rsidR="00B23B94" w:rsidRDefault="003B2D3B">
      <w:pPr>
        <w:pStyle w:val="a3"/>
        <w:spacing w:line="360" w:lineRule="auto"/>
        <w:ind w:right="303" w:firstLine="707"/>
      </w:pPr>
      <w:r>
        <w:t>Постнекротичні інфіковані панкреатичні і/або парапанкреатичні рідинні скупчення з наявністю гнійного вмісту та некротизованих тканин/детриту при доведеному факті наявності аеробно-анаеробної мікрофлори (за результатами бактеріального дослідження) являють собою свого роду «верхівку айсберга», основу якого складають гнійно-некротичні обмежені або поширені ураження паренхіми залози, тканин парапанкреатичних та/або параколярних заочеревинних просторів [82,109, 126]. Зазначені ураження та зони їх виникнення встановлюються за даними променевих методів - УЗД та КТ на підставі виявлених характерних ознак ГСУ відповідної топографо-анатомічної локалізації [118].</w:t>
      </w:r>
    </w:p>
    <w:p w:rsidR="00B23B94" w:rsidRDefault="003B2D3B">
      <w:pPr>
        <w:pStyle w:val="a3"/>
        <w:spacing w:line="360" w:lineRule="auto"/>
        <w:ind w:right="306" w:firstLine="707"/>
      </w:pPr>
      <w:r>
        <w:t>У подібних клінічних випадках, за даними Beger H.G. (2008 р.), мініінвазивні технології мають розцінюватися в якості допоміжних лікувально-хірургічних засобів, які слід використовувати в поєднанні із традиційними хірургічними втручаннями. В зазначеному контексті їх доречно розглядати як етапні і такі, що стабілізують важкий стан хворого [81].</w:t>
      </w:r>
    </w:p>
    <w:p w:rsidR="00B23B94" w:rsidRDefault="003B2D3B">
      <w:pPr>
        <w:pStyle w:val="a3"/>
        <w:tabs>
          <w:tab w:val="left" w:pos="3432"/>
          <w:tab w:val="left" w:pos="7052"/>
        </w:tabs>
        <w:spacing w:before="2" w:line="360" w:lineRule="auto"/>
        <w:ind w:right="302" w:firstLine="707"/>
      </w:pPr>
      <w:r>
        <w:t>При виконанні традиційних хірургічних втручань з приводу інфікованого</w:t>
      </w:r>
      <w:r>
        <w:tab/>
        <w:t>панкреонекрозу,</w:t>
      </w:r>
      <w:r>
        <w:tab/>
      </w:r>
      <w:r>
        <w:rPr>
          <w:spacing w:val="-1"/>
        </w:rPr>
        <w:t xml:space="preserve">гнійно-некротичного </w:t>
      </w:r>
      <w:r>
        <w:t>парапанкреатиту/параколіту необхідно забезпечити широкий доступ до всіх ділянок гнійно-некротичного ураження ПЗ і заочеревинної жирової тканини з метою їх ревізії та санації [30, 41, 56]. Для цього, згідно даних літератури, використовується серединна або поперечна лапаротомія. Відповідно даним чисельних публікацій, принципово важливо виявити всі зони</w:t>
      </w:r>
      <w:r>
        <w:rPr>
          <w:spacing w:val="-7"/>
        </w:rPr>
        <w:t xml:space="preserve"> </w:t>
      </w:r>
      <w:r>
        <w:t>ураження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6"/>
      </w:pPr>
      <w:r>
        <w:lastRenderedPageBreak/>
        <w:t>залози і заочеревинних просторів, оскільки залишений без санації, навіть невеликий осередок, зумовлює виникнення триваючого інтоксикаційного синдрому [61, 68, 111].</w:t>
      </w:r>
    </w:p>
    <w:p w:rsidR="00B23B94" w:rsidRDefault="003B2D3B">
      <w:pPr>
        <w:pStyle w:val="a3"/>
        <w:spacing w:before="1" w:line="360" w:lineRule="auto"/>
        <w:ind w:right="302" w:firstLine="707"/>
      </w:pPr>
      <w:r>
        <w:t>За даними багатьох авторів, осередок гнійно-некротичного процесу в корені брижі тонкої і товстої кишки спостерігався у 44%, параколярних просторах - у 31%, паранефрально - у 15% і піддіафрагмально (зліва) - у 10% спостережень. При цьому обмежені ураження, до яких відносяться дві ділянки, виявлялися в 29% і поширені (більше двох ділянок) - в 71% випадків [23, 41-44, 56].</w:t>
      </w:r>
    </w:p>
    <w:p w:rsidR="00B23B94" w:rsidRDefault="003B2D3B">
      <w:pPr>
        <w:pStyle w:val="a3"/>
        <w:spacing w:before="2" w:line="360" w:lineRule="auto"/>
        <w:ind w:right="304" w:firstLine="707"/>
      </w:pPr>
      <w:r>
        <w:t>За умов остаточної некрсеквестректомії з видаленням некротичної тканини доцільно реалізовувати принцип закритого дренування, а саме, після розкриття і санації гнійно-некротичного осередку забезпечити його активне проточно-промивне дренування за H. Beger [81]. При поширених ураженнях заочеревинних просторів, в умовах неможливості одномоментного видалення всіх некротизованих тканин і несформованих секвестрів, слід використовувати методику етапних санацій шляхом програмованих релапаротомій з первинним формуванням лапаро-ретроперитонеостоми [81, 108].</w:t>
      </w:r>
    </w:p>
    <w:p w:rsidR="00B23B94" w:rsidRDefault="003B2D3B">
      <w:pPr>
        <w:pStyle w:val="a3"/>
        <w:spacing w:line="360" w:lineRule="auto"/>
        <w:ind w:right="305" w:firstLine="707"/>
      </w:pPr>
      <w:r>
        <w:t>В.П. Андрющенко пропонує кожне наступне втручання доцільно реалізовувати через 4-5 діб, оскільки це є оптимальним терміном формування нових ділянок некрозу і зон демаркації, а також стабілізації пацієнта після попередньої операції. По мірі «очищення» гнійно-некротичного осередку з появою грануляційної тканини етапна санація завершується встановленням лише трубчастих дренажів з переходом на проточно-промивне дренування [3].</w:t>
      </w:r>
    </w:p>
    <w:p w:rsidR="00B23B94" w:rsidRDefault="003B2D3B">
      <w:pPr>
        <w:pStyle w:val="a3"/>
        <w:spacing w:line="360" w:lineRule="auto"/>
        <w:ind w:right="304" w:firstLine="707"/>
      </w:pPr>
      <w:r>
        <w:t>Цікавим є використання методу Vacuum–assisted closure (VAC® therapy), принцип Topical negative pressure (TNP) [126]. Вакуум-інстиляційна терапія в комплексному лікуванні інфікованих і гнійних, гострих і хронічних ран сприяє більш швидкій ліквідації місцевого гнійно-запального процесу, деконтамінації рани, очищення від некрозів, дозволяє скоротити терміни</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5"/>
      </w:pPr>
      <w:r>
        <w:lastRenderedPageBreak/>
        <w:t>підготовки рани до пластичного закриття, уникнути щоденних болючих перев'язок, запобігти розвитку внутрішньолікарняної інфекції [33, 64, 102].</w:t>
      </w:r>
    </w:p>
    <w:p w:rsidR="00B23B94" w:rsidRDefault="003B2D3B">
      <w:pPr>
        <w:pStyle w:val="a3"/>
        <w:spacing w:line="360" w:lineRule="auto"/>
        <w:ind w:right="305" w:firstLine="707"/>
      </w:pPr>
      <w:r>
        <w:t>Із впровадженням нових технологій ситуація в діагностиці і лікуванні Інфікованого панкреатиту почала змінюватися в бік малоінвазивних втручань. Лапароскопічне лікування дає обнадійливі результати, оскільки воно менш інвазивне, вимагає коротшого терміну перебування в стаціонарі, має нижчу летальність, ніж відкриті оперативні втручання. Проте слід взяти до уваги, що досвід проведення такого лікування залишається обмеженим, воно може застосовуватися не у всіх випадках, оскільки має певні протипоказання, і необхідні дані довготривалих спостережень, щоб зробити остаточний висновок про еквівалентність результатів мініінвазивних втручань результатам традиційних методів хірургічного</w:t>
      </w:r>
      <w:r>
        <w:rPr>
          <w:spacing w:val="-9"/>
        </w:rPr>
        <w:t xml:space="preserve"> </w:t>
      </w:r>
      <w:r>
        <w:t>втручання.</w:t>
      </w:r>
    </w:p>
    <w:p w:rsidR="00B23B94" w:rsidRDefault="003B2D3B">
      <w:pPr>
        <w:pStyle w:val="a3"/>
        <w:spacing w:line="360" w:lineRule="auto"/>
        <w:ind w:right="302" w:firstLine="707"/>
      </w:pPr>
      <w:r>
        <w:t>Розкриття, санації та дренування гнійних вогнищ, може бути здійснене традиційним лапаротомним способом так і одним з малоінвазивних методів [5, 12, 43, 109]. Зовнішнє дренування інфекційно-септичного вогнища з міні- доступу із застосуванням апарату міні-асистент; ендоскопічне внутрішнє дренування порожнини гнійника з некрсеквестректомією; перекутану пункцію порожнини інфікованого скупчення під контролем засобів медичної візуалізації [40, 62, 118].</w:t>
      </w:r>
    </w:p>
    <w:p w:rsidR="00B23B94" w:rsidRDefault="003B2D3B">
      <w:pPr>
        <w:pStyle w:val="a3"/>
        <w:spacing w:line="360" w:lineRule="auto"/>
        <w:ind w:right="303" w:firstLine="707"/>
      </w:pPr>
      <w:r>
        <w:t>Операційно-тактичні підходи ГСУ мають свої особливості [72]. Аналіз хірургічної тактики при різних формах ГП з використанням мінімально інвазійних технологій, традиційних лапаротомних операційних технологій, а також у їх поєднанні на підставі врахування характеристик інфекційного чиннику, дозволив окреслити наступні принципи лікування даного контингенту пацієнтів [65-67, 69, 71, 74, 85, 99, 115].</w:t>
      </w:r>
    </w:p>
    <w:p w:rsidR="00B23B94" w:rsidRDefault="003B2D3B">
      <w:pPr>
        <w:pStyle w:val="a3"/>
        <w:spacing w:line="360" w:lineRule="auto"/>
        <w:ind w:right="304" w:firstLine="707"/>
      </w:pPr>
      <w:r>
        <w:t>Останніми роками більшість публікацій надає перевагу перекутаній тонкоголковій аспіраційній пункції та дренуванню інфікованого рідинного скупчення під контролем сучасних засобів медичної візуалізації [99, 115]. Технічна простота виконання перекутаної пункції порожнини інфікованого рідинного скупчення, можливість виконання малотравматичного втручання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3"/>
      </w:pPr>
      <w:r>
        <w:lastRenderedPageBreak/>
        <w:t>незалежно від тяжкості стану пацієнта привертає увагу багатьох авторів до цієї групи втручань у пацієнтів із гнійним парапанкреатитом [54, 112]. Метод дозволяє вводити антибактеріальні препарати в гнійну порожнину і промивати її розчинами антисептиків. При цьому контроль за станом порожнини можливо здійснювати так само за допомогою фістулографії, що виконується в динаміці [125-126]. Втручання виконують через печінку, шлунково-селезінкову і шлунково-ободову зв'язки, малий сальник, транслюмбально, при неможливості застосування іншого доступу – трансгастрально. При дренуванні патологічного вогнища перевагу віддають введенню двох дренажів, що дозволяло створити аспіраційно-промивну систему [130].</w:t>
      </w:r>
    </w:p>
    <w:p w:rsidR="00B23B94" w:rsidRDefault="003B2D3B">
      <w:pPr>
        <w:pStyle w:val="a3"/>
        <w:spacing w:before="2" w:line="360" w:lineRule="auto"/>
        <w:ind w:right="308" w:firstLine="707"/>
      </w:pPr>
      <w:r>
        <w:t>За даними клінік, які займаються лікуванням ДГП, мініінвазивні операційні технології, а саме інтервенційна сонографія і відеолапароскопія у 57% спостережень забезпечують остаточний позитивний результат лікування хворих без виконання лапаротомії [33, 105].</w:t>
      </w:r>
    </w:p>
    <w:p w:rsidR="00B23B94" w:rsidRDefault="003B2D3B">
      <w:pPr>
        <w:pStyle w:val="a3"/>
        <w:spacing w:line="360" w:lineRule="auto"/>
        <w:ind w:right="303" w:firstLine="707"/>
      </w:pPr>
      <w:r>
        <w:t>Ендосонографічна панкреатонекрсеквестректомія не рідко є альтернативою традиційному лапаротомному доступу для санації інфікованих осередків [19, 41, 93]. Ендоскопічне втручання може виконуватися тільки за наявності тієї топографічній ситуації, що задовольняє показанням до нього: приляганню скупчення до стінки шлунка / дванадцятипалої кишки, відсутності варикозного розширення вен шлунка, максимальної відстані між скупченням і стінкою шлунка (менше 1 см) для трансмурального дренування, наявності зв'язку між скупченням і протоковою системою ПЗ для транспапілярного дренування [92]. Більшість робіт, присвячених ендоскопічному трансгастральному дренуванню інфікованих скупчень, з’явилися за останні десять років. В роботах описуються методики дренування інфікованих скупчень, які мають зв'язок з протоковою системою ПЗ. Ці методики полягають в папілосфінктеропластиці, вірсунготомії з вірсунгопластикою. Результати застосування цього методу показали ефективність в 60-80% з частотою розвитку ускладнень і рецидивів в 20-30</w:t>
      </w:r>
      <w:r>
        <w:rPr>
          <w:spacing w:val="8"/>
        </w:rPr>
        <w:t xml:space="preserve"> </w:t>
      </w:r>
      <w:r>
        <w:t>%</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05"/>
      </w:pPr>
      <w:r>
        <w:lastRenderedPageBreak/>
        <w:t>випадків, що гірше за результати, отримані при перекутаних зовнішніх дренуючих втручаннях [41-42, 52].</w:t>
      </w:r>
    </w:p>
    <w:p w:rsidR="00B23B94" w:rsidRDefault="003B2D3B">
      <w:pPr>
        <w:pStyle w:val="a3"/>
        <w:spacing w:line="360" w:lineRule="auto"/>
        <w:ind w:right="302" w:firstLine="707"/>
      </w:pPr>
      <w:r>
        <w:t>Таким чином, у даний час є недостатньо вирішеною проблема критеріїв вибору хірургічної тактики при парапанкреатичних інфекційно-септичних ускладнень ДГП, а саме термінів, обсягу та методу оперативного втручання. Дотепер до кінця не визначена та межа, де закінчується доцільність застосування мініінвазивної хірургії і приходить час використовувати відкриті операції. У зв'язку з цим виникає необхідність в розмежуванні показань до застосування мініінвазивних методик та лапаротомних оперативних втручань. Невирішені питання в діагностиці та виборі лікувальної тактики у пацієнтів з парапанкреатичними інфекційно- септичними ускладненнями ДГП, різні погляди на показання до оперативного втручання, визначення термінів та об’єму оперативного втручання, аналіз впливу гормонів тиреоїдного профілю на динаміку захворювання, обумовлюють актуальність проведення даного дослідження, направленого на їх</w:t>
      </w:r>
      <w:r>
        <w:rPr>
          <w:spacing w:val="-7"/>
        </w:rPr>
        <w:t xml:space="preserve"> </w:t>
      </w:r>
      <w:r>
        <w:t>вирішення.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spacing w:before="79"/>
        <w:ind w:left="255" w:right="340"/>
        <w:jc w:val="center"/>
      </w:pPr>
      <w:r>
        <w:lastRenderedPageBreak/>
        <w:t>РОЗДІЛ 2</w:t>
      </w:r>
    </w:p>
    <w:p w:rsidR="00B23B94" w:rsidRDefault="003B2D3B">
      <w:pPr>
        <w:spacing w:before="163"/>
        <w:ind w:left="675" w:right="56"/>
        <w:jc w:val="center"/>
        <w:rPr>
          <w:b/>
          <w:sz w:val="28"/>
        </w:rPr>
      </w:pPr>
      <w:r>
        <w:rPr>
          <w:b/>
          <w:sz w:val="28"/>
        </w:rPr>
        <w:t>МАТЕРІАЛИ І МЕТОДИ ДОСЛІДЖЕННЯ</w:t>
      </w:r>
    </w:p>
    <w:p w:rsidR="00B23B94" w:rsidRDefault="003B2D3B">
      <w:pPr>
        <w:pStyle w:val="1"/>
        <w:ind w:left="930"/>
        <w:jc w:val="both"/>
      </w:pPr>
      <w:bookmarkStart w:id="6" w:name="_TOC_250010"/>
      <w:bookmarkEnd w:id="6"/>
      <w:r>
        <w:t>2.1. Загальна характеристика клінічного матеріалу</w:t>
      </w:r>
    </w:p>
    <w:p w:rsidR="00B23B94" w:rsidRDefault="003B2D3B">
      <w:pPr>
        <w:pStyle w:val="a3"/>
        <w:spacing w:before="161" w:line="360" w:lineRule="auto"/>
        <w:ind w:right="310" w:firstLine="707"/>
      </w:pPr>
      <w:r>
        <w:t>Дослідження проводилося на кафедрі хірургії №2 медичного факультету №1 Української медичної стоматологічної академії. Клінічною базою було Комунальне підприємство "Полтавська обласна клінічна лікарня ім. М.В. Скліфосовського Полтавської обласної ради".</w:t>
      </w:r>
    </w:p>
    <w:p w:rsidR="00B23B94" w:rsidRDefault="003B2D3B">
      <w:pPr>
        <w:pStyle w:val="a3"/>
        <w:spacing w:line="360" w:lineRule="auto"/>
        <w:ind w:right="306" w:firstLine="707"/>
      </w:pPr>
      <w:r>
        <w:t>Робота заснована на ретро- та проспективному аналізі лікування 127 хворих з інфекційно-септичними ускладненнями гострого деструктивного панкреатиту, які знаходилися на лікуванні у хірургічному відділенні та відділенні анестезіології, реанімації та інтенсивної терапії вищезгаданої установи з 2010 по 2018 роки.</w:t>
      </w:r>
    </w:p>
    <w:p w:rsidR="00B23B94" w:rsidRDefault="003B2D3B">
      <w:pPr>
        <w:pStyle w:val="a3"/>
        <w:tabs>
          <w:tab w:val="left" w:pos="4162"/>
        </w:tabs>
        <w:spacing w:line="360" w:lineRule="auto"/>
        <w:ind w:right="306" w:firstLine="707"/>
      </w:pPr>
      <w:r>
        <w:t>Під час першого етапу дослідження було проаналізовано діагностичну та лікувальну тактику у 87 пацієнтів (група порівняння) з парапанкреатичними</w:t>
      </w:r>
      <w:r>
        <w:tab/>
        <w:t>інфекційно-септичними ускладненнями деструктивного панкреатиту. Визначено ключові діагностичні та лікувальні недоліки, які в деяких випадках призводили до несприятливих результатів лікування.</w:t>
      </w:r>
    </w:p>
    <w:p w:rsidR="00B23B94" w:rsidRDefault="003B2D3B">
      <w:pPr>
        <w:pStyle w:val="a3"/>
        <w:spacing w:before="2" w:line="360" w:lineRule="auto"/>
        <w:ind w:right="305" w:firstLine="707"/>
      </w:pPr>
      <w:r>
        <w:t>На другому етапі дослідження проведено аналіз лікування 40 хворих (основна група) з розподілом їх на 2 підгрупи. Першу підгрупу (2а, n=17) склали пацієнти, у яких окрім стандартних методів обстеження додатково проводилося визначення гормонів щитоподібної залози (прокальцитоніну, трийодтироніну, вільного трийодтироніну, тетрайодтироніну, тиреотропного гормону, С-реактивного білку) з метою прогнозування несприятливого перебігу у пацієнтів з ГСУ при гострому тяжкому панкреатиті. Розроблено алгоритм диференційованої хірургічної тактики в залежності від локалізації та характеру інфікованого септичного осередку. До другої підгрупи включено 23 пацієнти (2b, n=23), тактика лікування яких була змінена з врахуванням даних, отриманих на попередньому етапі дослідження.</w:t>
      </w:r>
      <w:r>
        <w:rPr>
          <w:spacing w:val="-31"/>
        </w:rPr>
        <w:t xml:space="preserve"> </w:t>
      </w:r>
      <w:r>
        <w:t>Після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5"/>
      </w:pPr>
      <w:r>
        <w:lastRenderedPageBreak/>
        <w:t>цього було проведено порівняння результатів лікування групи пацієнтів що лікувалися за традиційними підходами, та пацієнтів основної групи.</w:t>
      </w:r>
    </w:p>
    <w:p w:rsidR="00B23B94" w:rsidRDefault="003B2D3B">
      <w:pPr>
        <w:pStyle w:val="a3"/>
        <w:spacing w:line="360" w:lineRule="auto"/>
        <w:ind w:right="313" w:firstLine="707"/>
      </w:pPr>
      <w:r>
        <w:t>Хворі основної групи та групи порівняння були порівнювані за статтю, віком, етіологічним чинником та наявністю супутньої патології, термінами госпіталізації до стаціонару, тяжкістю стану (табл. 2.1-2.7).</w:t>
      </w:r>
    </w:p>
    <w:p w:rsidR="00B23B94" w:rsidRDefault="003B2D3B">
      <w:pPr>
        <w:pStyle w:val="a3"/>
        <w:ind w:left="930"/>
      </w:pPr>
      <w:r>
        <w:t>Вибірка хворих проводилася за наступними критеріями.</w:t>
      </w:r>
    </w:p>
    <w:p w:rsidR="00B23B94" w:rsidRDefault="003B2D3B">
      <w:pPr>
        <w:pStyle w:val="a3"/>
        <w:spacing w:before="156"/>
      </w:pPr>
      <w:r>
        <w:t>Критерії включення:</w:t>
      </w:r>
    </w:p>
    <w:p w:rsidR="00B23B94" w:rsidRDefault="003B2D3B">
      <w:pPr>
        <w:pStyle w:val="a4"/>
        <w:numPr>
          <w:ilvl w:val="0"/>
          <w:numId w:val="10"/>
        </w:numPr>
        <w:tabs>
          <w:tab w:val="left" w:pos="1290"/>
        </w:tabs>
        <w:spacing w:before="160" w:line="360" w:lineRule="auto"/>
        <w:ind w:right="315"/>
        <w:rPr>
          <w:sz w:val="28"/>
        </w:rPr>
      </w:pPr>
      <w:r>
        <w:rPr>
          <w:sz w:val="28"/>
        </w:rPr>
        <w:t>Пацієнти у яких перебіг гострого тяжкого панкреатиту ускладнився парапанкреатичними інфекційно-септичними</w:t>
      </w:r>
      <w:r>
        <w:rPr>
          <w:spacing w:val="-3"/>
          <w:sz w:val="28"/>
        </w:rPr>
        <w:t xml:space="preserve"> </w:t>
      </w:r>
      <w:r>
        <w:rPr>
          <w:sz w:val="28"/>
        </w:rPr>
        <w:t>ускладненнями;</w:t>
      </w:r>
    </w:p>
    <w:p w:rsidR="00B23B94" w:rsidRDefault="003B2D3B">
      <w:pPr>
        <w:pStyle w:val="a4"/>
        <w:numPr>
          <w:ilvl w:val="0"/>
          <w:numId w:val="10"/>
        </w:numPr>
        <w:tabs>
          <w:tab w:val="left" w:pos="1290"/>
        </w:tabs>
        <w:spacing w:before="2"/>
        <w:ind w:right="0"/>
        <w:rPr>
          <w:sz w:val="28"/>
        </w:rPr>
      </w:pPr>
      <w:r>
        <w:rPr>
          <w:sz w:val="28"/>
        </w:rPr>
        <w:t>Вік пацієнтів від 18</w:t>
      </w:r>
      <w:r>
        <w:rPr>
          <w:spacing w:val="-5"/>
          <w:sz w:val="28"/>
        </w:rPr>
        <w:t xml:space="preserve"> </w:t>
      </w:r>
      <w:r>
        <w:rPr>
          <w:sz w:val="28"/>
        </w:rPr>
        <w:t>років;</w:t>
      </w:r>
    </w:p>
    <w:p w:rsidR="00B23B94" w:rsidRDefault="003B2D3B">
      <w:pPr>
        <w:pStyle w:val="a4"/>
        <w:numPr>
          <w:ilvl w:val="0"/>
          <w:numId w:val="10"/>
        </w:numPr>
        <w:tabs>
          <w:tab w:val="left" w:pos="1290"/>
        </w:tabs>
        <w:spacing w:before="161" w:line="360" w:lineRule="auto"/>
        <w:ind w:right="304"/>
        <w:rPr>
          <w:sz w:val="28"/>
        </w:rPr>
      </w:pPr>
      <w:r>
        <w:rPr>
          <w:sz w:val="28"/>
        </w:rPr>
        <w:t>Тяжкий та середній ступінь ГП згідно класифікації Атланта 2012 року</w:t>
      </w:r>
      <w:r>
        <w:rPr>
          <w:spacing w:val="-5"/>
          <w:sz w:val="28"/>
        </w:rPr>
        <w:t xml:space="preserve"> </w:t>
      </w:r>
      <w:r>
        <w:rPr>
          <w:sz w:val="28"/>
        </w:rPr>
        <w:t>перегляду;</w:t>
      </w:r>
    </w:p>
    <w:p w:rsidR="00B23B94" w:rsidRDefault="003B2D3B">
      <w:pPr>
        <w:pStyle w:val="a4"/>
        <w:numPr>
          <w:ilvl w:val="0"/>
          <w:numId w:val="10"/>
        </w:numPr>
        <w:tabs>
          <w:tab w:val="left" w:pos="1290"/>
        </w:tabs>
        <w:spacing w:line="362" w:lineRule="auto"/>
        <w:ind w:left="222" w:right="3846" w:firstLine="707"/>
        <w:rPr>
          <w:sz w:val="28"/>
        </w:rPr>
      </w:pPr>
      <w:r>
        <w:rPr>
          <w:sz w:val="28"/>
        </w:rPr>
        <w:t>Згода пацієнта на участь в дослідженні. Критерії не</w:t>
      </w:r>
      <w:r>
        <w:rPr>
          <w:spacing w:val="-3"/>
          <w:sz w:val="28"/>
        </w:rPr>
        <w:t xml:space="preserve"> </w:t>
      </w:r>
      <w:r>
        <w:rPr>
          <w:sz w:val="28"/>
        </w:rPr>
        <w:t>включення:</w:t>
      </w:r>
    </w:p>
    <w:p w:rsidR="00B23B94" w:rsidRDefault="003B2D3B">
      <w:pPr>
        <w:pStyle w:val="a4"/>
        <w:numPr>
          <w:ilvl w:val="0"/>
          <w:numId w:val="9"/>
        </w:numPr>
        <w:tabs>
          <w:tab w:val="left" w:pos="1290"/>
        </w:tabs>
        <w:spacing w:line="317" w:lineRule="exact"/>
        <w:ind w:right="0"/>
        <w:rPr>
          <w:sz w:val="28"/>
        </w:rPr>
      </w:pPr>
      <w:r>
        <w:rPr>
          <w:sz w:val="28"/>
        </w:rPr>
        <w:t>Термінальний стан хворих при</w:t>
      </w:r>
      <w:r>
        <w:rPr>
          <w:spacing w:val="-7"/>
          <w:sz w:val="28"/>
        </w:rPr>
        <w:t xml:space="preserve"> </w:t>
      </w:r>
      <w:r>
        <w:rPr>
          <w:sz w:val="28"/>
        </w:rPr>
        <w:t>госпіталізації;</w:t>
      </w:r>
    </w:p>
    <w:p w:rsidR="00B23B94" w:rsidRDefault="003B2D3B">
      <w:pPr>
        <w:pStyle w:val="a4"/>
        <w:numPr>
          <w:ilvl w:val="0"/>
          <w:numId w:val="9"/>
        </w:numPr>
        <w:tabs>
          <w:tab w:val="left" w:pos="1290"/>
        </w:tabs>
        <w:spacing w:before="159" w:line="360" w:lineRule="auto"/>
        <w:ind w:right="308"/>
        <w:rPr>
          <w:sz w:val="28"/>
        </w:rPr>
      </w:pPr>
      <w:r>
        <w:rPr>
          <w:sz w:val="28"/>
        </w:rPr>
        <w:t>Легка форма ГП відповідно до класифікації Атланта 2012 року перегляду;</w:t>
      </w:r>
    </w:p>
    <w:p w:rsidR="00B23B94" w:rsidRDefault="003B2D3B">
      <w:pPr>
        <w:pStyle w:val="a4"/>
        <w:numPr>
          <w:ilvl w:val="0"/>
          <w:numId w:val="9"/>
        </w:numPr>
        <w:tabs>
          <w:tab w:val="left" w:pos="1290"/>
        </w:tabs>
        <w:spacing w:line="321" w:lineRule="exact"/>
        <w:ind w:right="0"/>
        <w:rPr>
          <w:sz w:val="28"/>
        </w:rPr>
      </w:pPr>
      <w:r>
        <w:rPr>
          <w:sz w:val="28"/>
        </w:rPr>
        <w:t>Прогресуюча ПОН (фульмінантна</w:t>
      </w:r>
      <w:r>
        <w:rPr>
          <w:spacing w:val="-5"/>
          <w:sz w:val="28"/>
        </w:rPr>
        <w:t xml:space="preserve"> </w:t>
      </w:r>
      <w:r>
        <w:rPr>
          <w:sz w:val="28"/>
        </w:rPr>
        <w:t>форма);</w:t>
      </w:r>
    </w:p>
    <w:p w:rsidR="00B23B94" w:rsidRDefault="003B2D3B">
      <w:pPr>
        <w:pStyle w:val="a4"/>
        <w:numPr>
          <w:ilvl w:val="0"/>
          <w:numId w:val="9"/>
        </w:numPr>
        <w:tabs>
          <w:tab w:val="left" w:pos="1290"/>
        </w:tabs>
        <w:spacing w:before="163"/>
        <w:ind w:right="0"/>
        <w:rPr>
          <w:sz w:val="28"/>
        </w:rPr>
      </w:pPr>
      <w:r>
        <w:rPr>
          <w:sz w:val="28"/>
        </w:rPr>
        <w:t>Вагітність;</w:t>
      </w:r>
    </w:p>
    <w:p w:rsidR="00B23B94" w:rsidRDefault="003B2D3B">
      <w:pPr>
        <w:pStyle w:val="a4"/>
        <w:numPr>
          <w:ilvl w:val="0"/>
          <w:numId w:val="9"/>
        </w:numPr>
        <w:tabs>
          <w:tab w:val="left" w:pos="1290"/>
        </w:tabs>
        <w:spacing w:before="160"/>
        <w:ind w:right="0"/>
        <w:rPr>
          <w:sz w:val="28"/>
        </w:rPr>
      </w:pPr>
      <w:r>
        <w:rPr>
          <w:sz w:val="28"/>
        </w:rPr>
        <w:t>ВІЛ-інфіковані пацієнти;</w:t>
      </w:r>
    </w:p>
    <w:p w:rsidR="00B23B94" w:rsidRDefault="003B2D3B">
      <w:pPr>
        <w:pStyle w:val="a4"/>
        <w:numPr>
          <w:ilvl w:val="0"/>
          <w:numId w:val="9"/>
        </w:numPr>
        <w:tabs>
          <w:tab w:val="left" w:pos="1290"/>
        </w:tabs>
        <w:spacing w:before="161"/>
        <w:ind w:right="0"/>
        <w:rPr>
          <w:sz w:val="28"/>
        </w:rPr>
      </w:pPr>
      <w:r>
        <w:rPr>
          <w:sz w:val="28"/>
        </w:rPr>
        <w:t>Наявність онкологічних</w:t>
      </w:r>
      <w:r>
        <w:rPr>
          <w:spacing w:val="-1"/>
          <w:sz w:val="28"/>
        </w:rPr>
        <w:t xml:space="preserve"> </w:t>
      </w:r>
      <w:r>
        <w:rPr>
          <w:sz w:val="28"/>
        </w:rPr>
        <w:t>захворювань;</w:t>
      </w:r>
    </w:p>
    <w:p w:rsidR="00B23B94" w:rsidRDefault="003B2D3B">
      <w:pPr>
        <w:pStyle w:val="a4"/>
        <w:numPr>
          <w:ilvl w:val="0"/>
          <w:numId w:val="9"/>
        </w:numPr>
        <w:tabs>
          <w:tab w:val="left" w:pos="1290"/>
        </w:tabs>
        <w:spacing w:before="160"/>
        <w:ind w:right="0"/>
        <w:rPr>
          <w:sz w:val="28"/>
        </w:rPr>
      </w:pPr>
      <w:r>
        <w:rPr>
          <w:sz w:val="28"/>
        </w:rPr>
        <w:t>Психічні захворювання;</w:t>
      </w:r>
    </w:p>
    <w:p w:rsidR="00B23B94" w:rsidRDefault="003B2D3B">
      <w:pPr>
        <w:pStyle w:val="a4"/>
        <w:numPr>
          <w:ilvl w:val="0"/>
          <w:numId w:val="9"/>
        </w:numPr>
        <w:tabs>
          <w:tab w:val="left" w:pos="1290"/>
        </w:tabs>
        <w:spacing w:before="163"/>
        <w:ind w:right="0"/>
        <w:rPr>
          <w:sz w:val="28"/>
        </w:rPr>
      </w:pPr>
      <w:r>
        <w:rPr>
          <w:sz w:val="28"/>
        </w:rPr>
        <w:t>Хвороби</w:t>
      </w:r>
      <w:r>
        <w:rPr>
          <w:spacing w:val="-1"/>
          <w:sz w:val="28"/>
        </w:rPr>
        <w:t xml:space="preserve"> </w:t>
      </w:r>
      <w:r>
        <w:rPr>
          <w:sz w:val="28"/>
        </w:rPr>
        <w:t>крові;</w:t>
      </w:r>
    </w:p>
    <w:p w:rsidR="00B23B94" w:rsidRDefault="003B2D3B">
      <w:pPr>
        <w:pStyle w:val="a4"/>
        <w:numPr>
          <w:ilvl w:val="0"/>
          <w:numId w:val="9"/>
        </w:numPr>
        <w:tabs>
          <w:tab w:val="left" w:pos="1290"/>
        </w:tabs>
        <w:spacing w:before="160"/>
        <w:ind w:right="0"/>
        <w:rPr>
          <w:sz w:val="28"/>
        </w:rPr>
      </w:pPr>
      <w:r>
        <w:rPr>
          <w:sz w:val="28"/>
        </w:rPr>
        <w:t>Загострення хронічного</w:t>
      </w:r>
      <w:r>
        <w:rPr>
          <w:spacing w:val="-3"/>
          <w:sz w:val="28"/>
        </w:rPr>
        <w:t xml:space="preserve"> </w:t>
      </w:r>
      <w:r>
        <w:rPr>
          <w:sz w:val="28"/>
        </w:rPr>
        <w:t>панкреатиту;</w:t>
      </w:r>
    </w:p>
    <w:p w:rsidR="00B23B94" w:rsidRDefault="003B2D3B">
      <w:pPr>
        <w:pStyle w:val="a4"/>
        <w:numPr>
          <w:ilvl w:val="0"/>
          <w:numId w:val="9"/>
        </w:numPr>
        <w:tabs>
          <w:tab w:val="left" w:pos="1360"/>
        </w:tabs>
        <w:spacing w:before="161"/>
        <w:ind w:left="1359" w:right="0" w:hanging="430"/>
        <w:rPr>
          <w:sz w:val="28"/>
        </w:rPr>
      </w:pPr>
      <w:r>
        <w:rPr>
          <w:sz w:val="28"/>
        </w:rPr>
        <w:t>Наявність супутньої хронічної патології у стадії</w:t>
      </w:r>
      <w:r>
        <w:rPr>
          <w:spacing w:val="-13"/>
          <w:sz w:val="28"/>
        </w:rPr>
        <w:t xml:space="preserve"> </w:t>
      </w:r>
      <w:r>
        <w:rPr>
          <w:sz w:val="28"/>
        </w:rPr>
        <w:t>декомпенсації;</w:t>
      </w:r>
    </w:p>
    <w:p w:rsidR="00B23B94" w:rsidRDefault="003B2D3B">
      <w:pPr>
        <w:pStyle w:val="a4"/>
        <w:numPr>
          <w:ilvl w:val="0"/>
          <w:numId w:val="9"/>
        </w:numPr>
        <w:tabs>
          <w:tab w:val="left" w:pos="1360"/>
        </w:tabs>
        <w:spacing w:before="161"/>
        <w:ind w:left="1359" w:right="0" w:hanging="430"/>
        <w:rPr>
          <w:sz w:val="28"/>
        </w:rPr>
      </w:pPr>
      <w:r>
        <w:rPr>
          <w:sz w:val="28"/>
        </w:rPr>
        <w:t>Відмова хворого в участі в</w:t>
      </w:r>
      <w:r>
        <w:rPr>
          <w:spacing w:val="-9"/>
          <w:sz w:val="28"/>
        </w:rPr>
        <w:t xml:space="preserve"> </w:t>
      </w:r>
      <w:r>
        <w:rPr>
          <w:sz w:val="28"/>
        </w:rPr>
        <w:t>дослідженні.</w:t>
      </w:r>
    </w:p>
    <w:p w:rsidR="00B23B94" w:rsidRDefault="003B2D3B">
      <w:pPr>
        <w:pStyle w:val="a3"/>
        <w:spacing w:before="163" w:line="360" w:lineRule="auto"/>
        <w:ind w:right="311" w:firstLine="707"/>
      </w:pPr>
      <w:r>
        <w:t>Середній вік пацієнтів в обох групах складав 47,87±14,53 роки (від 22 до 81 років). Розподіл пацієнтів за статтю та віком представлені в таблиці 2.1.</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right="304"/>
        <w:jc w:val="right"/>
        <w:rPr>
          <w:i/>
          <w:sz w:val="28"/>
        </w:rPr>
      </w:pPr>
      <w:r>
        <w:rPr>
          <w:i/>
          <w:sz w:val="28"/>
        </w:rPr>
        <w:lastRenderedPageBreak/>
        <w:t>Таблиця 2.1</w:t>
      </w:r>
    </w:p>
    <w:p w:rsidR="00B23B94" w:rsidRDefault="003B2D3B">
      <w:pPr>
        <w:pStyle w:val="1"/>
        <w:spacing w:before="163"/>
        <w:ind w:right="55"/>
        <w:jc w:val="center"/>
      </w:pPr>
      <w:r>
        <w:t>Розподіл хворих за віком та статтю</w:t>
      </w:r>
    </w:p>
    <w:p w:rsidR="00B23B94" w:rsidRDefault="00B23B94">
      <w:pPr>
        <w:pStyle w:val="a3"/>
        <w:ind w:left="0"/>
        <w:jc w:val="left"/>
        <w:rPr>
          <w:b/>
          <w:sz w:val="20"/>
        </w:rPr>
      </w:pPr>
    </w:p>
    <w:p w:rsidR="00B23B94" w:rsidRDefault="00B23B94">
      <w:pPr>
        <w:pStyle w:val="a3"/>
        <w:ind w:left="0"/>
        <w:jc w:val="left"/>
        <w:rPr>
          <w:b/>
          <w:sz w:val="20"/>
        </w:rPr>
      </w:pPr>
    </w:p>
    <w:p w:rsidR="00B23B94" w:rsidRDefault="00B23B94">
      <w:pPr>
        <w:pStyle w:val="a3"/>
        <w:spacing w:before="10"/>
        <w:ind w:left="0"/>
        <w:jc w:val="left"/>
        <w:rPr>
          <w:b/>
          <w:sz w:val="15"/>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13"/>
        <w:gridCol w:w="709"/>
        <w:gridCol w:w="638"/>
        <w:gridCol w:w="715"/>
        <w:gridCol w:w="629"/>
        <w:gridCol w:w="717"/>
        <w:gridCol w:w="701"/>
        <w:gridCol w:w="715"/>
        <w:gridCol w:w="701"/>
        <w:gridCol w:w="718"/>
        <w:gridCol w:w="702"/>
        <w:gridCol w:w="628"/>
        <w:gridCol w:w="708"/>
      </w:tblGrid>
      <w:tr w:rsidR="00B23B94">
        <w:trPr>
          <w:trHeight w:val="414"/>
        </w:trPr>
        <w:tc>
          <w:tcPr>
            <w:tcW w:w="1313" w:type="dxa"/>
            <w:vMerge w:val="restart"/>
          </w:tcPr>
          <w:p w:rsidR="00B23B94" w:rsidRDefault="00B23B94">
            <w:pPr>
              <w:pStyle w:val="TableParagraph"/>
              <w:jc w:val="left"/>
              <w:rPr>
                <w:b/>
                <w:sz w:val="30"/>
              </w:rPr>
            </w:pPr>
          </w:p>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232" w:line="360" w:lineRule="auto"/>
              <w:ind w:left="311" w:right="285" w:firstLine="96"/>
              <w:jc w:val="left"/>
              <w:rPr>
                <w:b/>
                <w:sz w:val="28"/>
              </w:rPr>
            </w:pPr>
            <w:r>
              <w:rPr>
                <w:b/>
                <w:sz w:val="28"/>
              </w:rPr>
              <w:t>Вік, років</w:t>
            </w:r>
          </w:p>
        </w:tc>
        <w:tc>
          <w:tcPr>
            <w:tcW w:w="2691" w:type="dxa"/>
            <w:gridSpan w:val="4"/>
            <w:vMerge w:val="restart"/>
          </w:tcPr>
          <w:p w:rsidR="00B23B94" w:rsidRDefault="003B2D3B">
            <w:pPr>
              <w:pStyle w:val="TableParagraph"/>
              <w:spacing w:before="3"/>
              <w:ind w:left="327" w:right="325"/>
              <w:rPr>
                <w:b/>
                <w:sz w:val="24"/>
              </w:rPr>
            </w:pPr>
            <w:r>
              <w:rPr>
                <w:b/>
                <w:sz w:val="24"/>
              </w:rPr>
              <w:t>Група порівняння</w:t>
            </w:r>
          </w:p>
          <w:p w:rsidR="00B23B94" w:rsidRDefault="003B2D3B">
            <w:pPr>
              <w:pStyle w:val="TableParagraph"/>
              <w:spacing w:before="140"/>
              <w:ind w:left="325" w:right="325"/>
              <w:rPr>
                <w:b/>
                <w:sz w:val="24"/>
              </w:rPr>
            </w:pPr>
            <w:r>
              <w:rPr>
                <w:b/>
                <w:sz w:val="24"/>
              </w:rPr>
              <w:t>(n=87)</w:t>
            </w:r>
          </w:p>
        </w:tc>
        <w:tc>
          <w:tcPr>
            <w:tcW w:w="5590" w:type="dxa"/>
            <w:gridSpan w:val="8"/>
          </w:tcPr>
          <w:p w:rsidR="00B23B94" w:rsidRDefault="003B2D3B">
            <w:pPr>
              <w:pStyle w:val="TableParagraph"/>
              <w:spacing w:line="275" w:lineRule="exact"/>
              <w:ind w:left="1603"/>
              <w:jc w:val="left"/>
              <w:rPr>
                <w:b/>
                <w:sz w:val="24"/>
              </w:rPr>
            </w:pPr>
            <w:r>
              <w:rPr>
                <w:b/>
                <w:sz w:val="24"/>
              </w:rPr>
              <w:t>Основна група (n=40)</w:t>
            </w:r>
          </w:p>
        </w:tc>
      </w:tr>
      <w:tr w:rsidR="00B23B94">
        <w:trPr>
          <w:trHeight w:val="414"/>
        </w:trPr>
        <w:tc>
          <w:tcPr>
            <w:tcW w:w="1313" w:type="dxa"/>
            <w:vMerge/>
            <w:tcBorders>
              <w:top w:val="nil"/>
            </w:tcBorders>
          </w:tcPr>
          <w:p w:rsidR="00B23B94" w:rsidRDefault="00B23B94">
            <w:pPr>
              <w:rPr>
                <w:sz w:val="2"/>
                <w:szCs w:val="2"/>
              </w:rPr>
            </w:pPr>
          </w:p>
        </w:tc>
        <w:tc>
          <w:tcPr>
            <w:tcW w:w="2691" w:type="dxa"/>
            <w:gridSpan w:val="4"/>
            <w:vMerge/>
            <w:tcBorders>
              <w:top w:val="nil"/>
            </w:tcBorders>
          </w:tcPr>
          <w:p w:rsidR="00B23B94" w:rsidRDefault="00B23B94">
            <w:pPr>
              <w:rPr>
                <w:sz w:val="2"/>
                <w:szCs w:val="2"/>
              </w:rPr>
            </w:pPr>
          </w:p>
        </w:tc>
        <w:tc>
          <w:tcPr>
            <w:tcW w:w="2834" w:type="dxa"/>
            <w:gridSpan w:val="4"/>
          </w:tcPr>
          <w:p w:rsidR="00B23B94" w:rsidRDefault="003B2D3B">
            <w:pPr>
              <w:pStyle w:val="TableParagraph"/>
              <w:spacing w:line="275" w:lineRule="exact"/>
              <w:ind w:left="921"/>
              <w:jc w:val="left"/>
              <w:rPr>
                <w:b/>
                <w:sz w:val="24"/>
              </w:rPr>
            </w:pPr>
            <w:r>
              <w:rPr>
                <w:b/>
                <w:sz w:val="24"/>
              </w:rPr>
              <w:t>2a (n=17)</w:t>
            </w:r>
          </w:p>
        </w:tc>
        <w:tc>
          <w:tcPr>
            <w:tcW w:w="2756" w:type="dxa"/>
            <w:gridSpan w:val="4"/>
          </w:tcPr>
          <w:p w:rsidR="00B23B94" w:rsidRDefault="003B2D3B">
            <w:pPr>
              <w:pStyle w:val="TableParagraph"/>
              <w:spacing w:line="275" w:lineRule="exact"/>
              <w:ind w:left="867"/>
              <w:jc w:val="left"/>
              <w:rPr>
                <w:b/>
                <w:sz w:val="24"/>
              </w:rPr>
            </w:pPr>
            <w:r>
              <w:rPr>
                <w:b/>
                <w:sz w:val="24"/>
              </w:rPr>
              <w:t>2b (n=23)</w:t>
            </w:r>
          </w:p>
        </w:tc>
      </w:tr>
      <w:tr w:rsidR="00B23B94">
        <w:trPr>
          <w:trHeight w:val="412"/>
        </w:trPr>
        <w:tc>
          <w:tcPr>
            <w:tcW w:w="1313" w:type="dxa"/>
            <w:vMerge/>
            <w:tcBorders>
              <w:top w:val="nil"/>
            </w:tcBorders>
          </w:tcPr>
          <w:p w:rsidR="00B23B94" w:rsidRDefault="00B23B94">
            <w:pPr>
              <w:rPr>
                <w:sz w:val="2"/>
                <w:szCs w:val="2"/>
              </w:rPr>
            </w:pPr>
          </w:p>
        </w:tc>
        <w:tc>
          <w:tcPr>
            <w:tcW w:w="8281" w:type="dxa"/>
            <w:gridSpan w:val="12"/>
          </w:tcPr>
          <w:p w:rsidR="00B23B94" w:rsidRDefault="003B2D3B">
            <w:pPr>
              <w:pStyle w:val="TableParagraph"/>
              <w:spacing w:line="275" w:lineRule="exact"/>
              <w:ind w:left="3169" w:right="3181"/>
              <w:rPr>
                <w:b/>
                <w:sz w:val="24"/>
              </w:rPr>
            </w:pPr>
            <w:r>
              <w:rPr>
                <w:b/>
                <w:sz w:val="24"/>
              </w:rPr>
              <w:t>Стать</w:t>
            </w:r>
          </w:p>
        </w:tc>
      </w:tr>
      <w:tr w:rsidR="00B23B94">
        <w:trPr>
          <w:trHeight w:val="414"/>
        </w:trPr>
        <w:tc>
          <w:tcPr>
            <w:tcW w:w="1313" w:type="dxa"/>
            <w:vMerge/>
            <w:tcBorders>
              <w:top w:val="nil"/>
            </w:tcBorders>
          </w:tcPr>
          <w:p w:rsidR="00B23B94" w:rsidRDefault="00B23B94">
            <w:pPr>
              <w:rPr>
                <w:sz w:val="2"/>
                <w:szCs w:val="2"/>
              </w:rPr>
            </w:pPr>
          </w:p>
        </w:tc>
        <w:tc>
          <w:tcPr>
            <w:tcW w:w="1347" w:type="dxa"/>
            <w:gridSpan w:val="2"/>
          </w:tcPr>
          <w:p w:rsidR="00B23B94" w:rsidRDefault="003B2D3B">
            <w:pPr>
              <w:pStyle w:val="TableParagraph"/>
              <w:spacing w:line="275" w:lineRule="exact"/>
              <w:ind w:left="167"/>
              <w:jc w:val="left"/>
              <w:rPr>
                <w:b/>
                <w:sz w:val="24"/>
              </w:rPr>
            </w:pPr>
            <w:r>
              <w:rPr>
                <w:b/>
                <w:sz w:val="24"/>
              </w:rPr>
              <w:t>Чоловіча</w:t>
            </w:r>
          </w:p>
        </w:tc>
        <w:tc>
          <w:tcPr>
            <w:tcW w:w="1344" w:type="dxa"/>
            <w:gridSpan w:val="2"/>
          </w:tcPr>
          <w:p w:rsidR="00B23B94" w:rsidRDefault="003B2D3B">
            <w:pPr>
              <w:pStyle w:val="TableParagraph"/>
              <w:spacing w:line="275" w:lineRule="exact"/>
              <w:ind w:left="256"/>
              <w:jc w:val="left"/>
              <w:rPr>
                <w:b/>
                <w:sz w:val="24"/>
              </w:rPr>
            </w:pPr>
            <w:r>
              <w:rPr>
                <w:b/>
                <w:sz w:val="24"/>
              </w:rPr>
              <w:t>Жіноча</w:t>
            </w:r>
          </w:p>
        </w:tc>
        <w:tc>
          <w:tcPr>
            <w:tcW w:w="1418" w:type="dxa"/>
            <w:gridSpan w:val="2"/>
          </w:tcPr>
          <w:p w:rsidR="00B23B94" w:rsidRDefault="003B2D3B">
            <w:pPr>
              <w:pStyle w:val="TableParagraph"/>
              <w:spacing w:line="275" w:lineRule="exact"/>
              <w:ind w:left="196"/>
              <w:jc w:val="left"/>
              <w:rPr>
                <w:b/>
                <w:sz w:val="24"/>
              </w:rPr>
            </w:pPr>
            <w:r>
              <w:rPr>
                <w:b/>
                <w:sz w:val="24"/>
              </w:rPr>
              <w:t>Чоловіча</w:t>
            </w:r>
          </w:p>
        </w:tc>
        <w:tc>
          <w:tcPr>
            <w:tcW w:w="1416" w:type="dxa"/>
            <w:gridSpan w:val="2"/>
          </w:tcPr>
          <w:p w:rsidR="00B23B94" w:rsidRDefault="003B2D3B">
            <w:pPr>
              <w:pStyle w:val="TableParagraph"/>
              <w:spacing w:line="275" w:lineRule="exact"/>
              <w:ind w:left="285"/>
              <w:jc w:val="left"/>
              <w:rPr>
                <w:b/>
                <w:sz w:val="24"/>
              </w:rPr>
            </w:pPr>
            <w:r>
              <w:rPr>
                <w:b/>
                <w:sz w:val="24"/>
              </w:rPr>
              <w:t>Жіноча</w:t>
            </w:r>
          </w:p>
        </w:tc>
        <w:tc>
          <w:tcPr>
            <w:tcW w:w="1420" w:type="dxa"/>
            <w:gridSpan w:val="2"/>
          </w:tcPr>
          <w:p w:rsidR="00B23B94" w:rsidRDefault="003B2D3B">
            <w:pPr>
              <w:pStyle w:val="TableParagraph"/>
              <w:spacing w:line="275" w:lineRule="exact"/>
              <w:ind w:left="192"/>
              <w:jc w:val="left"/>
              <w:rPr>
                <w:b/>
                <w:sz w:val="24"/>
              </w:rPr>
            </w:pPr>
            <w:r>
              <w:rPr>
                <w:b/>
                <w:sz w:val="24"/>
              </w:rPr>
              <w:t>Чоловіча</w:t>
            </w:r>
          </w:p>
        </w:tc>
        <w:tc>
          <w:tcPr>
            <w:tcW w:w="1336" w:type="dxa"/>
            <w:gridSpan w:val="2"/>
          </w:tcPr>
          <w:p w:rsidR="00B23B94" w:rsidRDefault="003B2D3B">
            <w:pPr>
              <w:pStyle w:val="TableParagraph"/>
              <w:spacing w:line="275" w:lineRule="exact"/>
              <w:ind w:left="237"/>
              <w:jc w:val="left"/>
              <w:rPr>
                <w:b/>
                <w:sz w:val="24"/>
              </w:rPr>
            </w:pPr>
            <w:r>
              <w:rPr>
                <w:b/>
                <w:sz w:val="24"/>
              </w:rPr>
              <w:t>Жіноча</w:t>
            </w:r>
          </w:p>
        </w:tc>
      </w:tr>
      <w:tr w:rsidR="00B23B94">
        <w:trPr>
          <w:trHeight w:val="412"/>
        </w:trPr>
        <w:tc>
          <w:tcPr>
            <w:tcW w:w="1313" w:type="dxa"/>
            <w:vMerge/>
            <w:tcBorders>
              <w:top w:val="nil"/>
            </w:tcBorders>
          </w:tcPr>
          <w:p w:rsidR="00B23B94" w:rsidRDefault="00B23B94">
            <w:pPr>
              <w:rPr>
                <w:sz w:val="2"/>
                <w:szCs w:val="2"/>
              </w:rPr>
            </w:pPr>
          </w:p>
        </w:tc>
        <w:tc>
          <w:tcPr>
            <w:tcW w:w="8281" w:type="dxa"/>
            <w:gridSpan w:val="12"/>
          </w:tcPr>
          <w:p w:rsidR="00B23B94" w:rsidRDefault="003B2D3B">
            <w:pPr>
              <w:pStyle w:val="TableParagraph"/>
              <w:spacing w:line="275" w:lineRule="exact"/>
              <w:ind w:left="3169" w:right="3181"/>
              <w:rPr>
                <w:b/>
                <w:sz w:val="24"/>
              </w:rPr>
            </w:pPr>
            <w:r>
              <w:rPr>
                <w:b/>
                <w:sz w:val="24"/>
              </w:rPr>
              <w:t>Кількість хворих</w:t>
            </w:r>
          </w:p>
        </w:tc>
      </w:tr>
      <w:tr w:rsidR="00B23B94">
        <w:trPr>
          <w:trHeight w:val="414"/>
        </w:trPr>
        <w:tc>
          <w:tcPr>
            <w:tcW w:w="1313" w:type="dxa"/>
            <w:vMerge/>
            <w:tcBorders>
              <w:top w:val="nil"/>
            </w:tcBorders>
          </w:tcPr>
          <w:p w:rsidR="00B23B94" w:rsidRDefault="00B23B94">
            <w:pPr>
              <w:rPr>
                <w:sz w:val="2"/>
                <w:szCs w:val="2"/>
              </w:rPr>
            </w:pPr>
          </w:p>
        </w:tc>
        <w:tc>
          <w:tcPr>
            <w:tcW w:w="709" w:type="dxa"/>
          </w:tcPr>
          <w:p w:rsidR="00B23B94" w:rsidRDefault="003B2D3B">
            <w:pPr>
              <w:pStyle w:val="TableParagraph"/>
              <w:spacing w:before="1"/>
              <w:ind w:left="85" w:right="77"/>
              <w:rPr>
                <w:b/>
                <w:sz w:val="24"/>
              </w:rPr>
            </w:pPr>
            <w:r>
              <w:rPr>
                <w:b/>
                <w:sz w:val="24"/>
              </w:rPr>
              <w:t>абс.</w:t>
            </w:r>
          </w:p>
        </w:tc>
        <w:tc>
          <w:tcPr>
            <w:tcW w:w="638" w:type="dxa"/>
          </w:tcPr>
          <w:p w:rsidR="00B23B94" w:rsidRDefault="003B2D3B">
            <w:pPr>
              <w:pStyle w:val="TableParagraph"/>
              <w:spacing w:before="1"/>
              <w:ind w:left="8"/>
              <w:rPr>
                <w:b/>
                <w:sz w:val="24"/>
              </w:rPr>
            </w:pPr>
            <w:r>
              <w:rPr>
                <w:b/>
                <w:sz w:val="24"/>
              </w:rPr>
              <w:t>%</w:t>
            </w:r>
          </w:p>
        </w:tc>
        <w:tc>
          <w:tcPr>
            <w:tcW w:w="715" w:type="dxa"/>
          </w:tcPr>
          <w:p w:rsidR="00B23B94" w:rsidRDefault="003B2D3B">
            <w:pPr>
              <w:pStyle w:val="TableParagraph"/>
              <w:spacing w:before="1"/>
              <w:ind w:left="89" w:right="83"/>
              <w:rPr>
                <w:b/>
                <w:sz w:val="24"/>
              </w:rPr>
            </w:pPr>
            <w:r>
              <w:rPr>
                <w:b/>
                <w:sz w:val="24"/>
              </w:rPr>
              <w:t>абс.</w:t>
            </w:r>
          </w:p>
        </w:tc>
        <w:tc>
          <w:tcPr>
            <w:tcW w:w="629" w:type="dxa"/>
          </w:tcPr>
          <w:p w:rsidR="00B23B94" w:rsidRDefault="003B2D3B">
            <w:pPr>
              <w:pStyle w:val="TableParagraph"/>
              <w:spacing w:before="1"/>
              <w:ind w:left="4"/>
              <w:rPr>
                <w:b/>
                <w:sz w:val="24"/>
              </w:rPr>
            </w:pPr>
            <w:r>
              <w:rPr>
                <w:b/>
                <w:sz w:val="24"/>
              </w:rPr>
              <w:t>%</w:t>
            </w:r>
          </w:p>
        </w:tc>
        <w:tc>
          <w:tcPr>
            <w:tcW w:w="717" w:type="dxa"/>
          </w:tcPr>
          <w:p w:rsidR="00B23B94" w:rsidRDefault="003B2D3B">
            <w:pPr>
              <w:pStyle w:val="TableParagraph"/>
              <w:spacing w:before="1"/>
              <w:ind w:right="145"/>
              <w:jc w:val="right"/>
              <w:rPr>
                <w:b/>
                <w:sz w:val="24"/>
              </w:rPr>
            </w:pPr>
            <w:r>
              <w:rPr>
                <w:b/>
                <w:sz w:val="24"/>
              </w:rPr>
              <w:t>абс.</w:t>
            </w:r>
          </w:p>
        </w:tc>
        <w:tc>
          <w:tcPr>
            <w:tcW w:w="701" w:type="dxa"/>
          </w:tcPr>
          <w:p w:rsidR="00B23B94" w:rsidRDefault="003B2D3B">
            <w:pPr>
              <w:pStyle w:val="TableParagraph"/>
              <w:spacing w:before="1"/>
              <w:ind w:left="1"/>
              <w:rPr>
                <w:b/>
                <w:sz w:val="24"/>
              </w:rPr>
            </w:pPr>
            <w:r>
              <w:rPr>
                <w:b/>
                <w:sz w:val="24"/>
              </w:rPr>
              <w:t>%</w:t>
            </w:r>
          </w:p>
        </w:tc>
        <w:tc>
          <w:tcPr>
            <w:tcW w:w="715" w:type="dxa"/>
          </w:tcPr>
          <w:p w:rsidR="00B23B94" w:rsidRDefault="003B2D3B">
            <w:pPr>
              <w:pStyle w:val="TableParagraph"/>
              <w:spacing w:before="1"/>
              <w:ind w:left="82" w:right="83"/>
              <w:rPr>
                <w:b/>
                <w:sz w:val="24"/>
              </w:rPr>
            </w:pPr>
            <w:r>
              <w:rPr>
                <w:b/>
                <w:sz w:val="24"/>
              </w:rPr>
              <w:t>абс.</w:t>
            </w:r>
          </w:p>
        </w:tc>
        <w:tc>
          <w:tcPr>
            <w:tcW w:w="701" w:type="dxa"/>
          </w:tcPr>
          <w:p w:rsidR="00B23B94" w:rsidRDefault="003B2D3B">
            <w:pPr>
              <w:pStyle w:val="TableParagraph"/>
              <w:spacing w:before="1"/>
              <w:ind w:left="2"/>
              <w:rPr>
                <w:b/>
                <w:sz w:val="24"/>
              </w:rPr>
            </w:pPr>
            <w:r>
              <w:rPr>
                <w:b/>
                <w:sz w:val="24"/>
              </w:rPr>
              <w:t>%</w:t>
            </w:r>
          </w:p>
        </w:tc>
        <w:tc>
          <w:tcPr>
            <w:tcW w:w="718" w:type="dxa"/>
          </w:tcPr>
          <w:p w:rsidR="00B23B94" w:rsidRDefault="003B2D3B">
            <w:pPr>
              <w:pStyle w:val="TableParagraph"/>
              <w:spacing w:before="1"/>
              <w:ind w:left="98" w:right="100"/>
              <w:rPr>
                <w:b/>
                <w:sz w:val="24"/>
              </w:rPr>
            </w:pPr>
            <w:r>
              <w:rPr>
                <w:b/>
                <w:sz w:val="24"/>
              </w:rPr>
              <w:t>абс.</w:t>
            </w:r>
          </w:p>
        </w:tc>
        <w:tc>
          <w:tcPr>
            <w:tcW w:w="702" w:type="dxa"/>
          </w:tcPr>
          <w:p w:rsidR="00B23B94" w:rsidRDefault="003B2D3B">
            <w:pPr>
              <w:pStyle w:val="TableParagraph"/>
              <w:spacing w:before="1"/>
              <w:ind w:left="221"/>
              <w:jc w:val="left"/>
              <w:rPr>
                <w:b/>
                <w:sz w:val="24"/>
              </w:rPr>
            </w:pPr>
            <w:r>
              <w:rPr>
                <w:b/>
                <w:sz w:val="24"/>
              </w:rPr>
              <w:t>%</w:t>
            </w:r>
          </w:p>
        </w:tc>
        <w:tc>
          <w:tcPr>
            <w:tcW w:w="628" w:type="dxa"/>
          </w:tcPr>
          <w:p w:rsidR="00B23B94" w:rsidRDefault="003B2D3B">
            <w:pPr>
              <w:pStyle w:val="TableParagraph"/>
              <w:spacing w:before="1"/>
              <w:ind w:left="83" w:right="88"/>
              <w:rPr>
                <w:b/>
                <w:sz w:val="24"/>
              </w:rPr>
            </w:pPr>
            <w:r>
              <w:rPr>
                <w:b/>
                <w:sz w:val="24"/>
              </w:rPr>
              <w:t>абс.</w:t>
            </w:r>
          </w:p>
        </w:tc>
        <w:tc>
          <w:tcPr>
            <w:tcW w:w="708" w:type="dxa"/>
            <w:tcBorders>
              <w:right w:val="single" w:sz="6" w:space="0" w:color="000000"/>
            </w:tcBorders>
          </w:tcPr>
          <w:p w:rsidR="00B23B94" w:rsidRDefault="003B2D3B">
            <w:pPr>
              <w:pStyle w:val="TableParagraph"/>
              <w:spacing w:before="1"/>
              <w:ind w:right="10"/>
              <w:rPr>
                <w:b/>
                <w:sz w:val="24"/>
              </w:rPr>
            </w:pPr>
            <w:r>
              <w:rPr>
                <w:b/>
                <w:sz w:val="24"/>
              </w:rPr>
              <w:t>%</w:t>
            </w:r>
          </w:p>
        </w:tc>
      </w:tr>
      <w:tr w:rsidR="00B23B94">
        <w:trPr>
          <w:trHeight w:val="485"/>
        </w:trPr>
        <w:tc>
          <w:tcPr>
            <w:tcW w:w="1313" w:type="dxa"/>
          </w:tcPr>
          <w:p w:rsidR="00B23B94" w:rsidRDefault="003B2D3B">
            <w:pPr>
              <w:pStyle w:val="TableParagraph"/>
              <w:ind w:left="110" w:right="104"/>
              <w:rPr>
                <w:sz w:val="28"/>
              </w:rPr>
            </w:pPr>
            <w:r>
              <w:rPr>
                <w:sz w:val="28"/>
              </w:rPr>
              <w:t>18-29</w:t>
            </w:r>
          </w:p>
        </w:tc>
        <w:tc>
          <w:tcPr>
            <w:tcW w:w="709" w:type="dxa"/>
          </w:tcPr>
          <w:p w:rsidR="00B23B94" w:rsidRDefault="003B2D3B">
            <w:pPr>
              <w:pStyle w:val="TableParagraph"/>
              <w:spacing w:before="35"/>
              <w:ind w:left="85" w:right="80"/>
              <w:rPr>
                <w:sz w:val="24"/>
              </w:rPr>
            </w:pPr>
            <w:r>
              <w:rPr>
                <w:sz w:val="24"/>
              </w:rPr>
              <w:t>11</w:t>
            </w:r>
          </w:p>
        </w:tc>
        <w:tc>
          <w:tcPr>
            <w:tcW w:w="638" w:type="dxa"/>
          </w:tcPr>
          <w:p w:rsidR="00B23B94" w:rsidRDefault="003B2D3B">
            <w:pPr>
              <w:pStyle w:val="TableParagraph"/>
              <w:spacing w:before="35"/>
              <w:ind w:left="89" w:right="78"/>
              <w:rPr>
                <w:sz w:val="24"/>
              </w:rPr>
            </w:pPr>
            <w:r>
              <w:rPr>
                <w:sz w:val="24"/>
              </w:rPr>
              <w:t>12,7</w:t>
            </w:r>
          </w:p>
        </w:tc>
        <w:tc>
          <w:tcPr>
            <w:tcW w:w="715" w:type="dxa"/>
          </w:tcPr>
          <w:p w:rsidR="00B23B94" w:rsidRDefault="003B2D3B">
            <w:pPr>
              <w:pStyle w:val="TableParagraph"/>
              <w:spacing w:before="35"/>
              <w:ind w:left="4"/>
              <w:rPr>
                <w:sz w:val="24"/>
              </w:rPr>
            </w:pPr>
            <w:r>
              <w:rPr>
                <w:sz w:val="24"/>
              </w:rPr>
              <w:t>3</w:t>
            </w:r>
          </w:p>
        </w:tc>
        <w:tc>
          <w:tcPr>
            <w:tcW w:w="629" w:type="dxa"/>
          </w:tcPr>
          <w:p w:rsidR="00B23B94" w:rsidRDefault="003B2D3B">
            <w:pPr>
              <w:pStyle w:val="TableParagraph"/>
              <w:spacing w:before="35"/>
              <w:ind w:left="82" w:right="76"/>
              <w:rPr>
                <w:sz w:val="24"/>
              </w:rPr>
            </w:pPr>
            <w:r>
              <w:rPr>
                <w:sz w:val="24"/>
              </w:rPr>
              <w:t>3,4</w:t>
            </w:r>
          </w:p>
        </w:tc>
        <w:tc>
          <w:tcPr>
            <w:tcW w:w="717" w:type="dxa"/>
          </w:tcPr>
          <w:p w:rsidR="00B23B94" w:rsidRDefault="003B2D3B">
            <w:pPr>
              <w:pStyle w:val="TableParagraph"/>
              <w:ind w:left="4"/>
              <w:rPr>
                <w:sz w:val="28"/>
              </w:rPr>
            </w:pPr>
            <w:r>
              <w:rPr>
                <w:sz w:val="28"/>
              </w:rPr>
              <w:t>2</w:t>
            </w:r>
          </w:p>
        </w:tc>
        <w:tc>
          <w:tcPr>
            <w:tcW w:w="701" w:type="dxa"/>
          </w:tcPr>
          <w:p w:rsidR="00B23B94" w:rsidRDefault="003B2D3B">
            <w:pPr>
              <w:pStyle w:val="TableParagraph"/>
              <w:ind w:left="80" w:right="79"/>
              <w:rPr>
                <w:sz w:val="28"/>
              </w:rPr>
            </w:pPr>
            <w:r>
              <w:rPr>
                <w:sz w:val="28"/>
              </w:rPr>
              <w:t>11,8</w:t>
            </w:r>
          </w:p>
        </w:tc>
        <w:tc>
          <w:tcPr>
            <w:tcW w:w="715" w:type="dxa"/>
          </w:tcPr>
          <w:p w:rsidR="00B23B94" w:rsidRDefault="003B2D3B">
            <w:pPr>
              <w:pStyle w:val="TableParagraph"/>
              <w:ind w:right="1"/>
              <w:rPr>
                <w:sz w:val="28"/>
              </w:rPr>
            </w:pPr>
            <w:r>
              <w:rPr>
                <w:sz w:val="28"/>
              </w:rPr>
              <w:t>-</w:t>
            </w:r>
          </w:p>
        </w:tc>
        <w:tc>
          <w:tcPr>
            <w:tcW w:w="701" w:type="dxa"/>
          </w:tcPr>
          <w:p w:rsidR="00B23B94" w:rsidRDefault="003B2D3B">
            <w:pPr>
              <w:pStyle w:val="TableParagraph"/>
              <w:rPr>
                <w:sz w:val="28"/>
              </w:rPr>
            </w:pPr>
            <w:r>
              <w:rPr>
                <w:sz w:val="28"/>
              </w:rPr>
              <w:t>-</w:t>
            </w:r>
          </w:p>
        </w:tc>
        <w:tc>
          <w:tcPr>
            <w:tcW w:w="718" w:type="dxa"/>
          </w:tcPr>
          <w:p w:rsidR="00B23B94" w:rsidRDefault="003B2D3B">
            <w:pPr>
              <w:pStyle w:val="TableParagraph"/>
              <w:ind w:right="2"/>
              <w:rPr>
                <w:sz w:val="28"/>
              </w:rPr>
            </w:pPr>
            <w:r>
              <w:rPr>
                <w:sz w:val="28"/>
              </w:rPr>
              <w:t>2</w:t>
            </w:r>
          </w:p>
        </w:tc>
        <w:tc>
          <w:tcPr>
            <w:tcW w:w="702" w:type="dxa"/>
          </w:tcPr>
          <w:p w:rsidR="00B23B94" w:rsidRDefault="003B2D3B">
            <w:pPr>
              <w:pStyle w:val="TableParagraph"/>
              <w:ind w:left="166"/>
              <w:jc w:val="left"/>
              <w:rPr>
                <w:sz w:val="28"/>
              </w:rPr>
            </w:pPr>
            <w:r>
              <w:rPr>
                <w:sz w:val="28"/>
              </w:rPr>
              <w:t>8,7</w:t>
            </w:r>
          </w:p>
        </w:tc>
        <w:tc>
          <w:tcPr>
            <w:tcW w:w="628" w:type="dxa"/>
          </w:tcPr>
          <w:p w:rsidR="00B23B94" w:rsidRDefault="003B2D3B">
            <w:pPr>
              <w:pStyle w:val="TableParagraph"/>
              <w:rPr>
                <w:sz w:val="28"/>
              </w:rPr>
            </w:pPr>
            <w:r>
              <w:rPr>
                <w:sz w:val="28"/>
              </w:rPr>
              <w:t>1</w:t>
            </w:r>
          </w:p>
        </w:tc>
        <w:tc>
          <w:tcPr>
            <w:tcW w:w="708" w:type="dxa"/>
            <w:tcBorders>
              <w:right w:val="single" w:sz="6" w:space="0" w:color="000000"/>
            </w:tcBorders>
          </w:tcPr>
          <w:p w:rsidR="00B23B94" w:rsidRDefault="003B2D3B">
            <w:pPr>
              <w:pStyle w:val="TableParagraph"/>
              <w:ind w:left="77" w:right="86"/>
              <w:rPr>
                <w:sz w:val="28"/>
              </w:rPr>
            </w:pPr>
            <w:r>
              <w:rPr>
                <w:sz w:val="28"/>
              </w:rPr>
              <w:t>4,35</w:t>
            </w:r>
          </w:p>
        </w:tc>
      </w:tr>
      <w:tr w:rsidR="00B23B94">
        <w:trPr>
          <w:trHeight w:val="481"/>
        </w:trPr>
        <w:tc>
          <w:tcPr>
            <w:tcW w:w="1313" w:type="dxa"/>
          </w:tcPr>
          <w:p w:rsidR="00B23B94" w:rsidRDefault="003B2D3B">
            <w:pPr>
              <w:pStyle w:val="TableParagraph"/>
              <w:ind w:left="110" w:right="104"/>
              <w:rPr>
                <w:sz w:val="28"/>
              </w:rPr>
            </w:pPr>
            <w:r>
              <w:rPr>
                <w:sz w:val="28"/>
              </w:rPr>
              <w:t>29-39</w:t>
            </w:r>
          </w:p>
        </w:tc>
        <w:tc>
          <w:tcPr>
            <w:tcW w:w="709" w:type="dxa"/>
          </w:tcPr>
          <w:p w:rsidR="00B23B94" w:rsidRDefault="003B2D3B">
            <w:pPr>
              <w:pStyle w:val="TableParagraph"/>
              <w:spacing w:before="32"/>
              <w:ind w:left="85" w:right="80"/>
              <w:rPr>
                <w:sz w:val="24"/>
              </w:rPr>
            </w:pPr>
            <w:r>
              <w:rPr>
                <w:sz w:val="24"/>
              </w:rPr>
              <w:t>13</w:t>
            </w:r>
          </w:p>
        </w:tc>
        <w:tc>
          <w:tcPr>
            <w:tcW w:w="638" w:type="dxa"/>
          </w:tcPr>
          <w:p w:rsidR="00B23B94" w:rsidRDefault="003B2D3B">
            <w:pPr>
              <w:pStyle w:val="TableParagraph"/>
              <w:spacing w:before="32"/>
              <w:ind w:left="89" w:right="78"/>
              <w:rPr>
                <w:sz w:val="24"/>
              </w:rPr>
            </w:pPr>
            <w:r>
              <w:rPr>
                <w:sz w:val="24"/>
              </w:rPr>
              <w:t>14,9</w:t>
            </w:r>
          </w:p>
        </w:tc>
        <w:tc>
          <w:tcPr>
            <w:tcW w:w="715" w:type="dxa"/>
          </w:tcPr>
          <w:p w:rsidR="00B23B94" w:rsidRDefault="003B2D3B">
            <w:pPr>
              <w:pStyle w:val="TableParagraph"/>
              <w:spacing w:before="32"/>
              <w:ind w:left="4"/>
              <w:rPr>
                <w:sz w:val="24"/>
              </w:rPr>
            </w:pPr>
            <w:r>
              <w:rPr>
                <w:sz w:val="24"/>
              </w:rPr>
              <w:t>6</w:t>
            </w:r>
          </w:p>
        </w:tc>
        <w:tc>
          <w:tcPr>
            <w:tcW w:w="629" w:type="dxa"/>
          </w:tcPr>
          <w:p w:rsidR="00B23B94" w:rsidRDefault="003B2D3B">
            <w:pPr>
              <w:pStyle w:val="TableParagraph"/>
              <w:spacing w:before="32"/>
              <w:ind w:left="82" w:right="76"/>
              <w:rPr>
                <w:sz w:val="24"/>
              </w:rPr>
            </w:pPr>
            <w:r>
              <w:rPr>
                <w:sz w:val="24"/>
              </w:rPr>
              <w:t>6,9</w:t>
            </w:r>
          </w:p>
        </w:tc>
        <w:tc>
          <w:tcPr>
            <w:tcW w:w="717" w:type="dxa"/>
          </w:tcPr>
          <w:p w:rsidR="00B23B94" w:rsidRDefault="003B2D3B">
            <w:pPr>
              <w:pStyle w:val="TableParagraph"/>
              <w:ind w:left="4"/>
              <w:rPr>
                <w:sz w:val="28"/>
              </w:rPr>
            </w:pPr>
            <w:r>
              <w:rPr>
                <w:sz w:val="28"/>
              </w:rPr>
              <w:t>3</w:t>
            </w:r>
          </w:p>
        </w:tc>
        <w:tc>
          <w:tcPr>
            <w:tcW w:w="701" w:type="dxa"/>
          </w:tcPr>
          <w:p w:rsidR="00B23B94" w:rsidRDefault="003B2D3B">
            <w:pPr>
              <w:pStyle w:val="TableParagraph"/>
              <w:ind w:left="80" w:right="79"/>
              <w:rPr>
                <w:sz w:val="28"/>
              </w:rPr>
            </w:pPr>
            <w:r>
              <w:rPr>
                <w:sz w:val="28"/>
              </w:rPr>
              <w:t>17,6</w:t>
            </w:r>
          </w:p>
        </w:tc>
        <w:tc>
          <w:tcPr>
            <w:tcW w:w="715" w:type="dxa"/>
          </w:tcPr>
          <w:p w:rsidR="00B23B94" w:rsidRDefault="003B2D3B">
            <w:pPr>
              <w:pStyle w:val="TableParagraph"/>
              <w:rPr>
                <w:sz w:val="28"/>
              </w:rPr>
            </w:pPr>
            <w:r>
              <w:rPr>
                <w:sz w:val="28"/>
              </w:rPr>
              <w:t>1</w:t>
            </w:r>
          </w:p>
        </w:tc>
        <w:tc>
          <w:tcPr>
            <w:tcW w:w="701" w:type="dxa"/>
          </w:tcPr>
          <w:p w:rsidR="00B23B94" w:rsidRDefault="003B2D3B">
            <w:pPr>
              <w:pStyle w:val="TableParagraph"/>
              <w:ind w:left="81" w:right="78"/>
              <w:rPr>
                <w:sz w:val="28"/>
              </w:rPr>
            </w:pPr>
            <w:r>
              <w:rPr>
                <w:sz w:val="28"/>
              </w:rPr>
              <w:t>5,9</w:t>
            </w:r>
          </w:p>
        </w:tc>
        <w:tc>
          <w:tcPr>
            <w:tcW w:w="718" w:type="dxa"/>
          </w:tcPr>
          <w:p w:rsidR="00B23B94" w:rsidRDefault="003B2D3B">
            <w:pPr>
              <w:pStyle w:val="TableParagraph"/>
              <w:ind w:right="2"/>
              <w:rPr>
                <w:sz w:val="28"/>
              </w:rPr>
            </w:pPr>
            <w:r>
              <w:rPr>
                <w:sz w:val="28"/>
              </w:rPr>
              <w:t>3</w:t>
            </w:r>
          </w:p>
        </w:tc>
        <w:tc>
          <w:tcPr>
            <w:tcW w:w="702" w:type="dxa"/>
          </w:tcPr>
          <w:p w:rsidR="00B23B94" w:rsidRDefault="003B2D3B">
            <w:pPr>
              <w:pStyle w:val="TableParagraph"/>
              <w:ind w:left="96"/>
              <w:jc w:val="left"/>
              <w:rPr>
                <w:sz w:val="28"/>
              </w:rPr>
            </w:pPr>
            <w:r>
              <w:rPr>
                <w:sz w:val="28"/>
              </w:rPr>
              <w:t>13,0</w:t>
            </w:r>
          </w:p>
        </w:tc>
        <w:tc>
          <w:tcPr>
            <w:tcW w:w="628" w:type="dxa"/>
          </w:tcPr>
          <w:p w:rsidR="00B23B94" w:rsidRDefault="003B2D3B">
            <w:pPr>
              <w:pStyle w:val="TableParagraph"/>
              <w:rPr>
                <w:sz w:val="28"/>
              </w:rPr>
            </w:pPr>
            <w:r>
              <w:rPr>
                <w:sz w:val="28"/>
              </w:rPr>
              <w:t>1</w:t>
            </w:r>
          </w:p>
        </w:tc>
        <w:tc>
          <w:tcPr>
            <w:tcW w:w="708" w:type="dxa"/>
            <w:tcBorders>
              <w:right w:val="single" w:sz="6" w:space="0" w:color="000000"/>
            </w:tcBorders>
          </w:tcPr>
          <w:p w:rsidR="00B23B94" w:rsidRDefault="003B2D3B">
            <w:pPr>
              <w:pStyle w:val="TableParagraph"/>
              <w:ind w:left="77" w:right="86"/>
              <w:rPr>
                <w:sz w:val="28"/>
              </w:rPr>
            </w:pPr>
            <w:r>
              <w:rPr>
                <w:sz w:val="28"/>
              </w:rPr>
              <w:t>4,35</w:t>
            </w:r>
          </w:p>
        </w:tc>
      </w:tr>
      <w:tr w:rsidR="00B23B94">
        <w:trPr>
          <w:trHeight w:val="482"/>
        </w:trPr>
        <w:tc>
          <w:tcPr>
            <w:tcW w:w="1313" w:type="dxa"/>
          </w:tcPr>
          <w:p w:rsidR="00B23B94" w:rsidRDefault="003B2D3B">
            <w:pPr>
              <w:pStyle w:val="TableParagraph"/>
              <w:ind w:left="110" w:right="104"/>
              <w:rPr>
                <w:sz w:val="28"/>
              </w:rPr>
            </w:pPr>
            <w:r>
              <w:rPr>
                <w:sz w:val="28"/>
              </w:rPr>
              <w:t>40-49</w:t>
            </w:r>
          </w:p>
        </w:tc>
        <w:tc>
          <w:tcPr>
            <w:tcW w:w="709" w:type="dxa"/>
          </w:tcPr>
          <w:p w:rsidR="00B23B94" w:rsidRDefault="003B2D3B">
            <w:pPr>
              <w:pStyle w:val="TableParagraph"/>
              <w:spacing w:before="32"/>
              <w:ind w:left="5"/>
              <w:rPr>
                <w:sz w:val="24"/>
              </w:rPr>
            </w:pPr>
            <w:r>
              <w:rPr>
                <w:sz w:val="24"/>
              </w:rPr>
              <w:t>4</w:t>
            </w:r>
          </w:p>
        </w:tc>
        <w:tc>
          <w:tcPr>
            <w:tcW w:w="638" w:type="dxa"/>
          </w:tcPr>
          <w:p w:rsidR="00B23B94" w:rsidRDefault="003B2D3B">
            <w:pPr>
              <w:pStyle w:val="TableParagraph"/>
              <w:spacing w:before="32"/>
              <w:ind w:left="89" w:right="78"/>
              <w:rPr>
                <w:sz w:val="24"/>
              </w:rPr>
            </w:pPr>
            <w:r>
              <w:rPr>
                <w:sz w:val="24"/>
              </w:rPr>
              <w:t>4,6</w:t>
            </w:r>
          </w:p>
        </w:tc>
        <w:tc>
          <w:tcPr>
            <w:tcW w:w="715" w:type="dxa"/>
          </w:tcPr>
          <w:p w:rsidR="00B23B94" w:rsidRDefault="003B2D3B">
            <w:pPr>
              <w:pStyle w:val="TableParagraph"/>
              <w:spacing w:before="32"/>
              <w:ind w:left="4"/>
              <w:rPr>
                <w:sz w:val="24"/>
              </w:rPr>
            </w:pPr>
            <w:r>
              <w:rPr>
                <w:sz w:val="24"/>
              </w:rPr>
              <w:t>2</w:t>
            </w:r>
          </w:p>
        </w:tc>
        <w:tc>
          <w:tcPr>
            <w:tcW w:w="629" w:type="dxa"/>
          </w:tcPr>
          <w:p w:rsidR="00B23B94" w:rsidRDefault="003B2D3B">
            <w:pPr>
              <w:pStyle w:val="TableParagraph"/>
              <w:spacing w:before="32"/>
              <w:ind w:left="82" w:right="76"/>
              <w:rPr>
                <w:sz w:val="24"/>
              </w:rPr>
            </w:pPr>
            <w:r>
              <w:rPr>
                <w:sz w:val="24"/>
              </w:rPr>
              <w:t>2,3</w:t>
            </w:r>
          </w:p>
        </w:tc>
        <w:tc>
          <w:tcPr>
            <w:tcW w:w="717" w:type="dxa"/>
          </w:tcPr>
          <w:p w:rsidR="00B23B94" w:rsidRDefault="003B2D3B">
            <w:pPr>
              <w:pStyle w:val="TableParagraph"/>
              <w:ind w:left="4"/>
              <w:rPr>
                <w:sz w:val="28"/>
              </w:rPr>
            </w:pPr>
            <w:r>
              <w:rPr>
                <w:sz w:val="28"/>
              </w:rPr>
              <w:t>2</w:t>
            </w:r>
          </w:p>
        </w:tc>
        <w:tc>
          <w:tcPr>
            <w:tcW w:w="701" w:type="dxa"/>
          </w:tcPr>
          <w:p w:rsidR="00B23B94" w:rsidRDefault="003B2D3B">
            <w:pPr>
              <w:pStyle w:val="TableParagraph"/>
              <w:ind w:left="80" w:right="79"/>
              <w:rPr>
                <w:sz w:val="28"/>
              </w:rPr>
            </w:pPr>
            <w:r>
              <w:rPr>
                <w:sz w:val="28"/>
              </w:rPr>
              <w:t>11,8</w:t>
            </w:r>
          </w:p>
        </w:tc>
        <w:tc>
          <w:tcPr>
            <w:tcW w:w="715" w:type="dxa"/>
          </w:tcPr>
          <w:p w:rsidR="00B23B94" w:rsidRDefault="003B2D3B">
            <w:pPr>
              <w:pStyle w:val="TableParagraph"/>
              <w:rPr>
                <w:sz w:val="28"/>
              </w:rPr>
            </w:pPr>
            <w:r>
              <w:rPr>
                <w:sz w:val="28"/>
              </w:rPr>
              <w:t>1</w:t>
            </w:r>
          </w:p>
        </w:tc>
        <w:tc>
          <w:tcPr>
            <w:tcW w:w="701" w:type="dxa"/>
          </w:tcPr>
          <w:p w:rsidR="00B23B94" w:rsidRDefault="003B2D3B">
            <w:pPr>
              <w:pStyle w:val="TableParagraph"/>
              <w:ind w:left="81" w:right="78"/>
              <w:rPr>
                <w:sz w:val="28"/>
              </w:rPr>
            </w:pPr>
            <w:r>
              <w:rPr>
                <w:sz w:val="28"/>
              </w:rPr>
              <w:t>5,9</w:t>
            </w:r>
          </w:p>
        </w:tc>
        <w:tc>
          <w:tcPr>
            <w:tcW w:w="718" w:type="dxa"/>
          </w:tcPr>
          <w:p w:rsidR="00B23B94" w:rsidRDefault="003B2D3B">
            <w:pPr>
              <w:pStyle w:val="TableParagraph"/>
              <w:ind w:right="2"/>
              <w:rPr>
                <w:sz w:val="28"/>
              </w:rPr>
            </w:pPr>
            <w:r>
              <w:rPr>
                <w:sz w:val="28"/>
              </w:rPr>
              <w:t>2</w:t>
            </w:r>
          </w:p>
        </w:tc>
        <w:tc>
          <w:tcPr>
            <w:tcW w:w="702" w:type="dxa"/>
          </w:tcPr>
          <w:p w:rsidR="00B23B94" w:rsidRDefault="003B2D3B">
            <w:pPr>
              <w:pStyle w:val="TableParagraph"/>
              <w:ind w:left="166"/>
              <w:jc w:val="left"/>
              <w:rPr>
                <w:sz w:val="28"/>
              </w:rPr>
            </w:pPr>
            <w:r>
              <w:rPr>
                <w:sz w:val="28"/>
              </w:rPr>
              <w:t>8,7</w:t>
            </w:r>
          </w:p>
        </w:tc>
        <w:tc>
          <w:tcPr>
            <w:tcW w:w="628" w:type="dxa"/>
          </w:tcPr>
          <w:p w:rsidR="00B23B94" w:rsidRDefault="003B2D3B">
            <w:pPr>
              <w:pStyle w:val="TableParagraph"/>
              <w:rPr>
                <w:sz w:val="28"/>
              </w:rPr>
            </w:pPr>
            <w:r>
              <w:rPr>
                <w:sz w:val="28"/>
              </w:rPr>
              <w:t>1</w:t>
            </w:r>
          </w:p>
        </w:tc>
        <w:tc>
          <w:tcPr>
            <w:tcW w:w="708" w:type="dxa"/>
            <w:tcBorders>
              <w:right w:val="single" w:sz="6" w:space="0" w:color="000000"/>
            </w:tcBorders>
          </w:tcPr>
          <w:p w:rsidR="00B23B94" w:rsidRDefault="003B2D3B">
            <w:pPr>
              <w:pStyle w:val="TableParagraph"/>
              <w:ind w:left="77" w:right="86"/>
              <w:rPr>
                <w:sz w:val="28"/>
              </w:rPr>
            </w:pPr>
            <w:r>
              <w:rPr>
                <w:sz w:val="28"/>
              </w:rPr>
              <w:t>4,35</w:t>
            </w:r>
          </w:p>
        </w:tc>
      </w:tr>
      <w:tr w:rsidR="00B23B94">
        <w:trPr>
          <w:trHeight w:val="484"/>
        </w:trPr>
        <w:tc>
          <w:tcPr>
            <w:tcW w:w="1313" w:type="dxa"/>
          </w:tcPr>
          <w:p w:rsidR="00B23B94" w:rsidRDefault="003B2D3B">
            <w:pPr>
              <w:pStyle w:val="TableParagraph"/>
              <w:ind w:left="110" w:right="104"/>
              <w:rPr>
                <w:sz w:val="28"/>
              </w:rPr>
            </w:pPr>
            <w:r>
              <w:rPr>
                <w:sz w:val="28"/>
              </w:rPr>
              <w:t>50-59</w:t>
            </w:r>
          </w:p>
        </w:tc>
        <w:tc>
          <w:tcPr>
            <w:tcW w:w="709" w:type="dxa"/>
          </w:tcPr>
          <w:p w:rsidR="00B23B94" w:rsidRDefault="003B2D3B">
            <w:pPr>
              <w:pStyle w:val="TableParagraph"/>
              <w:spacing w:before="35"/>
              <w:ind w:left="85" w:right="80"/>
              <w:rPr>
                <w:sz w:val="24"/>
              </w:rPr>
            </w:pPr>
            <w:r>
              <w:rPr>
                <w:sz w:val="24"/>
              </w:rPr>
              <w:t>19</w:t>
            </w:r>
          </w:p>
        </w:tc>
        <w:tc>
          <w:tcPr>
            <w:tcW w:w="638" w:type="dxa"/>
          </w:tcPr>
          <w:p w:rsidR="00B23B94" w:rsidRDefault="003B2D3B">
            <w:pPr>
              <w:pStyle w:val="TableParagraph"/>
              <w:spacing w:before="35"/>
              <w:ind w:left="89" w:right="78"/>
              <w:rPr>
                <w:sz w:val="24"/>
              </w:rPr>
            </w:pPr>
            <w:r>
              <w:rPr>
                <w:sz w:val="24"/>
              </w:rPr>
              <w:t>21,8</w:t>
            </w:r>
          </w:p>
        </w:tc>
        <w:tc>
          <w:tcPr>
            <w:tcW w:w="715" w:type="dxa"/>
          </w:tcPr>
          <w:p w:rsidR="00B23B94" w:rsidRDefault="003B2D3B">
            <w:pPr>
              <w:pStyle w:val="TableParagraph"/>
              <w:spacing w:before="35"/>
              <w:ind w:left="4"/>
              <w:rPr>
                <w:sz w:val="24"/>
              </w:rPr>
            </w:pPr>
            <w:r>
              <w:rPr>
                <w:sz w:val="24"/>
              </w:rPr>
              <w:t>9</w:t>
            </w:r>
          </w:p>
        </w:tc>
        <w:tc>
          <w:tcPr>
            <w:tcW w:w="629" w:type="dxa"/>
          </w:tcPr>
          <w:p w:rsidR="00B23B94" w:rsidRDefault="003B2D3B">
            <w:pPr>
              <w:pStyle w:val="TableParagraph"/>
              <w:spacing w:before="35"/>
              <w:ind w:left="82" w:right="76"/>
              <w:rPr>
                <w:sz w:val="24"/>
              </w:rPr>
            </w:pPr>
            <w:r>
              <w:rPr>
                <w:sz w:val="24"/>
              </w:rPr>
              <w:t>10,3</w:t>
            </w:r>
          </w:p>
        </w:tc>
        <w:tc>
          <w:tcPr>
            <w:tcW w:w="717" w:type="dxa"/>
          </w:tcPr>
          <w:p w:rsidR="00B23B94" w:rsidRDefault="003B2D3B">
            <w:pPr>
              <w:pStyle w:val="TableParagraph"/>
              <w:ind w:left="4"/>
              <w:rPr>
                <w:sz w:val="28"/>
              </w:rPr>
            </w:pPr>
            <w:r>
              <w:rPr>
                <w:sz w:val="28"/>
              </w:rPr>
              <w:t>4</w:t>
            </w:r>
          </w:p>
        </w:tc>
        <w:tc>
          <w:tcPr>
            <w:tcW w:w="701" w:type="dxa"/>
          </w:tcPr>
          <w:p w:rsidR="00B23B94" w:rsidRDefault="003B2D3B">
            <w:pPr>
              <w:pStyle w:val="TableParagraph"/>
              <w:ind w:left="80" w:right="79"/>
              <w:rPr>
                <w:sz w:val="28"/>
              </w:rPr>
            </w:pPr>
            <w:r>
              <w:rPr>
                <w:sz w:val="28"/>
              </w:rPr>
              <w:t>17,6</w:t>
            </w:r>
          </w:p>
        </w:tc>
        <w:tc>
          <w:tcPr>
            <w:tcW w:w="715" w:type="dxa"/>
          </w:tcPr>
          <w:p w:rsidR="00B23B94" w:rsidRDefault="003B2D3B">
            <w:pPr>
              <w:pStyle w:val="TableParagraph"/>
              <w:rPr>
                <w:sz w:val="28"/>
              </w:rPr>
            </w:pPr>
            <w:r>
              <w:rPr>
                <w:sz w:val="28"/>
              </w:rPr>
              <w:t>1</w:t>
            </w:r>
          </w:p>
        </w:tc>
        <w:tc>
          <w:tcPr>
            <w:tcW w:w="701" w:type="dxa"/>
          </w:tcPr>
          <w:p w:rsidR="00B23B94" w:rsidRDefault="003B2D3B">
            <w:pPr>
              <w:pStyle w:val="TableParagraph"/>
              <w:ind w:left="81" w:right="78"/>
              <w:rPr>
                <w:sz w:val="28"/>
              </w:rPr>
            </w:pPr>
            <w:r>
              <w:rPr>
                <w:sz w:val="28"/>
              </w:rPr>
              <w:t>5,9</w:t>
            </w:r>
          </w:p>
        </w:tc>
        <w:tc>
          <w:tcPr>
            <w:tcW w:w="718" w:type="dxa"/>
          </w:tcPr>
          <w:p w:rsidR="00B23B94" w:rsidRDefault="003B2D3B">
            <w:pPr>
              <w:pStyle w:val="TableParagraph"/>
              <w:ind w:right="2"/>
              <w:rPr>
                <w:sz w:val="28"/>
              </w:rPr>
            </w:pPr>
            <w:r>
              <w:rPr>
                <w:sz w:val="28"/>
              </w:rPr>
              <w:t>5</w:t>
            </w:r>
          </w:p>
        </w:tc>
        <w:tc>
          <w:tcPr>
            <w:tcW w:w="702" w:type="dxa"/>
          </w:tcPr>
          <w:p w:rsidR="00B23B94" w:rsidRDefault="003B2D3B">
            <w:pPr>
              <w:pStyle w:val="TableParagraph"/>
              <w:ind w:left="96"/>
              <w:jc w:val="left"/>
              <w:rPr>
                <w:sz w:val="28"/>
              </w:rPr>
            </w:pPr>
            <w:r>
              <w:rPr>
                <w:sz w:val="28"/>
              </w:rPr>
              <w:t>13,0</w:t>
            </w:r>
          </w:p>
        </w:tc>
        <w:tc>
          <w:tcPr>
            <w:tcW w:w="628" w:type="dxa"/>
          </w:tcPr>
          <w:p w:rsidR="00B23B94" w:rsidRDefault="003B2D3B">
            <w:pPr>
              <w:pStyle w:val="TableParagraph"/>
              <w:rPr>
                <w:sz w:val="28"/>
              </w:rPr>
            </w:pPr>
            <w:r>
              <w:rPr>
                <w:sz w:val="28"/>
              </w:rPr>
              <w:t>2</w:t>
            </w:r>
          </w:p>
        </w:tc>
        <w:tc>
          <w:tcPr>
            <w:tcW w:w="708" w:type="dxa"/>
            <w:tcBorders>
              <w:right w:val="single" w:sz="6" w:space="0" w:color="000000"/>
            </w:tcBorders>
          </w:tcPr>
          <w:p w:rsidR="00B23B94" w:rsidRDefault="003B2D3B">
            <w:pPr>
              <w:pStyle w:val="TableParagraph"/>
              <w:ind w:left="77" w:right="86"/>
              <w:rPr>
                <w:sz w:val="28"/>
              </w:rPr>
            </w:pPr>
            <w:r>
              <w:rPr>
                <w:sz w:val="28"/>
              </w:rPr>
              <w:t>8,75</w:t>
            </w:r>
          </w:p>
        </w:tc>
      </w:tr>
      <w:tr w:rsidR="00B23B94">
        <w:trPr>
          <w:trHeight w:val="482"/>
        </w:trPr>
        <w:tc>
          <w:tcPr>
            <w:tcW w:w="1313" w:type="dxa"/>
          </w:tcPr>
          <w:p w:rsidR="00B23B94" w:rsidRDefault="003B2D3B">
            <w:pPr>
              <w:pStyle w:val="TableParagraph"/>
              <w:ind w:left="110" w:right="104"/>
              <w:rPr>
                <w:sz w:val="28"/>
              </w:rPr>
            </w:pPr>
            <w:r>
              <w:rPr>
                <w:sz w:val="28"/>
              </w:rPr>
              <w:t>60-69</w:t>
            </w:r>
          </w:p>
        </w:tc>
        <w:tc>
          <w:tcPr>
            <w:tcW w:w="709" w:type="dxa"/>
          </w:tcPr>
          <w:p w:rsidR="00B23B94" w:rsidRDefault="003B2D3B">
            <w:pPr>
              <w:pStyle w:val="TableParagraph"/>
              <w:spacing w:before="32"/>
              <w:ind w:left="5"/>
              <w:rPr>
                <w:sz w:val="24"/>
              </w:rPr>
            </w:pPr>
            <w:r>
              <w:rPr>
                <w:sz w:val="24"/>
              </w:rPr>
              <w:t>7</w:t>
            </w:r>
          </w:p>
        </w:tc>
        <w:tc>
          <w:tcPr>
            <w:tcW w:w="638" w:type="dxa"/>
          </w:tcPr>
          <w:p w:rsidR="00B23B94" w:rsidRDefault="003B2D3B">
            <w:pPr>
              <w:pStyle w:val="TableParagraph"/>
              <w:spacing w:before="32"/>
              <w:ind w:left="89" w:right="78"/>
              <w:rPr>
                <w:sz w:val="24"/>
              </w:rPr>
            </w:pPr>
            <w:r>
              <w:rPr>
                <w:sz w:val="24"/>
              </w:rPr>
              <w:t>8,1</w:t>
            </w:r>
          </w:p>
        </w:tc>
        <w:tc>
          <w:tcPr>
            <w:tcW w:w="715" w:type="dxa"/>
          </w:tcPr>
          <w:p w:rsidR="00B23B94" w:rsidRDefault="003B2D3B">
            <w:pPr>
              <w:pStyle w:val="TableParagraph"/>
              <w:spacing w:before="32"/>
              <w:ind w:left="4"/>
              <w:rPr>
                <w:sz w:val="24"/>
              </w:rPr>
            </w:pPr>
            <w:r>
              <w:rPr>
                <w:sz w:val="24"/>
              </w:rPr>
              <w:t>6</w:t>
            </w:r>
          </w:p>
        </w:tc>
        <w:tc>
          <w:tcPr>
            <w:tcW w:w="629" w:type="dxa"/>
          </w:tcPr>
          <w:p w:rsidR="00B23B94" w:rsidRDefault="003B2D3B">
            <w:pPr>
              <w:pStyle w:val="TableParagraph"/>
              <w:spacing w:before="32"/>
              <w:ind w:left="82" w:right="76"/>
              <w:rPr>
                <w:sz w:val="24"/>
              </w:rPr>
            </w:pPr>
            <w:r>
              <w:rPr>
                <w:sz w:val="24"/>
              </w:rPr>
              <w:t>6,9</w:t>
            </w:r>
          </w:p>
        </w:tc>
        <w:tc>
          <w:tcPr>
            <w:tcW w:w="717" w:type="dxa"/>
          </w:tcPr>
          <w:p w:rsidR="00B23B94" w:rsidRDefault="003B2D3B">
            <w:pPr>
              <w:pStyle w:val="TableParagraph"/>
              <w:ind w:left="4"/>
              <w:rPr>
                <w:sz w:val="28"/>
              </w:rPr>
            </w:pPr>
            <w:r>
              <w:rPr>
                <w:sz w:val="28"/>
              </w:rPr>
              <w:t>2</w:t>
            </w:r>
          </w:p>
        </w:tc>
        <w:tc>
          <w:tcPr>
            <w:tcW w:w="701" w:type="dxa"/>
          </w:tcPr>
          <w:p w:rsidR="00B23B94" w:rsidRDefault="003B2D3B">
            <w:pPr>
              <w:pStyle w:val="TableParagraph"/>
              <w:ind w:left="80" w:right="79"/>
              <w:rPr>
                <w:sz w:val="28"/>
              </w:rPr>
            </w:pPr>
            <w:r>
              <w:rPr>
                <w:sz w:val="28"/>
              </w:rPr>
              <w:t>11,8</w:t>
            </w:r>
          </w:p>
        </w:tc>
        <w:tc>
          <w:tcPr>
            <w:tcW w:w="715" w:type="dxa"/>
          </w:tcPr>
          <w:p w:rsidR="00B23B94" w:rsidRDefault="003B2D3B">
            <w:pPr>
              <w:pStyle w:val="TableParagraph"/>
              <w:rPr>
                <w:sz w:val="28"/>
              </w:rPr>
            </w:pPr>
            <w:r>
              <w:rPr>
                <w:sz w:val="28"/>
              </w:rPr>
              <w:t>1</w:t>
            </w:r>
          </w:p>
        </w:tc>
        <w:tc>
          <w:tcPr>
            <w:tcW w:w="701" w:type="dxa"/>
          </w:tcPr>
          <w:p w:rsidR="00B23B94" w:rsidRDefault="003B2D3B">
            <w:pPr>
              <w:pStyle w:val="TableParagraph"/>
              <w:ind w:left="81" w:right="78"/>
              <w:rPr>
                <w:sz w:val="28"/>
              </w:rPr>
            </w:pPr>
            <w:r>
              <w:rPr>
                <w:sz w:val="28"/>
              </w:rPr>
              <w:t>5,9</w:t>
            </w:r>
          </w:p>
        </w:tc>
        <w:tc>
          <w:tcPr>
            <w:tcW w:w="718" w:type="dxa"/>
          </w:tcPr>
          <w:p w:rsidR="00B23B94" w:rsidRDefault="003B2D3B">
            <w:pPr>
              <w:pStyle w:val="TableParagraph"/>
              <w:ind w:right="2"/>
              <w:rPr>
                <w:sz w:val="28"/>
              </w:rPr>
            </w:pPr>
            <w:r>
              <w:rPr>
                <w:sz w:val="28"/>
              </w:rPr>
              <w:t>2</w:t>
            </w:r>
          </w:p>
        </w:tc>
        <w:tc>
          <w:tcPr>
            <w:tcW w:w="702" w:type="dxa"/>
          </w:tcPr>
          <w:p w:rsidR="00B23B94" w:rsidRDefault="003B2D3B">
            <w:pPr>
              <w:pStyle w:val="TableParagraph"/>
              <w:ind w:left="166"/>
              <w:jc w:val="left"/>
              <w:rPr>
                <w:sz w:val="28"/>
              </w:rPr>
            </w:pPr>
            <w:r>
              <w:rPr>
                <w:sz w:val="28"/>
              </w:rPr>
              <w:t>8,7</w:t>
            </w:r>
          </w:p>
        </w:tc>
        <w:tc>
          <w:tcPr>
            <w:tcW w:w="628" w:type="dxa"/>
          </w:tcPr>
          <w:p w:rsidR="00B23B94" w:rsidRDefault="003B2D3B">
            <w:pPr>
              <w:pStyle w:val="TableParagraph"/>
              <w:rPr>
                <w:sz w:val="28"/>
              </w:rPr>
            </w:pPr>
            <w:r>
              <w:rPr>
                <w:sz w:val="28"/>
              </w:rPr>
              <w:t>1</w:t>
            </w:r>
          </w:p>
        </w:tc>
        <w:tc>
          <w:tcPr>
            <w:tcW w:w="708" w:type="dxa"/>
            <w:tcBorders>
              <w:right w:val="single" w:sz="6" w:space="0" w:color="000000"/>
            </w:tcBorders>
          </w:tcPr>
          <w:p w:rsidR="00B23B94" w:rsidRDefault="003B2D3B">
            <w:pPr>
              <w:pStyle w:val="TableParagraph"/>
              <w:ind w:left="77" w:right="86"/>
              <w:rPr>
                <w:sz w:val="28"/>
              </w:rPr>
            </w:pPr>
            <w:r>
              <w:rPr>
                <w:sz w:val="28"/>
              </w:rPr>
              <w:t>4,35</w:t>
            </w:r>
          </w:p>
        </w:tc>
      </w:tr>
      <w:tr w:rsidR="00B23B94">
        <w:trPr>
          <w:trHeight w:val="484"/>
        </w:trPr>
        <w:tc>
          <w:tcPr>
            <w:tcW w:w="1313" w:type="dxa"/>
          </w:tcPr>
          <w:p w:rsidR="00B23B94" w:rsidRDefault="003B2D3B">
            <w:pPr>
              <w:pStyle w:val="TableParagraph"/>
              <w:ind w:left="110" w:right="104"/>
              <w:rPr>
                <w:sz w:val="28"/>
              </w:rPr>
            </w:pPr>
            <w:r>
              <w:rPr>
                <w:sz w:val="28"/>
              </w:rPr>
              <w:t>70-79</w:t>
            </w:r>
          </w:p>
        </w:tc>
        <w:tc>
          <w:tcPr>
            <w:tcW w:w="709" w:type="dxa"/>
          </w:tcPr>
          <w:p w:rsidR="00B23B94" w:rsidRDefault="003B2D3B">
            <w:pPr>
              <w:pStyle w:val="TableParagraph"/>
              <w:spacing w:before="35"/>
              <w:ind w:left="5"/>
              <w:rPr>
                <w:sz w:val="24"/>
              </w:rPr>
            </w:pPr>
            <w:r>
              <w:rPr>
                <w:sz w:val="24"/>
              </w:rPr>
              <w:t>4</w:t>
            </w:r>
          </w:p>
        </w:tc>
        <w:tc>
          <w:tcPr>
            <w:tcW w:w="638" w:type="dxa"/>
          </w:tcPr>
          <w:p w:rsidR="00B23B94" w:rsidRDefault="003B2D3B">
            <w:pPr>
              <w:pStyle w:val="TableParagraph"/>
              <w:spacing w:before="35"/>
              <w:ind w:left="89" w:right="78"/>
              <w:rPr>
                <w:sz w:val="24"/>
              </w:rPr>
            </w:pPr>
            <w:r>
              <w:rPr>
                <w:sz w:val="24"/>
              </w:rPr>
              <w:t>4,6</w:t>
            </w:r>
          </w:p>
        </w:tc>
        <w:tc>
          <w:tcPr>
            <w:tcW w:w="715" w:type="dxa"/>
          </w:tcPr>
          <w:p w:rsidR="00B23B94" w:rsidRDefault="003B2D3B">
            <w:pPr>
              <w:pStyle w:val="TableParagraph"/>
              <w:spacing w:before="35"/>
              <w:ind w:left="4"/>
              <w:rPr>
                <w:sz w:val="24"/>
              </w:rPr>
            </w:pPr>
            <w:r>
              <w:rPr>
                <w:sz w:val="24"/>
              </w:rPr>
              <w:t>2</w:t>
            </w:r>
          </w:p>
        </w:tc>
        <w:tc>
          <w:tcPr>
            <w:tcW w:w="629" w:type="dxa"/>
          </w:tcPr>
          <w:p w:rsidR="00B23B94" w:rsidRDefault="003B2D3B">
            <w:pPr>
              <w:pStyle w:val="TableParagraph"/>
              <w:spacing w:before="35"/>
              <w:ind w:left="82" w:right="76"/>
              <w:rPr>
                <w:sz w:val="24"/>
              </w:rPr>
            </w:pPr>
            <w:r>
              <w:rPr>
                <w:sz w:val="24"/>
              </w:rPr>
              <w:t>2,3</w:t>
            </w:r>
          </w:p>
        </w:tc>
        <w:tc>
          <w:tcPr>
            <w:tcW w:w="717" w:type="dxa"/>
          </w:tcPr>
          <w:p w:rsidR="00B23B94" w:rsidRDefault="003B2D3B">
            <w:pPr>
              <w:pStyle w:val="TableParagraph"/>
              <w:ind w:left="5"/>
              <w:rPr>
                <w:sz w:val="28"/>
              </w:rPr>
            </w:pPr>
            <w:r>
              <w:rPr>
                <w:sz w:val="28"/>
              </w:rPr>
              <w:t>-</w:t>
            </w:r>
          </w:p>
        </w:tc>
        <w:tc>
          <w:tcPr>
            <w:tcW w:w="701" w:type="dxa"/>
          </w:tcPr>
          <w:p w:rsidR="00B23B94" w:rsidRDefault="003B2D3B">
            <w:pPr>
              <w:pStyle w:val="TableParagraph"/>
              <w:ind w:right="1"/>
              <w:rPr>
                <w:sz w:val="28"/>
              </w:rPr>
            </w:pPr>
            <w:r>
              <w:rPr>
                <w:sz w:val="28"/>
              </w:rPr>
              <w:t>-</w:t>
            </w:r>
          </w:p>
        </w:tc>
        <w:tc>
          <w:tcPr>
            <w:tcW w:w="715" w:type="dxa"/>
          </w:tcPr>
          <w:p w:rsidR="00B23B94" w:rsidRDefault="003B2D3B">
            <w:pPr>
              <w:pStyle w:val="TableParagraph"/>
              <w:rPr>
                <w:sz w:val="28"/>
              </w:rPr>
            </w:pPr>
            <w:r>
              <w:rPr>
                <w:sz w:val="28"/>
              </w:rPr>
              <w:t>1</w:t>
            </w:r>
          </w:p>
        </w:tc>
        <w:tc>
          <w:tcPr>
            <w:tcW w:w="701" w:type="dxa"/>
          </w:tcPr>
          <w:p w:rsidR="00B23B94" w:rsidRDefault="003B2D3B">
            <w:pPr>
              <w:pStyle w:val="TableParagraph"/>
              <w:ind w:left="81" w:right="78"/>
              <w:rPr>
                <w:sz w:val="28"/>
              </w:rPr>
            </w:pPr>
            <w:r>
              <w:rPr>
                <w:sz w:val="28"/>
              </w:rPr>
              <w:t>5,9</w:t>
            </w:r>
          </w:p>
        </w:tc>
        <w:tc>
          <w:tcPr>
            <w:tcW w:w="718" w:type="dxa"/>
          </w:tcPr>
          <w:p w:rsidR="00B23B94" w:rsidRDefault="003B2D3B">
            <w:pPr>
              <w:pStyle w:val="TableParagraph"/>
              <w:ind w:right="2"/>
              <w:rPr>
                <w:sz w:val="28"/>
              </w:rPr>
            </w:pPr>
            <w:r>
              <w:rPr>
                <w:sz w:val="28"/>
              </w:rPr>
              <w:t>2</w:t>
            </w:r>
          </w:p>
        </w:tc>
        <w:tc>
          <w:tcPr>
            <w:tcW w:w="702" w:type="dxa"/>
          </w:tcPr>
          <w:p w:rsidR="00B23B94" w:rsidRDefault="003B2D3B">
            <w:pPr>
              <w:pStyle w:val="TableParagraph"/>
              <w:ind w:left="166"/>
              <w:jc w:val="left"/>
              <w:rPr>
                <w:sz w:val="28"/>
              </w:rPr>
            </w:pPr>
            <w:r>
              <w:rPr>
                <w:sz w:val="28"/>
              </w:rPr>
              <w:t>8,7</w:t>
            </w:r>
          </w:p>
        </w:tc>
        <w:tc>
          <w:tcPr>
            <w:tcW w:w="628" w:type="dxa"/>
          </w:tcPr>
          <w:p w:rsidR="00B23B94" w:rsidRDefault="003B2D3B">
            <w:pPr>
              <w:pStyle w:val="TableParagraph"/>
              <w:ind w:right="4"/>
              <w:rPr>
                <w:sz w:val="28"/>
              </w:rPr>
            </w:pPr>
            <w:r>
              <w:rPr>
                <w:sz w:val="28"/>
              </w:rPr>
              <w:t>-</w:t>
            </w:r>
          </w:p>
        </w:tc>
        <w:tc>
          <w:tcPr>
            <w:tcW w:w="708" w:type="dxa"/>
            <w:tcBorders>
              <w:right w:val="single" w:sz="6" w:space="0" w:color="000000"/>
            </w:tcBorders>
          </w:tcPr>
          <w:p w:rsidR="00B23B94" w:rsidRDefault="003B2D3B">
            <w:pPr>
              <w:pStyle w:val="TableParagraph"/>
              <w:ind w:right="13"/>
              <w:rPr>
                <w:sz w:val="28"/>
              </w:rPr>
            </w:pPr>
            <w:r>
              <w:rPr>
                <w:sz w:val="28"/>
              </w:rPr>
              <w:t>-</w:t>
            </w:r>
          </w:p>
        </w:tc>
      </w:tr>
      <w:tr w:rsidR="00B23B94">
        <w:trPr>
          <w:trHeight w:val="482"/>
        </w:trPr>
        <w:tc>
          <w:tcPr>
            <w:tcW w:w="1313" w:type="dxa"/>
          </w:tcPr>
          <w:p w:rsidR="00B23B94" w:rsidRDefault="003B2D3B">
            <w:pPr>
              <w:pStyle w:val="TableParagraph"/>
              <w:ind w:left="110" w:right="105"/>
              <w:rPr>
                <w:sz w:val="20"/>
              </w:rPr>
            </w:pPr>
            <w:r>
              <w:rPr>
                <w:sz w:val="28"/>
              </w:rPr>
              <w:t xml:space="preserve">80 </w:t>
            </w:r>
            <w:r>
              <w:rPr>
                <w:sz w:val="20"/>
              </w:rPr>
              <w:t>і більше</w:t>
            </w:r>
          </w:p>
        </w:tc>
        <w:tc>
          <w:tcPr>
            <w:tcW w:w="709" w:type="dxa"/>
          </w:tcPr>
          <w:p w:rsidR="00B23B94" w:rsidRDefault="003B2D3B">
            <w:pPr>
              <w:pStyle w:val="TableParagraph"/>
              <w:spacing w:before="32"/>
              <w:ind w:left="8"/>
              <w:rPr>
                <w:sz w:val="24"/>
              </w:rPr>
            </w:pPr>
            <w:r>
              <w:rPr>
                <w:w w:val="99"/>
                <w:sz w:val="24"/>
              </w:rPr>
              <w:t>-</w:t>
            </w:r>
          </w:p>
        </w:tc>
        <w:tc>
          <w:tcPr>
            <w:tcW w:w="638" w:type="dxa"/>
          </w:tcPr>
          <w:p w:rsidR="00B23B94" w:rsidRDefault="003B2D3B">
            <w:pPr>
              <w:pStyle w:val="TableParagraph"/>
              <w:spacing w:before="32"/>
              <w:ind w:left="11"/>
              <w:rPr>
                <w:sz w:val="24"/>
              </w:rPr>
            </w:pPr>
            <w:r>
              <w:rPr>
                <w:w w:val="99"/>
                <w:sz w:val="24"/>
              </w:rPr>
              <w:t>-</w:t>
            </w:r>
          </w:p>
        </w:tc>
        <w:tc>
          <w:tcPr>
            <w:tcW w:w="715" w:type="dxa"/>
          </w:tcPr>
          <w:p w:rsidR="00B23B94" w:rsidRDefault="003B2D3B">
            <w:pPr>
              <w:pStyle w:val="TableParagraph"/>
              <w:spacing w:before="32"/>
              <w:ind w:left="4"/>
              <w:rPr>
                <w:sz w:val="24"/>
              </w:rPr>
            </w:pPr>
            <w:r>
              <w:rPr>
                <w:sz w:val="24"/>
              </w:rPr>
              <w:t>1</w:t>
            </w:r>
          </w:p>
        </w:tc>
        <w:tc>
          <w:tcPr>
            <w:tcW w:w="629" w:type="dxa"/>
          </w:tcPr>
          <w:p w:rsidR="00B23B94" w:rsidRDefault="003B2D3B">
            <w:pPr>
              <w:pStyle w:val="TableParagraph"/>
              <w:spacing w:before="32"/>
              <w:ind w:left="82" w:right="76"/>
              <w:rPr>
                <w:sz w:val="24"/>
              </w:rPr>
            </w:pPr>
            <w:r>
              <w:rPr>
                <w:sz w:val="24"/>
              </w:rPr>
              <w:t>1,2</w:t>
            </w:r>
          </w:p>
        </w:tc>
        <w:tc>
          <w:tcPr>
            <w:tcW w:w="717" w:type="dxa"/>
          </w:tcPr>
          <w:p w:rsidR="00B23B94" w:rsidRDefault="003B2D3B">
            <w:pPr>
              <w:pStyle w:val="TableParagraph"/>
              <w:ind w:left="5"/>
              <w:rPr>
                <w:sz w:val="28"/>
              </w:rPr>
            </w:pPr>
            <w:r>
              <w:rPr>
                <w:sz w:val="28"/>
              </w:rPr>
              <w:t>-</w:t>
            </w:r>
          </w:p>
        </w:tc>
        <w:tc>
          <w:tcPr>
            <w:tcW w:w="701" w:type="dxa"/>
          </w:tcPr>
          <w:p w:rsidR="00B23B94" w:rsidRDefault="003B2D3B">
            <w:pPr>
              <w:pStyle w:val="TableParagraph"/>
              <w:ind w:right="1"/>
              <w:rPr>
                <w:sz w:val="28"/>
              </w:rPr>
            </w:pPr>
            <w:r>
              <w:rPr>
                <w:sz w:val="28"/>
              </w:rPr>
              <w:t>-</w:t>
            </w:r>
          </w:p>
        </w:tc>
        <w:tc>
          <w:tcPr>
            <w:tcW w:w="715" w:type="dxa"/>
          </w:tcPr>
          <w:p w:rsidR="00B23B94" w:rsidRDefault="003B2D3B">
            <w:pPr>
              <w:pStyle w:val="TableParagraph"/>
              <w:ind w:right="1"/>
              <w:rPr>
                <w:sz w:val="28"/>
              </w:rPr>
            </w:pPr>
            <w:r>
              <w:rPr>
                <w:sz w:val="28"/>
              </w:rPr>
              <w:t>-</w:t>
            </w:r>
          </w:p>
        </w:tc>
        <w:tc>
          <w:tcPr>
            <w:tcW w:w="701" w:type="dxa"/>
          </w:tcPr>
          <w:p w:rsidR="00B23B94" w:rsidRDefault="003B2D3B">
            <w:pPr>
              <w:pStyle w:val="TableParagraph"/>
              <w:rPr>
                <w:sz w:val="28"/>
              </w:rPr>
            </w:pPr>
            <w:r>
              <w:rPr>
                <w:sz w:val="28"/>
              </w:rPr>
              <w:t>-</w:t>
            </w:r>
          </w:p>
        </w:tc>
        <w:tc>
          <w:tcPr>
            <w:tcW w:w="718" w:type="dxa"/>
          </w:tcPr>
          <w:p w:rsidR="00B23B94" w:rsidRDefault="003B2D3B">
            <w:pPr>
              <w:pStyle w:val="TableParagraph"/>
              <w:ind w:right="1"/>
              <w:rPr>
                <w:sz w:val="28"/>
              </w:rPr>
            </w:pPr>
            <w:r>
              <w:rPr>
                <w:sz w:val="28"/>
              </w:rPr>
              <w:t>-</w:t>
            </w:r>
          </w:p>
        </w:tc>
        <w:tc>
          <w:tcPr>
            <w:tcW w:w="702" w:type="dxa"/>
          </w:tcPr>
          <w:p w:rsidR="00B23B94" w:rsidRDefault="003B2D3B">
            <w:pPr>
              <w:pStyle w:val="TableParagraph"/>
              <w:ind w:right="9"/>
              <w:rPr>
                <w:sz w:val="28"/>
              </w:rPr>
            </w:pPr>
            <w:r>
              <w:rPr>
                <w:sz w:val="28"/>
              </w:rPr>
              <w:t>-</w:t>
            </w:r>
          </w:p>
        </w:tc>
        <w:tc>
          <w:tcPr>
            <w:tcW w:w="628" w:type="dxa"/>
          </w:tcPr>
          <w:p w:rsidR="00B23B94" w:rsidRDefault="003B2D3B">
            <w:pPr>
              <w:pStyle w:val="TableParagraph"/>
              <w:rPr>
                <w:sz w:val="28"/>
              </w:rPr>
            </w:pPr>
            <w:r>
              <w:rPr>
                <w:sz w:val="28"/>
              </w:rPr>
              <w:t>1</w:t>
            </w:r>
          </w:p>
        </w:tc>
        <w:tc>
          <w:tcPr>
            <w:tcW w:w="708" w:type="dxa"/>
            <w:tcBorders>
              <w:right w:val="single" w:sz="6" w:space="0" w:color="000000"/>
            </w:tcBorders>
          </w:tcPr>
          <w:p w:rsidR="00B23B94" w:rsidRDefault="003B2D3B">
            <w:pPr>
              <w:pStyle w:val="TableParagraph"/>
              <w:ind w:left="77" w:right="86"/>
              <w:rPr>
                <w:sz w:val="28"/>
              </w:rPr>
            </w:pPr>
            <w:r>
              <w:rPr>
                <w:sz w:val="28"/>
              </w:rPr>
              <w:t>4,35</w:t>
            </w:r>
          </w:p>
        </w:tc>
      </w:tr>
      <w:tr w:rsidR="00B23B94">
        <w:trPr>
          <w:trHeight w:val="482"/>
        </w:trPr>
        <w:tc>
          <w:tcPr>
            <w:tcW w:w="1313" w:type="dxa"/>
          </w:tcPr>
          <w:p w:rsidR="00B23B94" w:rsidRDefault="003B2D3B">
            <w:pPr>
              <w:pStyle w:val="TableParagraph"/>
              <w:ind w:left="110" w:right="99"/>
              <w:rPr>
                <w:sz w:val="28"/>
              </w:rPr>
            </w:pPr>
            <w:r>
              <w:rPr>
                <w:sz w:val="28"/>
              </w:rPr>
              <w:t>Разом</w:t>
            </w:r>
          </w:p>
        </w:tc>
        <w:tc>
          <w:tcPr>
            <w:tcW w:w="709" w:type="dxa"/>
          </w:tcPr>
          <w:p w:rsidR="00B23B94" w:rsidRDefault="003B2D3B">
            <w:pPr>
              <w:pStyle w:val="TableParagraph"/>
              <w:spacing w:before="32"/>
              <w:ind w:left="85" w:right="80"/>
              <w:rPr>
                <w:sz w:val="24"/>
              </w:rPr>
            </w:pPr>
            <w:r>
              <w:rPr>
                <w:sz w:val="24"/>
              </w:rPr>
              <w:t>58</w:t>
            </w:r>
          </w:p>
        </w:tc>
        <w:tc>
          <w:tcPr>
            <w:tcW w:w="638" w:type="dxa"/>
          </w:tcPr>
          <w:p w:rsidR="00B23B94" w:rsidRDefault="003B2D3B">
            <w:pPr>
              <w:pStyle w:val="TableParagraph"/>
              <w:spacing w:before="32"/>
              <w:ind w:left="89" w:right="78"/>
              <w:rPr>
                <w:sz w:val="24"/>
              </w:rPr>
            </w:pPr>
            <w:r>
              <w:rPr>
                <w:sz w:val="24"/>
              </w:rPr>
              <w:t>66,7</w:t>
            </w:r>
          </w:p>
        </w:tc>
        <w:tc>
          <w:tcPr>
            <w:tcW w:w="715" w:type="dxa"/>
          </w:tcPr>
          <w:p w:rsidR="00B23B94" w:rsidRDefault="003B2D3B">
            <w:pPr>
              <w:pStyle w:val="TableParagraph"/>
              <w:spacing w:before="32"/>
              <w:ind w:left="87" w:right="83"/>
              <w:rPr>
                <w:sz w:val="24"/>
              </w:rPr>
            </w:pPr>
            <w:r>
              <w:rPr>
                <w:sz w:val="24"/>
              </w:rPr>
              <w:t>29</w:t>
            </w:r>
          </w:p>
        </w:tc>
        <w:tc>
          <w:tcPr>
            <w:tcW w:w="629" w:type="dxa"/>
          </w:tcPr>
          <w:p w:rsidR="00B23B94" w:rsidRDefault="003B2D3B">
            <w:pPr>
              <w:pStyle w:val="TableParagraph"/>
              <w:spacing w:before="32"/>
              <w:ind w:left="82" w:right="76"/>
              <w:rPr>
                <w:sz w:val="24"/>
              </w:rPr>
            </w:pPr>
            <w:r>
              <w:rPr>
                <w:sz w:val="24"/>
              </w:rPr>
              <w:t>33,3</w:t>
            </w:r>
          </w:p>
        </w:tc>
        <w:tc>
          <w:tcPr>
            <w:tcW w:w="717" w:type="dxa"/>
          </w:tcPr>
          <w:p w:rsidR="00B23B94" w:rsidRDefault="003B2D3B">
            <w:pPr>
              <w:pStyle w:val="TableParagraph"/>
              <w:ind w:right="205"/>
              <w:jc w:val="right"/>
              <w:rPr>
                <w:sz w:val="28"/>
              </w:rPr>
            </w:pPr>
            <w:r>
              <w:rPr>
                <w:sz w:val="28"/>
              </w:rPr>
              <w:t>12</w:t>
            </w:r>
          </w:p>
        </w:tc>
        <w:tc>
          <w:tcPr>
            <w:tcW w:w="701" w:type="dxa"/>
          </w:tcPr>
          <w:p w:rsidR="00B23B94" w:rsidRDefault="003B2D3B">
            <w:pPr>
              <w:pStyle w:val="TableParagraph"/>
              <w:ind w:left="80" w:right="79"/>
              <w:rPr>
                <w:sz w:val="28"/>
              </w:rPr>
            </w:pPr>
            <w:r>
              <w:rPr>
                <w:sz w:val="28"/>
              </w:rPr>
              <w:t>70,5</w:t>
            </w:r>
          </w:p>
        </w:tc>
        <w:tc>
          <w:tcPr>
            <w:tcW w:w="715" w:type="dxa"/>
          </w:tcPr>
          <w:p w:rsidR="00B23B94" w:rsidRDefault="003B2D3B">
            <w:pPr>
              <w:pStyle w:val="TableParagraph"/>
              <w:rPr>
                <w:sz w:val="28"/>
              </w:rPr>
            </w:pPr>
            <w:r>
              <w:rPr>
                <w:sz w:val="28"/>
              </w:rPr>
              <w:t>5</w:t>
            </w:r>
          </w:p>
        </w:tc>
        <w:tc>
          <w:tcPr>
            <w:tcW w:w="701" w:type="dxa"/>
          </w:tcPr>
          <w:p w:rsidR="00B23B94" w:rsidRDefault="003B2D3B">
            <w:pPr>
              <w:pStyle w:val="TableParagraph"/>
              <w:ind w:left="81" w:right="79"/>
              <w:rPr>
                <w:sz w:val="28"/>
              </w:rPr>
            </w:pPr>
            <w:r>
              <w:rPr>
                <w:sz w:val="28"/>
              </w:rPr>
              <w:t>29,5</w:t>
            </w:r>
          </w:p>
        </w:tc>
        <w:tc>
          <w:tcPr>
            <w:tcW w:w="718" w:type="dxa"/>
          </w:tcPr>
          <w:p w:rsidR="00B23B94" w:rsidRDefault="003B2D3B">
            <w:pPr>
              <w:pStyle w:val="TableParagraph"/>
              <w:ind w:left="100" w:right="100"/>
              <w:rPr>
                <w:sz w:val="28"/>
              </w:rPr>
            </w:pPr>
            <w:r>
              <w:rPr>
                <w:sz w:val="28"/>
              </w:rPr>
              <w:t>16</w:t>
            </w:r>
          </w:p>
        </w:tc>
        <w:tc>
          <w:tcPr>
            <w:tcW w:w="702" w:type="dxa"/>
          </w:tcPr>
          <w:p w:rsidR="00B23B94" w:rsidRDefault="003B2D3B">
            <w:pPr>
              <w:pStyle w:val="TableParagraph"/>
              <w:ind w:left="96"/>
              <w:jc w:val="left"/>
              <w:rPr>
                <w:sz w:val="28"/>
              </w:rPr>
            </w:pPr>
            <w:r>
              <w:rPr>
                <w:sz w:val="28"/>
              </w:rPr>
              <w:t>69,5</w:t>
            </w:r>
          </w:p>
        </w:tc>
        <w:tc>
          <w:tcPr>
            <w:tcW w:w="628" w:type="dxa"/>
          </w:tcPr>
          <w:p w:rsidR="00B23B94" w:rsidRDefault="003B2D3B">
            <w:pPr>
              <w:pStyle w:val="TableParagraph"/>
              <w:rPr>
                <w:sz w:val="28"/>
              </w:rPr>
            </w:pPr>
            <w:r>
              <w:rPr>
                <w:sz w:val="28"/>
              </w:rPr>
              <w:t>7</w:t>
            </w:r>
          </w:p>
        </w:tc>
        <w:tc>
          <w:tcPr>
            <w:tcW w:w="708" w:type="dxa"/>
            <w:tcBorders>
              <w:right w:val="single" w:sz="6" w:space="0" w:color="000000"/>
            </w:tcBorders>
          </w:tcPr>
          <w:p w:rsidR="00B23B94" w:rsidRDefault="003B2D3B">
            <w:pPr>
              <w:pStyle w:val="TableParagraph"/>
              <w:ind w:left="77" w:right="87"/>
              <w:rPr>
                <w:sz w:val="28"/>
              </w:rPr>
            </w:pPr>
            <w:r>
              <w:rPr>
                <w:sz w:val="28"/>
              </w:rPr>
              <w:t>30,5</w:t>
            </w:r>
          </w:p>
        </w:tc>
      </w:tr>
    </w:tbl>
    <w:p w:rsidR="00B23B94" w:rsidRDefault="00B23B94">
      <w:pPr>
        <w:pStyle w:val="a3"/>
        <w:ind w:left="0"/>
        <w:jc w:val="left"/>
        <w:rPr>
          <w:b/>
          <w:sz w:val="20"/>
        </w:rPr>
      </w:pPr>
    </w:p>
    <w:p w:rsidR="00B23B94" w:rsidRDefault="003B2D3B">
      <w:pPr>
        <w:pStyle w:val="a3"/>
        <w:spacing w:before="255"/>
        <w:ind w:left="930"/>
      </w:pPr>
      <w:r>
        <w:t>З 87 пацієнтів групи порівняння чоловіків було 58 (66,7%), жінок – 29</w:t>
      </w:r>
    </w:p>
    <w:p w:rsidR="00B23B94" w:rsidRDefault="003B2D3B">
      <w:pPr>
        <w:pStyle w:val="a3"/>
        <w:spacing w:before="161" w:line="360" w:lineRule="auto"/>
        <w:ind w:right="302"/>
      </w:pPr>
      <w:r>
        <w:t>(33,3%). З 40 хворих основної групи чоловіків було 28 (70,0%), жінок – 12 (30,0%). В обох групах переважали хворі активного працездатного віку (29- 60 років) – 78 (66,7%). Статистично значимої різниці між групами хворих виявлено не було (р&gt;0,05).</w:t>
      </w:r>
    </w:p>
    <w:p w:rsidR="00B23B94" w:rsidRDefault="003B2D3B">
      <w:pPr>
        <w:pStyle w:val="a3"/>
        <w:spacing w:line="360" w:lineRule="auto"/>
        <w:ind w:right="304" w:firstLine="707"/>
      </w:pPr>
      <w:r>
        <w:t>Проміжок часу від початку захворювання до госпіталізації коливався від кількох годин до 12 днів. Це пов’язано з тим, що спочатку пацієнти лікувалися в ЦРЛ за місцем проживання або в ургентних хірургічних стаціонарах (табл 2.2).</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right="304"/>
        <w:jc w:val="right"/>
        <w:rPr>
          <w:i/>
          <w:sz w:val="28"/>
        </w:rPr>
      </w:pPr>
      <w:r>
        <w:rPr>
          <w:i/>
          <w:sz w:val="28"/>
        </w:rPr>
        <w:lastRenderedPageBreak/>
        <w:t>Таблиця 2.2</w:t>
      </w:r>
    </w:p>
    <w:p w:rsidR="00B23B94" w:rsidRDefault="003B2D3B">
      <w:pPr>
        <w:pStyle w:val="1"/>
        <w:spacing w:before="163"/>
        <w:ind w:right="58"/>
        <w:jc w:val="center"/>
      </w:pPr>
      <w:r>
        <w:t>Терміни госпіталізації пацієнтів з ГТП</w:t>
      </w:r>
    </w:p>
    <w:p w:rsidR="00B23B94" w:rsidRDefault="00B23B94">
      <w:pPr>
        <w:pStyle w:val="a3"/>
        <w:ind w:left="0"/>
        <w:jc w:val="left"/>
        <w:rPr>
          <w:b/>
          <w:sz w:val="20"/>
        </w:rPr>
      </w:pPr>
    </w:p>
    <w:p w:rsidR="00B23B94" w:rsidRDefault="00B23B94">
      <w:pPr>
        <w:pStyle w:val="a3"/>
        <w:ind w:left="0"/>
        <w:jc w:val="left"/>
        <w:rPr>
          <w:b/>
          <w:sz w:val="20"/>
        </w:rPr>
      </w:pPr>
    </w:p>
    <w:p w:rsidR="00B23B94" w:rsidRDefault="00B23B94">
      <w:pPr>
        <w:pStyle w:val="a3"/>
        <w:spacing w:before="10"/>
        <w:ind w:left="0"/>
        <w:jc w:val="left"/>
        <w:rPr>
          <w:b/>
          <w:sz w:val="15"/>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24"/>
        <w:gridCol w:w="903"/>
        <w:gridCol w:w="1590"/>
        <w:gridCol w:w="855"/>
        <w:gridCol w:w="1542"/>
        <w:gridCol w:w="1121"/>
        <w:gridCol w:w="1541"/>
      </w:tblGrid>
      <w:tr w:rsidR="00B23B94">
        <w:trPr>
          <w:trHeight w:val="484"/>
        </w:trPr>
        <w:tc>
          <w:tcPr>
            <w:tcW w:w="2024" w:type="dxa"/>
            <w:vMerge w:val="restart"/>
          </w:tcPr>
          <w:p w:rsidR="00B23B94" w:rsidRDefault="003B2D3B">
            <w:pPr>
              <w:pStyle w:val="TableParagraph"/>
              <w:spacing w:before="252" w:line="360" w:lineRule="auto"/>
              <w:ind w:left="153" w:right="128" w:firstLine="407"/>
              <w:jc w:val="left"/>
              <w:rPr>
                <w:b/>
                <w:sz w:val="28"/>
              </w:rPr>
            </w:pPr>
            <w:r>
              <w:rPr>
                <w:b/>
                <w:sz w:val="28"/>
              </w:rPr>
              <w:t>Термін госпіталізації</w:t>
            </w:r>
          </w:p>
        </w:tc>
        <w:tc>
          <w:tcPr>
            <w:tcW w:w="2493" w:type="dxa"/>
            <w:gridSpan w:val="2"/>
            <w:vMerge w:val="restart"/>
          </w:tcPr>
          <w:p w:rsidR="00B23B94" w:rsidRDefault="003B2D3B">
            <w:pPr>
              <w:pStyle w:val="TableParagraph"/>
              <w:spacing w:before="4"/>
              <w:ind w:left="486" w:right="481"/>
              <w:rPr>
                <w:b/>
                <w:sz w:val="28"/>
              </w:rPr>
            </w:pPr>
            <w:r>
              <w:rPr>
                <w:b/>
                <w:sz w:val="28"/>
              </w:rPr>
              <w:t>Група</w:t>
            </w:r>
          </w:p>
          <w:p w:rsidR="00B23B94" w:rsidRDefault="003B2D3B">
            <w:pPr>
              <w:pStyle w:val="TableParagraph"/>
              <w:spacing w:before="163"/>
              <w:ind w:left="488" w:right="481"/>
              <w:rPr>
                <w:b/>
                <w:sz w:val="28"/>
              </w:rPr>
            </w:pPr>
            <w:r>
              <w:rPr>
                <w:b/>
                <w:sz w:val="28"/>
              </w:rPr>
              <w:t>порівняння</w:t>
            </w:r>
          </w:p>
        </w:tc>
        <w:tc>
          <w:tcPr>
            <w:tcW w:w="5059" w:type="dxa"/>
            <w:gridSpan w:val="4"/>
          </w:tcPr>
          <w:p w:rsidR="00B23B94" w:rsidRDefault="003B2D3B">
            <w:pPr>
              <w:pStyle w:val="TableParagraph"/>
              <w:ind w:left="1579"/>
              <w:jc w:val="left"/>
              <w:rPr>
                <w:b/>
                <w:sz w:val="28"/>
              </w:rPr>
            </w:pPr>
            <w:r>
              <w:rPr>
                <w:b/>
                <w:sz w:val="28"/>
              </w:rPr>
              <w:t>Основна група</w:t>
            </w:r>
          </w:p>
        </w:tc>
      </w:tr>
      <w:tr w:rsidR="00B23B94">
        <w:trPr>
          <w:trHeight w:val="482"/>
        </w:trPr>
        <w:tc>
          <w:tcPr>
            <w:tcW w:w="2024" w:type="dxa"/>
            <w:vMerge/>
            <w:tcBorders>
              <w:top w:val="nil"/>
            </w:tcBorders>
          </w:tcPr>
          <w:p w:rsidR="00B23B94" w:rsidRDefault="00B23B94">
            <w:pPr>
              <w:rPr>
                <w:sz w:val="2"/>
                <w:szCs w:val="2"/>
              </w:rPr>
            </w:pPr>
          </w:p>
        </w:tc>
        <w:tc>
          <w:tcPr>
            <w:tcW w:w="2493" w:type="dxa"/>
            <w:gridSpan w:val="2"/>
            <w:vMerge/>
            <w:tcBorders>
              <w:top w:val="nil"/>
            </w:tcBorders>
          </w:tcPr>
          <w:p w:rsidR="00B23B94" w:rsidRDefault="00B23B94">
            <w:pPr>
              <w:rPr>
                <w:sz w:val="2"/>
                <w:szCs w:val="2"/>
              </w:rPr>
            </w:pPr>
          </w:p>
        </w:tc>
        <w:tc>
          <w:tcPr>
            <w:tcW w:w="2397" w:type="dxa"/>
            <w:gridSpan w:val="2"/>
          </w:tcPr>
          <w:p w:rsidR="00B23B94" w:rsidRDefault="003B2D3B">
            <w:pPr>
              <w:pStyle w:val="TableParagraph"/>
              <w:ind w:left="466"/>
              <w:jc w:val="left"/>
              <w:rPr>
                <w:b/>
                <w:sz w:val="28"/>
              </w:rPr>
            </w:pPr>
            <w:r>
              <w:rPr>
                <w:b/>
                <w:sz w:val="28"/>
              </w:rPr>
              <w:t>2a підгрупа</w:t>
            </w:r>
          </w:p>
        </w:tc>
        <w:tc>
          <w:tcPr>
            <w:tcW w:w="2662" w:type="dxa"/>
            <w:gridSpan w:val="2"/>
          </w:tcPr>
          <w:p w:rsidR="00B23B94" w:rsidRDefault="003B2D3B">
            <w:pPr>
              <w:pStyle w:val="TableParagraph"/>
              <w:ind w:left="592"/>
              <w:jc w:val="left"/>
              <w:rPr>
                <w:b/>
                <w:sz w:val="28"/>
              </w:rPr>
            </w:pPr>
            <w:r>
              <w:rPr>
                <w:b/>
                <w:sz w:val="28"/>
              </w:rPr>
              <w:t>2b підгрупа</w:t>
            </w:r>
          </w:p>
        </w:tc>
      </w:tr>
      <w:tr w:rsidR="00B23B94">
        <w:trPr>
          <w:trHeight w:val="481"/>
        </w:trPr>
        <w:tc>
          <w:tcPr>
            <w:tcW w:w="2024" w:type="dxa"/>
            <w:vMerge/>
            <w:tcBorders>
              <w:top w:val="nil"/>
            </w:tcBorders>
          </w:tcPr>
          <w:p w:rsidR="00B23B94" w:rsidRDefault="00B23B94">
            <w:pPr>
              <w:rPr>
                <w:sz w:val="2"/>
                <w:szCs w:val="2"/>
              </w:rPr>
            </w:pPr>
          </w:p>
        </w:tc>
        <w:tc>
          <w:tcPr>
            <w:tcW w:w="903" w:type="dxa"/>
          </w:tcPr>
          <w:p w:rsidR="00B23B94" w:rsidRDefault="003B2D3B">
            <w:pPr>
              <w:pStyle w:val="TableParagraph"/>
              <w:ind w:right="236"/>
              <w:jc w:val="right"/>
              <w:rPr>
                <w:b/>
                <w:sz w:val="28"/>
              </w:rPr>
            </w:pPr>
            <w:r>
              <w:rPr>
                <w:b/>
                <w:sz w:val="28"/>
              </w:rPr>
              <w:t>абс</w:t>
            </w:r>
          </w:p>
        </w:tc>
        <w:tc>
          <w:tcPr>
            <w:tcW w:w="1590" w:type="dxa"/>
          </w:tcPr>
          <w:p w:rsidR="00B23B94" w:rsidRDefault="003B2D3B">
            <w:pPr>
              <w:pStyle w:val="TableParagraph"/>
              <w:ind w:left="4"/>
              <w:rPr>
                <w:b/>
                <w:sz w:val="28"/>
              </w:rPr>
            </w:pPr>
            <w:r>
              <w:rPr>
                <w:b/>
                <w:sz w:val="28"/>
              </w:rPr>
              <w:t>%</w:t>
            </w:r>
          </w:p>
        </w:tc>
        <w:tc>
          <w:tcPr>
            <w:tcW w:w="855" w:type="dxa"/>
          </w:tcPr>
          <w:p w:rsidR="00B23B94" w:rsidRDefault="003B2D3B">
            <w:pPr>
              <w:pStyle w:val="TableParagraph"/>
              <w:ind w:left="201" w:right="199"/>
              <w:rPr>
                <w:b/>
                <w:sz w:val="28"/>
              </w:rPr>
            </w:pPr>
            <w:r>
              <w:rPr>
                <w:b/>
                <w:sz w:val="28"/>
              </w:rPr>
              <w:t>абс</w:t>
            </w:r>
          </w:p>
        </w:tc>
        <w:tc>
          <w:tcPr>
            <w:tcW w:w="1542" w:type="dxa"/>
          </w:tcPr>
          <w:p w:rsidR="00B23B94" w:rsidRDefault="003B2D3B">
            <w:pPr>
              <w:pStyle w:val="TableParagraph"/>
              <w:ind w:right="1"/>
              <w:rPr>
                <w:b/>
                <w:sz w:val="28"/>
              </w:rPr>
            </w:pPr>
            <w:r>
              <w:rPr>
                <w:b/>
                <w:sz w:val="28"/>
              </w:rPr>
              <w:t>%</w:t>
            </w:r>
          </w:p>
        </w:tc>
        <w:tc>
          <w:tcPr>
            <w:tcW w:w="1121" w:type="dxa"/>
          </w:tcPr>
          <w:p w:rsidR="00B23B94" w:rsidRDefault="003B2D3B">
            <w:pPr>
              <w:pStyle w:val="TableParagraph"/>
              <w:ind w:left="334" w:right="331"/>
              <w:rPr>
                <w:b/>
                <w:sz w:val="28"/>
              </w:rPr>
            </w:pPr>
            <w:r>
              <w:rPr>
                <w:b/>
                <w:sz w:val="28"/>
              </w:rPr>
              <w:t>абс</w:t>
            </w:r>
          </w:p>
        </w:tc>
        <w:tc>
          <w:tcPr>
            <w:tcW w:w="1541" w:type="dxa"/>
          </w:tcPr>
          <w:p w:rsidR="00B23B94" w:rsidRDefault="003B2D3B">
            <w:pPr>
              <w:pStyle w:val="TableParagraph"/>
              <w:ind w:left="1"/>
              <w:rPr>
                <w:b/>
                <w:sz w:val="28"/>
              </w:rPr>
            </w:pPr>
            <w:r>
              <w:rPr>
                <w:b/>
                <w:sz w:val="28"/>
              </w:rPr>
              <w:t>%</w:t>
            </w:r>
          </w:p>
        </w:tc>
      </w:tr>
      <w:tr w:rsidR="00B23B94">
        <w:trPr>
          <w:trHeight w:val="484"/>
        </w:trPr>
        <w:tc>
          <w:tcPr>
            <w:tcW w:w="2024" w:type="dxa"/>
          </w:tcPr>
          <w:p w:rsidR="00B23B94" w:rsidRDefault="003B2D3B">
            <w:pPr>
              <w:pStyle w:val="TableParagraph"/>
              <w:spacing w:before="2"/>
              <w:ind w:left="280" w:right="272"/>
              <w:rPr>
                <w:sz w:val="28"/>
              </w:rPr>
            </w:pPr>
            <w:r>
              <w:rPr>
                <w:sz w:val="28"/>
              </w:rPr>
              <w:t>до 24 годин</w:t>
            </w:r>
          </w:p>
        </w:tc>
        <w:tc>
          <w:tcPr>
            <w:tcW w:w="903" w:type="dxa"/>
          </w:tcPr>
          <w:p w:rsidR="00B23B94" w:rsidRDefault="003B2D3B">
            <w:pPr>
              <w:pStyle w:val="TableParagraph"/>
              <w:spacing w:before="2"/>
              <w:ind w:right="298"/>
              <w:jc w:val="right"/>
              <w:rPr>
                <w:sz w:val="28"/>
              </w:rPr>
            </w:pPr>
            <w:r>
              <w:rPr>
                <w:sz w:val="28"/>
              </w:rPr>
              <w:t>11</w:t>
            </w:r>
          </w:p>
        </w:tc>
        <w:tc>
          <w:tcPr>
            <w:tcW w:w="1590" w:type="dxa"/>
          </w:tcPr>
          <w:p w:rsidR="00B23B94" w:rsidRDefault="003B2D3B">
            <w:pPr>
              <w:pStyle w:val="TableParagraph"/>
              <w:spacing w:before="2"/>
              <w:ind w:left="457" w:right="450"/>
              <w:rPr>
                <w:sz w:val="28"/>
              </w:rPr>
            </w:pPr>
            <w:r>
              <w:rPr>
                <w:sz w:val="28"/>
              </w:rPr>
              <w:t>12,6</w:t>
            </w:r>
          </w:p>
        </w:tc>
        <w:tc>
          <w:tcPr>
            <w:tcW w:w="855" w:type="dxa"/>
          </w:tcPr>
          <w:p w:rsidR="00B23B94" w:rsidRDefault="003B2D3B">
            <w:pPr>
              <w:pStyle w:val="TableParagraph"/>
              <w:spacing w:before="2"/>
              <w:ind w:left="2"/>
              <w:rPr>
                <w:sz w:val="28"/>
              </w:rPr>
            </w:pPr>
            <w:r>
              <w:rPr>
                <w:sz w:val="28"/>
              </w:rPr>
              <w:t>2</w:t>
            </w:r>
          </w:p>
        </w:tc>
        <w:tc>
          <w:tcPr>
            <w:tcW w:w="1542" w:type="dxa"/>
          </w:tcPr>
          <w:p w:rsidR="00B23B94" w:rsidRDefault="003B2D3B">
            <w:pPr>
              <w:pStyle w:val="TableParagraph"/>
              <w:spacing w:before="2"/>
              <w:ind w:left="431" w:right="431"/>
              <w:rPr>
                <w:sz w:val="28"/>
              </w:rPr>
            </w:pPr>
            <w:r>
              <w:rPr>
                <w:sz w:val="28"/>
              </w:rPr>
              <w:t>11,8</w:t>
            </w:r>
          </w:p>
        </w:tc>
        <w:tc>
          <w:tcPr>
            <w:tcW w:w="1121" w:type="dxa"/>
          </w:tcPr>
          <w:p w:rsidR="00B23B94" w:rsidRDefault="003B2D3B">
            <w:pPr>
              <w:pStyle w:val="TableParagraph"/>
              <w:spacing w:before="2"/>
              <w:ind w:left="2"/>
              <w:rPr>
                <w:sz w:val="28"/>
              </w:rPr>
            </w:pPr>
            <w:r>
              <w:rPr>
                <w:sz w:val="28"/>
              </w:rPr>
              <w:t>3</w:t>
            </w:r>
          </w:p>
        </w:tc>
        <w:tc>
          <w:tcPr>
            <w:tcW w:w="1541" w:type="dxa"/>
          </w:tcPr>
          <w:p w:rsidR="00B23B94" w:rsidRDefault="003B2D3B">
            <w:pPr>
              <w:pStyle w:val="TableParagraph"/>
              <w:spacing w:before="2"/>
              <w:ind w:left="431" w:right="427"/>
              <w:rPr>
                <w:sz w:val="28"/>
              </w:rPr>
            </w:pPr>
            <w:r>
              <w:rPr>
                <w:sz w:val="28"/>
              </w:rPr>
              <w:t>13,0</w:t>
            </w:r>
          </w:p>
        </w:tc>
      </w:tr>
      <w:tr w:rsidR="00B23B94">
        <w:trPr>
          <w:trHeight w:val="482"/>
        </w:trPr>
        <w:tc>
          <w:tcPr>
            <w:tcW w:w="2024" w:type="dxa"/>
          </w:tcPr>
          <w:p w:rsidR="00B23B94" w:rsidRDefault="003B2D3B">
            <w:pPr>
              <w:pStyle w:val="TableParagraph"/>
              <w:ind w:left="280" w:right="273"/>
              <w:rPr>
                <w:sz w:val="28"/>
              </w:rPr>
            </w:pPr>
            <w:r>
              <w:rPr>
                <w:sz w:val="28"/>
              </w:rPr>
              <w:t>24-48 годин</w:t>
            </w:r>
          </w:p>
        </w:tc>
        <w:tc>
          <w:tcPr>
            <w:tcW w:w="903" w:type="dxa"/>
          </w:tcPr>
          <w:p w:rsidR="00B23B94" w:rsidRDefault="003B2D3B">
            <w:pPr>
              <w:pStyle w:val="TableParagraph"/>
              <w:ind w:right="298"/>
              <w:jc w:val="right"/>
              <w:rPr>
                <w:sz w:val="28"/>
              </w:rPr>
            </w:pPr>
            <w:r>
              <w:rPr>
                <w:sz w:val="28"/>
              </w:rPr>
              <w:t>56</w:t>
            </w:r>
          </w:p>
        </w:tc>
        <w:tc>
          <w:tcPr>
            <w:tcW w:w="1590" w:type="dxa"/>
          </w:tcPr>
          <w:p w:rsidR="00B23B94" w:rsidRDefault="003B2D3B">
            <w:pPr>
              <w:pStyle w:val="TableParagraph"/>
              <w:ind w:left="457" w:right="450"/>
              <w:rPr>
                <w:sz w:val="28"/>
              </w:rPr>
            </w:pPr>
            <w:r>
              <w:rPr>
                <w:sz w:val="28"/>
              </w:rPr>
              <w:t>64,4</w:t>
            </w:r>
          </w:p>
        </w:tc>
        <w:tc>
          <w:tcPr>
            <w:tcW w:w="855" w:type="dxa"/>
          </w:tcPr>
          <w:p w:rsidR="00B23B94" w:rsidRDefault="003B2D3B">
            <w:pPr>
              <w:pStyle w:val="TableParagraph"/>
              <w:ind w:left="201" w:right="196"/>
              <w:rPr>
                <w:sz w:val="28"/>
              </w:rPr>
            </w:pPr>
            <w:r>
              <w:rPr>
                <w:sz w:val="28"/>
              </w:rPr>
              <w:t>10</w:t>
            </w:r>
          </w:p>
        </w:tc>
        <w:tc>
          <w:tcPr>
            <w:tcW w:w="1542" w:type="dxa"/>
          </w:tcPr>
          <w:p w:rsidR="00B23B94" w:rsidRDefault="003B2D3B">
            <w:pPr>
              <w:pStyle w:val="TableParagraph"/>
              <w:ind w:left="431" w:right="431"/>
              <w:rPr>
                <w:sz w:val="28"/>
              </w:rPr>
            </w:pPr>
            <w:r>
              <w:rPr>
                <w:sz w:val="28"/>
              </w:rPr>
              <w:t>58,8</w:t>
            </w:r>
          </w:p>
        </w:tc>
        <w:tc>
          <w:tcPr>
            <w:tcW w:w="1121" w:type="dxa"/>
          </w:tcPr>
          <w:p w:rsidR="00B23B94" w:rsidRDefault="003B2D3B">
            <w:pPr>
              <w:pStyle w:val="TableParagraph"/>
              <w:ind w:left="334" w:right="328"/>
              <w:rPr>
                <w:sz w:val="28"/>
              </w:rPr>
            </w:pPr>
            <w:r>
              <w:rPr>
                <w:sz w:val="28"/>
              </w:rPr>
              <w:t>14</w:t>
            </w:r>
          </w:p>
        </w:tc>
        <w:tc>
          <w:tcPr>
            <w:tcW w:w="1541" w:type="dxa"/>
          </w:tcPr>
          <w:p w:rsidR="00B23B94" w:rsidRDefault="003B2D3B">
            <w:pPr>
              <w:pStyle w:val="TableParagraph"/>
              <w:ind w:left="431" w:right="427"/>
              <w:rPr>
                <w:sz w:val="28"/>
              </w:rPr>
            </w:pPr>
            <w:r>
              <w:rPr>
                <w:sz w:val="28"/>
              </w:rPr>
              <w:t>60,9</w:t>
            </w:r>
          </w:p>
        </w:tc>
      </w:tr>
      <w:tr w:rsidR="00B23B94">
        <w:trPr>
          <w:trHeight w:val="645"/>
        </w:trPr>
        <w:tc>
          <w:tcPr>
            <w:tcW w:w="2024" w:type="dxa"/>
          </w:tcPr>
          <w:p w:rsidR="00B23B94" w:rsidRDefault="003B2D3B">
            <w:pPr>
              <w:pStyle w:val="TableParagraph"/>
              <w:spacing w:before="2" w:line="324" w:lineRule="exact"/>
              <w:ind w:left="486" w:right="461" w:firstLine="72"/>
              <w:jc w:val="left"/>
              <w:rPr>
                <w:sz w:val="28"/>
              </w:rPr>
            </w:pPr>
            <w:r>
              <w:rPr>
                <w:sz w:val="28"/>
              </w:rPr>
              <w:t>пізніше 48 годин</w:t>
            </w:r>
          </w:p>
        </w:tc>
        <w:tc>
          <w:tcPr>
            <w:tcW w:w="903" w:type="dxa"/>
          </w:tcPr>
          <w:p w:rsidR="00B23B94" w:rsidRDefault="003B2D3B">
            <w:pPr>
              <w:pStyle w:val="TableParagraph"/>
              <w:spacing w:before="81"/>
              <w:ind w:right="298"/>
              <w:jc w:val="right"/>
              <w:rPr>
                <w:sz w:val="28"/>
              </w:rPr>
            </w:pPr>
            <w:r>
              <w:rPr>
                <w:sz w:val="28"/>
              </w:rPr>
              <w:t>20</w:t>
            </w:r>
          </w:p>
        </w:tc>
        <w:tc>
          <w:tcPr>
            <w:tcW w:w="1590" w:type="dxa"/>
          </w:tcPr>
          <w:p w:rsidR="00B23B94" w:rsidRDefault="003B2D3B">
            <w:pPr>
              <w:pStyle w:val="TableParagraph"/>
              <w:spacing w:before="81"/>
              <w:ind w:left="457" w:right="450"/>
              <w:rPr>
                <w:sz w:val="28"/>
              </w:rPr>
            </w:pPr>
            <w:r>
              <w:rPr>
                <w:sz w:val="28"/>
              </w:rPr>
              <w:t>23,0</w:t>
            </w:r>
          </w:p>
        </w:tc>
        <w:tc>
          <w:tcPr>
            <w:tcW w:w="855" w:type="dxa"/>
          </w:tcPr>
          <w:p w:rsidR="00B23B94" w:rsidRDefault="003B2D3B">
            <w:pPr>
              <w:pStyle w:val="TableParagraph"/>
              <w:spacing w:before="81"/>
              <w:ind w:left="2"/>
              <w:rPr>
                <w:sz w:val="28"/>
              </w:rPr>
            </w:pPr>
            <w:r>
              <w:rPr>
                <w:sz w:val="28"/>
              </w:rPr>
              <w:t>5</w:t>
            </w:r>
          </w:p>
        </w:tc>
        <w:tc>
          <w:tcPr>
            <w:tcW w:w="1542" w:type="dxa"/>
          </w:tcPr>
          <w:p w:rsidR="00B23B94" w:rsidRDefault="003B2D3B">
            <w:pPr>
              <w:pStyle w:val="TableParagraph"/>
              <w:spacing w:before="81"/>
              <w:ind w:left="431" w:right="431"/>
              <w:rPr>
                <w:sz w:val="28"/>
              </w:rPr>
            </w:pPr>
            <w:r>
              <w:rPr>
                <w:sz w:val="28"/>
              </w:rPr>
              <w:t>29,4</w:t>
            </w:r>
          </w:p>
        </w:tc>
        <w:tc>
          <w:tcPr>
            <w:tcW w:w="1121" w:type="dxa"/>
          </w:tcPr>
          <w:p w:rsidR="00B23B94" w:rsidRDefault="003B2D3B">
            <w:pPr>
              <w:pStyle w:val="TableParagraph"/>
              <w:spacing w:before="81"/>
              <w:ind w:left="2"/>
              <w:rPr>
                <w:sz w:val="28"/>
              </w:rPr>
            </w:pPr>
            <w:r>
              <w:rPr>
                <w:sz w:val="28"/>
              </w:rPr>
              <w:t>6</w:t>
            </w:r>
          </w:p>
        </w:tc>
        <w:tc>
          <w:tcPr>
            <w:tcW w:w="1541" w:type="dxa"/>
          </w:tcPr>
          <w:p w:rsidR="00B23B94" w:rsidRDefault="003B2D3B">
            <w:pPr>
              <w:pStyle w:val="TableParagraph"/>
              <w:spacing w:before="81"/>
              <w:ind w:left="431" w:right="427"/>
              <w:rPr>
                <w:sz w:val="28"/>
              </w:rPr>
            </w:pPr>
            <w:r>
              <w:rPr>
                <w:sz w:val="28"/>
              </w:rPr>
              <w:t>26,1</w:t>
            </w:r>
          </w:p>
        </w:tc>
      </w:tr>
      <w:tr w:rsidR="00B23B94">
        <w:trPr>
          <w:trHeight w:val="478"/>
        </w:trPr>
        <w:tc>
          <w:tcPr>
            <w:tcW w:w="2024" w:type="dxa"/>
          </w:tcPr>
          <w:p w:rsidR="00B23B94" w:rsidRDefault="003B2D3B">
            <w:pPr>
              <w:pStyle w:val="TableParagraph"/>
              <w:spacing w:line="318" w:lineRule="exact"/>
              <w:ind w:left="280" w:right="271"/>
              <w:rPr>
                <w:sz w:val="28"/>
              </w:rPr>
            </w:pPr>
            <w:r>
              <w:rPr>
                <w:sz w:val="28"/>
              </w:rPr>
              <w:t>Всього</w:t>
            </w:r>
          </w:p>
        </w:tc>
        <w:tc>
          <w:tcPr>
            <w:tcW w:w="903" w:type="dxa"/>
          </w:tcPr>
          <w:p w:rsidR="00B23B94" w:rsidRDefault="003B2D3B">
            <w:pPr>
              <w:pStyle w:val="TableParagraph"/>
              <w:spacing w:line="318" w:lineRule="exact"/>
              <w:ind w:right="298"/>
              <w:jc w:val="right"/>
              <w:rPr>
                <w:sz w:val="28"/>
              </w:rPr>
            </w:pPr>
            <w:r>
              <w:rPr>
                <w:sz w:val="28"/>
              </w:rPr>
              <w:t>87</w:t>
            </w:r>
          </w:p>
        </w:tc>
        <w:tc>
          <w:tcPr>
            <w:tcW w:w="1590" w:type="dxa"/>
          </w:tcPr>
          <w:p w:rsidR="00B23B94" w:rsidRDefault="003B2D3B">
            <w:pPr>
              <w:pStyle w:val="TableParagraph"/>
              <w:spacing w:line="318" w:lineRule="exact"/>
              <w:ind w:left="457" w:right="452"/>
              <w:rPr>
                <w:sz w:val="28"/>
              </w:rPr>
            </w:pPr>
            <w:r>
              <w:rPr>
                <w:sz w:val="28"/>
              </w:rPr>
              <w:t>100,0</w:t>
            </w:r>
          </w:p>
        </w:tc>
        <w:tc>
          <w:tcPr>
            <w:tcW w:w="855" w:type="dxa"/>
          </w:tcPr>
          <w:p w:rsidR="00B23B94" w:rsidRDefault="003B2D3B">
            <w:pPr>
              <w:pStyle w:val="TableParagraph"/>
              <w:spacing w:line="318" w:lineRule="exact"/>
              <w:ind w:left="201" w:right="196"/>
              <w:rPr>
                <w:sz w:val="28"/>
              </w:rPr>
            </w:pPr>
            <w:r>
              <w:rPr>
                <w:sz w:val="28"/>
              </w:rPr>
              <w:t>17</w:t>
            </w:r>
          </w:p>
        </w:tc>
        <w:tc>
          <w:tcPr>
            <w:tcW w:w="1542" w:type="dxa"/>
          </w:tcPr>
          <w:p w:rsidR="00B23B94" w:rsidRDefault="003B2D3B">
            <w:pPr>
              <w:pStyle w:val="TableParagraph"/>
              <w:spacing w:line="318" w:lineRule="exact"/>
              <w:ind w:left="431" w:right="431"/>
              <w:rPr>
                <w:sz w:val="28"/>
              </w:rPr>
            </w:pPr>
            <w:r>
              <w:rPr>
                <w:sz w:val="28"/>
              </w:rPr>
              <w:t>100,0</w:t>
            </w:r>
          </w:p>
        </w:tc>
        <w:tc>
          <w:tcPr>
            <w:tcW w:w="1121" w:type="dxa"/>
          </w:tcPr>
          <w:p w:rsidR="00B23B94" w:rsidRDefault="003B2D3B">
            <w:pPr>
              <w:pStyle w:val="TableParagraph"/>
              <w:spacing w:line="318" w:lineRule="exact"/>
              <w:ind w:left="334" w:right="328"/>
              <w:rPr>
                <w:sz w:val="28"/>
              </w:rPr>
            </w:pPr>
            <w:r>
              <w:rPr>
                <w:sz w:val="28"/>
              </w:rPr>
              <w:t>23</w:t>
            </w:r>
          </w:p>
        </w:tc>
        <w:tc>
          <w:tcPr>
            <w:tcW w:w="1541" w:type="dxa"/>
          </w:tcPr>
          <w:p w:rsidR="00B23B94" w:rsidRDefault="003B2D3B">
            <w:pPr>
              <w:pStyle w:val="TableParagraph"/>
              <w:spacing w:line="318" w:lineRule="exact"/>
              <w:ind w:left="431" w:right="429"/>
              <w:rPr>
                <w:sz w:val="28"/>
              </w:rPr>
            </w:pPr>
            <w:r>
              <w:rPr>
                <w:sz w:val="28"/>
              </w:rPr>
              <w:t>100,0</w:t>
            </w:r>
          </w:p>
        </w:tc>
      </w:tr>
    </w:tbl>
    <w:p w:rsidR="00B23B94" w:rsidRDefault="00B23B94">
      <w:pPr>
        <w:pStyle w:val="a3"/>
        <w:ind w:left="0"/>
        <w:jc w:val="left"/>
        <w:rPr>
          <w:b/>
          <w:sz w:val="20"/>
        </w:rPr>
      </w:pPr>
    </w:p>
    <w:p w:rsidR="00B23B94" w:rsidRDefault="003B2D3B">
      <w:pPr>
        <w:pStyle w:val="a3"/>
        <w:spacing w:before="252" w:line="360" w:lineRule="auto"/>
        <w:ind w:right="302" w:firstLine="707"/>
      </w:pPr>
      <w:r>
        <w:t>Протягом першої доби від початку захворювання до стаціонару госпіталізовано 16 (12,6%) пацієнтів, у період від 24 до 48 годин – 80 (63,0%), в термін понад 48 годин від початку захворювання – 31 (24,4%) пацієнтів. (рис 2.1).</w:t>
      </w:r>
    </w:p>
    <w:p w:rsidR="00B23B94" w:rsidRDefault="003B2D3B">
      <w:pPr>
        <w:pStyle w:val="a3"/>
        <w:ind w:left="1275"/>
        <w:jc w:val="left"/>
        <w:rPr>
          <w:sz w:val="20"/>
        </w:rPr>
      </w:pPr>
      <w:r>
        <w:rPr>
          <w:noProof/>
          <w:sz w:val="20"/>
          <w:lang w:eastAsia="uk-UA"/>
        </w:rPr>
        <mc:AlternateContent>
          <mc:Choice Requires="wpg">
            <w:drawing>
              <wp:inline distT="0" distB="0" distL="0" distR="0">
                <wp:extent cx="4584700" cy="2755900"/>
                <wp:effectExtent l="6350" t="8890" r="0" b="6985"/>
                <wp:docPr id="19"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84700" cy="2755900"/>
                          <a:chOff x="0" y="0"/>
                          <a:chExt cx="7220" cy="4340"/>
                        </a:xfrm>
                      </wpg:grpSpPr>
                      <wps:wsp>
                        <wps:cNvPr id="20" name="Freeform 20"/>
                        <wps:cNvSpPr>
                          <a:spLocks/>
                        </wps:cNvSpPr>
                        <wps:spPr bwMode="auto">
                          <a:xfrm>
                            <a:off x="3638" y="401"/>
                            <a:ext cx="1048" cy="1472"/>
                          </a:xfrm>
                          <a:custGeom>
                            <a:avLst/>
                            <a:gdLst>
                              <a:gd name="T0" fmla="+- 0 3638 3638"/>
                              <a:gd name="T1" fmla="*/ T0 w 1048"/>
                              <a:gd name="T2" fmla="+- 0 401 401"/>
                              <a:gd name="T3" fmla="*/ 401 h 1472"/>
                              <a:gd name="T4" fmla="+- 0 3638 3638"/>
                              <a:gd name="T5" fmla="*/ T4 w 1048"/>
                              <a:gd name="T6" fmla="+- 0 1873 401"/>
                              <a:gd name="T7" fmla="*/ 1873 h 1472"/>
                              <a:gd name="T8" fmla="+- 0 4685 3638"/>
                              <a:gd name="T9" fmla="*/ T8 w 1048"/>
                              <a:gd name="T10" fmla="+- 0 839 401"/>
                              <a:gd name="T11" fmla="*/ 839 h 1472"/>
                              <a:gd name="T12" fmla="+- 0 4629 3638"/>
                              <a:gd name="T13" fmla="*/ T12 w 1048"/>
                              <a:gd name="T14" fmla="+- 0 785 401"/>
                              <a:gd name="T15" fmla="*/ 785 h 1472"/>
                              <a:gd name="T16" fmla="+- 0 4570 3638"/>
                              <a:gd name="T17" fmla="*/ T16 w 1048"/>
                              <a:gd name="T18" fmla="+- 0 734 401"/>
                              <a:gd name="T19" fmla="*/ 734 h 1472"/>
                              <a:gd name="T20" fmla="+- 0 4508 3638"/>
                              <a:gd name="T21" fmla="*/ T20 w 1048"/>
                              <a:gd name="T22" fmla="+- 0 686 401"/>
                              <a:gd name="T23" fmla="*/ 686 h 1472"/>
                              <a:gd name="T24" fmla="+- 0 4444 3638"/>
                              <a:gd name="T25" fmla="*/ T24 w 1048"/>
                              <a:gd name="T26" fmla="+- 0 642 401"/>
                              <a:gd name="T27" fmla="*/ 642 h 1472"/>
                              <a:gd name="T28" fmla="+- 0 4379 3638"/>
                              <a:gd name="T29" fmla="*/ T28 w 1048"/>
                              <a:gd name="T30" fmla="+- 0 601 401"/>
                              <a:gd name="T31" fmla="*/ 601 h 1472"/>
                              <a:gd name="T32" fmla="+- 0 4311 3638"/>
                              <a:gd name="T33" fmla="*/ T32 w 1048"/>
                              <a:gd name="T34" fmla="+- 0 564 401"/>
                              <a:gd name="T35" fmla="*/ 564 h 1472"/>
                              <a:gd name="T36" fmla="+- 0 4241 3638"/>
                              <a:gd name="T37" fmla="*/ T36 w 1048"/>
                              <a:gd name="T38" fmla="+- 0 530 401"/>
                              <a:gd name="T39" fmla="*/ 530 h 1472"/>
                              <a:gd name="T40" fmla="+- 0 4170 3638"/>
                              <a:gd name="T41" fmla="*/ T40 w 1048"/>
                              <a:gd name="T42" fmla="+- 0 501 401"/>
                              <a:gd name="T43" fmla="*/ 501 h 1472"/>
                              <a:gd name="T44" fmla="+- 0 4097 3638"/>
                              <a:gd name="T45" fmla="*/ T44 w 1048"/>
                              <a:gd name="T46" fmla="+- 0 475 401"/>
                              <a:gd name="T47" fmla="*/ 475 h 1472"/>
                              <a:gd name="T48" fmla="+- 0 4023 3638"/>
                              <a:gd name="T49" fmla="*/ T48 w 1048"/>
                              <a:gd name="T50" fmla="+- 0 453 401"/>
                              <a:gd name="T51" fmla="*/ 453 h 1472"/>
                              <a:gd name="T52" fmla="+- 0 3948 3638"/>
                              <a:gd name="T53" fmla="*/ T52 w 1048"/>
                              <a:gd name="T54" fmla="+- 0 434 401"/>
                              <a:gd name="T55" fmla="*/ 434 h 1472"/>
                              <a:gd name="T56" fmla="+- 0 3872 3638"/>
                              <a:gd name="T57" fmla="*/ T56 w 1048"/>
                              <a:gd name="T58" fmla="+- 0 420 401"/>
                              <a:gd name="T59" fmla="*/ 420 h 1472"/>
                              <a:gd name="T60" fmla="+- 0 3795 3638"/>
                              <a:gd name="T61" fmla="*/ T60 w 1048"/>
                              <a:gd name="T62" fmla="+- 0 410 401"/>
                              <a:gd name="T63" fmla="*/ 410 h 1472"/>
                              <a:gd name="T64" fmla="+- 0 3717 3638"/>
                              <a:gd name="T65" fmla="*/ T64 w 1048"/>
                              <a:gd name="T66" fmla="+- 0 403 401"/>
                              <a:gd name="T67" fmla="*/ 403 h 1472"/>
                              <a:gd name="T68" fmla="+- 0 3638 3638"/>
                              <a:gd name="T69" fmla="*/ T68 w 1048"/>
                              <a:gd name="T70" fmla="+- 0 401 401"/>
                              <a:gd name="T71" fmla="*/ 401 h 14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048" h="1472">
                                <a:moveTo>
                                  <a:pt x="0" y="0"/>
                                </a:moveTo>
                                <a:lnTo>
                                  <a:pt x="0" y="1472"/>
                                </a:lnTo>
                                <a:lnTo>
                                  <a:pt x="1047" y="438"/>
                                </a:lnTo>
                                <a:lnTo>
                                  <a:pt x="991" y="384"/>
                                </a:lnTo>
                                <a:lnTo>
                                  <a:pt x="932" y="333"/>
                                </a:lnTo>
                                <a:lnTo>
                                  <a:pt x="870" y="285"/>
                                </a:lnTo>
                                <a:lnTo>
                                  <a:pt x="806" y="241"/>
                                </a:lnTo>
                                <a:lnTo>
                                  <a:pt x="741" y="200"/>
                                </a:lnTo>
                                <a:lnTo>
                                  <a:pt x="673" y="163"/>
                                </a:lnTo>
                                <a:lnTo>
                                  <a:pt x="603" y="129"/>
                                </a:lnTo>
                                <a:lnTo>
                                  <a:pt x="532" y="100"/>
                                </a:lnTo>
                                <a:lnTo>
                                  <a:pt x="459" y="74"/>
                                </a:lnTo>
                                <a:lnTo>
                                  <a:pt x="385" y="52"/>
                                </a:lnTo>
                                <a:lnTo>
                                  <a:pt x="310" y="33"/>
                                </a:lnTo>
                                <a:lnTo>
                                  <a:pt x="234" y="19"/>
                                </a:lnTo>
                                <a:lnTo>
                                  <a:pt x="157" y="9"/>
                                </a:lnTo>
                                <a:lnTo>
                                  <a:pt x="79" y="2"/>
                                </a:lnTo>
                                <a:lnTo>
                                  <a:pt x="0"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9"/>
                        <wps:cNvSpPr>
                          <a:spLocks/>
                        </wps:cNvSpPr>
                        <wps:spPr bwMode="auto">
                          <a:xfrm>
                            <a:off x="2170" y="989"/>
                            <a:ext cx="2944" cy="2507"/>
                          </a:xfrm>
                          <a:custGeom>
                            <a:avLst/>
                            <a:gdLst>
                              <a:gd name="T0" fmla="+- 0 3642 2170"/>
                              <a:gd name="T1" fmla="*/ T0 w 2944"/>
                              <a:gd name="T2" fmla="+- 0 2024 989"/>
                              <a:gd name="T3" fmla="*/ 2024 h 2507"/>
                              <a:gd name="T4" fmla="+- 0 2170 2170"/>
                              <a:gd name="T5" fmla="*/ T4 w 2944"/>
                              <a:gd name="T6" fmla="+- 0 2050 989"/>
                              <a:gd name="T7" fmla="*/ 2050 h 2507"/>
                              <a:gd name="T8" fmla="+- 0 2182 2170"/>
                              <a:gd name="T9" fmla="*/ T8 w 2944"/>
                              <a:gd name="T10" fmla="+- 0 2210 989"/>
                              <a:gd name="T11" fmla="*/ 2210 h 2507"/>
                              <a:gd name="T12" fmla="+- 0 2211 2170"/>
                              <a:gd name="T13" fmla="*/ T12 w 2944"/>
                              <a:gd name="T14" fmla="+- 0 2367 989"/>
                              <a:gd name="T15" fmla="*/ 2367 h 2507"/>
                              <a:gd name="T16" fmla="+- 0 2256 2170"/>
                              <a:gd name="T17" fmla="*/ T16 w 2944"/>
                              <a:gd name="T18" fmla="+- 0 2520 989"/>
                              <a:gd name="T19" fmla="*/ 2520 h 2507"/>
                              <a:gd name="T20" fmla="+- 0 2318 2170"/>
                              <a:gd name="T21" fmla="*/ T20 w 2944"/>
                              <a:gd name="T22" fmla="+- 0 2667 989"/>
                              <a:gd name="T23" fmla="*/ 2667 h 2507"/>
                              <a:gd name="T24" fmla="+- 0 2395 2170"/>
                              <a:gd name="T25" fmla="*/ T24 w 2944"/>
                              <a:gd name="T26" fmla="+- 0 2806 989"/>
                              <a:gd name="T27" fmla="*/ 2806 h 2507"/>
                              <a:gd name="T28" fmla="+- 0 2488 2170"/>
                              <a:gd name="T29" fmla="*/ T28 w 2944"/>
                              <a:gd name="T30" fmla="+- 0 2937 989"/>
                              <a:gd name="T31" fmla="*/ 2937 h 2507"/>
                              <a:gd name="T32" fmla="+- 0 2595 2170"/>
                              <a:gd name="T33" fmla="*/ T32 w 2944"/>
                              <a:gd name="T34" fmla="+- 0 3058 989"/>
                              <a:gd name="T35" fmla="*/ 3058 h 2507"/>
                              <a:gd name="T36" fmla="+- 0 2706 2170"/>
                              <a:gd name="T37" fmla="*/ T36 w 2944"/>
                              <a:gd name="T38" fmla="+- 0 3160 989"/>
                              <a:gd name="T39" fmla="*/ 3160 h 2507"/>
                              <a:gd name="T40" fmla="+- 0 2824 2170"/>
                              <a:gd name="T41" fmla="*/ T40 w 2944"/>
                              <a:gd name="T42" fmla="+- 0 3248 989"/>
                              <a:gd name="T43" fmla="*/ 3248 h 2507"/>
                              <a:gd name="T44" fmla="+- 0 2949 2170"/>
                              <a:gd name="T45" fmla="*/ T44 w 2944"/>
                              <a:gd name="T46" fmla="+- 0 3323 989"/>
                              <a:gd name="T47" fmla="*/ 3323 h 2507"/>
                              <a:gd name="T48" fmla="+- 0 3080 2170"/>
                              <a:gd name="T49" fmla="*/ T48 w 2944"/>
                              <a:gd name="T50" fmla="+- 0 3384 989"/>
                              <a:gd name="T51" fmla="*/ 3384 h 2507"/>
                              <a:gd name="T52" fmla="+- 0 3214 2170"/>
                              <a:gd name="T53" fmla="*/ T52 w 2944"/>
                              <a:gd name="T54" fmla="+- 0 3432 989"/>
                              <a:gd name="T55" fmla="*/ 3432 h 2507"/>
                              <a:gd name="T56" fmla="+- 0 3352 2170"/>
                              <a:gd name="T57" fmla="*/ T56 w 2944"/>
                              <a:gd name="T58" fmla="+- 0 3467 989"/>
                              <a:gd name="T59" fmla="*/ 3467 h 2507"/>
                              <a:gd name="T60" fmla="+- 0 3492 2170"/>
                              <a:gd name="T61" fmla="*/ T60 w 2944"/>
                              <a:gd name="T62" fmla="+- 0 3488 989"/>
                              <a:gd name="T63" fmla="*/ 3488 h 2507"/>
                              <a:gd name="T64" fmla="+- 0 3633 2170"/>
                              <a:gd name="T65" fmla="*/ T64 w 2944"/>
                              <a:gd name="T66" fmla="+- 0 3496 989"/>
                              <a:gd name="T67" fmla="*/ 3496 h 2507"/>
                              <a:gd name="T68" fmla="+- 0 3774 2170"/>
                              <a:gd name="T69" fmla="*/ T68 w 2944"/>
                              <a:gd name="T70" fmla="+- 0 3490 989"/>
                              <a:gd name="T71" fmla="*/ 3490 h 2507"/>
                              <a:gd name="T72" fmla="+- 0 3914 2170"/>
                              <a:gd name="T73" fmla="*/ T72 w 2944"/>
                              <a:gd name="T74" fmla="+- 0 3470 989"/>
                              <a:gd name="T75" fmla="*/ 3470 h 2507"/>
                              <a:gd name="T76" fmla="+- 0 4052 2170"/>
                              <a:gd name="T77" fmla="*/ T76 w 2944"/>
                              <a:gd name="T78" fmla="+- 0 3437 989"/>
                              <a:gd name="T79" fmla="*/ 3437 h 2507"/>
                              <a:gd name="T80" fmla="+- 0 4187 2170"/>
                              <a:gd name="T81" fmla="*/ T80 w 2944"/>
                              <a:gd name="T82" fmla="+- 0 3391 989"/>
                              <a:gd name="T83" fmla="*/ 3391 h 2507"/>
                              <a:gd name="T84" fmla="+- 0 4318 2170"/>
                              <a:gd name="T85" fmla="*/ T84 w 2944"/>
                              <a:gd name="T86" fmla="+- 0 3331 989"/>
                              <a:gd name="T87" fmla="*/ 3331 h 2507"/>
                              <a:gd name="T88" fmla="+- 0 4444 2170"/>
                              <a:gd name="T89" fmla="*/ T88 w 2944"/>
                              <a:gd name="T90" fmla="+- 0 3258 989"/>
                              <a:gd name="T91" fmla="*/ 3258 h 2507"/>
                              <a:gd name="T92" fmla="+- 0 4564 2170"/>
                              <a:gd name="T93" fmla="*/ T92 w 2944"/>
                              <a:gd name="T94" fmla="+- 0 3171 989"/>
                              <a:gd name="T95" fmla="*/ 3171 h 2507"/>
                              <a:gd name="T96" fmla="+- 0 4676 2170"/>
                              <a:gd name="T97" fmla="*/ T96 w 2944"/>
                              <a:gd name="T98" fmla="+- 0 3071 989"/>
                              <a:gd name="T99" fmla="*/ 3071 h 2507"/>
                              <a:gd name="T100" fmla="+- 0 4778 2170"/>
                              <a:gd name="T101" fmla="*/ T100 w 2944"/>
                              <a:gd name="T102" fmla="+- 0 2960 989"/>
                              <a:gd name="T103" fmla="*/ 2960 h 2507"/>
                              <a:gd name="T104" fmla="+- 0 4866 2170"/>
                              <a:gd name="T105" fmla="*/ T104 w 2944"/>
                              <a:gd name="T106" fmla="+- 0 2841 989"/>
                              <a:gd name="T107" fmla="*/ 2841 h 2507"/>
                              <a:gd name="T108" fmla="+- 0 4941 2170"/>
                              <a:gd name="T109" fmla="*/ T108 w 2944"/>
                              <a:gd name="T110" fmla="+- 0 2716 989"/>
                              <a:gd name="T111" fmla="*/ 2716 h 2507"/>
                              <a:gd name="T112" fmla="+- 0 5003 2170"/>
                              <a:gd name="T113" fmla="*/ T112 w 2944"/>
                              <a:gd name="T114" fmla="+- 0 2586 989"/>
                              <a:gd name="T115" fmla="*/ 2586 h 2507"/>
                              <a:gd name="T116" fmla="+- 0 5051 2170"/>
                              <a:gd name="T117" fmla="*/ T116 w 2944"/>
                              <a:gd name="T118" fmla="+- 0 2451 989"/>
                              <a:gd name="T119" fmla="*/ 2451 h 2507"/>
                              <a:gd name="T120" fmla="+- 0 5085 2170"/>
                              <a:gd name="T121" fmla="*/ T120 w 2944"/>
                              <a:gd name="T122" fmla="+- 0 2314 989"/>
                              <a:gd name="T123" fmla="*/ 2314 h 2507"/>
                              <a:gd name="T124" fmla="+- 0 5106 2170"/>
                              <a:gd name="T125" fmla="*/ T124 w 2944"/>
                              <a:gd name="T126" fmla="+- 0 2174 989"/>
                              <a:gd name="T127" fmla="*/ 2174 h 2507"/>
                              <a:gd name="T128" fmla="+- 0 5114 2170"/>
                              <a:gd name="T129" fmla="*/ T128 w 2944"/>
                              <a:gd name="T130" fmla="+- 0 2033 989"/>
                              <a:gd name="T131" fmla="*/ 2033 h 2507"/>
                              <a:gd name="T132" fmla="+- 0 5108 2170"/>
                              <a:gd name="T133" fmla="*/ T132 w 2944"/>
                              <a:gd name="T134" fmla="+- 0 1891 989"/>
                              <a:gd name="T135" fmla="*/ 1891 h 2507"/>
                              <a:gd name="T136" fmla="+- 0 5089 2170"/>
                              <a:gd name="T137" fmla="*/ T136 w 2944"/>
                              <a:gd name="T138" fmla="+- 0 1751 989"/>
                              <a:gd name="T139" fmla="*/ 1751 h 2507"/>
                              <a:gd name="T140" fmla="+- 0 5056 2170"/>
                              <a:gd name="T141" fmla="*/ T140 w 2944"/>
                              <a:gd name="T142" fmla="+- 0 1613 989"/>
                              <a:gd name="T143" fmla="*/ 1613 h 2507"/>
                              <a:gd name="T144" fmla="+- 0 5010 2170"/>
                              <a:gd name="T145" fmla="*/ T144 w 2944"/>
                              <a:gd name="T146" fmla="+- 0 1478 989"/>
                              <a:gd name="T147" fmla="*/ 1478 h 2507"/>
                              <a:gd name="T148" fmla="+- 0 4950 2170"/>
                              <a:gd name="T149" fmla="*/ T148 w 2944"/>
                              <a:gd name="T150" fmla="+- 0 1347 989"/>
                              <a:gd name="T151" fmla="*/ 1347 h 2507"/>
                              <a:gd name="T152" fmla="+- 0 4876 2170"/>
                              <a:gd name="T153" fmla="*/ T152 w 2944"/>
                              <a:gd name="T154" fmla="+- 0 1221 989"/>
                              <a:gd name="T155" fmla="*/ 1221 h 2507"/>
                              <a:gd name="T156" fmla="+- 0 4790 2170"/>
                              <a:gd name="T157" fmla="*/ T156 w 2944"/>
                              <a:gd name="T158" fmla="+- 0 1102 989"/>
                              <a:gd name="T159" fmla="*/ 1102 h 2507"/>
                              <a:gd name="T160" fmla="+- 0 4689 2170"/>
                              <a:gd name="T161" fmla="*/ T160 w 2944"/>
                              <a:gd name="T162" fmla="+- 0 989 989"/>
                              <a:gd name="T163" fmla="*/ 989 h 25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44" h="2507">
                                <a:moveTo>
                                  <a:pt x="2519" y="0"/>
                                </a:moveTo>
                                <a:lnTo>
                                  <a:pt x="1472" y="1035"/>
                                </a:lnTo>
                                <a:lnTo>
                                  <a:pt x="1" y="980"/>
                                </a:lnTo>
                                <a:lnTo>
                                  <a:pt x="0" y="1061"/>
                                </a:lnTo>
                                <a:lnTo>
                                  <a:pt x="4" y="1141"/>
                                </a:lnTo>
                                <a:lnTo>
                                  <a:pt x="12" y="1221"/>
                                </a:lnTo>
                                <a:lnTo>
                                  <a:pt x="24" y="1300"/>
                                </a:lnTo>
                                <a:lnTo>
                                  <a:pt x="41" y="1378"/>
                                </a:lnTo>
                                <a:lnTo>
                                  <a:pt x="61" y="1455"/>
                                </a:lnTo>
                                <a:lnTo>
                                  <a:pt x="86" y="1531"/>
                                </a:lnTo>
                                <a:lnTo>
                                  <a:pt x="115" y="1605"/>
                                </a:lnTo>
                                <a:lnTo>
                                  <a:pt x="148" y="1678"/>
                                </a:lnTo>
                                <a:lnTo>
                                  <a:pt x="185" y="1748"/>
                                </a:lnTo>
                                <a:lnTo>
                                  <a:pt x="225" y="1817"/>
                                </a:lnTo>
                                <a:lnTo>
                                  <a:pt x="270" y="1884"/>
                                </a:lnTo>
                                <a:lnTo>
                                  <a:pt x="318" y="1948"/>
                                </a:lnTo>
                                <a:lnTo>
                                  <a:pt x="369" y="2010"/>
                                </a:lnTo>
                                <a:lnTo>
                                  <a:pt x="425" y="2069"/>
                                </a:lnTo>
                                <a:lnTo>
                                  <a:pt x="479" y="2121"/>
                                </a:lnTo>
                                <a:lnTo>
                                  <a:pt x="536" y="2171"/>
                                </a:lnTo>
                                <a:lnTo>
                                  <a:pt x="594" y="2216"/>
                                </a:lnTo>
                                <a:lnTo>
                                  <a:pt x="654" y="2259"/>
                                </a:lnTo>
                                <a:lnTo>
                                  <a:pt x="716" y="2298"/>
                                </a:lnTo>
                                <a:lnTo>
                                  <a:pt x="779" y="2334"/>
                                </a:lnTo>
                                <a:lnTo>
                                  <a:pt x="844" y="2366"/>
                                </a:lnTo>
                                <a:lnTo>
                                  <a:pt x="910" y="2395"/>
                                </a:lnTo>
                                <a:lnTo>
                                  <a:pt x="976" y="2421"/>
                                </a:lnTo>
                                <a:lnTo>
                                  <a:pt x="1044" y="2443"/>
                                </a:lnTo>
                                <a:lnTo>
                                  <a:pt x="1113" y="2462"/>
                                </a:lnTo>
                                <a:lnTo>
                                  <a:pt x="1182" y="2478"/>
                                </a:lnTo>
                                <a:lnTo>
                                  <a:pt x="1252" y="2490"/>
                                </a:lnTo>
                                <a:lnTo>
                                  <a:pt x="1322" y="2499"/>
                                </a:lnTo>
                                <a:lnTo>
                                  <a:pt x="1392" y="2504"/>
                                </a:lnTo>
                                <a:lnTo>
                                  <a:pt x="1463" y="2507"/>
                                </a:lnTo>
                                <a:lnTo>
                                  <a:pt x="1533" y="2505"/>
                                </a:lnTo>
                                <a:lnTo>
                                  <a:pt x="1604" y="2501"/>
                                </a:lnTo>
                                <a:lnTo>
                                  <a:pt x="1674" y="2493"/>
                                </a:lnTo>
                                <a:lnTo>
                                  <a:pt x="1744" y="2481"/>
                                </a:lnTo>
                                <a:lnTo>
                                  <a:pt x="1813" y="2467"/>
                                </a:lnTo>
                                <a:lnTo>
                                  <a:pt x="1882" y="2448"/>
                                </a:lnTo>
                                <a:lnTo>
                                  <a:pt x="1950" y="2427"/>
                                </a:lnTo>
                                <a:lnTo>
                                  <a:pt x="2017" y="2402"/>
                                </a:lnTo>
                                <a:lnTo>
                                  <a:pt x="2083" y="2374"/>
                                </a:lnTo>
                                <a:lnTo>
                                  <a:pt x="2148" y="2342"/>
                                </a:lnTo>
                                <a:lnTo>
                                  <a:pt x="2212" y="2307"/>
                                </a:lnTo>
                                <a:lnTo>
                                  <a:pt x="2274" y="2269"/>
                                </a:lnTo>
                                <a:lnTo>
                                  <a:pt x="2335" y="2227"/>
                                </a:lnTo>
                                <a:lnTo>
                                  <a:pt x="2394" y="2182"/>
                                </a:lnTo>
                                <a:lnTo>
                                  <a:pt x="2451" y="2134"/>
                                </a:lnTo>
                                <a:lnTo>
                                  <a:pt x="2506" y="2082"/>
                                </a:lnTo>
                                <a:lnTo>
                                  <a:pt x="2559" y="2027"/>
                                </a:lnTo>
                                <a:lnTo>
                                  <a:pt x="2608" y="1971"/>
                                </a:lnTo>
                                <a:lnTo>
                                  <a:pt x="2654" y="1912"/>
                                </a:lnTo>
                                <a:lnTo>
                                  <a:pt x="2696" y="1852"/>
                                </a:lnTo>
                                <a:lnTo>
                                  <a:pt x="2735" y="1790"/>
                                </a:lnTo>
                                <a:lnTo>
                                  <a:pt x="2771" y="1727"/>
                                </a:lnTo>
                                <a:lnTo>
                                  <a:pt x="2804" y="1663"/>
                                </a:lnTo>
                                <a:lnTo>
                                  <a:pt x="2833" y="1597"/>
                                </a:lnTo>
                                <a:lnTo>
                                  <a:pt x="2858" y="1530"/>
                                </a:lnTo>
                                <a:lnTo>
                                  <a:pt x="2881" y="1462"/>
                                </a:lnTo>
                                <a:lnTo>
                                  <a:pt x="2900" y="1394"/>
                                </a:lnTo>
                                <a:lnTo>
                                  <a:pt x="2915" y="1325"/>
                                </a:lnTo>
                                <a:lnTo>
                                  <a:pt x="2927" y="1255"/>
                                </a:lnTo>
                                <a:lnTo>
                                  <a:pt x="2936" y="1185"/>
                                </a:lnTo>
                                <a:lnTo>
                                  <a:pt x="2942" y="1114"/>
                                </a:lnTo>
                                <a:lnTo>
                                  <a:pt x="2944" y="1044"/>
                                </a:lnTo>
                                <a:lnTo>
                                  <a:pt x="2943" y="973"/>
                                </a:lnTo>
                                <a:lnTo>
                                  <a:pt x="2938" y="902"/>
                                </a:lnTo>
                                <a:lnTo>
                                  <a:pt x="2930" y="832"/>
                                </a:lnTo>
                                <a:lnTo>
                                  <a:pt x="2919" y="762"/>
                                </a:lnTo>
                                <a:lnTo>
                                  <a:pt x="2904" y="693"/>
                                </a:lnTo>
                                <a:lnTo>
                                  <a:pt x="2886" y="624"/>
                                </a:lnTo>
                                <a:lnTo>
                                  <a:pt x="2864" y="556"/>
                                </a:lnTo>
                                <a:lnTo>
                                  <a:pt x="2840" y="489"/>
                                </a:lnTo>
                                <a:lnTo>
                                  <a:pt x="2811" y="423"/>
                                </a:lnTo>
                                <a:lnTo>
                                  <a:pt x="2780" y="358"/>
                                </a:lnTo>
                                <a:lnTo>
                                  <a:pt x="2745" y="294"/>
                                </a:lnTo>
                                <a:lnTo>
                                  <a:pt x="2706" y="232"/>
                                </a:lnTo>
                                <a:lnTo>
                                  <a:pt x="2665" y="172"/>
                                </a:lnTo>
                                <a:lnTo>
                                  <a:pt x="2620" y="113"/>
                                </a:lnTo>
                                <a:lnTo>
                                  <a:pt x="2571" y="55"/>
                                </a:lnTo>
                                <a:lnTo>
                                  <a:pt x="2519"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Freeform 18"/>
                        <wps:cNvSpPr>
                          <a:spLocks/>
                        </wps:cNvSpPr>
                        <wps:spPr bwMode="auto">
                          <a:xfrm>
                            <a:off x="2170" y="989"/>
                            <a:ext cx="2944" cy="2507"/>
                          </a:xfrm>
                          <a:custGeom>
                            <a:avLst/>
                            <a:gdLst>
                              <a:gd name="T0" fmla="+- 0 4741 2170"/>
                              <a:gd name="T1" fmla="*/ T0 w 2944"/>
                              <a:gd name="T2" fmla="+- 0 1044 989"/>
                              <a:gd name="T3" fmla="*/ 1044 h 2507"/>
                              <a:gd name="T4" fmla="+- 0 4835 2170"/>
                              <a:gd name="T5" fmla="*/ T4 w 2944"/>
                              <a:gd name="T6" fmla="+- 0 1161 989"/>
                              <a:gd name="T7" fmla="*/ 1161 h 2507"/>
                              <a:gd name="T8" fmla="+- 0 4915 2170"/>
                              <a:gd name="T9" fmla="*/ T8 w 2944"/>
                              <a:gd name="T10" fmla="+- 0 1283 989"/>
                              <a:gd name="T11" fmla="*/ 1283 h 2507"/>
                              <a:gd name="T12" fmla="+- 0 4981 2170"/>
                              <a:gd name="T13" fmla="*/ T12 w 2944"/>
                              <a:gd name="T14" fmla="+- 0 1412 989"/>
                              <a:gd name="T15" fmla="*/ 1412 h 2507"/>
                              <a:gd name="T16" fmla="+- 0 5034 2170"/>
                              <a:gd name="T17" fmla="*/ T16 w 2944"/>
                              <a:gd name="T18" fmla="+- 0 1545 989"/>
                              <a:gd name="T19" fmla="*/ 1545 h 2507"/>
                              <a:gd name="T20" fmla="+- 0 5074 2170"/>
                              <a:gd name="T21" fmla="*/ T20 w 2944"/>
                              <a:gd name="T22" fmla="+- 0 1682 989"/>
                              <a:gd name="T23" fmla="*/ 1682 h 2507"/>
                              <a:gd name="T24" fmla="+- 0 5100 2170"/>
                              <a:gd name="T25" fmla="*/ T24 w 2944"/>
                              <a:gd name="T26" fmla="+- 0 1821 989"/>
                              <a:gd name="T27" fmla="*/ 1821 h 2507"/>
                              <a:gd name="T28" fmla="+- 0 5113 2170"/>
                              <a:gd name="T29" fmla="*/ T28 w 2944"/>
                              <a:gd name="T30" fmla="+- 0 1962 989"/>
                              <a:gd name="T31" fmla="*/ 1962 h 2507"/>
                              <a:gd name="T32" fmla="+- 0 5112 2170"/>
                              <a:gd name="T33" fmla="*/ T32 w 2944"/>
                              <a:gd name="T34" fmla="+- 0 2103 989"/>
                              <a:gd name="T35" fmla="*/ 2103 h 2507"/>
                              <a:gd name="T36" fmla="+- 0 5097 2170"/>
                              <a:gd name="T37" fmla="*/ T36 w 2944"/>
                              <a:gd name="T38" fmla="+- 0 2244 989"/>
                              <a:gd name="T39" fmla="*/ 2244 h 2507"/>
                              <a:gd name="T40" fmla="+- 0 5070 2170"/>
                              <a:gd name="T41" fmla="*/ T40 w 2944"/>
                              <a:gd name="T42" fmla="+- 0 2383 989"/>
                              <a:gd name="T43" fmla="*/ 2383 h 2507"/>
                              <a:gd name="T44" fmla="+- 0 5028 2170"/>
                              <a:gd name="T45" fmla="*/ T44 w 2944"/>
                              <a:gd name="T46" fmla="+- 0 2519 989"/>
                              <a:gd name="T47" fmla="*/ 2519 h 2507"/>
                              <a:gd name="T48" fmla="+- 0 4974 2170"/>
                              <a:gd name="T49" fmla="*/ T48 w 2944"/>
                              <a:gd name="T50" fmla="+- 0 2652 989"/>
                              <a:gd name="T51" fmla="*/ 2652 h 2507"/>
                              <a:gd name="T52" fmla="+- 0 4905 2170"/>
                              <a:gd name="T53" fmla="*/ T52 w 2944"/>
                              <a:gd name="T54" fmla="+- 0 2779 989"/>
                              <a:gd name="T55" fmla="*/ 2779 h 2507"/>
                              <a:gd name="T56" fmla="+- 0 4824 2170"/>
                              <a:gd name="T57" fmla="*/ T56 w 2944"/>
                              <a:gd name="T58" fmla="+- 0 2901 989"/>
                              <a:gd name="T59" fmla="*/ 2901 h 2507"/>
                              <a:gd name="T60" fmla="+- 0 4729 2170"/>
                              <a:gd name="T61" fmla="*/ T60 w 2944"/>
                              <a:gd name="T62" fmla="+- 0 3016 989"/>
                              <a:gd name="T63" fmla="*/ 3016 h 2507"/>
                              <a:gd name="T64" fmla="+- 0 4621 2170"/>
                              <a:gd name="T65" fmla="*/ T64 w 2944"/>
                              <a:gd name="T66" fmla="+- 0 3123 989"/>
                              <a:gd name="T67" fmla="*/ 3123 h 2507"/>
                              <a:gd name="T68" fmla="+- 0 4505 2170"/>
                              <a:gd name="T69" fmla="*/ T68 w 2944"/>
                              <a:gd name="T70" fmla="+- 0 3216 989"/>
                              <a:gd name="T71" fmla="*/ 3216 h 2507"/>
                              <a:gd name="T72" fmla="+- 0 4382 2170"/>
                              <a:gd name="T73" fmla="*/ T72 w 2944"/>
                              <a:gd name="T74" fmla="+- 0 3296 989"/>
                              <a:gd name="T75" fmla="*/ 3296 h 2507"/>
                              <a:gd name="T76" fmla="+- 0 4253 2170"/>
                              <a:gd name="T77" fmla="*/ T76 w 2944"/>
                              <a:gd name="T78" fmla="+- 0 3363 989"/>
                              <a:gd name="T79" fmla="*/ 3363 h 2507"/>
                              <a:gd name="T80" fmla="+- 0 4120 2170"/>
                              <a:gd name="T81" fmla="*/ T80 w 2944"/>
                              <a:gd name="T82" fmla="+- 0 3416 989"/>
                              <a:gd name="T83" fmla="*/ 3416 h 2507"/>
                              <a:gd name="T84" fmla="+- 0 3983 2170"/>
                              <a:gd name="T85" fmla="*/ T84 w 2944"/>
                              <a:gd name="T86" fmla="+- 0 3456 989"/>
                              <a:gd name="T87" fmla="*/ 3456 h 2507"/>
                              <a:gd name="T88" fmla="+- 0 3844 2170"/>
                              <a:gd name="T89" fmla="*/ T88 w 2944"/>
                              <a:gd name="T90" fmla="+- 0 3482 989"/>
                              <a:gd name="T91" fmla="*/ 3482 h 2507"/>
                              <a:gd name="T92" fmla="+- 0 3703 2170"/>
                              <a:gd name="T93" fmla="*/ T92 w 2944"/>
                              <a:gd name="T94" fmla="+- 0 3494 989"/>
                              <a:gd name="T95" fmla="*/ 3494 h 2507"/>
                              <a:gd name="T96" fmla="+- 0 3562 2170"/>
                              <a:gd name="T97" fmla="*/ T96 w 2944"/>
                              <a:gd name="T98" fmla="+- 0 3493 989"/>
                              <a:gd name="T99" fmla="*/ 3493 h 2507"/>
                              <a:gd name="T100" fmla="+- 0 3422 2170"/>
                              <a:gd name="T101" fmla="*/ T100 w 2944"/>
                              <a:gd name="T102" fmla="+- 0 3479 989"/>
                              <a:gd name="T103" fmla="*/ 3479 h 2507"/>
                              <a:gd name="T104" fmla="+- 0 3283 2170"/>
                              <a:gd name="T105" fmla="*/ T104 w 2944"/>
                              <a:gd name="T106" fmla="+- 0 3451 989"/>
                              <a:gd name="T107" fmla="*/ 3451 h 2507"/>
                              <a:gd name="T108" fmla="+- 0 3146 2170"/>
                              <a:gd name="T109" fmla="*/ T108 w 2944"/>
                              <a:gd name="T110" fmla="+- 0 3410 989"/>
                              <a:gd name="T111" fmla="*/ 3410 h 2507"/>
                              <a:gd name="T112" fmla="+- 0 3014 2170"/>
                              <a:gd name="T113" fmla="*/ T112 w 2944"/>
                              <a:gd name="T114" fmla="+- 0 3355 989"/>
                              <a:gd name="T115" fmla="*/ 3355 h 2507"/>
                              <a:gd name="T116" fmla="+- 0 2886 2170"/>
                              <a:gd name="T117" fmla="*/ T116 w 2944"/>
                              <a:gd name="T118" fmla="+- 0 3287 989"/>
                              <a:gd name="T119" fmla="*/ 3287 h 2507"/>
                              <a:gd name="T120" fmla="+- 0 2764 2170"/>
                              <a:gd name="T121" fmla="*/ T120 w 2944"/>
                              <a:gd name="T122" fmla="+- 0 3205 989"/>
                              <a:gd name="T123" fmla="*/ 3205 h 2507"/>
                              <a:gd name="T124" fmla="+- 0 2649 2170"/>
                              <a:gd name="T125" fmla="*/ T124 w 2944"/>
                              <a:gd name="T126" fmla="+- 0 3110 989"/>
                              <a:gd name="T127" fmla="*/ 3110 h 2507"/>
                              <a:gd name="T128" fmla="+- 0 2539 2170"/>
                              <a:gd name="T129" fmla="*/ T128 w 2944"/>
                              <a:gd name="T130" fmla="+- 0 2999 989"/>
                              <a:gd name="T131" fmla="*/ 2999 h 2507"/>
                              <a:gd name="T132" fmla="+- 0 2440 2170"/>
                              <a:gd name="T133" fmla="*/ T132 w 2944"/>
                              <a:gd name="T134" fmla="+- 0 2873 989"/>
                              <a:gd name="T135" fmla="*/ 2873 h 2507"/>
                              <a:gd name="T136" fmla="+- 0 2355 2170"/>
                              <a:gd name="T137" fmla="*/ T136 w 2944"/>
                              <a:gd name="T138" fmla="+- 0 2737 989"/>
                              <a:gd name="T139" fmla="*/ 2737 h 2507"/>
                              <a:gd name="T140" fmla="+- 0 2285 2170"/>
                              <a:gd name="T141" fmla="*/ T140 w 2944"/>
                              <a:gd name="T142" fmla="+- 0 2594 989"/>
                              <a:gd name="T143" fmla="*/ 2594 h 2507"/>
                              <a:gd name="T144" fmla="+- 0 2231 2170"/>
                              <a:gd name="T145" fmla="*/ T144 w 2944"/>
                              <a:gd name="T146" fmla="+- 0 2444 989"/>
                              <a:gd name="T147" fmla="*/ 2444 h 2507"/>
                              <a:gd name="T148" fmla="+- 0 2194 2170"/>
                              <a:gd name="T149" fmla="*/ T148 w 2944"/>
                              <a:gd name="T150" fmla="+- 0 2289 989"/>
                              <a:gd name="T151" fmla="*/ 2289 h 2507"/>
                              <a:gd name="T152" fmla="+- 0 2174 2170"/>
                              <a:gd name="T153" fmla="*/ T152 w 2944"/>
                              <a:gd name="T154" fmla="+- 0 2130 989"/>
                              <a:gd name="T155" fmla="*/ 2130 h 2507"/>
                              <a:gd name="T156" fmla="+- 0 2171 2170"/>
                              <a:gd name="T157" fmla="*/ T156 w 2944"/>
                              <a:gd name="T158" fmla="+- 0 1969 989"/>
                              <a:gd name="T159" fmla="*/ 1969 h 2507"/>
                              <a:gd name="T160" fmla="+- 0 4689 2170"/>
                              <a:gd name="T161" fmla="*/ T160 w 2944"/>
                              <a:gd name="T162" fmla="+- 0 989 989"/>
                              <a:gd name="T163" fmla="*/ 989 h 25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944" h="2507">
                                <a:moveTo>
                                  <a:pt x="2519" y="0"/>
                                </a:moveTo>
                                <a:lnTo>
                                  <a:pt x="2571" y="55"/>
                                </a:lnTo>
                                <a:lnTo>
                                  <a:pt x="2620" y="113"/>
                                </a:lnTo>
                                <a:lnTo>
                                  <a:pt x="2665" y="172"/>
                                </a:lnTo>
                                <a:lnTo>
                                  <a:pt x="2706" y="232"/>
                                </a:lnTo>
                                <a:lnTo>
                                  <a:pt x="2745" y="294"/>
                                </a:lnTo>
                                <a:lnTo>
                                  <a:pt x="2780" y="358"/>
                                </a:lnTo>
                                <a:lnTo>
                                  <a:pt x="2811" y="423"/>
                                </a:lnTo>
                                <a:lnTo>
                                  <a:pt x="2840" y="489"/>
                                </a:lnTo>
                                <a:lnTo>
                                  <a:pt x="2864" y="556"/>
                                </a:lnTo>
                                <a:lnTo>
                                  <a:pt x="2886" y="624"/>
                                </a:lnTo>
                                <a:lnTo>
                                  <a:pt x="2904" y="693"/>
                                </a:lnTo>
                                <a:lnTo>
                                  <a:pt x="2919" y="762"/>
                                </a:lnTo>
                                <a:lnTo>
                                  <a:pt x="2930" y="832"/>
                                </a:lnTo>
                                <a:lnTo>
                                  <a:pt x="2938" y="902"/>
                                </a:lnTo>
                                <a:lnTo>
                                  <a:pt x="2943" y="973"/>
                                </a:lnTo>
                                <a:lnTo>
                                  <a:pt x="2944" y="1044"/>
                                </a:lnTo>
                                <a:lnTo>
                                  <a:pt x="2942" y="1114"/>
                                </a:lnTo>
                                <a:lnTo>
                                  <a:pt x="2936" y="1185"/>
                                </a:lnTo>
                                <a:lnTo>
                                  <a:pt x="2927" y="1255"/>
                                </a:lnTo>
                                <a:lnTo>
                                  <a:pt x="2915" y="1325"/>
                                </a:lnTo>
                                <a:lnTo>
                                  <a:pt x="2900" y="1394"/>
                                </a:lnTo>
                                <a:lnTo>
                                  <a:pt x="2881" y="1462"/>
                                </a:lnTo>
                                <a:lnTo>
                                  <a:pt x="2858" y="1530"/>
                                </a:lnTo>
                                <a:lnTo>
                                  <a:pt x="2833" y="1597"/>
                                </a:lnTo>
                                <a:lnTo>
                                  <a:pt x="2804" y="1663"/>
                                </a:lnTo>
                                <a:lnTo>
                                  <a:pt x="2771" y="1727"/>
                                </a:lnTo>
                                <a:lnTo>
                                  <a:pt x="2735" y="1790"/>
                                </a:lnTo>
                                <a:lnTo>
                                  <a:pt x="2696" y="1852"/>
                                </a:lnTo>
                                <a:lnTo>
                                  <a:pt x="2654" y="1912"/>
                                </a:lnTo>
                                <a:lnTo>
                                  <a:pt x="2608" y="1971"/>
                                </a:lnTo>
                                <a:lnTo>
                                  <a:pt x="2559" y="2027"/>
                                </a:lnTo>
                                <a:lnTo>
                                  <a:pt x="2506" y="2082"/>
                                </a:lnTo>
                                <a:lnTo>
                                  <a:pt x="2451" y="2134"/>
                                </a:lnTo>
                                <a:lnTo>
                                  <a:pt x="2394" y="2182"/>
                                </a:lnTo>
                                <a:lnTo>
                                  <a:pt x="2335" y="2227"/>
                                </a:lnTo>
                                <a:lnTo>
                                  <a:pt x="2274" y="2269"/>
                                </a:lnTo>
                                <a:lnTo>
                                  <a:pt x="2212" y="2307"/>
                                </a:lnTo>
                                <a:lnTo>
                                  <a:pt x="2148" y="2342"/>
                                </a:lnTo>
                                <a:lnTo>
                                  <a:pt x="2083" y="2374"/>
                                </a:lnTo>
                                <a:lnTo>
                                  <a:pt x="2017" y="2402"/>
                                </a:lnTo>
                                <a:lnTo>
                                  <a:pt x="1950" y="2427"/>
                                </a:lnTo>
                                <a:lnTo>
                                  <a:pt x="1882" y="2448"/>
                                </a:lnTo>
                                <a:lnTo>
                                  <a:pt x="1813" y="2467"/>
                                </a:lnTo>
                                <a:lnTo>
                                  <a:pt x="1744" y="2481"/>
                                </a:lnTo>
                                <a:lnTo>
                                  <a:pt x="1674" y="2493"/>
                                </a:lnTo>
                                <a:lnTo>
                                  <a:pt x="1604" y="2501"/>
                                </a:lnTo>
                                <a:lnTo>
                                  <a:pt x="1533" y="2505"/>
                                </a:lnTo>
                                <a:lnTo>
                                  <a:pt x="1463" y="2507"/>
                                </a:lnTo>
                                <a:lnTo>
                                  <a:pt x="1392" y="2504"/>
                                </a:lnTo>
                                <a:lnTo>
                                  <a:pt x="1322" y="2499"/>
                                </a:lnTo>
                                <a:lnTo>
                                  <a:pt x="1252" y="2490"/>
                                </a:lnTo>
                                <a:lnTo>
                                  <a:pt x="1182" y="2478"/>
                                </a:lnTo>
                                <a:lnTo>
                                  <a:pt x="1113" y="2462"/>
                                </a:lnTo>
                                <a:lnTo>
                                  <a:pt x="1044" y="2443"/>
                                </a:lnTo>
                                <a:lnTo>
                                  <a:pt x="976" y="2421"/>
                                </a:lnTo>
                                <a:lnTo>
                                  <a:pt x="910" y="2395"/>
                                </a:lnTo>
                                <a:lnTo>
                                  <a:pt x="844" y="2366"/>
                                </a:lnTo>
                                <a:lnTo>
                                  <a:pt x="779" y="2334"/>
                                </a:lnTo>
                                <a:lnTo>
                                  <a:pt x="716" y="2298"/>
                                </a:lnTo>
                                <a:lnTo>
                                  <a:pt x="654" y="2259"/>
                                </a:lnTo>
                                <a:lnTo>
                                  <a:pt x="594" y="2216"/>
                                </a:lnTo>
                                <a:lnTo>
                                  <a:pt x="536" y="2171"/>
                                </a:lnTo>
                                <a:lnTo>
                                  <a:pt x="479" y="2121"/>
                                </a:lnTo>
                                <a:lnTo>
                                  <a:pt x="425" y="2069"/>
                                </a:lnTo>
                                <a:lnTo>
                                  <a:pt x="369" y="2010"/>
                                </a:lnTo>
                                <a:lnTo>
                                  <a:pt x="318" y="1948"/>
                                </a:lnTo>
                                <a:lnTo>
                                  <a:pt x="270" y="1884"/>
                                </a:lnTo>
                                <a:lnTo>
                                  <a:pt x="225" y="1817"/>
                                </a:lnTo>
                                <a:lnTo>
                                  <a:pt x="185" y="1748"/>
                                </a:lnTo>
                                <a:lnTo>
                                  <a:pt x="148" y="1678"/>
                                </a:lnTo>
                                <a:lnTo>
                                  <a:pt x="115" y="1605"/>
                                </a:lnTo>
                                <a:lnTo>
                                  <a:pt x="86" y="1531"/>
                                </a:lnTo>
                                <a:lnTo>
                                  <a:pt x="61" y="1455"/>
                                </a:lnTo>
                                <a:lnTo>
                                  <a:pt x="41" y="1378"/>
                                </a:lnTo>
                                <a:lnTo>
                                  <a:pt x="24" y="1300"/>
                                </a:lnTo>
                                <a:lnTo>
                                  <a:pt x="12" y="1221"/>
                                </a:lnTo>
                                <a:lnTo>
                                  <a:pt x="4" y="1141"/>
                                </a:lnTo>
                                <a:lnTo>
                                  <a:pt x="0" y="1061"/>
                                </a:lnTo>
                                <a:lnTo>
                                  <a:pt x="1" y="980"/>
                                </a:lnTo>
                                <a:lnTo>
                                  <a:pt x="1472" y="1035"/>
                                </a:lnTo>
                                <a:lnTo>
                                  <a:pt x="2519" y="0"/>
                                </a:lnTo>
                                <a:close/>
                              </a:path>
                            </a:pathLst>
                          </a:custGeom>
                          <a:noFill/>
                          <a:ln w="19812">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Freeform 17"/>
                        <wps:cNvSpPr>
                          <a:spLocks/>
                        </wps:cNvSpPr>
                        <wps:spPr bwMode="auto">
                          <a:xfrm>
                            <a:off x="2077" y="405"/>
                            <a:ext cx="1471" cy="1473"/>
                          </a:xfrm>
                          <a:custGeom>
                            <a:avLst/>
                            <a:gdLst>
                              <a:gd name="T0" fmla="+- 0 3549 2078"/>
                              <a:gd name="T1" fmla="*/ T0 w 1471"/>
                              <a:gd name="T2" fmla="+- 0 405 405"/>
                              <a:gd name="T3" fmla="*/ 405 h 1473"/>
                              <a:gd name="T4" fmla="+- 0 3473 2078"/>
                              <a:gd name="T5" fmla="*/ T4 w 1471"/>
                              <a:gd name="T6" fmla="+- 0 407 405"/>
                              <a:gd name="T7" fmla="*/ 407 h 1473"/>
                              <a:gd name="T8" fmla="+- 0 3397 2078"/>
                              <a:gd name="T9" fmla="*/ T8 w 1471"/>
                              <a:gd name="T10" fmla="+- 0 413 405"/>
                              <a:gd name="T11" fmla="*/ 413 h 1473"/>
                              <a:gd name="T12" fmla="+- 0 3323 2078"/>
                              <a:gd name="T13" fmla="*/ T12 w 1471"/>
                              <a:gd name="T14" fmla="+- 0 423 405"/>
                              <a:gd name="T15" fmla="*/ 423 h 1473"/>
                              <a:gd name="T16" fmla="+- 0 3250 2078"/>
                              <a:gd name="T17" fmla="*/ T16 w 1471"/>
                              <a:gd name="T18" fmla="+- 0 436 405"/>
                              <a:gd name="T19" fmla="*/ 436 h 1473"/>
                              <a:gd name="T20" fmla="+- 0 3179 2078"/>
                              <a:gd name="T21" fmla="*/ T20 w 1471"/>
                              <a:gd name="T22" fmla="+- 0 452 405"/>
                              <a:gd name="T23" fmla="*/ 452 h 1473"/>
                              <a:gd name="T24" fmla="+- 0 3108 2078"/>
                              <a:gd name="T25" fmla="*/ T24 w 1471"/>
                              <a:gd name="T26" fmla="+- 0 473 405"/>
                              <a:gd name="T27" fmla="*/ 473 h 1473"/>
                              <a:gd name="T28" fmla="+- 0 3040 2078"/>
                              <a:gd name="T29" fmla="*/ T28 w 1471"/>
                              <a:gd name="T30" fmla="+- 0 496 405"/>
                              <a:gd name="T31" fmla="*/ 496 h 1473"/>
                              <a:gd name="T32" fmla="+- 0 2972 2078"/>
                              <a:gd name="T33" fmla="*/ T32 w 1471"/>
                              <a:gd name="T34" fmla="+- 0 523 405"/>
                              <a:gd name="T35" fmla="*/ 523 h 1473"/>
                              <a:gd name="T36" fmla="+- 0 2907 2078"/>
                              <a:gd name="T37" fmla="*/ T36 w 1471"/>
                              <a:gd name="T38" fmla="+- 0 553 405"/>
                              <a:gd name="T39" fmla="*/ 553 h 1473"/>
                              <a:gd name="T40" fmla="+- 0 2843 2078"/>
                              <a:gd name="T41" fmla="*/ T40 w 1471"/>
                              <a:gd name="T42" fmla="+- 0 586 405"/>
                              <a:gd name="T43" fmla="*/ 586 h 1473"/>
                              <a:gd name="T44" fmla="+- 0 2781 2078"/>
                              <a:gd name="T45" fmla="*/ T44 w 1471"/>
                              <a:gd name="T46" fmla="+- 0 621 405"/>
                              <a:gd name="T47" fmla="*/ 621 h 1473"/>
                              <a:gd name="T48" fmla="+- 0 2721 2078"/>
                              <a:gd name="T49" fmla="*/ T48 w 1471"/>
                              <a:gd name="T50" fmla="+- 0 660 405"/>
                              <a:gd name="T51" fmla="*/ 660 h 1473"/>
                              <a:gd name="T52" fmla="+- 0 2663 2078"/>
                              <a:gd name="T53" fmla="*/ T52 w 1471"/>
                              <a:gd name="T54" fmla="+- 0 702 405"/>
                              <a:gd name="T55" fmla="*/ 702 h 1473"/>
                              <a:gd name="T56" fmla="+- 0 2607 2078"/>
                              <a:gd name="T57" fmla="*/ T56 w 1471"/>
                              <a:gd name="T58" fmla="+- 0 746 405"/>
                              <a:gd name="T59" fmla="*/ 746 h 1473"/>
                              <a:gd name="T60" fmla="+- 0 2553 2078"/>
                              <a:gd name="T61" fmla="*/ T60 w 1471"/>
                              <a:gd name="T62" fmla="+- 0 793 405"/>
                              <a:gd name="T63" fmla="*/ 793 h 1473"/>
                              <a:gd name="T64" fmla="+- 0 2502 2078"/>
                              <a:gd name="T65" fmla="*/ T64 w 1471"/>
                              <a:gd name="T66" fmla="+- 0 843 405"/>
                              <a:gd name="T67" fmla="*/ 843 h 1473"/>
                              <a:gd name="T68" fmla="+- 0 2453 2078"/>
                              <a:gd name="T69" fmla="*/ T68 w 1471"/>
                              <a:gd name="T70" fmla="+- 0 895 405"/>
                              <a:gd name="T71" fmla="*/ 895 h 1473"/>
                              <a:gd name="T72" fmla="+- 0 2407 2078"/>
                              <a:gd name="T73" fmla="*/ T72 w 1471"/>
                              <a:gd name="T74" fmla="+- 0 949 405"/>
                              <a:gd name="T75" fmla="*/ 949 h 1473"/>
                              <a:gd name="T76" fmla="+- 0 2363 2078"/>
                              <a:gd name="T77" fmla="*/ T76 w 1471"/>
                              <a:gd name="T78" fmla="+- 0 1005 405"/>
                              <a:gd name="T79" fmla="*/ 1005 h 1473"/>
                              <a:gd name="T80" fmla="+- 0 2322 2078"/>
                              <a:gd name="T81" fmla="*/ T80 w 1471"/>
                              <a:gd name="T82" fmla="+- 0 1064 405"/>
                              <a:gd name="T83" fmla="*/ 1064 h 1473"/>
                              <a:gd name="T84" fmla="+- 0 2284 2078"/>
                              <a:gd name="T85" fmla="*/ T84 w 1471"/>
                              <a:gd name="T86" fmla="+- 0 1124 405"/>
                              <a:gd name="T87" fmla="*/ 1124 h 1473"/>
                              <a:gd name="T88" fmla="+- 0 2248 2078"/>
                              <a:gd name="T89" fmla="*/ T88 w 1471"/>
                              <a:gd name="T90" fmla="+- 0 1187 405"/>
                              <a:gd name="T91" fmla="*/ 1187 h 1473"/>
                              <a:gd name="T92" fmla="+- 0 2216 2078"/>
                              <a:gd name="T93" fmla="*/ T92 w 1471"/>
                              <a:gd name="T94" fmla="+- 0 1251 405"/>
                              <a:gd name="T95" fmla="*/ 1251 h 1473"/>
                              <a:gd name="T96" fmla="+- 0 2187 2078"/>
                              <a:gd name="T97" fmla="*/ T96 w 1471"/>
                              <a:gd name="T98" fmla="+- 0 1318 405"/>
                              <a:gd name="T99" fmla="*/ 1318 h 1473"/>
                              <a:gd name="T100" fmla="+- 0 2161 2078"/>
                              <a:gd name="T101" fmla="*/ T100 w 1471"/>
                              <a:gd name="T102" fmla="+- 0 1386 405"/>
                              <a:gd name="T103" fmla="*/ 1386 h 1473"/>
                              <a:gd name="T104" fmla="+- 0 2138 2078"/>
                              <a:gd name="T105" fmla="*/ T104 w 1471"/>
                              <a:gd name="T106" fmla="+- 0 1455 405"/>
                              <a:gd name="T107" fmla="*/ 1455 h 1473"/>
                              <a:gd name="T108" fmla="+- 0 2119 2078"/>
                              <a:gd name="T109" fmla="*/ T108 w 1471"/>
                              <a:gd name="T110" fmla="+- 0 1526 405"/>
                              <a:gd name="T111" fmla="*/ 1526 h 1473"/>
                              <a:gd name="T112" fmla="+- 0 2103 2078"/>
                              <a:gd name="T113" fmla="*/ T112 w 1471"/>
                              <a:gd name="T114" fmla="+- 0 1598 405"/>
                              <a:gd name="T115" fmla="*/ 1598 h 1473"/>
                              <a:gd name="T116" fmla="+- 0 2091 2078"/>
                              <a:gd name="T117" fmla="*/ T116 w 1471"/>
                              <a:gd name="T118" fmla="+- 0 1672 405"/>
                              <a:gd name="T119" fmla="*/ 1672 h 1473"/>
                              <a:gd name="T120" fmla="+- 0 2082 2078"/>
                              <a:gd name="T121" fmla="*/ T120 w 1471"/>
                              <a:gd name="T122" fmla="+- 0 1747 405"/>
                              <a:gd name="T123" fmla="*/ 1747 h 1473"/>
                              <a:gd name="T124" fmla="+- 0 2078 2078"/>
                              <a:gd name="T125" fmla="*/ T124 w 1471"/>
                              <a:gd name="T126" fmla="+- 0 1823 405"/>
                              <a:gd name="T127" fmla="*/ 1823 h 1473"/>
                              <a:gd name="T128" fmla="+- 0 3549 2078"/>
                              <a:gd name="T129" fmla="*/ T128 w 1471"/>
                              <a:gd name="T130" fmla="+- 0 1878 405"/>
                              <a:gd name="T131" fmla="*/ 1878 h 1473"/>
                              <a:gd name="T132" fmla="+- 0 3549 2078"/>
                              <a:gd name="T133" fmla="*/ T132 w 1471"/>
                              <a:gd name="T134" fmla="+- 0 405 405"/>
                              <a:gd name="T135" fmla="*/ 405 h 1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71" h="1473">
                                <a:moveTo>
                                  <a:pt x="1471" y="0"/>
                                </a:moveTo>
                                <a:lnTo>
                                  <a:pt x="1395" y="2"/>
                                </a:lnTo>
                                <a:lnTo>
                                  <a:pt x="1319" y="8"/>
                                </a:lnTo>
                                <a:lnTo>
                                  <a:pt x="1245" y="18"/>
                                </a:lnTo>
                                <a:lnTo>
                                  <a:pt x="1172" y="31"/>
                                </a:lnTo>
                                <a:lnTo>
                                  <a:pt x="1101" y="47"/>
                                </a:lnTo>
                                <a:lnTo>
                                  <a:pt x="1030" y="68"/>
                                </a:lnTo>
                                <a:lnTo>
                                  <a:pt x="962" y="91"/>
                                </a:lnTo>
                                <a:lnTo>
                                  <a:pt x="894" y="118"/>
                                </a:lnTo>
                                <a:lnTo>
                                  <a:pt x="829" y="148"/>
                                </a:lnTo>
                                <a:lnTo>
                                  <a:pt x="765" y="181"/>
                                </a:lnTo>
                                <a:lnTo>
                                  <a:pt x="703" y="216"/>
                                </a:lnTo>
                                <a:lnTo>
                                  <a:pt x="643" y="255"/>
                                </a:lnTo>
                                <a:lnTo>
                                  <a:pt x="585" y="297"/>
                                </a:lnTo>
                                <a:lnTo>
                                  <a:pt x="529" y="341"/>
                                </a:lnTo>
                                <a:lnTo>
                                  <a:pt x="475" y="388"/>
                                </a:lnTo>
                                <a:lnTo>
                                  <a:pt x="424" y="438"/>
                                </a:lnTo>
                                <a:lnTo>
                                  <a:pt x="375" y="490"/>
                                </a:lnTo>
                                <a:lnTo>
                                  <a:pt x="329" y="544"/>
                                </a:lnTo>
                                <a:lnTo>
                                  <a:pt x="285" y="600"/>
                                </a:lnTo>
                                <a:lnTo>
                                  <a:pt x="244" y="659"/>
                                </a:lnTo>
                                <a:lnTo>
                                  <a:pt x="206" y="719"/>
                                </a:lnTo>
                                <a:lnTo>
                                  <a:pt x="170" y="782"/>
                                </a:lnTo>
                                <a:lnTo>
                                  <a:pt x="138" y="846"/>
                                </a:lnTo>
                                <a:lnTo>
                                  <a:pt x="109" y="913"/>
                                </a:lnTo>
                                <a:lnTo>
                                  <a:pt x="83" y="981"/>
                                </a:lnTo>
                                <a:lnTo>
                                  <a:pt x="60" y="1050"/>
                                </a:lnTo>
                                <a:lnTo>
                                  <a:pt x="41" y="1121"/>
                                </a:lnTo>
                                <a:lnTo>
                                  <a:pt x="25" y="1193"/>
                                </a:lnTo>
                                <a:lnTo>
                                  <a:pt x="13" y="1267"/>
                                </a:lnTo>
                                <a:lnTo>
                                  <a:pt x="4" y="1342"/>
                                </a:lnTo>
                                <a:lnTo>
                                  <a:pt x="0" y="1418"/>
                                </a:lnTo>
                                <a:lnTo>
                                  <a:pt x="1471" y="1473"/>
                                </a:lnTo>
                                <a:lnTo>
                                  <a:pt x="1471"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16"/>
                        <wps:cNvSpPr>
                          <a:spLocks/>
                        </wps:cNvSpPr>
                        <wps:spPr bwMode="auto">
                          <a:xfrm>
                            <a:off x="2077" y="405"/>
                            <a:ext cx="1471" cy="1473"/>
                          </a:xfrm>
                          <a:custGeom>
                            <a:avLst/>
                            <a:gdLst>
                              <a:gd name="T0" fmla="+- 0 2078 2078"/>
                              <a:gd name="T1" fmla="*/ T0 w 1471"/>
                              <a:gd name="T2" fmla="+- 0 1823 405"/>
                              <a:gd name="T3" fmla="*/ 1823 h 1473"/>
                              <a:gd name="T4" fmla="+- 0 2082 2078"/>
                              <a:gd name="T5" fmla="*/ T4 w 1471"/>
                              <a:gd name="T6" fmla="+- 0 1747 405"/>
                              <a:gd name="T7" fmla="*/ 1747 h 1473"/>
                              <a:gd name="T8" fmla="+- 0 2091 2078"/>
                              <a:gd name="T9" fmla="*/ T8 w 1471"/>
                              <a:gd name="T10" fmla="+- 0 1672 405"/>
                              <a:gd name="T11" fmla="*/ 1672 h 1473"/>
                              <a:gd name="T12" fmla="+- 0 2103 2078"/>
                              <a:gd name="T13" fmla="*/ T12 w 1471"/>
                              <a:gd name="T14" fmla="+- 0 1598 405"/>
                              <a:gd name="T15" fmla="*/ 1598 h 1473"/>
                              <a:gd name="T16" fmla="+- 0 2119 2078"/>
                              <a:gd name="T17" fmla="*/ T16 w 1471"/>
                              <a:gd name="T18" fmla="+- 0 1526 405"/>
                              <a:gd name="T19" fmla="*/ 1526 h 1473"/>
                              <a:gd name="T20" fmla="+- 0 2138 2078"/>
                              <a:gd name="T21" fmla="*/ T20 w 1471"/>
                              <a:gd name="T22" fmla="+- 0 1455 405"/>
                              <a:gd name="T23" fmla="*/ 1455 h 1473"/>
                              <a:gd name="T24" fmla="+- 0 2161 2078"/>
                              <a:gd name="T25" fmla="*/ T24 w 1471"/>
                              <a:gd name="T26" fmla="+- 0 1386 405"/>
                              <a:gd name="T27" fmla="*/ 1386 h 1473"/>
                              <a:gd name="T28" fmla="+- 0 2187 2078"/>
                              <a:gd name="T29" fmla="*/ T28 w 1471"/>
                              <a:gd name="T30" fmla="+- 0 1318 405"/>
                              <a:gd name="T31" fmla="*/ 1318 h 1473"/>
                              <a:gd name="T32" fmla="+- 0 2216 2078"/>
                              <a:gd name="T33" fmla="*/ T32 w 1471"/>
                              <a:gd name="T34" fmla="+- 0 1251 405"/>
                              <a:gd name="T35" fmla="*/ 1251 h 1473"/>
                              <a:gd name="T36" fmla="+- 0 2248 2078"/>
                              <a:gd name="T37" fmla="*/ T36 w 1471"/>
                              <a:gd name="T38" fmla="+- 0 1187 405"/>
                              <a:gd name="T39" fmla="*/ 1187 h 1473"/>
                              <a:gd name="T40" fmla="+- 0 2284 2078"/>
                              <a:gd name="T41" fmla="*/ T40 w 1471"/>
                              <a:gd name="T42" fmla="+- 0 1124 405"/>
                              <a:gd name="T43" fmla="*/ 1124 h 1473"/>
                              <a:gd name="T44" fmla="+- 0 2322 2078"/>
                              <a:gd name="T45" fmla="*/ T44 w 1471"/>
                              <a:gd name="T46" fmla="+- 0 1064 405"/>
                              <a:gd name="T47" fmla="*/ 1064 h 1473"/>
                              <a:gd name="T48" fmla="+- 0 2363 2078"/>
                              <a:gd name="T49" fmla="*/ T48 w 1471"/>
                              <a:gd name="T50" fmla="+- 0 1005 405"/>
                              <a:gd name="T51" fmla="*/ 1005 h 1473"/>
                              <a:gd name="T52" fmla="+- 0 2407 2078"/>
                              <a:gd name="T53" fmla="*/ T52 w 1471"/>
                              <a:gd name="T54" fmla="+- 0 949 405"/>
                              <a:gd name="T55" fmla="*/ 949 h 1473"/>
                              <a:gd name="T56" fmla="+- 0 2453 2078"/>
                              <a:gd name="T57" fmla="*/ T56 w 1471"/>
                              <a:gd name="T58" fmla="+- 0 895 405"/>
                              <a:gd name="T59" fmla="*/ 895 h 1473"/>
                              <a:gd name="T60" fmla="+- 0 2502 2078"/>
                              <a:gd name="T61" fmla="*/ T60 w 1471"/>
                              <a:gd name="T62" fmla="+- 0 843 405"/>
                              <a:gd name="T63" fmla="*/ 843 h 1473"/>
                              <a:gd name="T64" fmla="+- 0 2553 2078"/>
                              <a:gd name="T65" fmla="*/ T64 w 1471"/>
                              <a:gd name="T66" fmla="+- 0 793 405"/>
                              <a:gd name="T67" fmla="*/ 793 h 1473"/>
                              <a:gd name="T68" fmla="+- 0 2607 2078"/>
                              <a:gd name="T69" fmla="*/ T68 w 1471"/>
                              <a:gd name="T70" fmla="+- 0 746 405"/>
                              <a:gd name="T71" fmla="*/ 746 h 1473"/>
                              <a:gd name="T72" fmla="+- 0 2663 2078"/>
                              <a:gd name="T73" fmla="*/ T72 w 1471"/>
                              <a:gd name="T74" fmla="+- 0 702 405"/>
                              <a:gd name="T75" fmla="*/ 702 h 1473"/>
                              <a:gd name="T76" fmla="+- 0 2721 2078"/>
                              <a:gd name="T77" fmla="*/ T76 w 1471"/>
                              <a:gd name="T78" fmla="+- 0 660 405"/>
                              <a:gd name="T79" fmla="*/ 660 h 1473"/>
                              <a:gd name="T80" fmla="+- 0 2781 2078"/>
                              <a:gd name="T81" fmla="*/ T80 w 1471"/>
                              <a:gd name="T82" fmla="+- 0 621 405"/>
                              <a:gd name="T83" fmla="*/ 621 h 1473"/>
                              <a:gd name="T84" fmla="+- 0 2843 2078"/>
                              <a:gd name="T85" fmla="*/ T84 w 1471"/>
                              <a:gd name="T86" fmla="+- 0 586 405"/>
                              <a:gd name="T87" fmla="*/ 586 h 1473"/>
                              <a:gd name="T88" fmla="+- 0 2907 2078"/>
                              <a:gd name="T89" fmla="*/ T88 w 1471"/>
                              <a:gd name="T90" fmla="+- 0 553 405"/>
                              <a:gd name="T91" fmla="*/ 553 h 1473"/>
                              <a:gd name="T92" fmla="+- 0 2972 2078"/>
                              <a:gd name="T93" fmla="*/ T92 w 1471"/>
                              <a:gd name="T94" fmla="+- 0 523 405"/>
                              <a:gd name="T95" fmla="*/ 523 h 1473"/>
                              <a:gd name="T96" fmla="+- 0 3040 2078"/>
                              <a:gd name="T97" fmla="*/ T96 w 1471"/>
                              <a:gd name="T98" fmla="+- 0 496 405"/>
                              <a:gd name="T99" fmla="*/ 496 h 1473"/>
                              <a:gd name="T100" fmla="+- 0 3108 2078"/>
                              <a:gd name="T101" fmla="*/ T100 w 1471"/>
                              <a:gd name="T102" fmla="+- 0 473 405"/>
                              <a:gd name="T103" fmla="*/ 473 h 1473"/>
                              <a:gd name="T104" fmla="+- 0 3179 2078"/>
                              <a:gd name="T105" fmla="*/ T104 w 1471"/>
                              <a:gd name="T106" fmla="+- 0 452 405"/>
                              <a:gd name="T107" fmla="*/ 452 h 1473"/>
                              <a:gd name="T108" fmla="+- 0 3250 2078"/>
                              <a:gd name="T109" fmla="*/ T108 w 1471"/>
                              <a:gd name="T110" fmla="+- 0 436 405"/>
                              <a:gd name="T111" fmla="*/ 436 h 1473"/>
                              <a:gd name="T112" fmla="+- 0 3323 2078"/>
                              <a:gd name="T113" fmla="*/ T112 w 1471"/>
                              <a:gd name="T114" fmla="+- 0 423 405"/>
                              <a:gd name="T115" fmla="*/ 423 h 1473"/>
                              <a:gd name="T116" fmla="+- 0 3397 2078"/>
                              <a:gd name="T117" fmla="*/ T116 w 1471"/>
                              <a:gd name="T118" fmla="+- 0 413 405"/>
                              <a:gd name="T119" fmla="*/ 413 h 1473"/>
                              <a:gd name="T120" fmla="+- 0 3473 2078"/>
                              <a:gd name="T121" fmla="*/ T120 w 1471"/>
                              <a:gd name="T122" fmla="+- 0 407 405"/>
                              <a:gd name="T123" fmla="*/ 407 h 1473"/>
                              <a:gd name="T124" fmla="+- 0 3549 2078"/>
                              <a:gd name="T125" fmla="*/ T124 w 1471"/>
                              <a:gd name="T126" fmla="+- 0 405 405"/>
                              <a:gd name="T127" fmla="*/ 405 h 1473"/>
                              <a:gd name="T128" fmla="+- 0 3549 2078"/>
                              <a:gd name="T129" fmla="*/ T128 w 1471"/>
                              <a:gd name="T130" fmla="+- 0 1878 405"/>
                              <a:gd name="T131" fmla="*/ 1878 h 1473"/>
                              <a:gd name="T132" fmla="+- 0 2078 2078"/>
                              <a:gd name="T133" fmla="*/ T132 w 1471"/>
                              <a:gd name="T134" fmla="+- 0 1823 405"/>
                              <a:gd name="T135" fmla="*/ 1823 h 1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471" h="1473">
                                <a:moveTo>
                                  <a:pt x="0" y="1418"/>
                                </a:moveTo>
                                <a:lnTo>
                                  <a:pt x="4" y="1342"/>
                                </a:lnTo>
                                <a:lnTo>
                                  <a:pt x="13" y="1267"/>
                                </a:lnTo>
                                <a:lnTo>
                                  <a:pt x="25" y="1193"/>
                                </a:lnTo>
                                <a:lnTo>
                                  <a:pt x="41" y="1121"/>
                                </a:lnTo>
                                <a:lnTo>
                                  <a:pt x="60" y="1050"/>
                                </a:lnTo>
                                <a:lnTo>
                                  <a:pt x="83" y="981"/>
                                </a:lnTo>
                                <a:lnTo>
                                  <a:pt x="109" y="913"/>
                                </a:lnTo>
                                <a:lnTo>
                                  <a:pt x="138" y="846"/>
                                </a:lnTo>
                                <a:lnTo>
                                  <a:pt x="170" y="782"/>
                                </a:lnTo>
                                <a:lnTo>
                                  <a:pt x="206" y="719"/>
                                </a:lnTo>
                                <a:lnTo>
                                  <a:pt x="244" y="659"/>
                                </a:lnTo>
                                <a:lnTo>
                                  <a:pt x="285" y="600"/>
                                </a:lnTo>
                                <a:lnTo>
                                  <a:pt x="329" y="544"/>
                                </a:lnTo>
                                <a:lnTo>
                                  <a:pt x="375" y="490"/>
                                </a:lnTo>
                                <a:lnTo>
                                  <a:pt x="424" y="438"/>
                                </a:lnTo>
                                <a:lnTo>
                                  <a:pt x="475" y="388"/>
                                </a:lnTo>
                                <a:lnTo>
                                  <a:pt x="529" y="341"/>
                                </a:lnTo>
                                <a:lnTo>
                                  <a:pt x="585" y="297"/>
                                </a:lnTo>
                                <a:lnTo>
                                  <a:pt x="643" y="255"/>
                                </a:lnTo>
                                <a:lnTo>
                                  <a:pt x="703" y="216"/>
                                </a:lnTo>
                                <a:lnTo>
                                  <a:pt x="765" y="181"/>
                                </a:lnTo>
                                <a:lnTo>
                                  <a:pt x="829" y="148"/>
                                </a:lnTo>
                                <a:lnTo>
                                  <a:pt x="894" y="118"/>
                                </a:lnTo>
                                <a:lnTo>
                                  <a:pt x="962" y="91"/>
                                </a:lnTo>
                                <a:lnTo>
                                  <a:pt x="1030" y="68"/>
                                </a:lnTo>
                                <a:lnTo>
                                  <a:pt x="1101" y="47"/>
                                </a:lnTo>
                                <a:lnTo>
                                  <a:pt x="1172" y="31"/>
                                </a:lnTo>
                                <a:lnTo>
                                  <a:pt x="1245" y="18"/>
                                </a:lnTo>
                                <a:lnTo>
                                  <a:pt x="1319" y="8"/>
                                </a:lnTo>
                                <a:lnTo>
                                  <a:pt x="1395" y="2"/>
                                </a:lnTo>
                                <a:lnTo>
                                  <a:pt x="1471" y="0"/>
                                </a:lnTo>
                                <a:lnTo>
                                  <a:pt x="1471" y="1473"/>
                                </a:lnTo>
                                <a:lnTo>
                                  <a:pt x="0" y="1418"/>
                                </a:lnTo>
                                <a:close/>
                              </a:path>
                            </a:pathLst>
                          </a:custGeom>
                          <a:noFill/>
                          <a:ln w="19812">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AutoShape 15"/>
                        <wps:cNvSpPr>
                          <a:spLocks/>
                        </wps:cNvSpPr>
                        <wps:spPr bwMode="auto">
                          <a:xfrm>
                            <a:off x="2316" y="459"/>
                            <a:ext cx="2464" cy="3185"/>
                          </a:xfrm>
                          <a:custGeom>
                            <a:avLst/>
                            <a:gdLst>
                              <a:gd name="T0" fmla="+- 0 4206 2317"/>
                              <a:gd name="T1" fmla="*/ T0 w 2464"/>
                              <a:gd name="T2" fmla="+- 0 515 460"/>
                              <a:gd name="T3" fmla="*/ 515 h 3185"/>
                              <a:gd name="T4" fmla="+- 0 4593 2317"/>
                              <a:gd name="T5" fmla="*/ T4 w 2464"/>
                              <a:gd name="T6" fmla="+- 0 460 460"/>
                              <a:gd name="T7" fmla="*/ 460 h 3185"/>
                              <a:gd name="T8" fmla="+- 0 4682 2317"/>
                              <a:gd name="T9" fmla="*/ T8 w 2464"/>
                              <a:gd name="T10" fmla="+- 0 460 460"/>
                              <a:gd name="T11" fmla="*/ 460 h 3185"/>
                              <a:gd name="T12" fmla="+- 0 4176 2317"/>
                              <a:gd name="T13" fmla="*/ T12 w 2464"/>
                              <a:gd name="T14" fmla="+- 0 3395 460"/>
                              <a:gd name="T15" fmla="*/ 3395 h 3185"/>
                              <a:gd name="T16" fmla="+- 0 4691 2317"/>
                              <a:gd name="T17" fmla="*/ T16 w 2464"/>
                              <a:gd name="T18" fmla="+- 0 3644 460"/>
                              <a:gd name="T19" fmla="*/ 3644 h 3185"/>
                              <a:gd name="T20" fmla="+- 0 4780 2317"/>
                              <a:gd name="T21" fmla="*/ T20 w 2464"/>
                              <a:gd name="T22" fmla="+- 0 3644 460"/>
                              <a:gd name="T23" fmla="*/ 3644 h 3185"/>
                              <a:gd name="T24" fmla="+- 0 2527 2317"/>
                              <a:gd name="T25" fmla="*/ T24 w 2464"/>
                              <a:gd name="T26" fmla="+- 0 818 460"/>
                              <a:gd name="T27" fmla="*/ 818 h 3185"/>
                              <a:gd name="T28" fmla="+- 0 2406 2317"/>
                              <a:gd name="T29" fmla="*/ T28 w 2464"/>
                              <a:gd name="T30" fmla="+- 0 735 460"/>
                              <a:gd name="T31" fmla="*/ 735 h 3185"/>
                              <a:gd name="T32" fmla="+- 0 2317 2317"/>
                              <a:gd name="T33" fmla="*/ T32 w 2464"/>
                              <a:gd name="T34" fmla="+- 0 735 460"/>
                              <a:gd name="T35" fmla="*/ 735 h 3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464" h="3185">
                                <a:moveTo>
                                  <a:pt x="1889" y="55"/>
                                </a:moveTo>
                                <a:lnTo>
                                  <a:pt x="2276" y="0"/>
                                </a:lnTo>
                                <a:lnTo>
                                  <a:pt x="2365" y="0"/>
                                </a:lnTo>
                                <a:moveTo>
                                  <a:pt x="1859" y="2935"/>
                                </a:moveTo>
                                <a:lnTo>
                                  <a:pt x="2374" y="3184"/>
                                </a:lnTo>
                                <a:lnTo>
                                  <a:pt x="2463" y="3184"/>
                                </a:lnTo>
                                <a:moveTo>
                                  <a:pt x="210" y="358"/>
                                </a:moveTo>
                                <a:lnTo>
                                  <a:pt x="89" y="275"/>
                                </a:lnTo>
                                <a:lnTo>
                                  <a:pt x="0" y="275"/>
                                </a:lnTo>
                              </a:path>
                            </a:pathLst>
                          </a:custGeom>
                          <a:noFill/>
                          <a:ln w="9525">
                            <a:solidFill>
                              <a:srgbClr val="A6A6A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Text Box 14"/>
                        <wps:cNvSpPr txBox="1">
                          <a:spLocks noChangeArrowheads="1"/>
                        </wps:cNvSpPr>
                        <wps:spPr bwMode="auto">
                          <a:xfrm>
                            <a:off x="7" y="7"/>
                            <a:ext cx="7205" cy="4325"/>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11E58" w:rsidRDefault="00411E58">
                              <w:pPr>
                                <w:spacing w:before="150"/>
                                <w:ind w:left="4773"/>
                                <w:rPr>
                                  <w:rFonts w:ascii="Calibri"/>
                                  <w:sz w:val="18"/>
                                </w:rPr>
                              </w:pPr>
                              <w:r>
                                <w:rPr>
                                  <w:rFonts w:ascii="Calibri"/>
                                  <w:color w:val="404040"/>
                                  <w:sz w:val="18"/>
                                </w:rPr>
                                <w:t>12,6%</w:t>
                              </w:r>
                            </w:p>
                            <w:p w:rsidR="00411E58" w:rsidRDefault="00411E58">
                              <w:pPr>
                                <w:spacing w:before="7"/>
                                <w:rPr>
                                  <w:rFonts w:ascii="Calibri"/>
                                  <w:sz w:val="14"/>
                                </w:rPr>
                              </w:pPr>
                            </w:p>
                            <w:p w:rsidR="00411E58" w:rsidRDefault="00411E58">
                              <w:pPr>
                                <w:ind w:left="1822"/>
                                <w:rPr>
                                  <w:rFonts w:ascii="Calibri"/>
                                  <w:sz w:val="18"/>
                                </w:rPr>
                              </w:pPr>
                              <w:r>
                                <w:rPr>
                                  <w:rFonts w:ascii="Calibri"/>
                                  <w:color w:val="404040"/>
                                  <w:sz w:val="18"/>
                                </w:rPr>
                                <w:t>24,4%</w:t>
                              </w: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spacing w:before="158"/>
                                <w:ind w:left="4849"/>
                                <w:rPr>
                                  <w:rFonts w:ascii="Calibri"/>
                                  <w:sz w:val="18"/>
                                </w:rPr>
                              </w:pPr>
                              <w:r>
                                <w:rPr>
                                  <w:rFonts w:ascii="Calibri"/>
                                  <w:color w:val="404040"/>
                                  <w:sz w:val="18"/>
                                </w:rPr>
                                <w:t>63,0%</w:t>
                              </w:r>
                            </w:p>
                            <w:p w:rsidR="00411E58" w:rsidRDefault="00411E58">
                              <w:pPr>
                                <w:rPr>
                                  <w:rFonts w:ascii="Calibri"/>
                                  <w:sz w:val="18"/>
                                </w:rPr>
                              </w:pPr>
                            </w:p>
                            <w:p w:rsidR="00411E58" w:rsidRDefault="00411E58">
                              <w:pPr>
                                <w:tabs>
                                  <w:tab w:val="left" w:pos="3168"/>
                                  <w:tab w:val="left" w:pos="4464"/>
                                </w:tabs>
                                <w:spacing w:before="128"/>
                                <w:ind w:left="1753"/>
                                <w:rPr>
                                  <w:rFonts w:ascii="Calibri" w:hAnsi="Calibri"/>
                                  <w:sz w:val="18"/>
                                </w:rPr>
                              </w:pPr>
                              <w:r>
                                <w:rPr>
                                  <w:rFonts w:ascii="Calibri" w:hAnsi="Calibri"/>
                                  <w:color w:val="585858"/>
                                  <w:sz w:val="18"/>
                                </w:rPr>
                                <w:t>в</w:t>
                              </w:r>
                              <w:r>
                                <w:rPr>
                                  <w:rFonts w:ascii="Calibri" w:hAnsi="Calibri"/>
                                  <w:color w:val="585858"/>
                                  <w:spacing w:val="-2"/>
                                  <w:sz w:val="18"/>
                                </w:rPr>
                                <w:t xml:space="preserve"> </w:t>
                              </w:r>
                              <w:r>
                                <w:rPr>
                                  <w:rFonts w:ascii="Calibri" w:hAnsi="Calibri"/>
                                  <w:color w:val="585858"/>
                                  <w:sz w:val="18"/>
                                </w:rPr>
                                <w:t>першу добу</w:t>
                              </w:r>
                              <w:r>
                                <w:rPr>
                                  <w:rFonts w:ascii="Calibri" w:hAnsi="Calibri"/>
                                  <w:color w:val="585858"/>
                                  <w:sz w:val="18"/>
                                </w:rPr>
                                <w:tab/>
                                <w:t>24-48</w:t>
                              </w:r>
                              <w:r>
                                <w:rPr>
                                  <w:rFonts w:ascii="Calibri" w:hAnsi="Calibri"/>
                                  <w:color w:val="585858"/>
                                  <w:spacing w:val="-1"/>
                                  <w:sz w:val="18"/>
                                </w:rPr>
                                <w:t xml:space="preserve"> </w:t>
                              </w:r>
                              <w:r>
                                <w:rPr>
                                  <w:rFonts w:ascii="Calibri" w:hAnsi="Calibri"/>
                                  <w:color w:val="585858"/>
                                  <w:sz w:val="18"/>
                                </w:rPr>
                                <w:t>годин</w:t>
                              </w:r>
                              <w:r>
                                <w:rPr>
                                  <w:rFonts w:ascii="Calibri" w:hAnsi="Calibri"/>
                                  <w:color w:val="585858"/>
                                  <w:sz w:val="18"/>
                                </w:rPr>
                                <w:tab/>
                                <w:t>понад 48</w:t>
                              </w:r>
                              <w:r>
                                <w:rPr>
                                  <w:rFonts w:ascii="Calibri" w:hAnsi="Calibri"/>
                                  <w:color w:val="585858"/>
                                  <w:spacing w:val="-2"/>
                                  <w:sz w:val="18"/>
                                </w:rPr>
                                <w:t xml:space="preserve"> </w:t>
                              </w:r>
                              <w:r>
                                <w:rPr>
                                  <w:rFonts w:ascii="Calibri" w:hAnsi="Calibri"/>
                                  <w:color w:val="585858"/>
                                  <w:sz w:val="18"/>
                                </w:rPr>
                                <w:t>годин</w:t>
                              </w:r>
                            </w:p>
                          </w:txbxContent>
                        </wps:txbx>
                        <wps:bodyPr rot="0" vert="horz" wrap="square" lIns="0" tIns="0" rIns="0" bIns="0" anchor="t" anchorCtr="0" upright="1">
                          <a:noAutofit/>
                        </wps:bodyPr>
                      </wps:wsp>
                    </wpg:wgp>
                  </a:graphicData>
                </a:graphic>
              </wp:inline>
            </w:drawing>
          </mc:Choice>
          <mc:Fallback>
            <w:pict>
              <v:group id="Group 13" o:spid="_x0000_s1026" style="width:361pt;height:217pt;mso-position-horizontal-relative:char;mso-position-vertical-relative:line" coordsize="7220,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">
                <v:shape id="Freeform 20" o:spid="_x0000_s1027" style="position:absolute;left:3638;top:401;width:1048;height:1472;visibility:visible;mso-wrap-style:square;v-text-anchor:top" coordsize="1048,14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diabwA&#10;AADbAAAADwAAAGRycy9kb3ducmV2LnhtbERPSwrCMBDdC94hjOBOU12oVKP4oWCXfg4wNmNbbCal&#10;iW29vVkILh/vv9n1phItNa60rGA2jUAQZ1aXnCu435LJCoTzyBory6TgQw522+Fgg7G2HV+ovfpc&#10;hBB2MSoovK9jKV1WkEE3tTVx4J62MegDbHKpG+xCuKnkPIoW0mDJoaHAmo4FZa/r2yh4yPvieepO&#10;9Use3kmaLpN031ZKjUf9fg3CU+//4p/7rBXMw/rwJfwAuf0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Lt2JpvAAAANsAAAAPAAAAAAAAAAAAAAAAAJgCAABkcnMvZG93bnJldi54&#10;bWxQSwUGAAAAAAQABAD1AAAAgQMAAAAA&#10;" path="m,l,1472,1047,438,991,384,932,333,870,285,806,241,741,200,673,163,603,129,532,100,459,74,385,52,310,33,234,19,157,9,79,2,,xe" fillcolor="#6fac46" stroked="f">
                  <v:path arrowok="t" o:connecttype="custom" o:connectlocs="0,401;0,1873;1047,839;991,785;932,734;870,686;806,642;741,601;673,564;603,530;532,501;459,475;385,453;310,434;234,420;157,410;79,403;0,401" o:connectangles="0,0,0,0,0,0,0,0,0,0,0,0,0,0,0,0,0,0"/>
                </v:shape>
                <v:shape id="Freeform 19" o:spid="_x0000_s1028" style="position:absolute;left:2170;top:989;width:2944;height:2507;visibility:visible;mso-wrap-style:square;v-text-anchor:top" coordsize="2944,2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7YcQA&#10;AADbAAAADwAAAGRycy9kb3ducmV2LnhtbESPT2vCQBTE7wW/w/IEb3WjgpToKvUf5CC0RqHXR/Y1&#10;Sc2+Dburid++Wyh4HGbmN8xy3ZtG3Mn52rKCyTgBQVxYXXOp4HI+vL6B8AFZY2OZFDzIw3o1eFli&#10;qm3HJ7rnoRQRwj5FBVUIbSqlLyoy6Me2JY7et3UGQ5SulNphF+GmkdMkmUuDNceFClvaVlRc85tR&#10;sN3Nzp3+mbmvW7bfmMenzI7hQ6nRsH9fgAjUh2f4v51pBdMJ/H2JP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P+2HEAAAA2wAAAA8AAAAAAAAAAAAAAAAAmAIAAGRycy9k&#10;b3ducmV2LnhtbFBLBQYAAAAABAAEAPUAAACJAwAAAAA=&#10;" path="m2519,l1472,1035,1,980,,1061r4,80l12,1221r12,79l41,1378r20,77l86,1531r29,74l148,1678r37,70l225,1817r45,67l318,1948r51,62l425,2069r54,52l536,2171r58,45l654,2259r62,39l779,2334r65,32l910,2395r66,26l1044,2443r69,19l1182,2478r70,12l1322,2499r70,5l1463,2507r70,-2l1604,2501r70,-8l1744,2481r69,-14l1882,2448r68,-21l2017,2402r66,-28l2148,2342r64,-35l2274,2269r61,-42l2394,2182r57,-48l2506,2082r53,-55l2608,1971r46,-59l2696,1852r39,-62l2771,1727r33,-64l2833,1597r25,-67l2881,1462r19,-68l2915,1325r12,-70l2936,1185r6,-71l2944,1044r-1,-71l2938,902r-8,-70l2919,762r-15,-69l2886,624r-22,-68l2840,489r-29,-66l2780,358r-35,-64l2706,232r-41,-60l2620,113,2571,55,2519,xe" fillcolor="#4471c4" stroked="f">
                  <v:path arrowok="t" o:connecttype="custom" o:connectlocs="1472,2024;0,2050;12,2210;41,2367;86,2520;148,2667;225,2806;318,2937;425,3058;536,3160;654,3248;779,3323;910,3384;1044,3432;1182,3467;1322,3488;1463,3496;1604,3490;1744,3470;1882,3437;2017,3391;2148,3331;2274,3258;2394,3171;2506,3071;2608,2960;2696,2841;2771,2716;2833,2586;2881,2451;2915,2314;2936,2174;2944,2033;2938,1891;2919,1751;2886,1613;2840,1478;2780,1347;2706,1221;2620,1102;2519,989" o:connectangles="0,0,0,0,0,0,0,0,0,0,0,0,0,0,0,0,0,0,0,0,0,0,0,0,0,0,0,0,0,0,0,0,0,0,0,0,0,0,0,0,0"/>
                </v:shape>
                <v:shape id="Freeform 18" o:spid="_x0000_s1029" style="position:absolute;left:2170;top:989;width:2944;height:2507;visibility:visible;mso-wrap-style:square;v-text-anchor:top" coordsize="2944,25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RQsIA&#10;AADbAAAADwAAAGRycy9kb3ducmV2LnhtbESPwW7CMBBE75X4B2uRuBWHHFAbMAgBRemtJYjzEi9J&#10;IF5Htgvh7+tKlTiOZuaNZr7sTStu5HxjWcFknIAgLq1uuFJwKD5e30D4gKyxtUwKHuRhuRi8zDHT&#10;9s7fdNuHSkQI+wwV1CF0mZS+rMmgH9uOOHpn6wyGKF0ltcN7hJtWpkkylQYbjgs1drSuqbzuf4yC&#10;bjt5R0wvp8Lt2uOm4Pzr85ArNRr2qxmIQH14hv/buVaQpvD3Jf4Auf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dJFCwgAAANsAAAAPAAAAAAAAAAAAAAAAAJgCAABkcnMvZG93&#10;bnJldi54bWxQSwUGAAAAAAQABAD1AAAAhwMAAAAA&#10;" path="m2519,r52,55l2620,113r45,59l2706,232r39,62l2780,358r31,65l2840,489r24,67l2886,624r18,69l2919,762r11,70l2938,902r5,71l2944,1044r-2,70l2936,1185r-9,70l2915,1325r-15,69l2881,1462r-23,68l2833,1597r-29,66l2771,1727r-36,63l2696,1852r-42,60l2608,1971r-49,56l2506,2082r-55,52l2394,2182r-59,45l2274,2269r-62,38l2148,2342r-65,32l2017,2402r-67,25l1882,2448r-69,19l1744,2481r-70,12l1604,2501r-71,4l1463,2507r-71,-3l1322,2499r-70,-9l1182,2478r-69,-16l1044,2443r-68,-22l910,2395r-66,-29l779,2334r-63,-36l654,2259r-60,-43l536,2171r-57,-50l425,2069r-56,-59l318,1948r-48,-64l225,1817r-40,-69l148,1678r-33,-73l86,1531,61,1455,41,1378,24,1300,12,1221,4,1141,,1061,1,980r1471,55l2519,xe" filled="f" strokecolor="white" strokeweight="1.56pt">
                  <v:path arrowok="t" o:connecttype="custom" o:connectlocs="2571,1044;2665,1161;2745,1283;2811,1412;2864,1545;2904,1682;2930,1821;2943,1962;2942,2103;2927,2244;2900,2383;2858,2519;2804,2652;2735,2779;2654,2901;2559,3016;2451,3123;2335,3216;2212,3296;2083,3363;1950,3416;1813,3456;1674,3482;1533,3494;1392,3493;1252,3479;1113,3451;976,3410;844,3355;716,3287;594,3205;479,3110;369,2999;270,2873;185,2737;115,2594;61,2444;24,2289;4,2130;1,1969;2519,989" o:connectangles="0,0,0,0,0,0,0,0,0,0,0,0,0,0,0,0,0,0,0,0,0,0,0,0,0,0,0,0,0,0,0,0,0,0,0,0,0,0,0,0,0"/>
                </v:shape>
                <v:shape id="Freeform 17" o:spid="_x0000_s1030" style="position:absolute;left:2077;top:405;width:1471;height:1473;visibility:visible;mso-wrap-style:square;v-text-anchor:top" coordsize="1471,1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x5gr4A&#10;AADbAAAADwAAAGRycy9kb3ducmV2LnhtbESPzQrCMBCE74LvEFbwpqmKItUoVVG8+vMAS7O2xWZT&#10;mlirT28EweMwM98wy3VrStFQ7QrLCkbDCARxanXBmYLrZT+Yg3AeWWNpmRS8yMF61e0sMdb2ySdq&#10;zj4TAcIuRgW591UspUtzMuiGtiIO3s3WBn2QdSZ1jc8AN6UcR9FMGiw4LORY0Tan9H5+GAV+sjm+&#10;kyKbJvvdbYOj5nBPtFGq32uTBQhPrf+Hf+2jVjCewPdL+AFy9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ceYK+AAAA2wAAAA8AAAAAAAAAAAAAAAAAmAIAAGRycy9kb3ducmV2&#10;LnhtbFBLBQYAAAAABAAEAPUAAACDAwAAAAA=&#10;" path="m1471,r-76,2l1319,8r-74,10l1172,31r-71,16l1030,68,962,91r-68,27l829,148r-64,33l703,216r-60,39l585,297r-56,44l475,388r-51,50l375,490r-46,54l285,600r-41,59l206,719r-36,63l138,846r-29,67l83,981r-23,69l41,1121r-16,72l13,1267r-9,75l,1418r1471,55l1471,xe" fillcolor="#ffc000" stroked="f">
                  <v:path arrowok="t" o:connecttype="custom" o:connectlocs="1471,405;1395,407;1319,413;1245,423;1172,436;1101,452;1030,473;962,496;894,523;829,553;765,586;703,621;643,660;585,702;529,746;475,793;424,843;375,895;329,949;285,1005;244,1064;206,1124;170,1187;138,1251;109,1318;83,1386;60,1455;41,1526;25,1598;13,1672;4,1747;0,1823;1471,1878;1471,405" o:connectangles="0,0,0,0,0,0,0,0,0,0,0,0,0,0,0,0,0,0,0,0,0,0,0,0,0,0,0,0,0,0,0,0,0,0"/>
                </v:shape>
                <v:shape id="Freeform 16" o:spid="_x0000_s1031" style="position:absolute;left:2077;top:405;width:1471;height:1473;visibility:visible;mso-wrap-style:square;v-text-anchor:top" coordsize="1471,1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laZ8UA&#10;AADbAAAADwAAAGRycy9kb3ducmV2LnhtbESPQWvCQBSE70L/w/IKvZlNg9QaXUVEbW0vNXrw+Jp9&#10;TUKzb0N2jem/7wqCx2FmvmFmi97UoqPWVZYVPEcxCOLc6ooLBcfDZvgKwnlkjbVlUvBHDhbzh8EM&#10;U20vvKcu84UIEHYpKii9b1IpXV6SQRfZhjh4P7Y16INsC6lbvAS4qWUSxy/SYMVhocSGViXlv9nZ&#10;KPjIv8enVdF9nnW2272tt9uJ/UqUenrsl1MQnnp/D9/a71pBMoLrl/AD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VpnxQAAANsAAAAPAAAAAAAAAAAAAAAAAJgCAABkcnMv&#10;ZG93bnJldi54bWxQSwUGAAAAAAQABAD1AAAAigMAAAAA&#10;" path="m,1418r4,-76l13,1267r12,-74l41,1121r19,-71l83,981r26,-68l138,846r32,-64l206,719r38,-60l285,600r44,-56l375,490r49,-52l475,388r54,-47l585,297r58,-42l703,216r62,-35l829,148r65,-30l962,91r68,-23l1101,47r71,-16l1245,18,1319,8r76,-6l1471,r,1473l,1418xe" filled="f" strokecolor="white" strokeweight="1.56pt">
                  <v:path arrowok="t" o:connecttype="custom" o:connectlocs="0,1823;4,1747;13,1672;25,1598;41,1526;60,1455;83,1386;109,1318;138,1251;170,1187;206,1124;244,1064;285,1005;329,949;375,895;424,843;475,793;529,746;585,702;643,660;703,621;765,586;829,553;894,523;962,496;1030,473;1101,452;1172,436;1245,423;1319,413;1395,407;1471,405;1471,1878;0,1823" o:connectangles="0,0,0,0,0,0,0,0,0,0,0,0,0,0,0,0,0,0,0,0,0,0,0,0,0,0,0,0,0,0,0,0,0,0"/>
                </v:shape>
                <v:shape id="AutoShape 15" o:spid="_x0000_s1032" style="position:absolute;left:2316;top:459;width:2464;height:3185;visibility:visible;mso-wrap-style:square;v-text-anchor:top" coordsize="2464,3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CmFcYA&#10;AADbAAAADwAAAGRycy9kb3ducmV2LnhtbESPQWvCQBSE74L/YXmCl1I3FSw2dZW2IlQISlMPPT6z&#10;zySYfRt3txr/vVsoeBxm5htmtuhMI87kfG1ZwdMoAUFcWF1zqWD3vXqcgvABWWNjmRRcycNi3u/N&#10;MNX2wl90zkMpIoR9igqqENpUSl9UZNCPbEscvYN1BkOUrpTa4SXCTSPHSfIsDdYcFyps6aOi4pj/&#10;GgWnU/eS7bPde5H9uO0yWT7s/Xqj1HDQvb2CCNSFe/i//akVjCfw9yX+AD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CmFcYAAADbAAAADwAAAAAAAAAAAAAAAACYAgAAZHJz&#10;L2Rvd25yZXYueG1sUEsFBgAAAAAEAAQA9QAAAIsDAAAAAA==&#10;" path="m1889,55l2276,r89,m1859,2935r515,249l2463,3184m210,358l89,275,,275e" filled="f" strokecolor="#a6a6a6">
                  <v:path arrowok="t" o:connecttype="custom" o:connectlocs="1889,515;2276,460;2365,460;1859,3395;2374,3644;2463,3644;210,818;89,735;0,735" o:connectangles="0,0,0,0,0,0,0,0,0"/>
                </v:shape>
                <v:shapetype id="_x0000_t202" coordsize="21600,21600" o:spt="202" path="m,l,21600r21600,l21600,xe">
                  <v:stroke joinstyle="miter"/>
                  <v:path gradientshapeok="t" o:connecttype="rect"/>
                </v:shapetype>
                <v:shape id="Text Box 14" o:spid="_x0000_s1033" type="#_x0000_t202" style="position:absolute;left:7;top:7;width:7205;height:43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lEi8UA&#10;AADbAAAADwAAAGRycy9kb3ducmV2LnhtbESPQWvCQBSE74X+h+UVeim6MahIzEZUkJZCQaPeH9ln&#10;Esy+jdmtpv313YLgcZiZb5h00ZtGXKlztWUFo2EEgriwuuZSwWG/GcxAOI+ssbFMCn7IwSJ7fkox&#10;0fbGO7rmvhQBwi5BBZX3bSKlKyoy6Ia2JQ7eyXYGfZBdKXWHtwA3jYyjaCoN1hwWKmxpXVFxzr+N&#10;gt/xJr6s3id6eTCzr7f8uI0/x6VSry/9cg7CU+8f4Xv7QyuIp/D/JfwA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GUSLxQAAANsAAAAPAAAAAAAAAAAAAAAAAJgCAABkcnMv&#10;ZG93bnJldi54bWxQSwUGAAAAAAQABAD1AAAAigMAAAAA&#10;" filled="f" strokecolor="#d9d9d9">
                  <v:textbox inset="0,0,0,0">
                    <w:txbxContent>
                      <w:p w:rsidR="00411E58" w:rsidRDefault="00411E58">
                        <w:pPr>
                          <w:spacing w:before="150"/>
                          <w:ind w:left="4773"/>
                          <w:rPr>
                            <w:rFonts w:ascii="Calibri"/>
                            <w:sz w:val="18"/>
                          </w:rPr>
                        </w:pPr>
                        <w:r>
                          <w:rPr>
                            <w:rFonts w:ascii="Calibri"/>
                            <w:color w:val="404040"/>
                            <w:sz w:val="18"/>
                          </w:rPr>
                          <w:t>12,6%</w:t>
                        </w:r>
                      </w:p>
                      <w:p w:rsidR="00411E58" w:rsidRDefault="00411E58">
                        <w:pPr>
                          <w:spacing w:before="7"/>
                          <w:rPr>
                            <w:rFonts w:ascii="Calibri"/>
                            <w:sz w:val="14"/>
                          </w:rPr>
                        </w:pPr>
                      </w:p>
                      <w:p w:rsidR="00411E58" w:rsidRDefault="00411E58">
                        <w:pPr>
                          <w:ind w:left="1822"/>
                          <w:rPr>
                            <w:rFonts w:ascii="Calibri"/>
                            <w:sz w:val="18"/>
                          </w:rPr>
                        </w:pPr>
                        <w:r>
                          <w:rPr>
                            <w:rFonts w:ascii="Calibri"/>
                            <w:color w:val="404040"/>
                            <w:sz w:val="18"/>
                          </w:rPr>
                          <w:t>24,4%</w:t>
                        </w: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rPr>
                            <w:rFonts w:ascii="Calibri"/>
                            <w:sz w:val="18"/>
                          </w:rPr>
                        </w:pPr>
                      </w:p>
                      <w:p w:rsidR="00411E58" w:rsidRDefault="00411E58">
                        <w:pPr>
                          <w:spacing w:before="158"/>
                          <w:ind w:left="4849"/>
                          <w:rPr>
                            <w:rFonts w:ascii="Calibri"/>
                            <w:sz w:val="18"/>
                          </w:rPr>
                        </w:pPr>
                        <w:r>
                          <w:rPr>
                            <w:rFonts w:ascii="Calibri"/>
                            <w:color w:val="404040"/>
                            <w:sz w:val="18"/>
                          </w:rPr>
                          <w:t>63,0%</w:t>
                        </w:r>
                      </w:p>
                      <w:p w:rsidR="00411E58" w:rsidRDefault="00411E58">
                        <w:pPr>
                          <w:rPr>
                            <w:rFonts w:ascii="Calibri"/>
                            <w:sz w:val="18"/>
                          </w:rPr>
                        </w:pPr>
                      </w:p>
                      <w:p w:rsidR="00411E58" w:rsidRDefault="00411E58">
                        <w:pPr>
                          <w:tabs>
                            <w:tab w:val="left" w:pos="3168"/>
                            <w:tab w:val="left" w:pos="4464"/>
                          </w:tabs>
                          <w:spacing w:before="128"/>
                          <w:ind w:left="1753"/>
                          <w:rPr>
                            <w:rFonts w:ascii="Calibri" w:hAnsi="Calibri"/>
                            <w:sz w:val="18"/>
                          </w:rPr>
                        </w:pPr>
                        <w:r>
                          <w:rPr>
                            <w:rFonts w:ascii="Calibri" w:hAnsi="Calibri"/>
                            <w:color w:val="585858"/>
                            <w:sz w:val="18"/>
                          </w:rPr>
                          <w:t>в</w:t>
                        </w:r>
                        <w:r>
                          <w:rPr>
                            <w:rFonts w:ascii="Calibri" w:hAnsi="Calibri"/>
                            <w:color w:val="585858"/>
                            <w:spacing w:val="-2"/>
                            <w:sz w:val="18"/>
                          </w:rPr>
                          <w:t xml:space="preserve"> </w:t>
                        </w:r>
                        <w:r>
                          <w:rPr>
                            <w:rFonts w:ascii="Calibri" w:hAnsi="Calibri"/>
                            <w:color w:val="585858"/>
                            <w:sz w:val="18"/>
                          </w:rPr>
                          <w:t>першу добу</w:t>
                        </w:r>
                        <w:r>
                          <w:rPr>
                            <w:rFonts w:ascii="Calibri" w:hAnsi="Calibri"/>
                            <w:color w:val="585858"/>
                            <w:sz w:val="18"/>
                          </w:rPr>
                          <w:tab/>
                          <w:t>24-48</w:t>
                        </w:r>
                        <w:r>
                          <w:rPr>
                            <w:rFonts w:ascii="Calibri" w:hAnsi="Calibri"/>
                            <w:color w:val="585858"/>
                            <w:spacing w:val="-1"/>
                            <w:sz w:val="18"/>
                          </w:rPr>
                          <w:t xml:space="preserve"> </w:t>
                        </w:r>
                        <w:r>
                          <w:rPr>
                            <w:rFonts w:ascii="Calibri" w:hAnsi="Calibri"/>
                            <w:color w:val="585858"/>
                            <w:sz w:val="18"/>
                          </w:rPr>
                          <w:t>годин</w:t>
                        </w:r>
                        <w:r>
                          <w:rPr>
                            <w:rFonts w:ascii="Calibri" w:hAnsi="Calibri"/>
                            <w:color w:val="585858"/>
                            <w:sz w:val="18"/>
                          </w:rPr>
                          <w:tab/>
                          <w:t>понад 48</w:t>
                        </w:r>
                        <w:r>
                          <w:rPr>
                            <w:rFonts w:ascii="Calibri" w:hAnsi="Calibri"/>
                            <w:color w:val="585858"/>
                            <w:spacing w:val="-2"/>
                            <w:sz w:val="18"/>
                          </w:rPr>
                          <w:t xml:space="preserve"> </w:t>
                        </w:r>
                        <w:r>
                          <w:rPr>
                            <w:rFonts w:ascii="Calibri" w:hAnsi="Calibri"/>
                            <w:color w:val="585858"/>
                            <w:sz w:val="18"/>
                          </w:rPr>
                          <w:t>годин</w:t>
                        </w:r>
                      </w:p>
                    </w:txbxContent>
                  </v:textbox>
                </v:shape>
                <w10:anchorlock/>
              </v:group>
            </w:pict>
          </mc:Fallback>
        </mc:AlternateContent>
      </w:r>
    </w:p>
    <w:p w:rsidR="00B23B94" w:rsidRDefault="003B2D3B">
      <w:pPr>
        <w:pStyle w:val="1"/>
        <w:spacing w:before="148"/>
        <w:ind w:left="1705"/>
      </w:pPr>
      <w:r>
        <w:rPr>
          <w:noProof/>
          <w:lang w:eastAsia="uk-UA"/>
        </w:rPr>
        <mc:AlternateContent>
          <mc:Choice Requires="wps">
            <w:drawing>
              <wp:anchor distT="0" distB="0" distL="114300" distR="114300" simplePos="0" relativeHeight="483705344" behindDoc="1" locked="0" layoutInCell="1" allowOverlap="1">
                <wp:simplePos x="0" y="0"/>
                <wp:positionH relativeFrom="page">
                  <wp:posOffset>2783205</wp:posOffset>
                </wp:positionH>
                <wp:positionV relativeFrom="paragraph">
                  <wp:posOffset>-240030</wp:posOffset>
                </wp:positionV>
                <wp:extent cx="62865" cy="62865"/>
                <wp:effectExtent l="0" t="0" r="0" b="0"/>
                <wp:wrapNone/>
                <wp:docPr id="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219.15pt;margin-top:-18.9pt;width:4.95pt;height:4.95pt;z-index:-1961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" fillcolor="#6fac46" stroked="f">
                <w10:wrap anchorx="page"/>
              </v:rect>
            </w:pict>
          </mc:Fallback>
        </mc:AlternateContent>
      </w:r>
      <w:r>
        <w:rPr>
          <w:noProof/>
          <w:lang w:eastAsia="uk-UA"/>
        </w:rPr>
        <mc:AlternateContent>
          <mc:Choice Requires="wps">
            <w:drawing>
              <wp:anchor distT="0" distB="0" distL="114300" distR="114300" simplePos="0" relativeHeight="483705856" behindDoc="1" locked="0" layoutInCell="1" allowOverlap="1">
                <wp:simplePos x="0" y="0"/>
                <wp:positionH relativeFrom="page">
                  <wp:posOffset>3681730</wp:posOffset>
                </wp:positionH>
                <wp:positionV relativeFrom="paragraph">
                  <wp:posOffset>-240030</wp:posOffset>
                </wp:positionV>
                <wp:extent cx="62865" cy="62865"/>
                <wp:effectExtent l="0" t="0" r="0" b="0"/>
                <wp:wrapNone/>
                <wp:docPr id="1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289.9pt;margin-top:-18.9pt;width:4.95pt;height:4.95pt;z-index:-19610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" fillcolor="#4471c4" stroked="f">
                <w10:wrap anchorx="page"/>
              </v:rect>
            </w:pict>
          </mc:Fallback>
        </mc:AlternateContent>
      </w:r>
      <w:r>
        <w:rPr>
          <w:noProof/>
          <w:lang w:eastAsia="uk-UA"/>
        </w:rPr>
        <mc:AlternateContent>
          <mc:Choice Requires="wps">
            <w:drawing>
              <wp:anchor distT="0" distB="0" distL="114300" distR="114300" simplePos="0" relativeHeight="483706368" behindDoc="1" locked="0" layoutInCell="1" allowOverlap="1">
                <wp:simplePos x="0" y="0"/>
                <wp:positionH relativeFrom="page">
                  <wp:posOffset>4504690</wp:posOffset>
                </wp:positionH>
                <wp:positionV relativeFrom="paragraph">
                  <wp:posOffset>-240030</wp:posOffset>
                </wp:positionV>
                <wp:extent cx="62865" cy="62865"/>
                <wp:effectExtent l="0" t="0" r="0" b="0"/>
                <wp:wrapNone/>
                <wp:docPr id="1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354.7pt;margin-top:-18.9pt;width:4.95pt;height:4.95pt;z-index:-196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" fillcolor="#ffc000" stroked="f">
                <w10:wrap anchorx="page"/>
              </v:rect>
            </w:pict>
          </mc:Fallback>
        </mc:AlternateContent>
      </w:r>
      <w:r>
        <w:t>Рис. 2.1. Строки госпіталізації хворих в стаціонар.</w:t>
      </w:r>
    </w:p>
    <w:p w:rsidR="00B23B94" w:rsidRDefault="003B2D3B">
      <w:pPr>
        <w:pStyle w:val="a3"/>
        <w:spacing w:before="161" w:line="360" w:lineRule="auto"/>
        <w:ind w:right="292" w:firstLine="707"/>
        <w:jc w:val="left"/>
      </w:pPr>
      <w:r>
        <w:t>При порівнянні досліджуваних груп статистичної різниці між ними не виявлено (p&gt;0,05).</w:t>
      </w:r>
    </w:p>
    <w:p w:rsidR="00B23B94" w:rsidRDefault="003B2D3B">
      <w:pPr>
        <w:pStyle w:val="a3"/>
        <w:spacing w:before="1" w:line="360" w:lineRule="auto"/>
        <w:ind w:right="292" w:firstLine="707"/>
        <w:jc w:val="left"/>
      </w:pPr>
      <w:r>
        <w:t>Діагноз гострий панкреатит встановлювали за наявності двох з трьох нижче вказаних параметрів: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4"/>
        <w:numPr>
          <w:ilvl w:val="0"/>
          <w:numId w:val="8"/>
        </w:numPr>
        <w:tabs>
          <w:tab w:val="left" w:pos="1211"/>
        </w:tabs>
        <w:spacing w:before="79"/>
        <w:ind w:right="0"/>
        <w:rPr>
          <w:sz w:val="28"/>
        </w:rPr>
      </w:pPr>
      <w:r>
        <w:rPr>
          <w:sz w:val="28"/>
        </w:rPr>
        <w:lastRenderedPageBreak/>
        <w:t>Типовий для гострого панкреатиту абдомінальний</w:t>
      </w:r>
      <w:r>
        <w:rPr>
          <w:spacing w:val="-12"/>
          <w:sz w:val="28"/>
        </w:rPr>
        <w:t xml:space="preserve"> </w:t>
      </w:r>
      <w:r>
        <w:rPr>
          <w:sz w:val="28"/>
        </w:rPr>
        <w:t>біль.</w:t>
      </w:r>
    </w:p>
    <w:p w:rsidR="00B23B94" w:rsidRDefault="003B2D3B">
      <w:pPr>
        <w:pStyle w:val="a4"/>
        <w:numPr>
          <w:ilvl w:val="0"/>
          <w:numId w:val="8"/>
        </w:numPr>
        <w:tabs>
          <w:tab w:val="left" w:pos="1259"/>
        </w:tabs>
        <w:spacing w:before="163" w:line="360" w:lineRule="auto"/>
        <w:ind w:left="222" w:right="307" w:firstLine="707"/>
        <w:rPr>
          <w:sz w:val="28"/>
        </w:rPr>
      </w:pPr>
      <w:r>
        <w:rPr>
          <w:sz w:val="28"/>
        </w:rPr>
        <w:t>Підвищення рівня сироваткової α–амілази більше ніж в 3 рази від верхньої границі</w:t>
      </w:r>
      <w:r>
        <w:rPr>
          <w:spacing w:val="-2"/>
          <w:sz w:val="28"/>
        </w:rPr>
        <w:t xml:space="preserve"> </w:t>
      </w:r>
      <w:r>
        <w:rPr>
          <w:sz w:val="28"/>
        </w:rPr>
        <w:t>норми.</w:t>
      </w:r>
    </w:p>
    <w:p w:rsidR="00B23B94" w:rsidRDefault="003B2D3B">
      <w:pPr>
        <w:pStyle w:val="a4"/>
        <w:numPr>
          <w:ilvl w:val="0"/>
          <w:numId w:val="8"/>
        </w:numPr>
        <w:tabs>
          <w:tab w:val="left" w:pos="1254"/>
        </w:tabs>
        <w:spacing w:line="360" w:lineRule="auto"/>
        <w:ind w:left="222" w:right="309" w:firstLine="707"/>
        <w:rPr>
          <w:sz w:val="28"/>
        </w:rPr>
      </w:pPr>
      <w:r>
        <w:rPr>
          <w:sz w:val="28"/>
        </w:rPr>
        <w:t>Виявлення характерних ознак за даними інструментальних методів дослідження (УЗД/КТ ОЧП з внутрішньовенним</w:t>
      </w:r>
      <w:r>
        <w:rPr>
          <w:spacing w:val="-10"/>
          <w:sz w:val="28"/>
        </w:rPr>
        <w:t xml:space="preserve"> </w:t>
      </w:r>
      <w:r>
        <w:rPr>
          <w:sz w:val="28"/>
        </w:rPr>
        <w:t>контрастуванням).</w:t>
      </w:r>
    </w:p>
    <w:p w:rsidR="00B23B94" w:rsidRDefault="003B2D3B">
      <w:pPr>
        <w:pStyle w:val="a3"/>
        <w:spacing w:line="360" w:lineRule="auto"/>
        <w:ind w:right="292" w:firstLine="707"/>
        <w:jc w:val="left"/>
      </w:pPr>
      <w:r>
        <w:t>Частота виявлення клінічних симптомів при гострому панкреатиті під час госпіталізації до лікарні у пацієнтів обох груп показані в таблиці 2.3.</w:t>
      </w:r>
    </w:p>
    <w:p w:rsidR="00B23B94" w:rsidRDefault="003B2D3B">
      <w:pPr>
        <w:spacing w:line="321" w:lineRule="exact"/>
        <w:ind w:left="8189"/>
        <w:rPr>
          <w:i/>
          <w:sz w:val="28"/>
        </w:rPr>
      </w:pPr>
      <w:r>
        <w:rPr>
          <w:i/>
          <w:sz w:val="28"/>
        </w:rPr>
        <w:t>Таблиця 2.3</w:t>
      </w:r>
    </w:p>
    <w:p w:rsidR="00B23B94" w:rsidRDefault="003B2D3B">
      <w:pPr>
        <w:pStyle w:val="1"/>
        <w:ind w:left="253" w:right="340"/>
        <w:jc w:val="center"/>
      </w:pPr>
      <w:r>
        <w:t>Частота виявлення клінічних симптомів ГП</w:t>
      </w:r>
    </w:p>
    <w:p w:rsidR="00B23B94" w:rsidRDefault="00B23B94">
      <w:pPr>
        <w:pStyle w:val="a3"/>
        <w:spacing w:before="2"/>
        <w:ind w:left="0"/>
        <w:jc w:val="left"/>
        <w:rPr>
          <w:b/>
          <w:sz w:val="14"/>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88"/>
        <w:gridCol w:w="1107"/>
        <w:gridCol w:w="951"/>
        <w:gridCol w:w="749"/>
        <w:gridCol w:w="706"/>
        <w:gridCol w:w="803"/>
        <w:gridCol w:w="706"/>
        <w:gridCol w:w="982"/>
        <w:gridCol w:w="984"/>
      </w:tblGrid>
      <w:tr w:rsidR="00B23B94">
        <w:trPr>
          <w:trHeight w:val="482"/>
        </w:trPr>
        <w:tc>
          <w:tcPr>
            <w:tcW w:w="2588" w:type="dxa"/>
            <w:vMerge w:val="restart"/>
          </w:tcPr>
          <w:p w:rsidR="00B23B94" w:rsidRDefault="00B23B94">
            <w:pPr>
              <w:pStyle w:val="TableParagraph"/>
              <w:jc w:val="left"/>
              <w:rPr>
                <w:b/>
                <w:sz w:val="30"/>
              </w:rPr>
            </w:pPr>
          </w:p>
          <w:p w:rsidR="00B23B94" w:rsidRDefault="00B23B94">
            <w:pPr>
              <w:pStyle w:val="TableParagraph"/>
              <w:spacing w:before="10"/>
              <w:jc w:val="left"/>
              <w:rPr>
                <w:b/>
                <w:sz w:val="33"/>
              </w:rPr>
            </w:pPr>
          </w:p>
          <w:p w:rsidR="00B23B94" w:rsidRDefault="003B2D3B">
            <w:pPr>
              <w:pStyle w:val="TableParagraph"/>
              <w:ind w:left="664"/>
              <w:jc w:val="left"/>
              <w:rPr>
                <w:b/>
                <w:sz w:val="28"/>
              </w:rPr>
            </w:pPr>
            <w:r>
              <w:rPr>
                <w:b/>
                <w:sz w:val="28"/>
              </w:rPr>
              <w:t>Показник</w:t>
            </w:r>
          </w:p>
        </w:tc>
        <w:tc>
          <w:tcPr>
            <w:tcW w:w="2058" w:type="dxa"/>
            <w:gridSpan w:val="2"/>
            <w:vMerge w:val="restart"/>
          </w:tcPr>
          <w:p w:rsidR="00B23B94" w:rsidRDefault="003B2D3B">
            <w:pPr>
              <w:pStyle w:val="TableParagraph"/>
              <w:spacing w:before="5"/>
              <w:ind w:left="268" w:right="265"/>
              <w:rPr>
                <w:b/>
                <w:sz w:val="28"/>
              </w:rPr>
            </w:pPr>
            <w:r>
              <w:rPr>
                <w:b/>
                <w:sz w:val="28"/>
              </w:rPr>
              <w:t>Група</w:t>
            </w:r>
          </w:p>
          <w:p w:rsidR="00B23B94" w:rsidRDefault="003B2D3B">
            <w:pPr>
              <w:pStyle w:val="TableParagraph"/>
              <w:spacing w:before="161"/>
              <w:ind w:left="270" w:right="265"/>
              <w:rPr>
                <w:b/>
                <w:sz w:val="28"/>
              </w:rPr>
            </w:pPr>
            <w:r>
              <w:rPr>
                <w:b/>
                <w:sz w:val="28"/>
              </w:rPr>
              <w:t>порівняння</w:t>
            </w:r>
          </w:p>
        </w:tc>
        <w:tc>
          <w:tcPr>
            <w:tcW w:w="2964" w:type="dxa"/>
            <w:gridSpan w:val="4"/>
          </w:tcPr>
          <w:p w:rsidR="00B23B94" w:rsidRDefault="003B2D3B">
            <w:pPr>
              <w:pStyle w:val="TableParagraph"/>
              <w:ind w:left="533"/>
              <w:jc w:val="left"/>
              <w:rPr>
                <w:b/>
                <w:sz w:val="28"/>
              </w:rPr>
            </w:pPr>
            <w:r>
              <w:rPr>
                <w:b/>
                <w:sz w:val="28"/>
              </w:rPr>
              <w:t>Основна група</w:t>
            </w:r>
          </w:p>
        </w:tc>
        <w:tc>
          <w:tcPr>
            <w:tcW w:w="1966" w:type="dxa"/>
            <w:gridSpan w:val="2"/>
            <w:vMerge w:val="restart"/>
          </w:tcPr>
          <w:p w:rsidR="00B23B94" w:rsidRDefault="00B23B94">
            <w:pPr>
              <w:pStyle w:val="TableParagraph"/>
              <w:spacing w:before="4"/>
              <w:jc w:val="left"/>
              <w:rPr>
                <w:b/>
                <w:sz w:val="42"/>
              </w:rPr>
            </w:pPr>
          </w:p>
          <w:p w:rsidR="00B23B94" w:rsidRDefault="003B2D3B">
            <w:pPr>
              <w:pStyle w:val="TableParagraph"/>
              <w:spacing w:before="1"/>
              <w:ind w:left="546"/>
              <w:jc w:val="left"/>
              <w:rPr>
                <w:b/>
                <w:sz w:val="28"/>
              </w:rPr>
            </w:pPr>
            <w:r>
              <w:rPr>
                <w:b/>
                <w:sz w:val="28"/>
              </w:rPr>
              <w:t>Всього</w:t>
            </w:r>
          </w:p>
        </w:tc>
      </w:tr>
      <w:tr w:rsidR="00B23B94">
        <w:trPr>
          <w:trHeight w:val="482"/>
        </w:trPr>
        <w:tc>
          <w:tcPr>
            <w:tcW w:w="2588" w:type="dxa"/>
            <w:vMerge/>
            <w:tcBorders>
              <w:top w:val="nil"/>
            </w:tcBorders>
          </w:tcPr>
          <w:p w:rsidR="00B23B94" w:rsidRDefault="00B23B94">
            <w:pPr>
              <w:rPr>
                <w:sz w:val="2"/>
                <w:szCs w:val="2"/>
              </w:rPr>
            </w:pPr>
          </w:p>
        </w:tc>
        <w:tc>
          <w:tcPr>
            <w:tcW w:w="2058" w:type="dxa"/>
            <w:gridSpan w:val="2"/>
            <w:vMerge/>
            <w:tcBorders>
              <w:top w:val="nil"/>
            </w:tcBorders>
          </w:tcPr>
          <w:p w:rsidR="00B23B94" w:rsidRDefault="00B23B94">
            <w:pPr>
              <w:rPr>
                <w:sz w:val="2"/>
                <w:szCs w:val="2"/>
              </w:rPr>
            </w:pPr>
          </w:p>
        </w:tc>
        <w:tc>
          <w:tcPr>
            <w:tcW w:w="1455" w:type="dxa"/>
            <w:gridSpan w:val="2"/>
          </w:tcPr>
          <w:p w:rsidR="00B23B94" w:rsidRDefault="003B2D3B">
            <w:pPr>
              <w:pStyle w:val="TableParagraph"/>
              <w:ind w:left="565" w:right="559"/>
              <w:rPr>
                <w:b/>
                <w:sz w:val="28"/>
              </w:rPr>
            </w:pPr>
            <w:r>
              <w:rPr>
                <w:b/>
                <w:sz w:val="28"/>
              </w:rPr>
              <w:t>2a</w:t>
            </w:r>
          </w:p>
        </w:tc>
        <w:tc>
          <w:tcPr>
            <w:tcW w:w="1509" w:type="dxa"/>
            <w:gridSpan w:val="2"/>
          </w:tcPr>
          <w:p w:rsidR="00B23B94" w:rsidRDefault="003B2D3B">
            <w:pPr>
              <w:pStyle w:val="TableParagraph"/>
              <w:ind w:left="584" w:right="578"/>
              <w:rPr>
                <w:b/>
                <w:sz w:val="28"/>
              </w:rPr>
            </w:pPr>
            <w:r>
              <w:rPr>
                <w:b/>
                <w:sz w:val="28"/>
              </w:rPr>
              <w:t>2b</w:t>
            </w:r>
          </w:p>
        </w:tc>
        <w:tc>
          <w:tcPr>
            <w:tcW w:w="1966" w:type="dxa"/>
            <w:gridSpan w:val="2"/>
            <w:vMerge/>
            <w:tcBorders>
              <w:top w:val="nil"/>
            </w:tcBorders>
          </w:tcPr>
          <w:p w:rsidR="00B23B94" w:rsidRDefault="00B23B94">
            <w:pPr>
              <w:rPr>
                <w:sz w:val="2"/>
                <w:szCs w:val="2"/>
              </w:rPr>
            </w:pPr>
          </w:p>
        </w:tc>
      </w:tr>
      <w:tr w:rsidR="00B23B94">
        <w:trPr>
          <w:trHeight w:val="484"/>
        </w:trPr>
        <w:tc>
          <w:tcPr>
            <w:tcW w:w="2588" w:type="dxa"/>
            <w:vMerge/>
            <w:tcBorders>
              <w:top w:val="nil"/>
            </w:tcBorders>
          </w:tcPr>
          <w:p w:rsidR="00B23B94" w:rsidRDefault="00B23B94">
            <w:pPr>
              <w:rPr>
                <w:sz w:val="2"/>
                <w:szCs w:val="2"/>
              </w:rPr>
            </w:pPr>
          </w:p>
        </w:tc>
        <w:tc>
          <w:tcPr>
            <w:tcW w:w="1107" w:type="dxa"/>
          </w:tcPr>
          <w:p w:rsidR="00B23B94" w:rsidRDefault="003B2D3B">
            <w:pPr>
              <w:pStyle w:val="TableParagraph"/>
              <w:spacing w:before="2"/>
              <w:ind w:left="294" w:right="288"/>
              <w:rPr>
                <w:b/>
                <w:sz w:val="28"/>
              </w:rPr>
            </w:pPr>
            <w:r>
              <w:rPr>
                <w:b/>
                <w:sz w:val="28"/>
              </w:rPr>
              <w:t>абс.</w:t>
            </w:r>
          </w:p>
        </w:tc>
        <w:tc>
          <w:tcPr>
            <w:tcW w:w="951" w:type="dxa"/>
          </w:tcPr>
          <w:p w:rsidR="00B23B94" w:rsidRDefault="003B2D3B">
            <w:pPr>
              <w:pStyle w:val="TableParagraph"/>
              <w:spacing w:before="2"/>
              <w:ind w:left="5"/>
              <w:rPr>
                <w:b/>
                <w:sz w:val="28"/>
              </w:rPr>
            </w:pPr>
            <w:r>
              <w:rPr>
                <w:b/>
                <w:sz w:val="28"/>
              </w:rPr>
              <w:t>%</w:t>
            </w:r>
          </w:p>
        </w:tc>
        <w:tc>
          <w:tcPr>
            <w:tcW w:w="749" w:type="dxa"/>
          </w:tcPr>
          <w:p w:rsidR="00B23B94" w:rsidRDefault="003B2D3B">
            <w:pPr>
              <w:pStyle w:val="TableParagraph"/>
              <w:spacing w:before="2"/>
              <w:ind w:left="115" w:right="108"/>
              <w:rPr>
                <w:b/>
                <w:sz w:val="28"/>
              </w:rPr>
            </w:pPr>
            <w:r>
              <w:rPr>
                <w:b/>
                <w:sz w:val="28"/>
              </w:rPr>
              <w:t>абс.</w:t>
            </w:r>
          </w:p>
        </w:tc>
        <w:tc>
          <w:tcPr>
            <w:tcW w:w="706" w:type="dxa"/>
          </w:tcPr>
          <w:p w:rsidR="00B23B94" w:rsidRDefault="003B2D3B">
            <w:pPr>
              <w:pStyle w:val="TableParagraph"/>
              <w:spacing w:before="2"/>
              <w:ind w:left="4"/>
              <w:rPr>
                <w:b/>
                <w:sz w:val="28"/>
              </w:rPr>
            </w:pPr>
            <w:r>
              <w:rPr>
                <w:b/>
                <w:sz w:val="28"/>
              </w:rPr>
              <w:t>%</w:t>
            </w:r>
          </w:p>
        </w:tc>
        <w:tc>
          <w:tcPr>
            <w:tcW w:w="803" w:type="dxa"/>
          </w:tcPr>
          <w:p w:rsidR="00B23B94" w:rsidRDefault="003B2D3B">
            <w:pPr>
              <w:pStyle w:val="TableParagraph"/>
              <w:spacing w:before="2"/>
              <w:ind w:left="139" w:right="138"/>
              <w:rPr>
                <w:b/>
                <w:sz w:val="28"/>
              </w:rPr>
            </w:pPr>
            <w:r>
              <w:rPr>
                <w:b/>
                <w:sz w:val="28"/>
              </w:rPr>
              <w:t>абс.</w:t>
            </w:r>
          </w:p>
        </w:tc>
        <w:tc>
          <w:tcPr>
            <w:tcW w:w="706" w:type="dxa"/>
          </w:tcPr>
          <w:p w:rsidR="00B23B94" w:rsidRDefault="003B2D3B">
            <w:pPr>
              <w:pStyle w:val="TableParagraph"/>
              <w:spacing w:before="2"/>
              <w:rPr>
                <w:b/>
                <w:sz w:val="28"/>
              </w:rPr>
            </w:pPr>
            <w:r>
              <w:rPr>
                <w:b/>
                <w:sz w:val="28"/>
              </w:rPr>
              <w:t>%</w:t>
            </w:r>
          </w:p>
        </w:tc>
        <w:tc>
          <w:tcPr>
            <w:tcW w:w="982" w:type="dxa"/>
          </w:tcPr>
          <w:p w:rsidR="00B23B94" w:rsidRDefault="003B2D3B">
            <w:pPr>
              <w:pStyle w:val="TableParagraph"/>
              <w:spacing w:before="2"/>
              <w:ind w:left="229" w:right="228"/>
              <w:rPr>
                <w:b/>
                <w:sz w:val="28"/>
              </w:rPr>
            </w:pPr>
            <w:r>
              <w:rPr>
                <w:b/>
                <w:sz w:val="28"/>
              </w:rPr>
              <w:t>абс.</w:t>
            </w:r>
          </w:p>
        </w:tc>
        <w:tc>
          <w:tcPr>
            <w:tcW w:w="984" w:type="dxa"/>
          </w:tcPr>
          <w:p w:rsidR="00B23B94" w:rsidRDefault="003B2D3B">
            <w:pPr>
              <w:pStyle w:val="TableParagraph"/>
              <w:spacing w:before="2"/>
              <w:ind w:left="1"/>
              <w:rPr>
                <w:b/>
                <w:sz w:val="28"/>
              </w:rPr>
            </w:pPr>
            <w:r>
              <w:rPr>
                <w:b/>
                <w:sz w:val="28"/>
              </w:rPr>
              <w:t>%</w:t>
            </w:r>
          </w:p>
        </w:tc>
      </w:tr>
      <w:tr w:rsidR="00B23B94">
        <w:trPr>
          <w:trHeight w:val="964"/>
        </w:trPr>
        <w:tc>
          <w:tcPr>
            <w:tcW w:w="2588" w:type="dxa"/>
          </w:tcPr>
          <w:p w:rsidR="00B23B94" w:rsidRDefault="003B2D3B">
            <w:pPr>
              <w:pStyle w:val="TableParagraph"/>
              <w:ind w:left="93" w:right="87"/>
              <w:rPr>
                <w:sz w:val="28"/>
              </w:rPr>
            </w:pPr>
            <w:r>
              <w:rPr>
                <w:sz w:val="28"/>
              </w:rPr>
              <w:t>Типовий для ГП</w:t>
            </w:r>
          </w:p>
          <w:p w:rsidR="00B23B94" w:rsidRDefault="003B2D3B">
            <w:pPr>
              <w:pStyle w:val="TableParagraph"/>
              <w:spacing w:before="160"/>
              <w:ind w:left="97" w:right="87"/>
              <w:rPr>
                <w:sz w:val="28"/>
              </w:rPr>
            </w:pPr>
            <w:r>
              <w:rPr>
                <w:sz w:val="28"/>
              </w:rPr>
              <w:t>абдомінальний біль</w:t>
            </w:r>
          </w:p>
        </w:tc>
        <w:tc>
          <w:tcPr>
            <w:tcW w:w="1107" w:type="dxa"/>
          </w:tcPr>
          <w:p w:rsidR="00B23B94" w:rsidRDefault="00B23B94">
            <w:pPr>
              <w:pStyle w:val="TableParagraph"/>
              <w:spacing w:before="10"/>
              <w:jc w:val="left"/>
              <w:rPr>
                <w:b/>
                <w:sz w:val="41"/>
              </w:rPr>
            </w:pPr>
          </w:p>
          <w:p w:rsidR="00B23B94" w:rsidRDefault="003B2D3B">
            <w:pPr>
              <w:pStyle w:val="TableParagraph"/>
              <w:spacing w:before="1"/>
              <w:ind w:left="294" w:right="284"/>
              <w:rPr>
                <w:sz w:val="28"/>
              </w:rPr>
            </w:pPr>
            <w:r>
              <w:rPr>
                <w:sz w:val="28"/>
              </w:rPr>
              <w:t>87</w:t>
            </w:r>
          </w:p>
        </w:tc>
        <w:tc>
          <w:tcPr>
            <w:tcW w:w="951" w:type="dxa"/>
          </w:tcPr>
          <w:p w:rsidR="00B23B94" w:rsidRDefault="00B23B94">
            <w:pPr>
              <w:pStyle w:val="TableParagraph"/>
              <w:spacing w:before="10"/>
              <w:jc w:val="left"/>
              <w:rPr>
                <w:b/>
                <w:sz w:val="41"/>
              </w:rPr>
            </w:pPr>
          </w:p>
          <w:p w:rsidR="00B23B94" w:rsidRDefault="003B2D3B">
            <w:pPr>
              <w:pStyle w:val="TableParagraph"/>
              <w:spacing w:before="1"/>
              <w:ind w:left="208" w:right="202"/>
              <w:rPr>
                <w:sz w:val="28"/>
              </w:rPr>
            </w:pPr>
            <w:r>
              <w:rPr>
                <w:sz w:val="28"/>
              </w:rPr>
              <w:t>100</w:t>
            </w:r>
          </w:p>
        </w:tc>
        <w:tc>
          <w:tcPr>
            <w:tcW w:w="749" w:type="dxa"/>
          </w:tcPr>
          <w:p w:rsidR="00B23B94" w:rsidRDefault="00B23B94">
            <w:pPr>
              <w:pStyle w:val="TableParagraph"/>
              <w:spacing w:before="10"/>
              <w:jc w:val="left"/>
              <w:rPr>
                <w:b/>
                <w:sz w:val="41"/>
              </w:rPr>
            </w:pPr>
          </w:p>
          <w:p w:rsidR="00B23B94" w:rsidRDefault="003B2D3B">
            <w:pPr>
              <w:pStyle w:val="TableParagraph"/>
              <w:spacing w:before="1"/>
              <w:ind w:left="115" w:right="108"/>
              <w:rPr>
                <w:sz w:val="28"/>
              </w:rPr>
            </w:pPr>
            <w:r>
              <w:rPr>
                <w:sz w:val="28"/>
              </w:rPr>
              <w:t>17</w:t>
            </w:r>
          </w:p>
        </w:tc>
        <w:tc>
          <w:tcPr>
            <w:tcW w:w="706" w:type="dxa"/>
          </w:tcPr>
          <w:p w:rsidR="00B23B94" w:rsidRDefault="00B23B94">
            <w:pPr>
              <w:pStyle w:val="TableParagraph"/>
              <w:spacing w:before="10"/>
              <w:jc w:val="left"/>
              <w:rPr>
                <w:b/>
                <w:sz w:val="41"/>
              </w:rPr>
            </w:pPr>
          </w:p>
          <w:p w:rsidR="00B23B94" w:rsidRDefault="003B2D3B">
            <w:pPr>
              <w:pStyle w:val="TableParagraph"/>
              <w:spacing w:before="1"/>
              <w:ind w:left="83" w:right="78"/>
              <w:rPr>
                <w:sz w:val="28"/>
              </w:rPr>
            </w:pPr>
            <w:r>
              <w:rPr>
                <w:sz w:val="28"/>
              </w:rPr>
              <w:t>100</w:t>
            </w:r>
          </w:p>
        </w:tc>
        <w:tc>
          <w:tcPr>
            <w:tcW w:w="803" w:type="dxa"/>
          </w:tcPr>
          <w:p w:rsidR="00B23B94" w:rsidRDefault="00B23B94">
            <w:pPr>
              <w:pStyle w:val="TableParagraph"/>
              <w:spacing w:before="10"/>
              <w:jc w:val="left"/>
              <w:rPr>
                <w:b/>
                <w:sz w:val="41"/>
              </w:rPr>
            </w:pPr>
          </w:p>
          <w:p w:rsidR="00B23B94" w:rsidRDefault="003B2D3B">
            <w:pPr>
              <w:pStyle w:val="TableParagraph"/>
              <w:spacing w:before="1"/>
              <w:ind w:left="139" w:right="133"/>
              <w:rPr>
                <w:sz w:val="28"/>
              </w:rPr>
            </w:pPr>
            <w:r>
              <w:rPr>
                <w:sz w:val="28"/>
              </w:rPr>
              <w:t>23</w:t>
            </w:r>
          </w:p>
        </w:tc>
        <w:tc>
          <w:tcPr>
            <w:tcW w:w="706" w:type="dxa"/>
          </w:tcPr>
          <w:p w:rsidR="00B23B94" w:rsidRDefault="00B23B94">
            <w:pPr>
              <w:pStyle w:val="TableParagraph"/>
              <w:spacing w:before="10"/>
              <w:jc w:val="left"/>
              <w:rPr>
                <w:b/>
                <w:sz w:val="41"/>
              </w:rPr>
            </w:pPr>
          </w:p>
          <w:p w:rsidR="00B23B94" w:rsidRDefault="003B2D3B">
            <w:pPr>
              <w:pStyle w:val="TableParagraph"/>
              <w:spacing w:before="1"/>
              <w:ind w:left="78" w:right="78"/>
              <w:rPr>
                <w:sz w:val="28"/>
              </w:rPr>
            </w:pPr>
            <w:r>
              <w:rPr>
                <w:sz w:val="28"/>
              </w:rPr>
              <w:t>100</w:t>
            </w:r>
          </w:p>
        </w:tc>
        <w:tc>
          <w:tcPr>
            <w:tcW w:w="982" w:type="dxa"/>
          </w:tcPr>
          <w:p w:rsidR="00B23B94" w:rsidRDefault="00B23B94">
            <w:pPr>
              <w:pStyle w:val="TableParagraph"/>
              <w:spacing w:before="10"/>
              <w:jc w:val="left"/>
              <w:rPr>
                <w:b/>
                <w:sz w:val="41"/>
              </w:rPr>
            </w:pPr>
          </w:p>
          <w:p w:rsidR="00B23B94" w:rsidRDefault="003B2D3B">
            <w:pPr>
              <w:pStyle w:val="TableParagraph"/>
              <w:spacing w:before="1"/>
              <w:ind w:left="229" w:right="225"/>
              <w:rPr>
                <w:sz w:val="28"/>
              </w:rPr>
            </w:pPr>
            <w:r>
              <w:rPr>
                <w:sz w:val="28"/>
              </w:rPr>
              <w:t>127</w:t>
            </w:r>
          </w:p>
        </w:tc>
        <w:tc>
          <w:tcPr>
            <w:tcW w:w="984" w:type="dxa"/>
          </w:tcPr>
          <w:p w:rsidR="00B23B94" w:rsidRDefault="00B23B94">
            <w:pPr>
              <w:pStyle w:val="TableParagraph"/>
              <w:spacing w:before="10"/>
              <w:jc w:val="left"/>
              <w:rPr>
                <w:b/>
                <w:sz w:val="41"/>
              </w:rPr>
            </w:pPr>
          </w:p>
          <w:p w:rsidR="00B23B94" w:rsidRDefault="003B2D3B">
            <w:pPr>
              <w:pStyle w:val="TableParagraph"/>
              <w:spacing w:before="1"/>
              <w:ind w:left="222" w:right="220"/>
              <w:rPr>
                <w:sz w:val="28"/>
              </w:rPr>
            </w:pPr>
            <w:r>
              <w:rPr>
                <w:sz w:val="28"/>
              </w:rPr>
              <w:t>100</w:t>
            </w:r>
          </w:p>
        </w:tc>
      </w:tr>
      <w:tr w:rsidR="00B23B94">
        <w:trPr>
          <w:trHeight w:val="1449"/>
        </w:trPr>
        <w:tc>
          <w:tcPr>
            <w:tcW w:w="2588" w:type="dxa"/>
          </w:tcPr>
          <w:p w:rsidR="00B23B94" w:rsidRDefault="003B2D3B">
            <w:pPr>
              <w:pStyle w:val="TableParagraph"/>
              <w:spacing w:before="2" w:line="360" w:lineRule="auto"/>
              <w:ind w:left="96" w:right="87"/>
              <w:rPr>
                <w:sz w:val="28"/>
              </w:rPr>
            </w:pPr>
            <w:r>
              <w:rPr>
                <w:sz w:val="28"/>
              </w:rPr>
              <w:t>Підвищення рівня сироваткової α–</w:t>
            </w:r>
          </w:p>
          <w:p w:rsidR="00B23B94" w:rsidRDefault="003B2D3B">
            <w:pPr>
              <w:pStyle w:val="TableParagraph"/>
              <w:spacing w:line="321" w:lineRule="exact"/>
              <w:ind w:left="94" w:right="87"/>
              <w:rPr>
                <w:sz w:val="28"/>
              </w:rPr>
            </w:pPr>
            <w:r>
              <w:rPr>
                <w:sz w:val="28"/>
              </w:rPr>
              <w:t>амілази</w:t>
            </w:r>
          </w:p>
        </w:tc>
        <w:tc>
          <w:tcPr>
            <w:tcW w:w="1107"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294" w:right="284"/>
              <w:rPr>
                <w:sz w:val="28"/>
              </w:rPr>
            </w:pPr>
            <w:r>
              <w:rPr>
                <w:sz w:val="28"/>
              </w:rPr>
              <w:t>61</w:t>
            </w:r>
          </w:p>
        </w:tc>
        <w:tc>
          <w:tcPr>
            <w:tcW w:w="951" w:type="dxa"/>
          </w:tcPr>
          <w:p w:rsidR="00B23B94" w:rsidRDefault="00B23B94">
            <w:pPr>
              <w:pStyle w:val="TableParagraph"/>
              <w:jc w:val="left"/>
              <w:rPr>
                <w:b/>
                <w:sz w:val="30"/>
              </w:rPr>
            </w:pPr>
          </w:p>
          <w:p w:rsidR="00B23B94" w:rsidRDefault="00B23B94">
            <w:pPr>
              <w:pStyle w:val="TableParagraph"/>
              <w:jc w:val="left"/>
              <w:rPr>
                <w:b/>
                <w:sz w:val="33"/>
              </w:rPr>
            </w:pPr>
          </w:p>
          <w:p w:rsidR="00B23B94" w:rsidRDefault="003B2D3B">
            <w:pPr>
              <w:pStyle w:val="TableParagraph"/>
              <w:ind w:left="209" w:right="202"/>
              <w:rPr>
                <w:sz w:val="28"/>
              </w:rPr>
            </w:pPr>
            <w:r>
              <w:rPr>
                <w:sz w:val="28"/>
              </w:rPr>
              <w:t>70,1</w:t>
            </w:r>
          </w:p>
        </w:tc>
        <w:tc>
          <w:tcPr>
            <w:tcW w:w="749"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115" w:right="108"/>
              <w:rPr>
                <w:sz w:val="28"/>
              </w:rPr>
            </w:pPr>
            <w:r>
              <w:rPr>
                <w:sz w:val="28"/>
              </w:rPr>
              <w:t>10</w:t>
            </w:r>
          </w:p>
        </w:tc>
        <w:tc>
          <w:tcPr>
            <w:tcW w:w="706"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83" w:right="76"/>
              <w:rPr>
                <w:sz w:val="28"/>
              </w:rPr>
            </w:pPr>
            <w:r>
              <w:rPr>
                <w:sz w:val="28"/>
              </w:rPr>
              <w:t>58,8</w:t>
            </w:r>
          </w:p>
        </w:tc>
        <w:tc>
          <w:tcPr>
            <w:tcW w:w="803"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139" w:right="133"/>
              <w:rPr>
                <w:sz w:val="28"/>
              </w:rPr>
            </w:pPr>
            <w:r>
              <w:rPr>
                <w:sz w:val="28"/>
              </w:rPr>
              <w:t>15</w:t>
            </w:r>
          </w:p>
        </w:tc>
        <w:tc>
          <w:tcPr>
            <w:tcW w:w="706"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78" w:right="78"/>
              <w:rPr>
                <w:sz w:val="28"/>
              </w:rPr>
            </w:pPr>
            <w:r>
              <w:rPr>
                <w:sz w:val="28"/>
              </w:rPr>
              <w:t>65,2</w:t>
            </w:r>
          </w:p>
        </w:tc>
        <w:tc>
          <w:tcPr>
            <w:tcW w:w="982"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229" w:right="224"/>
              <w:rPr>
                <w:sz w:val="28"/>
              </w:rPr>
            </w:pPr>
            <w:r>
              <w:rPr>
                <w:sz w:val="28"/>
              </w:rPr>
              <w:t>86</w:t>
            </w:r>
          </w:p>
        </w:tc>
        <w:tc>
          <w:tcPr>
            <w:tcW w:w="984" w:type="dxa"/>
          </w:tcPr>
          <w:p w:rsidR="00B23B94" w:rsidRDefault="00B23B94">
            <w:pPr>
              <w:pStyle w:val="TableParagraph"/>
              <w:jc w:val="left"/>
              <w:rPr>
                <w:b/>
                <w:sz w:val="30"/>
              </w:rPr>
            </w:pPr>
          </w:p>
          <w:p w:rsidR="00B23B94" w:rsidRDefault="00B23B94">
            <w:pPr>
              <w:pStyle w:val="TableParagraph"/>
              <w:jc w:val="left"/>
              <w:rPr>
                <w:b/>
                <w:sz w:val="30"/>
              </w:rPr>
            </w:pPr>
          </w:p>
          <w:p w:rsidR="00B23B94" w:rsidRDefault="003B2D3B">
            <w:pPr>
              <w:pStyle w:val="TableParagraph"/>
              <w:spacing w:before="198"/>
              <w:ind w:left="224" w:right="220"/>
              <w:rPr>
                <w:sz w:val="28"/>
              </w:rPr>
            </w:pPr>
            <w:r>
              <w:rPr>
                <w:sz w:val="28"/>
              </w:rPr>
              <w:t>67,7</w:t>
            </w:r>
          </w:p>
        </w:tc>
      </w:tr>
      <w:tr w:rsidR="00B23B94">
        <w:trPr>
          <w:trHeight w:val="484"/>
        </w:trPr>
        <w:tc>
          <w:tcPr>
            <w:tcW w:w="2588" w:type="dxa"/>
          </w:tcPr>
          <w:p w:rsidR="00B23B94" w:rsidRDefault="003B2D3B">
            <w:pPr>
              <w:pStyle w:val="TableParagraph"/>
              <w:ind w:left="134"/>
              <w:jc w:val="left"/>
              <w:rPr>
                <w:sz w:val="28"/>
              </w:rPr>
            </w:pPr>
            <w:r>
              <w:rPr>
                <w:sz w:val="28"/>
              </w:rPr>
              <w:t>Дані УЗД/КТ за ГП</w:t>
            </w:r>
          </w:p>
        </w:tc>
        <w:tc>
          <w:tcPr>
            <w:tcW w:w="1107" w:type="dxa"/>
          </w:tcPr>
          <w:p w:rsidR="00B23B94" w:rsidRDefault="003B2D3B">
            <w:pPr>
              <w:pStyle w:val="TableParagraph"/>
              <w:spacing w:before="82"/>
              <w:ind w:left="294" w:right="284"/>
              <w:rPr>
                <w:sz w:val="28"/>
              </w:rPr>
            </w:pPr>
            <w:r>
              <w:rPr>
                <w:sz w:val="28"/>
              </w:rPr>
              <w:t>30</w:t>
            </w:r>
          </w:p>
        </w:tc>
        <w:tc>
          <w:tcPr>
            <w:tcW w:w="951" w:type="dxa"/>
          </w:tcPr>
          <w:p w:rsidR="00B23B94" w:rsidRDefault="003B2D3B">
            <w:pPr>
              <w:pStyle w:val="TableParagraph"/>
              <w:spacing w:before="82"/>
              <w:ind w:left="209" w:right="202"/>
              <w:rPr>
                <w:sz w:val="28"/>
              </w:rPr>
            </w:pPr>
            <w:r>
              <w:rPr>
                <w:sz w:val="28"/>
              </w:rPr>
              <w:t>34,5</w:t>
            </w:r>
          </w:p>
        </w:tc>
        <w:tc>
          <w:tcPr>
            <w:tcW w:w="749" w:type="dxa"/>
          </w:tcPr>
          <w:p w:rsidR="00B23B94" w:rsidRDefault="003B2D3B">
            <w:pPr>
              <w:pStyle w:val="TableParagraph"/>
              <w:spacing w:before="82"/>
              <w:ind w:left="8"/>
              <w:rPr>
                <w:sz w:val="28"/>
              </w:rPr>
            </w:pPr>
            <w:r>
              <w:rPr>
                <w:sz w:val="28"/>
              </w:rPr>
              <w:t>6</w:t>
            </w:r>
          </w:p>
        </w:tc>
        <w:tc>
          <w:tcPr>
            <w:tcW w:w="706" w:type="dxa"/>
          </w:tcPr>
          <w:p w:rsidR="00B23B94" w:rsidRDefault="003B2D3B">
            <w:pPr>
              <w:pStyle w:val="TableParagraph"/>
              <w:spacing w:before="82"/>
              <w:ind w:left="83" w:right="76"/>
              <w:rPr>
                <w:sz w:val="28"/>
              </w:rPr>
            </w:pPr>
            <w:r>
              <w:rPr>
                <w:sz w:val="28"/>
              </w:rPr>
              <w:t>35,3</w:t>
            </w:r>
          </w:p>
        </w:tc>
        <w:tc>
          <w:tcPr>
            <w:tcW w:w="803" w:type="dxa"/>
          </w:tcPr>
          <w:p w:rsidR="00B23B94" w:rsidRDefault="003B2D3B">
            <w:pPr>
              <w:pStyle w:val="TableParagraph"/>
              <w:spacing w:before="82"/>
              <w:ind w:left="2"/>
              <w:rPr>
                <w:sz w:val="28"/>
              </w:rPr>
            </w:pPr>
            <w:r>
              <w:rPr>
                <w:sz w:val="28"/>
              </w:rPr>
              <w:t>7</w:t>
            </w:r>
          </w:p>
        </w:tc>
        <w:tc>
          <w:tcPr>
            <w:tcW w:w="706" w:type="dxa"/>
          </w:tcPr>
          <w:p w:rsidR="00B23B94" w:rsidRDefault="003B2D3B">
            <w:pPr>
              <w:pStyle w:val="TableParagraph"/>
              <w:spacing w:before="82"/>
              <w:ind w:left="78" w:right="78"/>
              <w:rPr>
                <w:sz w:val="28"/>
              </w:rPr>
            </w:pPr>
            <w:r>
              <w:rPr>
                <w:sz w:val="28"/>
              </w:rPr>
              <w:t>30,4</w:t>
            </w:r>
          </w:p>
        </w:tc>
        <w:tc>
          <w:tcPr>
            <w:tcW w:w="982" w:type="dxa"/>
          </w:tcPr>
          <w:p w:rsidR="00B23B94" w:rsidRDefault="003B2D3B">
            <w:pPr>
              <w:pStyle w:val="TableParagraph"/>
              <w:spacing w:before="82"/>
              <w:ind w:left="229" w:right="224"/>
              <w:rPr>
                <w:sz w:val="28"/>
              </w:rPr>
            </w:pPr>
            <w:r>
              <w:rPr>
                <w:sz w:val="28"/>
              </w:rPr>
              <w:t>42</w:t>
            </w:r>
          </w:p>
        </w:tc>
        <w:tc>
          <w:tcPr>
            <w:tcW w:w="984" w:type="dxa"/>
          </w:tcPr>
          <w:p w:rsidR="00B23B94" w:rsidRDefault="003B2D3B">
            <w:pPr>
              <w:pStyle w:val="TableParagraph"/>
              <w:spacing w:before="82"/>
              <w:ind w:left="224" w:right="220"/>
              <w:rPr>
                <w:sz w:val="28"/>
              </w:rPr>
            </w:pPr>
            <w:r>
              <w:rPr>
                <w:sz w:val="28"/>
              </w:rPr>
              <w:t>33,1</w:t>
            </w:r>
          </w:p>
        </w:tc>
      </w:tr>
    </w:tbl>
    <w:p w:rsidR="00B23B94" w:rsidRDefault="00B23B94">
      <w:pPr>
        <w:pStyle w:val="a3"/>
        <w:spacing w:before="11"/>
        <w:ind w:left="0"/>
        <w:jc w:val="left"/>
        <w:rPr>
          <w:b/>
          <w:sz w:val="41"/>
        </w:rPr>
      </w:pPr>
    </w:p>
    <w:p w:rsidR="00B23B94" w:rsidRDefault="003B2D3B">
      <w:pPr>
        <w:spacing w:line="360" w:lineRule="auto"/>
        <w:ind w:left="222" w:right="312" w:firstLine="707"/>
        <w:jc w:val="both"/>
        <w:rPr>
          <w:i/>
          <w:sz w:val="28"/>
        </w:rPr>
      </w:pPr>
      <w:r>
        <w:rPr>
          <w:i/>
          <w:sz w:val="28"/>
        </w:rPr>
        <w:t>Примітка: статистично значимої різниці між групами хворих виявлено не було</w:t>
      </w:r>
      <w:r>
        <w:rPr>
          <w:i/>
          <w:spacing w:val="-3"/>
          <w:sz w:val="28"/>
        </w:rPr>
        <w:t xml:space="preserve"> </w:t>
      </w:r>
      <w:r>
        <w:rPr>
          <w:i/>
          <w:sz w:val="28"/>
        </w:rPr>
        <w:t>(р&gt;0,05).</w:t>
      </w:r>
    </w:p>
    <w:p w:rsidR="00B23B94" w:rsidRDefault="003B2D3B">
      <w:pPr>
        <w:pStyle w:val="a3"/>
        <w:spacing w:before="1" w:line="360" w:lineRule="auto"/>
        <w:ind w:right="305" w:firstLine="707"/>
      </w:pPr>
      <w:r>
        <w:t>Таким чином, у всіх пацієнтів при госпіталізації був характерний абдомінальний біль. У 16 (29,9%) хворих групи порівняння та 15 (37,5%) хворих основної групи рівень сироваткової α–амілази був в нормі, тому для постановки діагнозу гострого панкреатиту хворі потребували проведення ультразвукового дослідження чи комп’ютерної томографії з внутрішньовенним контрастуванням.</w:t>
      </w:r>
    </w:p>
    <w:p w:rsidR="00B23B94" w:rsidRDefault="003B2D3B">
      <w:pPr>
        <w:pStyle w:val="a3"/>
        <w:spacing w:line="360" w:lineRule="auto"/>
        <w:ind w:right="309" w:firstLine="707"/>
      </w:pPr>
      <w:r>
        <w:t>Причиною розвитку ГТП у переважній більшості випадків було зловживання алкоголем (56 хворих – 44,1%) та погрішність у харчуванні (38</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292"/>
        <w:jc w:val="left"/>
      </w:pPr>
      <w:r>
        <w:lastRenderedPageBreak/>
        <w:t>хворих – 29,9%). Тяжкий біліарний панкреатит спостерігався у 28 хворих (22,0%), ідіопатичний генез захворювання – у 5 хворих (3,9%) (табл. 2.4).</w:t>
      </w:r>
    </w:p>
    <w:p w:rsidR="00B23B94" w:rsidRDefault="003B2D3B">
      <w:pPr>
        <w:spacing w:line="317" w:lineRule="exact"/>
        <w:ind w:left="8189"/>
        <w:rPr>
          <w:i/>
          <w:sz w:val="28"/>
        </w:rPr>
      </w:pPr>
      <w:r>
        <w:rPr>
          <w:i/>
          <w:sz w:val="28"/>
        </w:rPr>
        <w:t>Таблиця 2.4</w:t>
      </w:r>
    </w:p>
    <w:p w:rsidR="00B23B94" w:rsidRDefault="003B2D3B">
      <w:pPr>
        <w:pStyle w:val="1"/>
        <w:ind w:left="254" w:right="340"/>
        <w:jc w:val="center"/>
      </w:pPr>
      <w:r>
        <w:t>Етіологія захворювання у пацієнтів з ГТП.</w:t>
      </w:r>
    </w:p>
    <w:p w:rsidR="00B23B94" w:rsidRDefault="00B23B94">
      <w:pPr>
        <w:pStyle w:val="a3"/>
        <w:spacing w:before="11"/>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97"/>
        <w:gridCol w:w="1430"/>
        <w:gridCol w:w="1209"/>
        <w:gridCol w:w="840"/>
        <w:gridCol w:w="827"/>
        <w:gridCol w:w="971"/>
        <w:gridCol w:w="793"/>
      </w:tblGrid>
      <w:tr w:rsidR="00B23B94">
        <w:trPr>
          <w:trHeight w:val="484"/>
        </w:trPr>
        <w:tc>
          <w:tcPr>
            <w:tcW w:w="3497" w:type="dxa"/>
            <w:vMerge w:val="restart"/>
          </w:tcPr>
          <w:p w:rsidR="00B23B94" w:rsidRDefault="003B2D3B">
            <w:pPr>
              <w:pStyle w:val="TableParagraph"/>
              <w:spacing w:before="252" w:line="362" w:lineRule="auto"/>
              <w:ind w:left="1264" w:right="876" w:hanging="360"/>
              <w:jc w:val="left"/>
              <w:rPr>
                <w:b/>
                <w:sz w:val="28"/>
              </w:rPr>
            </w:pPr>
            <w:r>
              <w:rPr>
                <w:b/>
                <w:sz w:val="28"/>
              </w:rPr>
              <w:t>Етіологічний чинник</w:t>
            </w:r>
          </w:p>
        </w:tc>
        <w:tc>
          <w:tcPr>
            <w:tcW w:w="2639" w:type="dxa"/>
            <w:gridSpan w:val="2"/>
            <w:vMerge w:val="restart"/>
          </w:tcPr>
          <w:p w:rsidR="00B23B94" w:rsidRDefault="003B2D3B">
            <w:pPr>
              <w:pStyle w:val="TableParagraph"/>
              <w:spacing w:before="247"/>
              <w:ind w:left="160"/>
              <w:jc w:val="left"/>
              <w:rPr>
                <w:b/>
                <w:sz w:val="28"/>
              </w:rPr>
            </w:pPr>
            <w:r>
              <w:rPr>
                <w:b/>
                <w:sz w:val="28"/>
              </w:rPr>
              <w:t>Група порівняння</w:t>
            </w:r>
          </w:p>
        </w:tc>
        <w:tc>
          <w:tcPr>
            <w:tcW w:w="3431" w:type="dxa"/>
            <w:gridSpan w:val="4"/>
          </w:tcPr>
          <w:p w:rsidR="00B23B94" w:rsidRDefault="003B2D3B">
            <w:pPr>
              <w:pStyle w:val="TableParagraph"/>
              <w:spacing w:before="2"/>
              <w:ind w:left="772"/>
              <w:jc w:val="left"/>
              <w:rPr>
                <w:b/>
                <w:sz w:val="28"/>
              </w:rPr>
            </w:pPr>
            <w:r>
              <w:rPr>
                <w:b/>
                <w:sz w:val="28"/>
              </w:rPr>
              <w:t>Основна група</w:t>
            </w:r>
          </w:p>
        </w:tc>
      </w:tr>
      <w:tr w:rsidR="00B23B94">
        <w:trPr>
          <w:trHeight w:val="482"/>
        </w:trPr>
        <w:tc>
          <w:tcPr>
            <w:tcW w:w="3497" w:type="dxa"/>
            <w:vMerge/>
            <w:tcBorders>
              <w:top w:val="nil"/>
            </w:tcBorders>
          </w:tcPr>
          <w:p w:rsidR="00B23B94" w:rsidRDefault="00B23B94">
            <w:pPr>
              <w:rPr>
                <w:sz w:val="2"/>
                <w:szCs w:val="2"/>
              </w:rPr>
            </w:pPr>
          </w:p>
        </w:tc>
        <w:tc>
          <w:tcPr>
            <w:tcW w:w="2639" w:type="dxa"/>
            <w:gridSpan w:val="2"/>
            <w:vMerge/>
            <w:tcBorders>
              <w:top w:val="nil"/>
            </w:tcBorders>
          </w:tcPr>
          <w:p w:rsidR="00B23B94" w:rsidRDefault="00B23B94">
            <w:pPr>
              <w:rPr>
                <w:sz w:val="2"/>
                <w:szCs w:val="2"/>
              </w:rPr>
            </w:pPr>
          </w:p>
        </w:tc>
        <w:tc>
          <w:tcPr>
            <w:tcW w:w="1667" w:type="dxa"/>
            <w:gridSpan w:val="2"/>
          </w:tcPr>
          <w:p w:rsidR="00B23B94" w:rsidRDefault="003B2D3B">
            <w:pPr>
              <w:pStyle w:val="TableParagraph"/>
              <w:ind w:left="677" w:right="660"/>
              <w:rPr>
                <w:b/>
                <w:sz w:val="28"/>
              </w:rPr>
            </w:pPr>
            <w:r>
              <w:rPr>
                <w:b/>
                <w:sz w:val="28"/>
              </w:rPr>
              <w:t>2a</w:t>
            </w:r>
          </w:p>
        </w:tc>
        <w:tc>
          <w:tcPr>
            <w:tcW w:w="1764" w:type="dxa"/>
            <w:gridSpan w:val="2"/>
          </w:tcPr>
          <w:p w:rsidR="00B23B94" w:rsidRDefault="003B2D3B">
            <w:pPr>
              <w:pStyle w:val="TableParagraph"/>
              <w:ind w:left="716" w:right="701"/>
              <w:rPr>
                <w:b/>
                <w:sz w:val="28"/>
              </w:rPr>
            </w:pPr>
            <w:r>
              <w:rPr>
                <w:b/>
                <w:sz w:val="28"/>
              </w:rPr>
              <w:t>2b</w:t>
            </w:r>
          </w:p>
        </w:tc>
      </w:tr>
      <w:tr w:rsidR="00B23B94">
        <w:trPr>
          <w:trHeight w:val="484"/>
        </w:trPr>
        <w:tc>
          <w:tcPr>
            <w:tcW w:w="3497" w:type="dxa"/>
            <w:vMerge/>
            <w:tcBorders>
              <w:top w:val="nil"/>
            </w:tcBorders>
          </w:tcPr>
          <w:p w:rsidR="00B23B94" w:rsidRDefault="00B23B94">
            <w:pPr>
              <w:rPr>
                <w:sz w:val="2"/>
                <w:szCs w:val="2"/>
              </w:rPr>
            </w:pPr>
          </w:p>
        </w:tc>
        <w:tc>
          <w:tcPr>
            <w:tcW w:w="1430" w:type="dxa"/>
          </w:tcPr>
          <w:p w:rsidR="00B23B94" w:rsidRDefault="003B2D3B">
            <w:pPr>
              <w:pStyle w:val="TableParagraph"/>
              <w:ind w:left="458" w:right="447"/>
              <w:rPr>
                <w:b/>
                <w:sz w:val="28"/>
              </w:rPr>
            </w:pPr>
            <w:r>
              <w:rPr>
                <w:b/>
                <w:sz w:val="28"/>
              </w:rPr>
              <w:t>абс.</w:t>
            </w:r>
          </w:p>
        </w:tc>
        <w:tc>
          <w:tcPr>
            <w:tcW w:w="1209" w:type="dxa"/>
          </w:tcPr>
          <w:p w:rsidR="00B23B94" w:rsidRDefault="003B2D3B">
            <w:pPr>
              <w:pStyle w:val="TableParagraph"/>
              <w:ind w:left="10"/>
              <w:rPr>
                <w:b/>
                <w:sz w:val="28"/>
              </w:rPr>
            </w:pPr>
            <w:r>
              <w:rPr>
                <w:b/>
                <w:sz w:val="28"/>
              </w:rPr>
              <w:t>%</w:t>
            </w:r>
          </w:p>
        </w:tc>
        <w:tc>
          <w:tcPr>
            <w:tcW w:w="840" w:type="dxa"/>
          </w:tcPr>
          <w:p w:rsidR="00B23B94" w:rsidRDefault="003B2D3B">
            <w:pPr>
              <w:pStyle w:val="TableParagraph"/>
              <w:ind w:left="164" w:right="150"/>
              <w:rPr>
                <w:b/>
                <w:sz w:val="28"/>
              </w:rPr>
            </w:pPr>
            <w:r>
              <w:rPr>
                <w:b/>
                <w:sz w:val="28"/>
              </w:rPr>
              <w:t>абс.</w:t>
            </w:r>
          </w:p>
        </w:tc>
        <w:tc>
          <w:tcPr>
            <w:tcW w:w="827" w:type="dxa"/>
          </w:tcPr>
          <w:p w:rsidR="00B23B94" w:rsidRDefault="003B2D3B">
            <w:pPr>
              <w:pStyle w:val="TableParagraph"/>
              <w:ind w:left="275"/>
              <w:jc w:val="left"/>
              <w:rPr>
                <w:b/>
                <w:sz w:val="28"/>
              </w:rPr>
            </w:pPr>
            <w:r>
              <w:rPr>
                <w:b/>
                <w:sz w:val="28"/>
              </w:rPr>
              <w:t>%</w:t>
            </w:r>
          </w:p>
        </w:tc>
        <w:tc>
          <w:tcPr>
            <w:tcW w:w="971" w:type="dxa"/>
          </w:tcPr>
          <w:p w:rsidR="00B23B94" w:rsidRDefault="003B2D3B">
            <w:pPr>
              <w:pStyle w:val="TableParagraph"/>
              <w:ind w:left="228" w:right="218"/>
              <w:rPr>
                <w:b/>
                <w:sz w:val="28"/>
              </w:rPr>
            </w:pPr>
            <w:r>
              <w:rPr>
                <w:b/>
                <w:sz w:val="28"/>
              </w:rPr>
              <w:t>абс.</w:t>
            </w:r>
          </w:p>
        </w:tc>
        <w:tc>
          <w:tcPr>
            <w:tcW w:w="793" w:type="dxa"/>
          </w:tcPr>
          <w:p w:rsidR="00B23B94" w:rsidRDefault="003B2D3B">
            <w:pPr>
              <w:pStyle w:val="TableParagraph"/>
              <w:ind w:left="261"/>
              <w:jc w:val="left"/>
              <w:rPr>
                <w:b/>
                <w:sz w:val="28"/>
              </w:rPr>
            </w:pPr>
            <w:r>
              <w:rPr>
                <w:b/>
                <w:sz w:val="28"/>
              </w:rPr>
              <w:t>%</w:t>
            </w:r>
          </w:p>
        </w:tc>
      </w:tr>
      <w:tr w:rsidR="00B23B94">
        <w:trPr>
          <w:trHeight w:val="482"/>
        </w:trPr>
        <w:tc>
          <w:tcPr>
            <w:tcW w:w="3497" w:type="dxa"/>
          </w:tcPr>
          <w:p w:rsidR="00B23B94" w:rsidRDefault="003B2D3B">
            <w:pPr>
              <w:pStyle w:val="TableParagraph"/>
              <w:ind w:left="182" w:right="175"/>
              <w:rPr>
                <w:sz w:val="28"/>
              </w:rPr>
            </w:pPr>
            <w:r>
              <w:rPr>
                <w:sz w:val="28"/>
              </w:rPr>
              <w:t>Зловживання алкоголем</w:t>
            </w:r>
          </w:p>
        </w:tc>
        <w:tc>
          <w:tcPr>
            <w:tcW w:w="1430" w:type="dxa"/>
          </w:tcPr>
          <w:p w:rsidR="00B23B94" w:rsidRDefault="003B2D3B">
            <w:pPr>
              <w:pStyle w:val="TableParagraph"/>
              <w:ind w:left="458" w:right="447"/>
              <w:rPr>
                <w:sz w:val="28"/>
              </w:rPr>
            </w:pPr>
            <w:r>
              <w:rPr>
                <w:sz w:val="28"/>
              </w:rPr>
              <w:t>38</w:t>
            </w:r>
          </w:p>
        </w:tc>
        <w:tc>
          <w:tcPr>
            <w:tcW w:w="1209" w:type="dxa"/>
          </w:tcPr>
          <w:p w:rsidR="00B23B94" w:rsidRDefault="003B2D3B">
            <w:pPr>
              <w:pStyle w:val="TableParagraph"/>
              <w:ind w:left="360"/>
              <w:jc w:val="left"/>
              <w:rPr>
                <w:sz w:val="28"/>
              </w:rPr>
            </w:pPr>
            <w:r>
              <w:rPr>
                <w:sz w:val="28"/>
              </w:rPr>
              <w:t>43,6</w:t>
            </w:r>
          </w:p>
        </w:tc>
        <w:tc>
          <w:tcPr>
            <w:tcW w:w="840" w:type="dxa"/>
          </w:tcPr>
          <w:p w:rsidR="00B23B94" w:rsidRDefault="003B2D3B">
            <w:pPr>
              <w:pStyle w:val="TableParagraph"/>
              <w:ind w:left="15"/>
              <w:rPr>
                <w:sz w:val="28"/>
              </w:rPr>
            </w:pPr>
            <w:r>
              <w:rPr>
                <w:sz w:val="28"/>
              </w:rPr>
              <w:t>8</w:t>
            </w:r>
          </w:p>
        </w:tc>
        <w:tc>
          <w:tcPr>
            <w:tcW w:w="827" w:type="dxa"/>
          </w:tcPr>
          <w:p w:rsidR="00B23B94" w:rsidRDefault="003B2D3B">
            <w:pPr>
              <w:pStyle w:val="TableParagraph"/>
              <w:ind w:right="154"/>
              <w:jc w:val="right"/>
              <w:rPr>
                <w:sz w:val="28"/>
              </w:rPr>
            </w:pPr>
            <w:r>
              <w:rPr>
                <w:sz w:val="28"/>
              </w:rPr>
              <w:t>47,1</w:t>
            </w:r>
          </w:p>
        </w:tc>
        <w:tc>
          <w:tcPr>
            <w:tcW w:w="971" w:type="dxa"/>
          </w:tcPr>
          <w:p w:rsidR="00B23B94" w:rsidRDefault="003B2D3B">
            <w:pPr>
              <w:pStyle w:val="TableParagraph"/>
              <w:ind w:left="228" w:right="214"/>
              <w:rPr>
                <w:sz w:val="28"/>
              </w:rPr>
            </w:pPr>
            <w:r>
              <w:rPr>
                <w:sz w:val="28"/>
              </w:rPr>
              <w:t>10</w:t>
            </w:r>
          </w:p>
        </w:tc>
        <w:tc>
          <w:tcPr>
            <w:tcW w:w="793" w:type="dxa"/>
          </w:tcPr>
          <w:p w:rsidR="00B23B94" w:rsidRDefault="003B2D3B">
            <w:pPr>
              <w:pStyle w:val="TableParagraph"/>
              <w:ind w:left="155"/>
              <w:jc w:val="left"/>
              <w:rPr>
                <w:sz w:val="28"/>
              </w:rPr>
            </w:pPr>
            <w:r>
              <w:rPr>
                <w:sz w:val="28"/>
              </w:rPr>
              <w:t>43,5</w:t>
            </w:r>
          </w:p>
        </w:tc>
      </w:tr>
      <w:tr w:rsidR="00B23B94">
        <w:trPr>
          <w:trHeight w:val="481"/>
        </w:trPr>
        <w:tc>
          <w:tcPr>
            <w:tcW w:w="3497" w:type="dxa"/>
          </w:tcPr>
          <w:p w:rsidR="00B23B94" w:rsidRDefault="003B2D3B">
            <w:pPr>
              <w:pStyle w:val="TableParagraph"/>
              <w:ind w:left="183" w:right="174"/>
              <w:rPr>
                <w:sz w:val="28"/>
              </w:rPr>
            </w:pPr>
            <w:r>
              <w:rPr>
                <w:sz w:val="28"/>
              </w:rPr>
              <w:t>Погрішність в харчуванні</w:t>
            </w:r>
          </w:p>
        </w:tc>
        <w:tc>
          <w:tcPr>
            <w:tcW w:w="1430" w:type="dxa"/>
          </w:tcPr>
          <w:p w:rsidR="00B23B94" w:rsidRDefault="003B2D3B">
            <w:pPr>
              <w:pStyle w:val="TableParagraph"/>
              <w:ind w:left="458" w:right="447"/>
              <w:rPr>
                <w:sz w:val="28"/>
              </w:rPr>
            </w:pPr>
            <w:r>
              <w:rPr>
                <w:sz w:val="28"/>
              </w:rPr>
              <w:t>26</w:t>
            </w:r>
          </w:p>
        </w:tc>
        <w:tc>
          <w:tcPr>
            <w:tcW w:w="1209" w:type="dxa"/>
          </w:tcPr>
          <w:p w:rsidR="00B23B94" w:rsidRDefault="003B2D3B">
            <w:pPr>
              <w:pStyle w:val="TableParagraph"/>
              <w:ind w:left="360"/>
              <w:jc w:val="left"/>
              <w:rPr>
                <w:sz w:val="28"/>
              </w:rPr>
            </w:pPr>
            <w:r>
              <w:rPr>
                <w:sz w:val="28"/>
              </w:rPr>
              <w:t>29,8</w:t>
            </w:r>
          </w:p>
        </w:tc>
        <w:tc>
          <w:tcPr>
            <w:tcW w:w="840" w:type="dxa"/>
          </w:tcPr>
          <w:p w:rsidR="00B23B94" w:rsidRDefault="003B2D3B">
            <w:pPr>
              <w:pStyle w:val="TableParagraph"/>
              <w:ind w:left="15"/>
              <w:rPr>
                <w:sz w:val="28"/>
              </w:rPr>
            </w:pPr>
            <w:r>
              <w:rPr>
                <w:sz w:val="28"/>
              </w:rPr>
              <w:t>5</w:t>
            </w:r>
          </w:p>
        </w:tc>
        <w:tc>
          <w:tcPr>
            <w:tcW w:w="827" w:type="dxa"/>
          </w:tcPr>
          <w:p w:rsidR="00B23B94" w:rsidRDefault="003B2D3B">
            <w:pPr>
              <w:pStyle w:val="TableParagraph"/>
              <w:ind w:right="154"/>
              <w:jc w:val="right"/>
              <w:rPr>
                <w:sz w:val="28"/>
              </w:rPr>
            </w:pPr>
            <w:r>
              <w:rPr>
                <w:sz w:val="28"/>
              </w:rPr>
              <w:t>29,4</w:t>
            </w:r>
          </w:p>
        </w:tc>
        <w:tc>
          <w:tcPr>
            <w:tcW w:w="971" w:type="dxa"/>
          </w:tcPr>
          <w:p w:rsidR="00B23B94" w:rsidRDefault="003B2D3B">
            <w:pPr>
              <w:pStyle w:val="TableParagraph"/>
              <w:ind w:left="11"/>
              <w:rPr>
                <w:sz w:val="28"/>
              </w:rPr>
            </w:pPr>
            <w:r>
              <w:rPr>
                <w:sz w:val="28"/>
              </w:rPr>
              <w:t>7</w:t>
            </w:r>
          </w:p>
        </w:tc>
        <w:tc>
          <w:tcPr>
            <w:tcW w:w="793" w:type="dxa"/>
          </w:tcPr>
          <w:p w:rsidR="00B23B94" w:rsidRDefault="003B2D3B">
            <w:pPr>
              <w:pStyle w:val="TableParagraph"/>
              <w:ind w:left="155"/>
              <w:jc w:val="left"/>
              <w:rPr>
                <w:sz w:val="28"/>
              </w:rPr>
            </w:pPr>
            <w:r>
              <w:rPr>
                <w:sz w:val="28"/>
              </w:rPr>
              <w:t>30,4</w:t>
            </w:r>
          </w:p>
        </w:tc>
      </w:tr>
      <w:tr w:rsidR="00B23B94">
        <w:trPr>
          <w:trHeight w:val="485"/>
        </w:trPr>
        <w:tc>
          <w:tcPr>
            <w:tcW w:w="3497" w:type="dxa"/>
          </w:tcPr>
          <w:p w:rsidR="00B23B94" w:rsidRDefault="003B2D3B">
            <w:pPr>
              <w:pStyle w:val="TableParagraph"/>
              <w:spacing w:before="3"/>
              <w:ind w:left="183" w:right="173"/>
              <w:rPr>
                <w:sz w:val="28"/>
              </w:rPr>
            </w:pPr>
            <w:r>
              <w:rPr>
                <w:sz w:val="28"/>
              </w:rPr>
              <w:t>Жовчнокам’яна хвороба</w:t>
            </w:r>
          </w:p>
        </w:tc>
        <w:tc>
          <w:tcPr>
            <w:tcW w:w="1430" w:type="dxa"/>
          </w:tcPr>
          <w:p w:rsidR="00B23B94" w:rsidRDefault="003B2D3B">
            <w:pPr>
              <w:pStyle w:val="TableParagraph"/>
              <w:spacing w:before="3"/>
              <w:ind w:left="458" w:right="447"/>
              <w:rPr>
                <w:sz w:val="28"/>
              </w:rPr>
            </w:pPr>
            <w:r>
              <w:rPr>
                <w:sz w:val="28"/>
              </w:rPr>
              <w:t>20</w:t>
            </w:r>
          </w:p>
        </w:tc>
        <w:tc>
          <w:tcPr>
            <w:tcW w:w="1209" w:type="dxa"/>
          </w:tcPr>
          <w:p w:rsidR="00B23B94" w:rsidRDefault="003B2D3B">
            <w:pPr>
              <w:pStyle w:val="TableParagraph"/>
              <w:spacing w:before="3"/>
              <w:ind w:left="360"/>
              <w:jc w:val="left"/>
              <w:rPr>
                <w:sz w:val="28"/>
              </w:rPr>
            </w:pPr>
            <w:r>
              <w:rPr>
                <w:sz w:val="28"/>
              </w:rPr>
              <w:t>22,9</w:t>
            </w:r>
          </w:p>
        </w:tc>
        <w:tc>
          <w:tcPr>
            <w:tcW w:w="840" w:type="dxa"/>
          </w:tcPr>
          <w:p w:rsidR="00B23B94" w:rsidRDefault="003B2D3B">
            <w:pPr>
              <w:pStyle w:val="TableParagraph"/>
              <w:spacing w:before="3"/>
              <w:ind w:left="15"/>
              <w:rPr>
                <w:sz w:val="28"/>
              </w:rPr>
            </w:pPr>
            <w:r>
              <w:rPr>
                <w:sz w:val="28"/>
              </w:rPr>
              <w:t>3</w:t>
            </w:r>
          </w:p>
        </w:tc>
        <w:tc>
          <w:tcPr>
            <w:tcW w:w="827" w:type="dxa"/>
          </w:tcPr>
          <w:p w:rsidR="00B23B94" w:rsidRDefault="003B2D3B">
            <w:pPr>
              <w:pStyle w:val="TableParagraph"/>
              <w:spacing w:before="3"/>
              <w:ind w:right="154"/>
              <w:jc w:val="right"/>
              <w:rPr>
                <w:sz w:val="28"/>
              </w:rPr>
            </w:pPr>
            <w:r>
              <w:rPr>
                <w:sz w:val="28"/>
              </w:rPr>
              <w:t>17,6</w:t>
            </w:r>
          </w:p>
        </w:tc>
        <w:tc>
          <w:tcPr>
            <w:tcW w:w="971" w:type="dxa"/>
          </w:tcPr>
          <w:p w:rsidR="00B23B94" w:rsidRDefault="003B2D3B">
            <w:pPr>
              <w:pStyle w:val="TableParagraph"/>
              <w:spacing w:before="3"/>
              <w:ind w:left="11"/>
              <w:rPr>
                <w:sz w:val="28"/>
              </w:rPr>
            </w:pPr>
            <w:r>
              <w:rPr>
                <w:sz w:val="28"/>
              </w:rPr>
              <w:t>5</w:t>
            </w:r>
          </w:p>
        </w:tc>
        <w:tc>
          <w:tcPr>
            <w:tcW w:w="793" w:type="dxa"/>
          </w:tcPr>
          <w:p w:rsidR="00B23B94" w:rsidRDefault="003B2D3B">
            <w:pPr>
              <w:pStyle w:val="TableParagraph"/>
              <w:spacing w:before="3"/>
              <w:ind w:left="155"/>
              <w:jc w:val="left"/>
              <w:rPr>
                <w:sz w:val="28"/>
              </w:rPr>
            </w:pPr>
            <w:r>
              <w:rPr>
                <w:sz w:val="28"/>
              </w:rPr>
              <w:t>21,7</w:t>
            </w:r>
          </w:p>
        </w:tc>
      </w:tr>
      <w:tr w:rsidR="00B23B94">
        <w:trPr>
          <w:trHeight w:val="481"/>
        </w:trPr>
        <w:tc>
          <w:tcPr>
            <w:tcW w:w="3497" w:type="dxa"/>
          </w:tcPr>
          <w:p w:rsidR="00B23B94" w:rsidRDefault="003B2D3B">
            <w:pPr>
              <w:pStyle w:val="TableParagraph"/>
              <w:ind w:left="183" w:right="175"/>
              <w:rPr>
                <w:sz w:val="28"/>
              </w:rPr>
            </w:pPr>
            <w:r>
              <w:rPr>
                <w:sz w:val="28"/>
              </w:rPr>
              <w:t>Ідіопатичний ГТП</w:t>
            </w:r>
          </w:p>
        </w:tc>
        <w:tc>
          <w:tcPr>
            <w:tcW w:w="1430" w:type="dxa"/>
          </w:tcPr>
          <w:p w:rsidR="00B23B94" w:rsidRDefault="003B2D3B">
            <w:pPr>
              <w:pStyle w:val="TableParagraph"/>
              <w:ind w:left="12"/>
              <w:rPr>
                <w:sz w:val="28"/>
              </w:rPr>
            </w:pPr>
            <w:r>
              <w:rPr>
                <w:sz w:val="28"/>
              </w:rPr>
              <w:t>3</w:t>
            </w:r>
          </w:p>
        </w:tc>
        <w:tc>
          <w:tcPr>
            <w:tcW w:w="1209" w:type="dxa"/>
          </w:tcPr>
          <w:p w:rsidR="00B23B94" w:rsidRDefault="003B2D3B">
            <w:pPr>
              <w:pStyle w:val="TableParagraph"/>
              <w:ind w:left="430"/>
              <w:jc w:val="left"/>
              <w:rPr>
                <w:sz w:val="28"/>
              </w:rPr>
            </w:pPr>
            <w:r>
              <w:rPr>
                <w:sz w:val="28"/>
              </w:rPr>
              <w:t>3,7</w:t>
            </w:r>
          </w:p>
        </w:tc>
        <w:tc>
          <w:tcPr>
            <w:tcW w:w="840" w:type="dxa"/>
          </w:tcPr>
          <w:p w:rsidR="00B23B94" w:rsidRDefault="003B2D3B">
            <w:pPr>
              <w:pStyle w:val="TableParagraph"/>
              <w:ind w:left="15"/>
              <w:rPr>
                <w:sz w:val="28"/>
              </w:rPr>
            </w:pPr>
            <w:r>
              <w:rPr>
                <w:sz w:val="28"/>
              </w:rPr>
              <w:t>1</w:t>
            </w:r>
          </w:p>
        </w:tc>
        <w:tc>
          <w:tcPr>
            <w:tcW w:w="827" w:type="dxa"/>
          </w:tcPr>
          <w:p w:rsidR="00B23B94" w:rsidRDefault="003B2D3B">
            <w:pPr>
              <w:pStyle w:val="TableParagraph"/>
              <w:ind w:right="223"/>
              <w:jc w:val="right"/>
              <w:rPr>
                <w:sz w:val="28"/>
              </w:rPr>
            </w:pPr>
            <w:r>
              <w:rPr>
                <w:sz w:val="28"/>
              </w:rPr>
              <w:t>5,9</w:t>
            </w:r>
          </w:p>
        </w:tc>
        <w:tc>
          <w:tcPr>
            <w:tcW w:w="971" w:type="dxa"/>
          </w:tcPr>
          <w:p w:rsidR="00B23B94" w:rsidRDefault="003B2D3B">
            <w:pPr>
              <w:pStyle w:val="TableParagraph"/>
              <w:ind w:left="11"/>
              <w:rPr>
                <w:sz w:val="28"/>
              </w:rPr>
            </w:pPr>
            <w:r>
              <w:rPr>
                <w:sz w:val="28"/>
              </w:rPr>
              <w:t>1</w:t>
            </w:r>
          </w:p>
        </w:tc>
        <w:tc>
          <w:tcPr>
            <w:tcW w:w="793" w:type="dxa"/>
          </w:tcPr>
          <w:p w:rsidR="00B23B94" w:rsidRDefault="003B2D3B">
            <w:pPr>
              <w:pStyle w:val="TableParagraph"/>
              <w:ind w:left="225"/>
              <w:jc w:val="left"/>
              <w:rPr>
                <w:sz w:val="28"/>
              </w:rPr>
            </w:pPr>
            <w:r>
              <w:rPr>
                <w:sz w:val="28"/>
              </w:rPr>
              <w:t>4,4</w:t>
            </w:r>
          </w:p>
        </w:tc>
      </w:tr>
      <w:tr w:rsidR="00B23B94">
        <w:trPr>
          <w:trHeight w:val="484"/>
        </w:trPr>
        <w:tc>
          <w:tcPr>
            <w:tcW w:w="3497" w:type="dxa"/>
          </w:tcPr>
          <w:p w:rsidR="00B23B94" w:rsidRDefault="003B2D3B">
            <w:pPr>
              <w:pStyle w:val="TableParagraph"/>
              <w:ind w:left="183" w:right="173"/>
              <w:rPr>
                <w:sz w:val="28"/>
              </w:rPr>
            </w:pPr>
            <w:r>
              <w:rPr>
                <w:sz w:val="28"/>
              </w:rPr>
              <w:t>Всього</w:t>
            </w:r>
          </w:p>
        </w:tc>
        <w:tc>
          <w:tcPr>
            <w:tcW w:w="1430" w:type="dxa"/>
          </w:tcPr>
          <w:p w:rsidR="00B23B94" w:rsidRDefault="003B2D3B">
            <w:pPr>
              <w:pStyle w:val="TableParagraph"/>
              <w:ind w:left="458" w:right="447"/>
              <w:rPr>
                <w:sz w:val="28"/>
              </w:rPr>
            </w:pPr>
            <w:r>
              <w:rPr>
                <w:sz w:val="28"/>
              </w:rPr>
              <w:t>87</w:t>
            </w:r>
          </w:p>
        </w:tc>
        <w:tc>
          <w:tcPr>
            <w:tcW w:w="1209" w:type="dxa"/>
          </w:tcPr>
          <w:p w:rsidR="00B23B94" w:rsidRDefault="003B2D3B">
            <w:pPr>
              <w:pStyle w:val="TableParagraph"/>
              <w:ind w:left="394"/>
              <w:jc w:val="left"/>
              <w:rPr>
                <w:sz w:val="28"/>
              </w:rPr>
            </w:pPr>
            <w:r>
              <w:rPr>
                <w:sz w:val="28"/>
              </w:rPr>
              <w:t>100</w:t>
            </w:r>
          </w:p>
        </w:tc>
        <w:tc>
          <w:tcPr>
            <w:tcW w:w="840" w:type="dxa"/>
          </w:tcPr>
          <w:p w:rsidR="00B23B94" w:rsidRDefault="003B2D3B">
            <w:pPr>
              <w:pStyle w:val="TableParagraph"/>
              <w:ind w:left="164" w:right="150"/>
              <w:rPr>
                <w:sz w:val="28"/>
              </w:rPr>
            </w:pPr>
            <w:r>
              <w:rPr>
                <w:sz w:val="28"/>
              </w:rPr>
              <w:t>17</w:t>
            </w:r>
          </w:p>
        </w:tc>
        <w:tc>
          <w:tcPr>
            <w:tcW w:w="827" w:type="dxa"/>
          </w:tcPr>
          <w:p w:rsidR="00B23B94" w:rsidRDefault="003B2D3B">
            <w:pPr>
              <w:pStyle w:val="TableParagraph"/>
              <w:ind w:right="187"/>
              <w:jc w:val="right"/>
              <w:rPr>
                <w:sz w:val="28"/>
              </w:rPr>
            </w:pPr>
            <w:r>
              <w:rPr>
                <w:sz w:val="28"/>
              </w:rPr>
              <w:t>100</w:t>
            </w:r>
          </w:p>
        </w:tc>
        <w:tc>
          <w:tcPr>
            <w:tcW w:w="971" w:type="dxa"/>
          </w:tcPr>
          <w:p w:rsidR="00B23B94" w:rsidRDefault="003B2D3B">
            <w:pPr>
              <w:pStyle w:val="TableParagraph"/>
              <w:ind w:left="228" w:right="214"/>
              <w:rPr>
                <w:sz w:val="28"/>
              </w:rPr>
            </w:pPr>
            <w:r>
              <w:rPr>
                <w:sz w:val="28"/>
              </w:rPr>
              <w:t>23</w:t>
            </w:r>
          </w:p>
        </w:tc>
        <w:tc>
          <w:tcPr>
            <w:tcW w:w="793" w:type="dxa"/>
          </w:tcPr>
          <w:p w:rsidR="00B23B94" w:rsidRDefault="003B2D3B">
            <w:pPr>
              <w:pStyle w:val="TableParagraph"/>
              <w:ind w:left="191"/>
              <w:jc w:val="left"/>
              <w:rPr>
                <w:sz w:val="28"/>
              </w:rPr>
            </w:pPr>
            <w:r>
              <w:rPr>
                <w:sz w:val="28"/>
              </w:rPr>
              <w:t>100</w:t>
            </w:r>
          </w:p>
        </w:tc>
      </w:tr>
    </w:tbl>
    <w:p w:rsidR="00B23B94" w:rsidRDefault="00B23B94">
      <w:pPr>
        <w:pStyle w:val="a3"/>
        <w:spacing w:before="11"/>
        <w:ind w:left="0"/>
        <w:jc w:val="left"/>
        <w:rPr>
          <w:b/>
          <w:sz w:val="41"/>
        </w:rPr>
      </w:pPr>
    </w:p>
    <w:p w:rsidR="00B23B94" w:rsidRDefault="003B2D3B">
      <w:pPr>
        <w:spacing w:line="360" w:lineRule="auto"/>
        <w:ind w:left="222" w:right="312" w:firstLine="707"/>
        <w:jc w:val="both"/>
        <w:rPr>
          <w:i/>
          <w:sz w:val="28"/>
        </w:rPr>
      </w:pPr>
      <w:r>
        <w:rPr>
          <w:i/>
          <w:sz w:val="28"/>
        </w:rPr>
        <w:t>Примітка: статистично значимої різниці між групами хворих виявлено не було</w:t>
      </w:r>
      <w:r>
        <w:rPr>
          <w:i/>
          <w:spacing w:val="-2"/>
          <w:sz w:val="28"/>
        </w:rPr>
        <w:t xml:space="preserve"> </w:t>
      </w:r>
      <w:r>
        <w:rPr>
          <w:i/>
          <w:sz w:val="28"/>
        </w:rPr>
        <w:t>(р&gt;0,05).</w:t>
      </w:r>
    </w:p>
    <w:p w:rsidR="00B23B94" w:rsidRDefault="003B2D3B">
      <w:pPr>
        <w:pStyle w:val="a3"/>
        <w:spacing w:line="360" w:lineRule="auto"/>
        <w:ind w:right="306" w:firstLine="777"/>
      </w:pPr>
      <w:r>
        <w:t>Супутню патологію у досліджуваних групах виявлено у 101 (79,5%) пацієнтів. При цьому наявність окремих захворювань прямо корелювало з віком хворих, що в свою чергу впливало на виникнення та тривалість системних  ушкоджень,  які  потребували  додаткової   корекції   терапії (табл.</w:t>
      </w:r>
      <w:r>
        <w:rPr>
          <w:spacing w:val="-2"/>
        </w:rPr>
        <w:t xml:space="preserve"> </w:t>
      </w:r>
      <w:r>
        <w:t>2.5).</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right="304"/>
        <w:jc w:val="right"/>
        <w:rPr>
          <w:i/>
          <w:sz w:val="28"/>
        </w:rPr>
      </w:pPr>
      <w:r>
        <w:rPr>
          <w:i/>
          <w:sz w:val="28"/>
        </w:rPr>
        <w:lastRenderedPageBreak/>
        <w:t>Таблиця 2.5</w:t>
      </w:r>
    </w:p>
    <w:p w:rsidR="00B23B94" w:rsidRDefault="003B2D3B">
      <w:pPr>
        <w:pStyle w:val="1"/>
        <w:spacing w:before="163"/>
        <w:ind w:right="58"/>
        <w:jc w:val="center"/>
      </w:pPr>
      <w:r>
        <w:t>Супутня патологія у пацієнтів</w:t>
      </w:r>
    </w:p>
    <w:p w:rsidR="00B23B94" w:rsidRDefault="003B2D3B">
      <w:pPr>
        <w:spacing w:before="160"/>
        <w:ind w:left="675" w:right="58"/>
        <w:jc w:val="center"/>
        <w:rPr>
          <w:b/>
          <w:sz w:val="28"/>
        </w:rPr>
      </w:pPr>
      <w:r>
        <w:rPr>
          <w:b/>
          <w:sz w:val="28"/>
        </w:rPr>
        <w:t>з інфекційно-септичними ускладненнями гострого тяжкого</w:t>
      </w:r>
    </w:p>
    <w:p w:rsidR="00B23B94" w:rsidRDefault="003B2D3B">
      <w:pPr>
        <w:spacing w:before="161"/>
        <w:ind w:left="260" w:right="340"/>
        <w:jc w:val="center"/>
        <w:rPr>
          <w:b/>
          <w:sz w:val="28"/>
        </w:rPr>
      </w:pPr>
      <w:r>
        <w:rPr>
          <w:b/>
          <w:sz w:val="28"/>
        </w:rPr>
        <w:t>панкреатиту.</w:t>
      </w:r>
    </w:p>
    <w:p w:rsidR="00B23B94" w:rsidRDefault="00B23B94">
      <w:pPr>
        <w:pStyle w:val="a3"/>
        <w:spacing w:before="10"/>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97"/>
        <w:gridCol w:w="1430"/>
        <w:gridCol w:w="1209"/>
        <w:gridCol w:w="840"/>
        <w:gridCol w:w="827"/>
        <w:gridCol w:w="971"/>
        <w:gridCol w:w="793"/>
      </w:tblGrid>
      <w:tr w:rsidR="00B23B94">
        <w:trPr>
          <w:trHeight w:val="484"/>
        </w:trPr>
        <w:tc>
          <w:tcPr>
            <w:tcW w:w="3497" w:type="dxa"/>
            <w:vMerge w:val="restart"/>
          </w:tcPr>
          <w:p w:rsidR="00B23B94" w:rsidRDefault="00B23B94">
            <w:pPr>
              <w:pStyle w:val="TableParagraph"/>
              <w:spacing w:before="1"/>
              <w:jc w:val="left"/>
              <w:rPr>
                <w:b/>
                <w:sz w:val="42"/>
              </w:rPr>
            </w:pPr>
          </w:p>
          <w:p w:rsidR="00B23B94" w:rsidRDefault="003B2D3B">
            <w:pPr>
              <w:pStyle w:val="TableParagraph"/>
              <w:spacing w:before="1"/>
              <w:ind w:left="887"/>
              <w:jc w:val="left"/>
              <w:rPr>
                <w:b/>
                <w:sz w:val="28"/>
              </w:rPr>
            </w:pPr>
            <w:r>
              <w:rPr>
                <w:b/>
                <w:sz w:val="28"/>
              </w:rPr>
              <w:t>Вид патології</w:t>
            </w:r>
          </w:p>
        </w:tc>
        <w:tc>
          <w:tcPr>
            <w:tcW w:w="2639" w:type="dxa"/>
            <w:gridSpan w:val="2"/>
            <w:vMerge w:val="restart"/>
          </w:tcPr>
          <w:p w:rsidR="00B23B94" w:rsidRDefault="003B2D3B">
            <w:pPr>
              <w:pStyle w:val="TableParagraph"/>
              <w:spacing w:before="2"/>
              <w:ind w:left="140" w:right="130"/>
              <w:rPr>
                <w:b/>
                <w:sz w:val="28"/>
              </w:rPr>
            </w:pPr>
            <w:r>
              <w:rPr>
                <w:b/>
                <w:sz w:val="28"/>
              </w:rPr>
              <w:t>Група порівняння</w:t>
            </w:r>
          </w:p>
          <w:p w:rsidR="00B23B94" w:rsidRDefault="003B2D3B">
            <w:pPr>
              <w:pStyle w:val="TableParagraph"/>
              <w:spacing w:before="161"/>
              <w:ind w:left="140" w:right="127"/>
              <w:rPr>
                <w:b/>
                <w:sz w:val="28"/>
              </w:rPr>
            </w:pPr>
            <w:r>
              <w:rPr>
                <w:b/>
                <w:sz w:val="28"/>
              </w:rPr>
              <w:t>(n=87)</w:t>
            </w:r>
          </w:p>
        </w:tc>
        <w:tc>
          <w:tcPr>
            <w:tcW w:w="3431" w:type="dxa"/>
            <w:gridSpan w:val="4"/>
          </w:tcPr>
          <w:p w:rsidR="00B23B94" w:rsidRDefault="003B2D3B">
            <w:pPr>
              <w:pStyle w:val="TableParagraph"/>
              <w:spacing w:before="2"/>
              <w:ind w:left="772"/>
              <w:jc w:val="left"/>
              <w:rPr>
                <w:b/>
                <w:sz w:val="28"/>
              </w:rPr>
            </w:pPr>
            <w:r>
              <w:rPr>
                <w:b/>
                <w:sz w:val="28"/>
              </w:rPr>
              <w:t>Основна група</w:t>
            </w:r>
          </w:p>
        </w:tc>
      </w:tr>
      <w:tr w:rsidR="00B23B94">
        <w:trPr>
          <w:trHeight w:val="482"/>
        </w:trPr>
        <w:tc>
          <w:tcPr>
            <w:tcW w:w="3497" w:type="dxa"/>
            <w:vMerge/>
            <w:tcBorders>
              <w:top w:val="nil"/>
            </w:tcBorders>
          </w:tcPr>
          <w:p w:rsidR="00B23B94" w:rsidRDefault="00B23B94">
            <w:pPr>
              <w:rPr>
                <w:sz w:val="2"/>
                <w:szCs w:val="2"/>
              </w:rPr>
            </w:pPr>
          </w:p>
        </w:tc>
        <w:tc>
          <w:tcPr>
            <w:tcW w:w="2639" w:type="dxa"/>
            <w:gridSpan w:val="2"/>
            <w:vMerge/>
            <w:tcBorders>
              <w:top w:val="nil"/>
            </w:tcBorders>
          </w:tcPr>
          <w:p w:rsidR="00B23B94" w:rsidRDefault="00B23B94">
            <w:pPr>
              <w:rPr>
                <w:sz w:val="2"/>
                <w:szCs w:val="2"/>
              </w:rPr>
            </w:pPr>
          </w:p>
        </w:tc>
        <w:tc>
          <w:tcPr>
            <w:tcW w:w="1667" w:type="dxa"/>
            <w:gridSpan w:val="2"/>
          </w:tcPr>
          <w:p w:rsidR="00B23B94" w:rsidRDefault="003B2D3B">
            <w:pPr>
              <w:pStyle w:val="TableParagraph"/>
              <w:ind w:left="268"/>
              <w:jc w:val="left"/>
              <w:rPr>
                <w:b/>
                <w:sz w:val="28"/>
              </w:rPr>
            </w:pPr>
            <w:r>
              <w:rPr>
                <w:b/>
                <w:sz w:val="28"/>
              </w:rPr>
              <w:t>2a (n=17)</w:t>
            </w:r>
          </w:p>
        </w:tc>
        <w:tc>
          <w:tcPr>
            <w:tcW w:w="1764" w:type="dxa"/>
            <w:gridSpan w:val="2"/>
          </w:tcPr>
          <w:p w:rsidR="00B23B94" w:rsidRDefault="003B2D3B">
            <w:pPr>
              <w:pStyle w:val="TableParagraph"/>
              <w:ind w:left="310"/>
              <w:jc w:val="left"/>
              <w:rPr>
                <w:b/>
                <w:sz w:val="28"/>
              </w:rPr>
            </w:pPr>
            <w:r>
              <w:rPr>
                <w:b/>
                <w:sz w:val="28"/>
              </w:rPr>
              <w:t>2b (n=23)</w:t>
            </w:r>
          </w:p>
        </w:tc>
      </w:tr>
      <w:tr w:rsidR="00B23B94">
        <w:trPr>
          <w:trHeight w:val="484"/>
        </w:trPr>
        <w:tc>
          <w:tcPr>
            <w:tcW w:w="3497" w:type="dxa"/>
            <w:vMerge/>
            <w:tcBorders>
              <w:top w:val="nil"/>
            </w:tcBorders>
          </w:tcPr>
          <w:p w:rsidR="00B23B94" w:rsidRDefault="00B23B94">
            <w:pPr>
              <w:rPr>
                <w:sz w:val="2"/>
                <w:szCs w:val="2"/>
              </w:rPr>
            </w:pPr>
          </w:p>
        </w:tc>
        <w:tc>
          <w:tcPr>
            <w:tcW w:w="1430" w:type="dxa"/>
          </w:tcPr>
          <w:p w:rsidR="00B23B94" w:rsidRDefault="003B2D3B">
            <w:pPr>
              <w:pStyle w:val="TableParagraph"/>
              <w:ind w:left="458" w:right="447"/>
              <w:rPr>
                <w:b/>
                <w:sz w:val="28"/>
              </w:rPr>
            </w:pPr>
            <w:r>
              <w:rPr>
                <w:b/>
                <w:sz w:val="28"/>
              </w:rPr>
              <w:t>абс.</w:t>
            </w:r>
          </w:p>
        </w:tc>
        <w:tc>
          <w:tcPr>
            <w:tcW w:w="1209" w:type="dxa"/>
          </w:tcPr>
          <w:p w:rsidR="00B23B94" w:rsidRDefault="003B2D3B">
            <w:pPr>
              <w:pStyle w:val="TableParagraph"/>
              <w:ind w:left="10"/>
              <w:rPr>
                <w:b/>
                <w:sz w:val="28"/>
              </w:rPr>
            </w:pPr>
            <w:r>
              <w:rPr>
                <w:b/>
                <w:sz w:val="28"/>
              </w:rPr>
              <w:t>%</w:t>
            </w:r>
          </w:p>
        </w:tc>
        <w:tc>
          <w:tcPr>
            <w:tcW w:w="840" w:type="dxa"/>
          </w:tcPr>
          <w:p w:rsidR="00B23B94" w:rsidRDefault="003B2D3B">
            <w:pPr>
              <w:pStyle w:val="TableParagraph"/>
              <w:ind w:left="164" w:right="150"/>
              <w:rPr>
                <w:b/>
                <w:sz w:val="28"/>
              </w:rPr>
            </w:pPr>
            <w:r>
              <w:rPr>
                <w:b/>
                <w:sz w:val="28"/>
              </w:rPr>
              <w:t>абс.</w:t>
            </w:r>
          </w:p>
        </w:tc>
        <w:tc>
          <w:tcPr>
            <w:tcW w:w="827" w:type="dxa"/>
          </w:tcPr>
          <w:p w:rsidR="00B23B94" w:rsidRDefault="003B2D3B">
            <w:pPr>
              <w:pStyle w:val="TableParagraph"/>
              <w:ind w:left="275"/>
              <w:jc w:val="left"/>
              <w:rPr>
                <w:b/>
                <w:sz w:val="28"/>
              </w:rPr>
            </w:pPr>
            <w:r>
              <w:rPr>
                <w:b/>
                <w:sz w:val="28"/>
              </w:rPr>
              <w:t>%</w:t>
            </w:r>
          </w:p>
        </w:tc>
        <w:tc>
          <w:tcPr>
            <w:tcW w:w="971" w:type="dxa"/>
          </w:tcPr>
          <w:p w:rsidR="00B23B94" w:rsidRDefault="003B2D3B">
            <w:pPr>
              <w:pStyle w:val="TableParagraph"/>
              <w:ind w:left="228" w:right="218"/>
              <w:rPr>
                <w:b/>
                <w:sz w:val="28"/>
              </w:rPr>
            </w:pPr>
            <w:r>
              <w:rPr>
                <w:b/>
                <w:sz w:val="28"/>
              </w:rPr>
              <w:t>абс.</w:t>
            </w:r>
          </w:p>
        </w:tc>
        <w:tc>
          <w:tcPr>
            <w:tcW w:w="793" w:type="dxa"/>
          </w:tcPr>
          <w:p w:rsidR="00B23B94" w:rsidRDefault="003B2D3B">
            <w:pPr>
              <w:pStyle w:val="TableParagraph"/>
              <w:ind w:left="20"/>
              <w:rPr>
                <w:b/>
                <w:sz w:val="28"/>
              </w:rPr>
            </w:pPr>
            <w:r>
              <w:rPr>
                <w:b/>
                <w:sz w:val="28"/>
              </w:rPr>
              <w:t>%</w:t>
            </w:r>
          </w:p>
        </w:tc>
      </w:tr>
      <w:tr w:rsidR="00B23B94">
        <w:trPr>
          <w:trHeight w:val="482"/>
        </w:trPr>
        <w:tc>
          <w:tcPr>
            <w:tcW w:w="3497" w:type="dxa"/>
          </w:tcPr>
          <w:p w:rsidR="00B23B94" w:rsidRDefault="003B2D3B">
            <w:pPr>
              <w:pStyle w:val="TableParagraph"/>
              <w:ind w:left="183" w:right="175"/>
              <w:rPr>
                <w:sz w:val="28"/>
              </w:rPr>
            </w:pPr>
            <w:r>
              <w:rPr>
                <w:sz w:val="28"/>
              </w:rPr>
              <w:t>Серцево-судинна система</w:t>
            </w:r>
          </w:p>
        </w:tc>
        <w:tc>
          <w:tcPr>
            <w:tcW w:w="1430" w:type="dxa"/>
          </w:tcPr>
          <w:p w:rsidR="00B23B94" w:rsidRDefault="003B2D3B">
            <w:pPr>
              <w:pStyle w:val="TableParagraph"/>
              <w:ind w:left="458" w:right="447"/>
              <w:rPr>
                <w:sz w:val="28"/>
              </w:rPr>
            </w:pPr>
            <w:r>
              <w:rPr>
                <w:sz w:val="28"/>
              </w:rPr>
              <w:t>50</w:t>
            </w:r>
          </w:p>
        </w:tc>
        <w:tc>
          <w:tcPr>
            <w:tcW w:w="1209" w:type="dxa"/>
          </w:tcPr>
          <w:p w:rsidR="00B23B94" w:rsidRDefault="003B2D3B">
            <w:pPr>
              <w:pStyle w:val="TableParagraph"/>
              <w:ind w:left="360"/>
              <w:jc w:val="left"/>
              <w:rPr>
                <w:sz w:val="28"/>
              </w:rPr>
            </w:pPr>
            <w:r>
              <w:rPr>
                <w:sz w:val="28"/>
              </w:rPr>
              <w:t>57,4</w:t>
            </w:r>
          </w:p>
        </w:tc>
        <w:tc>
          <w:tcPr>
            <w:tcW w:w="840" w:type="dxa"/>
          </w:tcPr>
          <w:p w:rsidR="00B23B94" w:rsidRDefault="003B2D3B">
            <w:pPr>
              <w:pStyle w:val="TableParagraph"/>
              <w:ind w:left="15"/>
              <w:rPr>
                <w:sz w:val="28"/>
              </w:rPr>
            </w:pPr>
            <w:r>
              <w:rPr>
                <w:sz w:val="28"/>
              </w:rPr>
              <w:t>6</w:t>
            </w:r>
          </w:p>
        </w:tc>
        <w:tc>
          <w:tcPr>
            <w:tcW w:w="827" w:type="dxa"/>
          </w:tcPr>
          <w:p w:rsidR="00B23B94" w:rsidRDefault="003B2D3B">
            <w:pPr>
              <w:pStyle w:val="TableParagraph"/>
              <w:ind w:right="154"/>
              <w:jc w:val="right"/>
              <w:rPr>
                <w:sz w:val="28"/>
              </w:rPr>
            </w:pPr>
            <w:r>
              <w:rPr>
                <w:sz w:val="28"/>
              </w:rPr>
              <w:t>35,3</w:t>
            </w:r>
          </w:p>
        </w:tc>
        <w:tc>
          <w:tcPr>
            <w:tcW w:w="971" w:type="dxa"/>
          </w:tcPr>
          <w:p w:rsidR="00B23B94" w:rsidRDefault="003B2D3B">
            <w:pPr>
              <w:pStyle w:val="TableParagraph"/>
              <w:ind w:left="11"/>
              <w:rPr>
                <w:sz w:val="28"/>
              </w:rPr>
            </w:pPr>
            <w:r>
              <w:rPr>
                <w:sz w:val="28"/>
              </w:rPr>
              <w:t>7</w:t>
            </w:r>
          </w:p>
        </w:tc>
        <w:tc>
          <w:tcPr>
            <w:tcW w:w="793" w:type="dxa"/>
          </w:tcPr>
          <w:p w:rsidR="00B23B94" w:rsidRDefault="003B2D3B">
            <w:pPr>
              <w:pStyle w:val="TableParagraph"/>
              <w:ind w:left="135" w:right="117"/>
              <w:rPr>
                <w:sz w:val="28"/>
              </w:rPr>
            </w:pPr>
            <w:r>
              <w:rPr>
                <w:sz w:val="28"/>
              </w:rPr>
              <w:t>30,4</w:t>
            </w:r>
          </w:p>
        </w:tc>
      </w:tr>
      <w:tr w:rsidR="00B23B94">
        <w:trPr>
          <w:trHeight w:val="481"/>
        </w:trPr>
        <w:tc>
          <w:tcPr>
            <w:tcW w:w="3497" w:type="dxa"/>
          </w:tcPr>
          <w:p w:rsidR="00B23B94" w:rsidRDefault="003B2D3B">
            <w:pPr>
              <w:pStyle w:val="TableParagraph"/>
              <w:ind w:left="183" w:right="175"/>
              <w:rPr>
                <w:sz w:val="28"/>
              </w:rPr>
            </w:pPr>
            <w:r>
              <w:rPr>
                <w:sz w:val="28"/>
              </w:rPr>
              <w:t>Травна система</w:t>
            </w:r>
          </w:p>
        </w:tc>
        <w:tc>
          <w:tcPr>
            <w:tcW w:w="1430" w:type="dxa"/>
          </w:tcPr>
          <w:p w:rsidR="00B23B94" w:rsidRDefault="003B2D3B">
            <w:pPr>
              <w:pStyle w:val="TableParagraph"/>
              <w:ind w:left="458" w:right="447"/>
              <w:rPr>
                <w:sz w:val="28"/>
              </w:rPr>
            </w:pPr>
            <w:r>
              <w:rPr>
                <w:sz w:val="28"/>
              </w:rPr>
              <w:t>10</w:t>
            </w:r>
          </w:p>
        </w:tc>
        <w:tc>
          <w:tcPr>
            <w:tcW w:w="1209" w:type="dxa"/>
          </w:tcPr>
          <w:p w:rsidR="00B23B94" w:rsidRDefault="003B2D3B">
            <w:pPr>
              <w:pStyle w:val="TableParagraph"/>
              <w:ind w:left="360"/>
              <w:jc w:val="left"/>
              <w:rPr>
                <w:sz w:val="28"/>
              </w:rPr>
            </w:pPr>
            <w:r>
              <w:rPr>
                <w:sz w:val="28"/>
              </w:rPr>
              <w:t>11,5</w:t>
            </w:r>
          </w:p>
        </w:tc>
        <w:tc>
          <w:tcPr>
            <w:tcW w:w="840" w:type="dxa"/>
          </w:tcPr>
          <w:p w:rsidR="00B23B94" w:rsidRDefault="003B2D3B">
            <w:pPr>
              <w:pStyle w:val="TableParagraph"/>
              <w:ind w:left="15"/>
              <w:rPr>
                <w:sz w:val="28"/>
              </w:rPr>
            </w:pPr>
            <w:r>
              <w:rPr>
                <w:sz w:val="28"/>
              </w:rPr>
              <w:t>1</w:t>
            </w:r>
          </w:p>
        </w:tc>
        <w:tc>
          <w:tcPr>
            <w:tcW w:w="827" w:type="dxa"/>
          </w:tcPr>
          <w:p w:rsidR="00B23B94" w:rsidRDefault="003B2D3B">
            <w:pPr>
              <w:pStyle w:val="TableParagraph"/>
              <w:ind w:right="223"/>
              <w:jc w:val="right"/>
              <w:rPr>
                <w:sz w:val="28"/>
              </w:rPr>
            </w:pPr>
            <w:r>
              <w:rPr>
                <w:sz w:val="28"/>
              </w:rPr>
              <w:t>5,9</w:t>
            </w:r>
          </w:p>
        </w:tc>
        <w:tc>
          <w:tcPr>
            <w:tcW w:w="971" w:type="dxa"/>
          </w:tcPr>
          <w:p w:rsidR="00B23B94" w:rsidRDefault="003B2D3B">
            <w:pPr>
              <w:pStyle w:val="TableParagraph"/>
              <w:ind w:left="11"/>
              <w:rPr>
                <w:sz w:val="28"/>
              </w:rPr>
            </w:pPr>
            <w:r>
              <w:rPr>
                <w:sz w:val="28"/>
              </w:rPr>
              <w:t>1</w:t>
            </w:r>
          </w:p>
        </w:tc>
        <w:tc>
          <w:tcPr>
            <w:tcW w:w="793" w:type="dxa"/>
          </w:tcPr>
          <w:p w:rsidR="00B23B94" w:rsidRDefault="003B2D3B">
            <w:pPr>
              <w:pStyle w:val="TableParagraph"/>
              <w:ind w:left="135" w:right="116"/>
              <w:rPr>
                <w:sz w:val="28"/>
              </w:rPr>
            </w:pPr>
            <w:r>
              <w:rPr>
                <w:sz w:val="28"/>
              </w:rPr>
              <w:t>4,3</w:t>
            </w:r>
          </w:p>
        </w:tc>
      </w:tr>
      <w:tr w:rsidR="00B23B94">
        <w:trPr>
          <w:trHeight w:val="485"/>
        </w:trPr>
        <w:tc>
          <w:tcPr>
            <w:tcW w:w="3497" w:type="dxa"/>
          </w:tcPr>
          <w:p w:rsidR="00B23B94" w:rsidRDefault="003B2D3B">
            <w:pPr>
              <w:pStyle w:val="TableParagraph"/>
              <w:spacing w:before="3"/>
              <w:ind w:left="182" w:right="175"/>
              <w:rPr>
                <w:sz w:val="28"/>
              </w:rPr>
            </w:pPr>
            <w:r>
              <w:rPr>
                <w:sz w:val="28"/>
              </w:rPr>
              <w:t>Ендокринна система</w:t>
            </w:r>
          </w:p>
        </w:tc>
        <w:tc>
          <w:tcPr>
            <w:tcW w:w="1430" w:type="dxa"/>
          </w:tcPr>
          <w:p w:rsidR="00B23B94" w:rsidRDefault="003B2D3B">
            <w:pPr>
              <w:pStyle w:val="TableParagraph"/>
              <w:spacing w:before="3"/>
              <w:ind w:left="12"/>
              <w:rPr>
                <w:sz w:val="28"/>
              </w:rPr>
            </w:pPr>
            <w:r>
              <w:rPr>
                <w:sz w:val="28"/>
              </w:rPr>
              <w:t>6</w:t>
            </w:r>
          </w:p>
        </w:tc>
        <w:tc>
          <w:tcPr>
            <w:tcW w:w="1209" w:type="dxa"/>
          </w:tcPr>
          <w:p w:rsidR="00B23B94" w:rsidRDefault="003B2D3B">
            <w:pPr>
              <w:pStyle w:val="TableParagraph"/>
              <w:spacing w:before="3"/>
              <w:ind w:left="430"/>
              <w:jc w:val="left"/>
              <w:rPr>
                <w:sz w:val="28"/>
              </w:rPr>
            </w:pPr>
            <w:r>
              <w:rPr>
                <w:sz w:val="28"/>
              </w:rPr>
              <w:t>6,9</w:t>
            </w:r>
          </w:p>
        </w:tc>
        <w:tc>
          <w:tcPr>
            <w:tcW w:w="840" w:type="dxa"/>
          </w:tcPr>
          <w:p w:rsidR="00B23B94" w:rsidRDefault="003B2D3B">
            <w:pPr>
              <w:pStyle w:val="TableParagraph"/>
              <w:spacing w:before="3"/>
              <w:ind w:left="15"/>
              <w:rPr>
                <w:sz w:val="28"/>
              </w:rPr>
            </w:pPr>
            <w:r>
              <w:rPr>
                <w:sz w:val="28"/>
              </w:rPr>
              <w:t>1</w:t>
            </w:r>
          </w:p>
        </w:tc>
        <w:tc>
          <w:tcPr>
            <w:tcW w:w="827" w:type="dxa"/>
          </w:tcPr>
          <w:p w:rsidR="00B23B94" w:rsidRDefault="003B2D3B">
            <w:pPr>
              <w:pStyle w:val="TableParagraph"/>
              <w:spacing w:before="3"/>
              <w:ind w:right="223"/>
              <w:jc w:val="right"/>
              <w:rPr>
                <w:sz w:val="28"/>
              </w:rPr>
            </w:pPr>
            <w:r>
              <w:rPr>
                <w:sz w:val="28"/>
              </w:rPr>
              <w:t>5,9</w:t>
            </w:r>
          </w:p>
        </w:tc>
        <w:tc>
          <w:tcPr>
            <w:tcW w:w="971" w:type="dxa"/>
          </w:tcPr>
          <w:p w:rsidR="00B23B94" w:rsidRDefault="003B2D3B">
            <w:pPr>
              <w:pStyle w:val="TableParagraph"/>
              <w:spacing w:before="3"/>
              <w:ind w:left="11"/>
              <w:rPr>
                <w:sz w:val="28"/>
              </w:rPr>
            </w:pPr>
            <w:r>
              <w:rPr>
                <w:sz w:val="28"/>
              </w:rPr>
              <w:t>2</w:t>
            </w:r>
          </w:p>
        </w:tc>
        <w:tc>
          <w:tcPr>
            <w:tcW w:w="793" w:type="dxa"/>
          </w:tcPr>
          <w:p w:rsidR="00B23B94" w:rsidRDefault="003B2D3B">
            <w:pPr>
              <w:pStyle w:val="TableParagraph"/>
              <w:spacing w:before="3"/>
              <w:ind w:left="135" w:right="116"/>
              <w:rPr>
                <w:sz w:val="28"/>
              </w:rPr>
            </w:pPr>
            <w:r>
              <w:rPr>
                <w:sz w:val="28"/>
              </w:rPr>
              <w:t>8,7</w:t>
            </w:r>
          </w:p>
        </w:tc>
      </w:tr>
      <w:tr w:rsidR="00B23B94">
        <w:trPr>
          <w:trHeight w:val="481"/>
        </w:trPr>
        <w:tc>
          <w:tcPr>
            <w:tcW w:w="3497" w:type="dxa"/>
          </w:tcPr>
          <w:p w:rsidR="00B23B94" w:rsidRDefault="003B2D3B">
            <w:pPr>
              <w:pStyle w:val="TableParagraph"/>
              <w:ind w:left="182" w:right="175"/>
              <w:rPr>
                <w:sz w:val="28"/>
              </w:rPr>
            </w:pPr>
            <w:r>
              <w:rPr>
                <w:sz w:val="28"/>
              </w:rPr>
              <w:t>Інша патологія</w:t>
            </w:r>
          </w:p>
        </w:tc>
        <w:tc>
          <w:tcPr>
            <w:tcW w:w="1430" w:type="dxa"/>
          </w:tcPr>
          <w:p w:rsidR="00B23B94" w:rsidRDefault="003B2D3B">
            <w:pPr>
              <w:pStyle w:val="TableParagraph"/>
              <w:ind w:left="12"/>
              <w:rPr>
                <w:sz w:val="28"/>
              </w:rPr>
            </w:pPr>
            <w:r>
              <w:rPr>
                <w:sz w:val="28"/>
              </w:rPr>
              <w:t>2</w:t>
            </w:r>
          </w:p>
        </w:tc>
        <w:tc>
          <w:tcPr>
            <w:tcW w:w="1209" w:type="dxa"/>
          </w:tcPr>
          <w:p w:rsidR="00B23B94" w:rsidRDefault="003B2D3B">
            <w:pPr>
              <w:pStyle w:val="TableParagraph"/>
              <w:ind w:left="430"/>
              <w:jc w:val="left"/>
              <w:rPr>
                <w:sz w:val="28"/>
              </w:rPr>
            </w:pPr>
            <w:r>
              <w:rPr>
                <w:sz w:val="28"/>
              </w:rPr>
              <w:t>4,3</w:t>
            </w:r>
          </w:p>
        </w:tc>
        <w:tc>
          <w:tcPr>
            <w:tcW w:w="840" w:type="dxa"/>
          </w:tcPr>
          <w:p w:rsidR="00B23B94" w:rsidRDefault="003B2D3B">
            <w:pPr>
              <w:pStyle w:val="TableParagraph"/>
              <w:ind w:left="11"/>
              <w:rPr>
                <w:sz w:val="28"/>
              </w:rPr>
            </w:pPr>
            <w:r>
              <w:rPr>
                <w:sz w:val="28"/>
              </w:rPr>
              <w:t>-</w:t>
            </w:r>
          </w:p>
        </w:tc>
        <w:tc>
          <w:tcPr>
            <w:tcW w:w="827" w:type="dxa"/>
          </w:tcPr>
          <w:p w:rsidR="00B23B94" w:rsidRDefault="003B2D3B">
            <w:pPr>
              <w:pStyle w:val="TableParagraph"/>
              <w:ind w:left="15"/>
              <w:rPr>
                <w:sz w:val="28"/>
              </w:rPr>
            </w:pPr>
            <w:r>
              <w:rPr>
                <w:sz w:val="28"/>
              </w:rPr>
              <w:t>-</w:t>
            </w:r>
          </w:p>
        </w:tc>
        <w:tc>
          <w:tcPr>
            <w:tcW w:w="971" w:type="dxa"/>
          </w:tcPr>
          <w:p w:rsidR="00B23B94" w:rsidRDefault="003B2D3B">
            <w:pPr>
              <w:pStyle w:val="TableParagraph"/>
              <w:ind w:left="11"/>
              <w:rPr>
                <w:sz w:val="28"/>
              </w:rPr>
            </w:pPr>
            <w:r>
              <w:rPr>
                <w:sz w:val="28"/>
              </w:rPr>
              <w:t>1</w:t>
            </w:r>
          </w:p>
        </w:tc>
        <w:tc>
          <w:tcPr>
            <w:tcW w:w="793" w:type="dxa"/>
          </w:tcPr>
          <w:p w:rsidR="00B23B94" w:rsidRDefault="003B2D3B">
            <w:pPr>
              <w:pStyle w:val="TableParagraph"/>
              <w:ind w:left="135" w:right="116"/>
              <w:rPr>
                <w:sz w:val="28"/>
              </w:rPr>
            </w:pPr>
            <w:r>
              <w:rPr>
                <w:sz w:val="28"/>
              </w:rPr>
              <w:t>4,3</w:t>
            </w:r>
          </w:p>
        </w:tc>
      </w:tr>
      <w:tr w:rsidR="00B23B94">
        <w:trPr>
          <w:trHeight w:val="484"/>
        </w:trPr>
        <w:tc>
          <w:tcPr>
            <w:tcW w:w="3497" w:type="dxa"/>
          </w:tcPr>
          <w:p w:rsidR="00B23B94" w:rsidRDefault="003B2D3B">
            <w:pPr>
              <w:pStyle w:val="TableParagraph"/>
              <w:ind w:left="183" w:right="173"/>
              <w:rPr>
                <w:sz w:val="28"/>
              </w:rPr>
            </w:pPr>
            <w:r>
              <w:rPr>
                <w:sz w:val="28"/>
              </w:rPr>
              <w:t>Ожиріння</w:t>
            </w:r>
          </w:p>
        </w:tc>
        <w:tc>
          <w:tcPr>
            <w:tcW w:w="1430" w:type="dxa"/>
          </w:tcPr>
          <w:p w:rsidR="00B23B94" w:rsidRDefault="003B2D3B">
            <w:pPr>
              <w:pStyle w:val="TableParagraph"/>
              <w:ind w:left="458" w:right="447"/>
              <w:rPr>
                <w:sz w:val="28"/>
              </w:rPr>
            </w:pPr>
            <w:r>
              <w:rPr>
                <w:sz w:val="28"/>
              </w:rPr>
              <w:t>52</w:t>
            </w:r>
          </w:p>
        </w:tc>
        <w:tc>
          <w:tcPr>
            <w:tcW w:w="1209" w:type="dxa"/>
          </w:tcPr>
          <w:p w:rsidR="00B23B94" w:rsidRDefault="003B2D3B">
            <w:pPr>
              <w:pStyle w:val="TableParagraph"/>
              <w:ind w:left="360"/>
              <w:jc w:val="left"/>
              <w:rPr>
                <w:sz w:val="28"/>
              </w:rPr>
            </w:pPr>
            <w:r>
              <w:rPr>
                <w:sz w:val="28"/>
              </w:rPr>
              <w:t>59,8</w:t>
            </w:r>
          </w:p>
        </w:tc>
        <w:tc>
          <w:tcPr>
            <w:tcW w:w="840" w:type="dxa"/>
          </w:tcPr>
          <w:p w:rsidR="00B23B94" w:rsidRDefault="003B2D3B">
            <w:pPr>
              <w:pStyle w:val="TableParagraph"/>
              <w:ind w:left="15"/>
              <w:rPr>
                <w:sz w:val="28"/>
              </w:rPr>
            </w:pPr>
            <w:r>
              <w:rPr>
                <w:sz w:val="28"/>
              </w:rPr>
              <w:t>7</w:t>
            </w:r>
          </w:p>
        </w:tc>
        <w:tc>
          <w:tcPr>
            <w:tcW w:w="827" w:type="dxa"/>
          </w:tcPr>
          <w:p w:rsidR="00B23B94" w:rsidRDefault="003B2D3B">
            <w:pPr>
              <w:pStyle w:val="TableParagraph"/>
              <w:ind w:right="154"/>
              <w:jc w:val="right"/>
              <w:rPr>
                <w:sz w:val="28"/>
              </w:rPr>
            </w:pPr>
            <w:r>
              <w:rPr>
                <w:sz w:val="28"/>
              </w:rPr>
              <w:t>41,2</w:t>
            </w:r>
          </w:p>
        </w:tc>
        <w:tc>
          <w:tcPr>
            <w:tcW w:w="971" w:type="dxa"/>
          </w:tcPr>
          <w:p w:rsidR="00B23B94" w:rsidRDefault="003B2D3B">
            <w:pPr>
              <w:pStyle w:val="TableParagraph"/>
              <w:ind w:left="228" w:right="214"/>
              <w:rPr>
                <w:sz w:val="28"/>
              </w:rPr>
            </w:pPr>
            <w:r>
              <w:rPr>
                <w:sz w:val="28"/>
              </w:rPr>
              <w:t>10</w:t>
            </w:r>
          </w:p>
        </w:tc>
        <w:tc>
          <w:tcPr>
            <w:tcW w:w="793" w:type="dxa"/>
          </w:tcPr>
          <w:p w:rsidR="00B23B94" w:rsidRDefault="003B2D3B">
            <w:pPr>
              <w:pStyle w:val="TableParagraph"/>
              <w:ind w:left="135" w:right="117"/>
              <w:rPr>
                <w:sz w:val="28"/>
              </w:rPr>
            </w:pPr>
            <w:r>
              <w:rPr>
                <w:sz w:val="28"/>
              </w:rPr>
              <w:t>43,5</w:t>
            </w:r>
          </w:p>
        </w:tc>
      </w:tr>
    </w:tbl>
    <w:p w:rsidR="00B23B94" w:rsidRDefault="00B23B94">
      <w:pPr>
        <w:pStyle w:val="a3"/>
        <w:spacing w:before="11"/>
        <w:ind w:left="0"/>
        <w:jc w:val="left"/>
        <w:rPr>
          <w:b/>
          <w:sz w:val="41"/>
        </w:rPr>
      </w:pPr>
    </w:p>
    <w:p w:rsidR="00B23B94" w:rsidRDefault="003B2D3B">
      <w:pPr>
        <w:pStyle w:val="a3"/>
        <w:spacing w:line="360" w:lineRule="auto"/>
        <w:ind w:right="304" w:firstLine="707"/>
      </w:pPr>
      <w:r>
        <w:t>Найбільш часто зустрічалася патологія серцево-судинної системи (63 хворих – 49,6%), хвороби органів травлення – 12 (9,4%), захворювання ендокринної системи – 9 (7,1%). Ожиріння констатовано майже у кожного другого пацієнта (69 хворих – 54,3%).</w:t>
      </w:r>
    </w:p>
    <w:p w:rsidR="00B23B94" w:rsidRDefault="003B2D3B">
      <w:pPr>
        <w:pStyle w:val="a3"/>
        <w:spacing w:line="360" w:lineRule="auto"/>
        <w:ind w:right="313" w:firstLine="707"/>
      </w:pPr>
      <w:r>
        <w:t>В роботі використана класифікація гострого панкреатиту 2012 року (робочої групи по перегляду класифікації Атланти, з доповненнями) [], згідно якої пацієнти були поділені наступним чином – табл. 2.6.</w:t>
      </w:r>
    </w:p>
    <w:p w:rsidR="00B23B94" w:rsidRDefault="003B2D3B">
      <w:pPr>
        <w:pStyle w:val="a3"/>
        <w:spacing w:before="1" w:line="360" w:lineRule="auto"/>
        <w:ind w:right="304" w:firstLine="707"/>
      </w:pPr>
      <w:r>
        <w:t>Транзиторна органна недостатність з локальними чи системними ускладненнями у пацієнтів основної групи виявлено у 8 (36,4%) пацієнтів, а у 14 (63,6%) пацієнтів виявлені локальні чи системні ускладнення без ОН, що вважали як панкреатит середнього ступеня тяжкості (22 пацієнти – 55,0%). У решти хворих (14 пацієнтів – 45,0%) встановлено тяжкий перебіг гострого панкреатиту з персистуючою органною недостатністю. При цьому ОН обмежувалося однією системою організму у 7 (38,9%) хворих, поліорганна недостатність виявлена у 11 (61,1%) хворих.</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left="8189"/>
        <w:rPr>
          <w:i/>
          <w:sz w:val="28"/>
        </w:rPr>
      </w:pPr>
      <w:r>
        <w:rPr>
          <w:i/>
          <w:sz w:val="28"/>
        </w:rPr>
        <w:lastRenderedPageBreak/>
        <w:t>Таблиця 2.6</w:t>
      </w:r>
    </w:p>
    <w:p w:rsidR="00B23B94" w:rsidRDefault="003B2D3B">
      <w:pPr>
        <w:pStyle w:val="1"/>
        <w:spacing w:before="163" w:line="360" w:lineRule="auto"/>
        <w:ind w:left="2951" w:right="919" w:hanging="1398"/>
      </w:pPr>
      <w:r>
        <w:t>Градація хворих за ступенем тяжкості згідно класифікації Атланта 2012 р. третього перегляду.</w:t>
      </w:r>
    </w:p>
    <w:p w:rsidR="00B23B94" w:rsidRDefault="00B23B94">
      <w:pPr>
        <w:pStyle w:val="a3"/>
        <w:ind w:left="0"/>
        <w:jc w:val="left"/>
        <w:rPr>
          <w:b/>
          <w:sz w:val="20"/>
        </w:rPr>
      </w:pPr>
    </w:p>
    <w:p w:rsidR="00B23B94" w:rsidRDefault="00B23B94">
      <w:pPr>
        <w:pStyle w:val="a3"/>
        <w:spacing w:before="9"/>
        <w:ind w:left="0"/>
        <w:jc w:val="left"/>
        <w:rPr>
          <w:b/>
          <w:sz w:val="21"/>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45"/>
        <w:gridCol w:w="852"/>
        <w:gridCol w:w="709"/>
        <w:gridCol w:w="992"/>
        <w:gridCol w:w="853"/>
        <w:gridCol w:w="709"/>
        <w:gridCol w:w="817"/>
      </w:tblGrid>
      <w:tr w:rsidR="00B23B94">
        <w:trPr>
          <w:trHeight w:val="484"/>
        </w:trPr>
        <w:tc>
          <w:tcPr>
            <w:tcW w:w="4645" w:type="dxa"/>
            <w:vMerge w:val="restart"/>
          </w:tcPr>
          <w:p w:rsidR="00B23B94" w:rsidRDefault="00B23B94">
            <w:pPr>
              <w:pStyle w:val="TableParagraph"/>
              <w:jc w:val="left"/>
              <w:rPr>
                <w:b/>
                <w:sz w:val="30"/>
              </w:rPr>
            </w:pPr>
          </w:p>
          <w:p w:rsidR="00B23B94" w:rsidRDefault="00B23B94">
            <w:pPr>
              <w:pStyle w:val="TableParagraph"/>
              <w:jc w:val="left"/>
              <w:rPr>
                <w:b/>
                <w:sz w:val="34"/>
              </w:rPr>
            </w:pPr>
          </w:p>
          <w:p w:rsidR="00B23B94" w:rsidRDefault="003B2D3B">
            <w:pPr>
              <w:pStyle w:val="TableParagraph"/>
              <w:spacing w:before="1"/>
              <w:ind w:left="1204"/>
              <w:jc w:val="left"/>
              <w:rPr>
                <w:b/>
                <w:sz w:val="28"/>
              </w:rPr>
            </w:pPr>
            <w:r>
              <w:rPr>
                <w:b/>
                <w:sz w:val="28"/>
              </w:rPr>
              <w:t>Ступінь тяжкості</w:t>
            </w:r>
          </w:p>
        </w:tc>
        <w:tc>
          <w:tcPr>
            <w:tcW w:w="4932" w:type="dxa"/>
            <w:gridSpan w:val="6"/>
          </w:tcPr>
          <w:p w:rsidR="00B23B94" w:rsidRDefault="003B2D3B">
            <w:pPr>
              <w:pStyle w:val="TableParagraph"/>
              <w:spacing w:before="2"/>
              <w:ind w:left="1586"/>
              <w:jc w:val="left"/>
              <w:rPr>
                <w:b/>
                <w:sz w:val="28"/>
              </w:rPr>
            </w:pPr>
            <w:r>
              <w:rPr>
                <w:b/>
                <w:sz w:val="28"/>
              </w:rPr>
              <w:t>Групи хворих</w:t>
            </w:r>
          </w:p>
        </w:tc>
      </w:tr>
      <w:tr w:rsidR="00B23B94">
        <w:trPr>
          <w:trHeight w:val="551"/>
        </w:trPr>
        <w:tc>
          <w:tcPr>
            <w:tcW w:w="4645" w:type="dxa"/>
            <w:vMerge/>
            <w:tcBorders>
              <w:top w:val="nil"/>
            </w:tcBorders>
          </w:tcPr>
          <w:p w:rsidR="00B23B94" w:rsidRDefault="00B23B94">
            <w:pPr>
              <w:rPr>
                <w:sz w:val="2"/>
                <w:szCs w:val="2"/>
              </w:rPr>
            </w:pPr>
          </w:p>
        </w:tc>
        <w:tc>
          <w:tcPr>
            <w:tcW w:w="1561" w:type="dxa"/>
            <w:gridSpan w:val="2"/>
          </w:tcPr>
          <w:p w:rsidR="00B23B94" w:rsidRDefault="003B2D3B">
            <w:pPr>
              <w:pStyle w:val="TableParagraph"/>
              <w:spacing w:before="2" w:line="276" w:lineRule="exact"/>
              <w:ind w:left="443" w:right="121" w:hanging="296"/>
              <w:jc w:val="left"/>
              <w:rPr>
                <w:b/>
                <w:sz w:val="24"/>
              </w:rPr>
            </w:pPr>
            <w:r>
              <w:rPr>
                <w:b/>
                <w:sz w:val="24"/>
              </w:rPr>
              <w:t>порівняння (n=87)</w:t>
            </w:r>
          </w:p>
        </w:tc>
        <w:tc>
          <w:tcPr>
            <w:tcW w:w="1845" w:type="dxa"/>
            <w:gridSpan w:val="2"/>
          </w:tcPr>
          <w:p w:rsidR="00B23B94" w:rsidRDefault="003B2D3B">
            <w:pPr>
              <w:pStyle w:val="TableParagraph"/>
              <w:spacing w:before="2" w:line="276" w:lineRule="exact"/>
              <w:ind w:left="584" w:right="459" w:hanging="101"/>
              <w:jc w:val="left"/>
              <w:rPr>
                <w:b/>
                <w:sz w:val="24"/>
              </w:rPr>
            </w:pPr>
            <w:r>
              <w:rPr>
                <w:b/>
                <w:sz w:val="24"/>
              </w:rPr>
              <w:t>основна (n=40)</w:t>
            </w:r>
          </w:p>
        </w:tc>
        <w:tc>
          <w:tcPr>
            <w:tcW w:w="1526" w:type="dxa"/>
            <w:gridSpan w:val="2"/>
          </w:tcPr>
          <w:p w:rsidR="00B23B94" w:rsidRDefault="003B2D3B">
            <w:pPr>
              <w:pStyle w:val="TableParagraph"/>
              <w:spacing w:before="2" w:line="276" w:lineRule="exact"/>
              <w:ind w:left="362" w:right="343" w:firstLine="38"/>
              <w:jc w:val="left"/>
              <w:rPr>
                <w:b/>
                <w:sz w:val="24"/>
              </w:rPr>
            </w:pPr>
            <w:r>
              <w:rPr>
                <w:b/>
                <w:sz w:val="24"/>
              </w:rPr>
              <w:t>всього (n=127)</w:t>
            </w:r>
          </w:p>
        </w:tc>
      </w:tr>
      <w:tr w:rsidR="00B23B94">
        <w:trPr>
          <w:trHeight w:val="412"/>
        </w:trPr>
        <w:tc>
          <w:tcPr>
            <w:tcW w:w="4645" w:type="dxa"/>
            <w:vMerge/>
            <w:tcBorders>
              <w:top w:val="nil"/>
            </w:tcBorders>
          </w:tcPr>
          <w:p w:rsidR="00B23B94" w:rsidRDefault="00B23B94">
            <w:pPr>
              <w:rPr>
                <w:sz w:val="2"/>
                <w:szCs w:val="2"/>
              </w:rPr>
            </w:pPr>
          </w:p>
        </w:tc>
        <w:tc>
          <w:tcPr>
            <w:tcW w:w="852" w:type="dxa"/>
          </w:tcPr>
          <w:p w:rsidR="00B23B94" w:rsidRDefault="003B2D3B">
            <w:pPr>
              <w:pStyle w:val="TableParagraph"/>
              <w:spacing w:line="273" w:lineRule="exact"/>
              <w:ind w:right="211"/>
              <w:jc w:val="right"/>
              <w:rPr>
                <w:b/>
                <w:sz w:val="24"/>
              </w:rPr>
            </w:pPr>
            <w:r>
              <w:rPr>
                <w:b/>
                <w:sz w:val="24"/>
              </w:rPr>
              <w:t>абс.</w:t>
            </w:r>
          </w:p>
        </w:tc>
        <w:tc>
          <w:tcPr>
            <w:tcW w:w="709" w:type="dxa"/>
          </w:tcPr>
          <w:p w:rsidR="00B23B94" w:rsidRDefault="003B2D3B">
            <w:pPr>
              <w:pStyle w:val="TableParagraph"/>
              <w:spacing w:line="273" w:lineRule="exact"/>
              <w:ind w:left="1"/>
              <w:rPr>
                <w:b/>
                <w:sz w:val="24"/>
              </w:rPr>
            </w:pPr>
            <w:r>
              <w:rPr>
                <w:b/>
                <w:sz w:val="24"/>
              </w:rPr>
              <w:t>%</w:t>
            </w:r>
          </w:p>
        </w:tc>
        <w:tc>
          <w:tcPr>
            <w:tcW w:w="992" w:type="dxa"/>
          </w:tcPr>
          <w:p w:rsidR="00B23B94" w:rsidRDefault="003B2D3B">
            <w:pPr>
              <w:pStyle w:val="TableParagraph"/>
              <w:spacing w:line="273" w:lineRule="exact"/>
              <w:ind w:left="228" w:right="221"/>
              <w:rPr>
                <w:b/>
                <w:sz w:val="24"/>
              </w:rPr>
            </w:pPr>
            <w:r>
              <w:rPr>
                <w:b/>
                <w:sz w:val="24"/>
              </w:rPr>
              <w:t>абс.</w:t>
            </w:r>
          </w:p>
        </w:tc>
        <w:tc>
          <w:tcPr>
            <w:tcW w:w="853" w:type="dxa"/>
          </w:tcPr>
          <w:p w:rsidR="00B23B94" w:rsidRDefault="003B2D3B">
            <w:pPr>
              <w:pStyle w:val="TableParagraph"/>
              <w:spacing w:line="273" w:lineRule="exact"/>
              <w:ind w:left="3"/>
              <w:rPr>
                <w:b/>
                <w:sz w:val="24"/>
              </w:rPr>
            </w:pPr>
            <w:r>
              <w:rPr>
                <w:b/>
                <w:sz w:val="24"/>
              </w:rPr>
              <w:t>%</w:t>
            </w:r>
          </w:p>
        </w:tc>
        <w:tc>
          <w:tcPr>
            <w:tcW w:w="709" w:type="dxa"/>
          </w:tcPr>
          <w:p w:rsidR="00B23B94" w:rsidRDefault="003B2D3B">
            <w:pPr>
              <w:pStyle w:val="TableParagraph"/>
              <w:spacing w:line="273" w:lineRule="exact"/>
              <w:ind w:right="145"/>
              <w:jc w:val="right"/>
              <w:rPr>
                <w:b/>
                <w:sz w:val="24"/>
              </w:rPr>
            </w:pPr>
            <w:r>
              <w:rPr>
                <w:b/>
                <w:sz w:val="24"/>
              </w:rPr>
              <w:t>абс.</w:t>
            </w:r>
          </w:p>
        </w:tc>
        <w:tc>
          <w:tcPr>
            <w:tcW w:w="817" w:type="dxa"/>
          </w:tcPr>
          <w:p w:rsidR="00B23B94" w:rsidRDefault="003B2D3B">
            <w:pPr>
              <w:pStyle w:val="TableParagraph"/>
              <w:spacing w:line="273" w:lineRule="exact"/>
              <w:ind w:left="2"/>
              <w:rPr>
                <w:b/>
                <w:sz w:val="24"/>
              </w:rPr>
            </w:pPr>
            <w:r>
              <w:rPr>
                <w:b/>
                <w:sz w:val="24"/>
              </w:rPr>
              <w:t>%</w:t>
            </w:r>
          </w:p>
        </w:tc>
      </w:tr>
      <w:tr w:rsidR="00B23B94">
        <w:trPr>
          <w:trHeight w:val="482"/>
        </w:trPr>
        <w:tc>
          <w:tcPr>
            <w:tcW w:w="4645" w:type="dxa"/>
          </w:tcPr>
          <w:p w:rsidR="00B23B94" w:rsidRDefault="003B2D3B">
            <w:pPr>
              <w:pStyle w:val="TableParagraph"/>
              <w:ind w:left="1804" w:right="1794"/>
              <w:rPr>
                <w:sz w:val="28"/>
              </w:rPr>
            </w:pPr>
            <w:r>
              <w:rPr>
                <w:sz w:val="28"/>
              </w:rPr>
              <w:t>Середня</w:t>
            </w:r>
          </w:p>
        </w:tc>
        <w:tc>
          <w:tcPr>
            <w:tcW w:w="852" w:type="dxa"/>
          </w:tcPr>
          <w:p w:rsidR="00B23B94" w:rsidRDefault="003B2D3B">
            <w:pPr>
              <w:pStyle w:val="TableParagraph"/>
              <w:ind w:right="271"/>
              <w:jc w:val="right"/>
              <w:rPr>
                <w:sz w:val="28"/>
              </w:rPr>
            </w:pPr>
            <w:r>
              <w:rPr>
                <w:sz w:val="28"/>
              </w:rPr>
              <w:t>47</w:t>
            </w:r>
          </w:p>
        </w:tc>
        <w:tc>
          <w:tcPr>
            <w:tcW w:w="709" w:type="dxa"/>
          </w:tcPr>
          <w:p w:rsidR="00B23B94" w:rsidRDefault="003B2D3B">
            <w:pPr>
              <w:pStyle w:val="TableParagraph"/>
              <w:ind w:left="85" w:right="84"/>
              <w:rPr>
                <w:sz w:val="28"/>
              </w:rPr>
            </w:pPr>
            <w:r>
              <w:rPr>
                <w:sz w:val="28"/>
              </w:rPr>
              <w:t>54,0</w:t>
            </w:r>
          </w:p>
        </w:tc>
        <w:tc>
          <w:tcPr>
            <w:tcW w:w="992" w:type="dxa"/>
          </w:tcPr>
          <w:p w:rsidR="00B23B94" w:rsidRDefault="003B2D3B">
            <w:pPr>
              <w:pStyle w:val="TableParagraph"/>
              <w:ind w:left="228" w:right="218"/>
              <w:rPr>
                <w:sz w:val="28"/>
              </w:rPr>
            </w:pPr>
            <w:r>
              <w:rPr>
                <w:sz w:val="28"/>
              </w:rPr>
              <w:t>22</w:t>
            </w:r>
          </w:p>
        </w:tc>
        <w:tc>
          <w:tcPr>
            <w:tcW w:w="853" w:type="dxa"/>
          </w:tcPr>
          <w:p w:rsidR="00B23B94" w:rsidRDefault="003B2D3B">
            <w:pPr>
              <w:pStyle w:val="TableParagraph"/>
              <w:ind w:left="158" w:right="154"/>
              <w:rPr>
                <w:sz w:val="28"/>
              </w:rPr>
            </w:pPr>
            <w:r>
              <w:rPr>
                <w:sz w:val="28"/>
              </w:rPr>
              <w:t>55,0</w:t>
            </w:r>
          </w:p>
        </w:tc>
        <w:tc>
          <w:tcPr>
            <w:tcW w:w="709" w:type="dxa"/>
          </w:tcPr>
          <w:p w:rsidR="00B23B94" w:rsidRDefault="003B2D3B">
            <w:pPr>
              <w:pStyle w:val="TableParagraph"/>
              <w:ind w:right="205"/>
              <w:jc w:val="right"/>
              <w:rPr>
                <w:sz w:val="28"/>
              </w:rPr>
            </w:pPr>
            <w:r>
              <w:rPr>
                <w:sz w:val="28"/>
              </w:rPr>
              <w:t>69</w:t>
            </w:r>
          </w:p>
        </w:tc>
        <w:tc>
          <w:tcPr>
            <w:tcW w:w="817" w:type="dxa"/>
          </w:tcPr>
          <w:p w:rsidR="00B23B94" w:rsidRDefault="003B2D3B">
            <w:pPr>
              <w:pStyle w:val="TableParagraph"/>
              <w:ind w:left="140" w:right="137"/>
              <w:rPr>
                <w:sz w:val="28"/>
              </w:rPr>
            </w:pPr>
            <w:r>
              <w:rPr>
                <w:sz w:val="28"/>
              </w:rPr>
              <w:t>54,3</w:t>
            </w:r>
          </w:p>
        </w:tc>
      </w:tr>
      <w:tr w:rsidR="00B23B94">
        <w:trPr>
          <w:trHeight w:val="645"/>
        </w:trPr>
        <w:tc>
          <w:tcPr>
            <w:tcW w:w="4645" w:type="dxa"/>
          </w:tcPr>
          <w:p w:rsidR="00B23B94" w:rsidRDefault="003B2D3B">
            <w:pPr>
              <w:pStyle w:val="TableParagraph"/>
              <w:tabs>
                <w:tab w:val="left" w:pos="1797"/>
                <w:tab w:val="left" w:pos="2416"/>
                <w:tab w:val="left" w:pos="2877"/>
                <w:tab w:val="left" w:pos="4126"/>
              </w:tabs>
              <w:spacing w:before="3" w:line="322" w:lineRule="exact"/>
              <w:ind w:left="107" w:right="99"/>
              <w:jc w:val="left"/>
              <w:rPr>
                <w:sz w:val="28"/>
              </w:rPr>
            </w:pPr>
            <w:r>
              <w:rPr>
                <w:sz w:val="28"/>
              </w:rPr>
              <w:t>транзиторна</w:t>
            </w:r>
            <w:r>
              <w:rPr>
                <w:sz w:val="28"/>
              </w:rPr>
              <w:tab/>
              <w:t>ОН</w:t>
            </w:r>
            <w:r>
              <w:rPr>
                <w:sz w:val="28"/>
              </w:rPr>
              <w:tab/>
              <w:t>та</w:t>
            </w:r>
            <w:r>
              <w:rPr>
                <w:sz w:val="28"/>
              </w:rPr>
              <w:tab/>
              <w:t>локальні</w:t>
            </w:r>
            <w:r>
              <w:rPr>
                <w:sz w:val="28"/>
              </w:rPr>
              <w:tab/>
            </w:r>
            <w:r>
              <w:rPr>
                <w:spacing w:val="-7"/>
                <w:sz w:val="28"/>
              </w:rPr>
              <w:t xml:space="preserve">або </w:t>
            </w:r>
            <w:r>
              <w:rPr>
                <w:sz w:val="28"/>
              </w:rPr>
              <w:t>системні ускладнення</w:t>
            </w:r>
          </w:p>
        </w:tc>
        <w:tc>
          <w:tcPr>
            <w:tcW w:w="852" w:type="dxa"/>
          </w:tcPr>
          <w:p w:rsidR="00B23B94" w:rsidRDefault="003B2D3B">
            <w:pPr>
              <w:pStyle w:val="TableParagraph"/>
              <w:spacing w:before="81"/>
              <w:ind w:right="271"/>
              <w:jc w:val="right"/>
              <w:rPr>
                <w:sz w:val="28"/>
              </w:rPr>
            </w:pPr>
            <w:r>
              <w:rPr>
                <w:sz w:val="28"/>
              </w:rPr>
              <w:t>16</w:t>
            </w:r>
          </w:p>
        </w:tc>
        <w:tc>
          <w:tcPr>
            <w:tcW w:w="709" w:type="dxa"/>
          </w:tcPr>
          <w:p w:rsidR="00B23B94" w:rsidRDefault="003B2D3B">
            <w:pPr>
              <w:pStyle w:val="TableParagraph"/>
              <w:spacing w:before="81"/>
              <w:ind w:left="85" w:right="84"/>
              <w:rPr>
                <w:sz w:val="28"/>
              </w:rPr>
            </w:pPr>
            <w:r>
              <w:rPr>
                <w:sz w:val="28"/>
              </w:rPr>
              <w:t>34,1</w:t>
            </w:r>
          </w:p>
        </w:tc>
        <w:tc>
          <w:tcPr>
            <w:tcW w:w="992" w:type="dxa"/>
          </w:tcPr>
          <w:p w:rsidR="00B23B94" w:rsidRDefault="003B2D3B">
            <w:pPr>
              <w:pStyle w:val="TableParagraph"/>
              <w:spacing w:before="81"/>
              <w:ind w:left="6"/>
              <w:rPr>
                <w:sz w:val="28"/>
              </w:rPr>
            </w:pPr>
            <w:r>
              <w:rPr>
                <w:sz w:val="28"/>
              </w:rPr>
              <w:t>8</w:t>
            </w:r>
          </w:p>
        </w:tc>
        <w:tc>
          <w:tcPr>
            <w:tcW w:w="853" w:type="dxa"/>
          </w:tcPr>
          <w:p w:rsidR="00B23B94" w:rsidRDefault="003B2D3B">
            <w:pPr>
              <w:pStyle w:val="TableParagraph"/>
              <w:spacing w:before="81"/>
              <w:ind w:left="158" w:right="154"/>
              <w:rPr>
                <w:sz w:val="28"/>
              </w:rPr>
            </w:pPr>
            <w:r>
              <w:rPr>
                <w:sz w:val="28"/>
              </w:rPr>
              <w:t>36,4</w:t>
            </w:r>
          </w:p>
        </w:tc>
        <w:tc>
          <w:tcPr>
            <w:tcW w:w="709" w:type="dxa"/>
          </w:tcPr>
          <w:p w:rsidR="00B23B94" w:rsidRDefault="003B2D3B">
            <w:pPr>
              <w:pStyle w:val="TableParagraph"/>
              <w:spacing w:before="81"/>
              <w:ind w:right="205"/>
              <w:jc w:val="right"/>
              <w:rPr>
                <w:sz w:val="28"/>
              </w:rPr>
            </w:pPr>
            <w:r>
              <w:rPr>
                <w:sz w:val="28"/>
              </w:rPr>
              <w:t>24</w:t>
            </w:r>
          </w:p>
        </w:tc>
        <w:tc>
          <w:tcPr>
            <w:tcW w:w="817" w:type="dxa"/>
          </w:tcPr>
          <w:p w:rsidR="00B23B94" w:rsidRDefault="003B2D3B">
            <w:pPr>
              <w:pStyle w:val="TableParagraph"/>
              <w:spacing w:before="81"/>
              <w:ind w:left="140" w:right="137"/>
              <w:rPr>
                <w:sz w:val="28"/>
              </w:rPr>
            </w:pPr>
            <w:r>
              <w:rPr>
                <w:sz w:val="28"/>
              </w:rPr>
              <w:t>34,8</w:t>
            </w:r>
          </w:p>
        </w:tc>
      </w:tr>
      <w:tr w:rsidR="00B23B94">
        <w:trPr>
          <w:trHeight w:val="641"/>
        </w:trPr>
        <w:tc>
          <w:tcPr>
            <w:tcW w:w="4645" w:type="dxa"/>
          </w:tcPr>
          <w:p w:rsidR="00B23B94" w:rsidRDefault="003B2D3B">
            <w:pPr>
              <w:pStyle w:val="TableParagraph"/>
              <w:spacing w:before="2" w:line="322" w:lineRule="exact"/>
              <w:ind w:left="107"/>
              <w:jc w:val="left"/>
              <w:rPr>
                <w:sz w:val="28"/>
              </w:rPr>
            </w:pPr>
            <w:r>
              <w:rPr>
                <w:sz w:val="28"/>
              </w:rPr>
              <w:t>локальні або системні ускладнення без ОН</w:t>
            </w:r>
          </w:p>
        </w:tc>
        <w:tc>
          <w:tcPr>
            <w:tcW w:w="852" w:type="dxa"/>
          </w:tcPr>
          <w:p w:rsidR="00B23B94" w:rsidRDefault="003B2D3B">
            <w:pPr>
              <w:pStyle w:val="TableParagraph"/>
              <w:spacing w:before="78"/>
              <w:ind w:right="271"/>
              <w:jc w:val="right"/>
              <w:rPr>
                <w:sz w:val="28"/>
              </w:rPr>
            </w:pPr>
            <w:r>
              <w:rPr>
                <w:sz w:val="28"/>
              </w:rPr>
              <w:t>31</w:t>
            </w:r>
          </w:p>
        </w:tc>
        <w:tc>
          <w:tcPr>
            <w:tcW w:w="709" w:type="dxa"/>
          </w:tcPr>
          <w:p w:rsidR="00B23B94" w:rsidRDefault="003B2D3B">
            <w:pPr>
              <w:pStyle w:val="TableParagraph"/>
              <w:spacing w:before="78"/>
              <w:ind w:left="85" w:right="84"/>
              <w:rPr>
                <w:sz w:val="28"/>
              </w:rPr>
            </w:pPr>
            <w:r>
              <w:rPr>
                <w:sz w:val="28"/>
              </w:rPr>
              <w:t>65,9</w:t>
            </w:r>
          </w:p>
        </w:tc>
        <w:tc>
          <w:tcPr>
            <w:tcW w:w="992" w:type="dxa"/>
          </w:tcPr>
          <w:p w:rsidR="00B23B94" w:rsidRDefault="003B2D3B">
            <w:pPr>
              <w:pStyle w:val="TableParagraph"/>
              <w:spacing w:before="78"/>
              <w:ind w:left="228" w:right="218"/>
              <w:rPr>
                <w:sz w:val="28"/>
              </w:rPr>
            </w:pPr>
            <w:r>
              <w:rPr>
                <w:sz w:val="28"/>
              </w:rPr>
              <w:t>14</w:t>
            </w:r>
          </w:p>
        </w:tc>
        <w:tc>
          <w:tcPr>
            <w:tcW w:w="853" w:type="dxa"/>
          </w:tcPr>
          <w:p w:rsidR="00B23B94" w:rsidRDefault="003B2D3B">
            <w:pPr>
              <w:pStyle w:val="TableParagraph"/>
              <w:spacing w:before="78"/>
              <w:ind w:left="158" w:right="154"/>
              <w:rPr>
                <w:sz w:val="28"/>
              </w:rPr>
            </w:pPr>
            <w:r>
              <w:rPr>
                <w:sz w:val="28"/>
              </w:rPr>
              <w:t>63,6</w:t>
            </w:r>
          </w:p>
        </w:tc>
        <w:tc>
          <w:tcPr>
            <w:tcW w:w="709" w:type="dxa"/>
          </w:tcPr>
          <w:p w:rsidR="00B23B94" w:rsidRDefault="003B2D3B">
            <w:pPr>
              <w:pStyle w:val="TableParagraph"/>
              <w:spacing w:before="78"/>
              <w:ind w:right="205"/>
              <w:jc w:val="right"/>
              <w:rPr>
                <w:sz w:val="28"/>
              </w:rPr>
            </w:pPr>
            <w:r>
              <w:rPr>
                <w:sz w:val="28"/>
              </w:rPr>
              <w:t>45</w:t>
            </w:r>
          </w:p>
        </w:tc>
        <w:tc>
          <w:tcPr>
            <w:tcW w:w="817" w:type="dxa"/>
          </w:tcPr>
          <w:p w:rsidR="00B23B94" w:rsidRDefault="003B2D3B">
            <w:pPr>
              <w:pStyle w:val="TableParagraph"/>
              <w:spacing w:before="78"/>
              <w:ind w:left="140" w:right="137"/>
              <w:rPr>
                <w:sz w:val="28"/>
              </w:rPr>
            </w:pPr>
            <w:r>
              <w:rPr>
                <w:sz w:val="28"/>
              </w:rPr>
              <w:t>65,2</w:t>
            </w:r>
          </w:p>
        </w:tc>
      </w:tr>
      <w:tr w:rsidR="00B23B94">
        <w:trPr>
          <w:trHeight w:val="478"/>
        </w:trPr>
        <w:tc>
          <w:tcPr>
            <w:tcW w:w="4645" w:type="dxa"/>
          </w:tcPr>
          <w:p w:rsidR="00B23B94" w:rsidRDefault="003B2D3B">
            <w:pPr>
              <w:pStyle w:val="TableParagraph"/>
              <w:spacing w:before="77"/>
              <w:ind w:left="1803" w:right="1794"/>
              <w:rPr>
                <w:sz w:val="28"/>
              </w:rPr>
            </w:pPr>
            <w:r>
              <w:rPr>
                <w:sz w:val="28"/>
              </w:rPr>
              <w:t>Тяжка</w:t>
            </w:r>
          </w:p>
        </w:tc>
        <w:tc>
          <w:tcPr>
            <w:tcW w:w="852" w:type="dxa"/>
          </w:tcPr>
          <w:p w:rsidR="00B23B94" w:rsidRDefault="003B2D3B">
            <w:pPr>
              <w:pStyle w:val="TableParagraph"/>
              <w:spacing w:line="318" w:lineRule="exact"/>
              <w:ind w:right="271"/>
              <w:jc w:val="right"/>
              <w:rPr>
                <w:sz w:val="28"/>
              </w:rPr>
            </w:pPr>
            <w:r>
              <w:rPr>
                <w:sz w:val="28"/>
              </w:rPr>
              <w:t>40</w:t>
            </w:r>
          </w:p>
        </w:tc>
        <w:tc>
          <w:tcPr>
            <w:tcW w:w="709" w:type="dxa"/>
          </w:tcPr>
          <w:p w:rsidR="00B23B94" w:rsidRDefault="003B2D3B">
            <w:pPr>
              <w:pStyle w:val="TableParagraph"/>
              <w:spacing w:line="318" w:lineRule="exact"/>
              <w:ind w:left="85" w:right="84"/>
              <w:rPr>
                <w:sz w:val="28"/>
              </w:rPr>
            </w:pPr>
            <w:r>
              <w:rPr>
                <w:sz w:val="28"/>
              </w:rPr>
              <w:t>46,0</w:t>
            </w:r>
          </w:p>
        </w:tc>
        <w:tc>
          <w:tcPr>
            <w:tcW w:w="992" w:type="dxa"/>
          </w:tcPr>
          <w:p w:rsidR="00B23B94" w:rsidRDefault="003B2D3B">
            <w:pPr>
              <w:pStyle w:val="TableParagraph"/>
              <w:spacing w:line="318" w:lineRule="exact"/>
              <w:ind w:left="228" w:right="218"/>
              <w:rPr>
                <w:sz w:val="28"/>
              </w:rPr>
            </w:pPr>
            <w:r>
              <w:rPr>
                <w:sz w:val="28"/>
              </w:rPr>
              <w:t>18</w:t>
            </w:r>
          </w:p>
        </w:tc>
        <w:tc>
          <w:tcPr>
            <w:tcW w:w="853" w:type="dxa"/>
          </w:tcPr>
          <w:p w:rsidR="00B23B94" w:rsidRDefault="003B2D3B">
            <w:pPr>
              <w:pStyle w:val="TableParagraph"/>
              <w:spacing w:line="318" w:lineRule="exact"/>
              <w:ind w:left="158" w:right="154"/>
              <w:rPr>
                <w:sz w:val="28"/>
              </w:rPr>
            </w:pPr>
            <w:r>
              <w:rPr>
                <w:sz w:val="28"/>
              </w:rPr>
              <w:t>45,0</w:t>
            </w:r>
          </w:p>
        </w:tc>
        <w:tc>
          <w:tcPr>
            <w:tcW w:w="709" w:type="dxa"/>
          </w:tcPr>
          <w:p w:rsidR="00B23B94" w:rsidRDefault="003B2D3B">
            <w:pPr>
              <w:pStyle w:val="TableParagraph"/>
              <w:spacing w:line="318" w:lineRule="exact"/>
              <w:ind w:right="205"/>
              <w:jc w:val="right"/>
              <w:rPr>
                <w:sz w:val="28"/>
              </w:rPr>
            </w:pPr>
            <w:r>
              <w:rPr>
                <w:sz w:val="28"/>
              </w:rPr>
              <w:t>58</w:t>
            </w:r>
          </w:p>
        </w:tc>
        <w:tc>
          <w:tcPr>
            <w:tcW w:w="817" w:type="dxa"/>
          </w:tcPr>
          <w:p w:rsidR="00B23B94" w:rsidRDefault="003B2D3B">
            <w:pPr>
              <w:pStyle w:val="TableParagraph"/>
              <w:spacing w:line="318" w:lineRule="exact"/>
              <w:ind w:left="140" w:right="137"/>
              <w:rPr>
                <w:sz w:val="28"/>
              </w:rPr>
            </w:pPr>
            <w:r>
              <w:rPr>
                <w:sz w:val="28"/>
              </w:rPr>
              <w:t>45,6</w:t>
            </w:r>
          </w:p>
        </w:tc>
      </w:tr>
      <w:tr w:rsidR="00B23B94">
        <w:trPr>
          <w:trHeight w:val="645"/>
        </w:trPr>
        <w:tc>
          <w:tcPr>
            <w:tcW w:w="4645" w:type="dxa"/>
          </w:tcPr>
          <w:p w:rsidR="00B23B94" w:rsidRDefault="003B2D3B">
            <w:pPr>
              <w:pStyle w:val="TableParagraph"/>
              <w:spacing w:before="6" w:line="322" w:lineRule="exact"/>
              <w:ind w:left="107" w:right="1799"/>
              <w:jc w:val="left"/>
              <w:rPr>
                <w:sz w:val="28"/>
              </w:rPr>
            </w:pPr>
            <w:r>
              <w:rPr>
                <w:sz w:val="28"/>
              </w:rPr>
              <w:t>персистентна ОН (одна система органів)</w:t>
            </w:r>
          </w:p>
        </w:tc>
        <w:tc>
          <w:tcPr>
            <w:tcW w:w="852" w:type="dxa"/>
          </w:tcPr>
          <w:p w:rsidR="00B23B94" w:rsidRDefault="003B2D3B">
            <w:pPr>
              <w:pStyle w:val="TableParagraph"/>
              <w:spacing w:before="81"/>
              <w:ind w:right="271"/>
              <w:jc w:val="right"/>
              <w:rPr>
                <w:sz w:val="28"/>
              </w:rPr>
            </w:pPr>
            <w:r>
              <w:rPr>
                <w:sz w:val="28"/>
              </w:rPr>
              <w:t>11</w:t>
            </w:r>
          </w:p>
        </w:tc>
        <w:tc>
          <w:tcPr>
            <w:tcW w:w="709" w:type="dxa"/>
          </w:tcPr>
          <w:p w:rsidR="00B23B94" w:rsidRDefault="003B2D3B">
            <w:pPr>
              <w:pStyle w:val="TableParagraph"/>
              <w:spacing w:before="81"/>
              <w:ind w:left="85" w:right="84"/>
              <w:rPr>
                <w:sz w:val="28"/>
              </w:rPr>
            </w:pPr>
            <w:r>
              <w:rPr>
                <w:sz w:val="28"/>
              </w:rPr>
              <w:t>27,5</w:t>
            </w:r>
          </w:p>
        </w:tc>
        <w:tc>
          <w:tcPr>
            <w:tcW w:w="992" w:type="dxa"/>
          </w:tcPr>
          <w:p w:rsidR="00B23B94" w:rsidRDefault="003B2D3B">
            <w:pPr>
              <w:pStyle w:val="TableParagraph"/>
              <w:spacing w:before="81"/>
              <w:ind w:left="6"/>
              <w:rPr>
                <w:sz w:val="28"/>
              </w:rPr>
            </w:pPr>
            <w:r>
              <w:rPr>
                <w:sz w:val="28"/>
              </w:rPr>
              <w:t>7</w:t>
            </w:r>
          </w:p>
        </w:tc>
        <w:tc>
          <w:tcPr>
            <w:tcW w:w="853" w:type="dxa"/>
          </w:tcPr>
          <w:p w:rsidR="00B23B94" w:rsidRDefault="003B2D3B">
            <w:pPr>
              <w:pStyle w:val="TableParagraph"/>
              <w:spacing w:before="81"/>
              <w:ind w:left="158" w:right="154"/>
              <w:rPr>
                <w:sz w:val="28"/>
              </w:rPr>
            </w:pPr>
            <w:r>
              <w:rPr>
                <w:sz w:val="28"/>
              </w:rPr>
              <w:t>38,9</w:t>
            </w:r>
          </w:p>
        </w:tc>
        <w:tc>
          <w:tcPr>
            <w:tcW w:w="709" w:type="dxa"/>
          </w:tcPr>
          <w:p w:rsidR="00B23B94" w:rsidRDefault="003B2D3B">
            <w:pPr>
              <w:pStyle w:val="TableParagraph"/>
              <w:spacing w:before="81"/>
              <w:ind w:right="205"/>
              <w:jc w:val="right"/>
              <w:rPr>
                <w:sz w:val="28"/>
              </w:rPr>
            </w:pPr>
            <w:r>
              <w:rPr>
                <w:sz w:val="28"/>
              </w:rPr>
              <w:t>18</w:t>
            </w:r>
          </w:p>
        </w:tc>
        <w:tc>
          <w:tcPr>
            <w:tcW w:w="817" w:type="dxa"/>
          </w:tcPr>
          <w:p w:rsidR="00B23B94" w:rsidRDefault="003B2D3B">
            <w:pPr>
              <w:pStyle w:val="TableParagraph"/>
              <w:spacing w:before="81"/>
              <w:ind w:left="140" w:right="137"/>
              <w:rPr>
                <w:sz w:val="28"/>
              </w:rPr>
            </w:pPr>
            <w:r>
              <w:rPr>
                <w:sz w:val="28"/>
              </w:rPr>
              <w:t>31,1</w:t>
            </w:r>
          </w:p>
        </w:tc>
      </w:tr>
      <w:tr w:rsidR="00B23B94">
        <w:trPr>
          <w:trHeight w:val="637"/>
        </w:trPr>
        <w:tc>
          <w:tcPr>
            <w:tcW w:w="4645" w:type="dxa"/>
          </w:tcPr>
          <w:p w:rsidR="00B23B94" w:rsidRDefault="003B2D3B">
            <w:pPr>
              <w:pStyle w:val="TableParagraph"/>
              <w:spacing w:line="317" w:lineRule="exact"/>
              <w:ind w:left="107"/>
              <w:jc w:val="left"/>
              <w:rPr>
                <w:sz w:val="28"/>
              </w:rPr>
            </w:pPr>
            <w:r>
              <w:rPr>
                <w:sz w:val="28"/>
              </w:rPr>
              <w:t>персистентна ОН</w:t>
            </w:r>
          </w:p>
          <w:p w:rsidR="00B23B94" w:rsidRDefault="003B2D3B">
            <w:pPr>
              <w:pStyle w:val="TableParagraph"/>
              <w:spacing w:line="301" w:lineRule="exact"/>
              <w:ind w:left="107"/>
              <w:jc w:val="left"/>
              <w:rPr>
                <w:sz w:val="28"/>
              </w:rPr>
            </w:pPr>
            <w:r>
              <w:rPr>
                <w:sz w:val="28"/>
              </w:rPr>
              <w:t>(множинна органна дисфункція)</w:t>
            </w:r>
          </w:p>
        </w:tc>
        <w:tc>
          <w:tcPr>
            <w:tcW w:w="852" w:type="dxa"/>
          </w:tcPr>
          <w:p w:rsidR="00B23B94" w:rsidRDefault="003B2D3B">
            <w:pPr>
              <w:pStyle w:val="TableParagraph"/>
              <w:spacing w:before="76"/>
              <w:ind w:right="271"/>
              <w:jc w:val="right"/>
              <w:rPr>
                <w:sz w:val="28"/>
              </w:rPr>
            </w:pPr>
            <w:r>
              <w:rPr>
                <w:sz w:val="28"/>
              </w:rPr>
              <w:t>29</w:t>
            </w:r>
          </w:p>
        </w:tc>
        <w:tc>
          <w:tcPr>
            <w:tcW w:w="709" w:type="dxa"/>
          </w:tcPr>
          <w:p w:rsidR="00B23B94" w:rsidRDefault="003B2D3B">
            <w:pPr>
              <w:pStyle w:val="TableParagraph"/>
              <w:spacing w:before="76"/>
              <w:ind w:left="85" w:right="84"/>
              <w:rPr>
                <w:sz w:val="28"/>
              </w:rPr>
            </w:pPr>
            <w:r>
              <w:rPr>
                <w:sz w:val="28"/>
              </w:rPr>
              <w:t>72,5</w:t>
            </w:r>
          </w:p>
        </w:tc>
        <w:tc>
          <w:tcPr>
            <w:tcW w:w="992" w:type="dxa"/>
          </w:tcPr>
          <w:p w:rsidR="00B23B94" w:rsidRDefault="003B2D3B">
            <w:pPr>
              <w:pStyle w:val="TableParagraph"/>
              <w:spacing w:before="76"/>
              <w:ind w:left="228" w:right="218"/>
              <w:rPr>
                <w:sz w:val="28"/>
              </w:rPr>
            </w:pPr>
            <w:r>
              <w:rPr>
                <w:sz w:val="28"/>
              </w:rPr>
              <w:t>11</w:t>
            </w:r>
          </w:p>
        </w:tc>
        <w:tc>
          <w:tcPr>
            <w:tcW w:w="853" w:type="dxa"/>
          </w:tcPr>
          <w:p w:rsidR="00B23B94" w:rsidRDefault="003B2D3B">
            <w:pPr>
              <w:pStyle w:val="TableParagraph"/>
              <w:spacing w:before="76"/>
              <w:ind w:left="158" w:right="154"/>
              <w:rPr>
                <w:sz w:val="28"/>
              </w:rPr>
            </w:pPr>
            <w:r>
              <w:rPr>
                <w:sz w:val="28"/>
              </w:rPr>
              <w:t>61,1</w:t>
            </w:r>
          </w:p>
        </w:tc>
        <w:tc>
          <w:tcPr>
            <w:tcW w:w="709" w:type="dxa"/>
          </w:tcPr>
          <w:p w:rsidR="00B23B94" w:rsidRDefault="003B2D3B">
            <w:pPr>
              <w:pStyle w:val="TableParagraph"/>
              <w:spacing w:before="76"/>
              <w:ind w:right="205"/>
              <w:jc w:val="right"/>
              <w:rPr>
                <w:sz w:val="28"/>
              </w:rPr>
            </w:pPr>
            <w:r>
              <w:rPr>
                <w:sz w:val="28"/>
              </w:rPr>
              <w:t>40</w:t>
            </w:r>
          </w:p>
        </w:tc>
        <w:tc>
          <w:tcPr>
            <w:tcW w:w="817" w:type="dxa"/>
          </w:tcPr>
          <w:p w:rsidR="00B23B94" w:rsidRDefault="003B2D3B">
            <w:pPr>
              <w:pStyle w:val="TableParagraph"/>
              <w:spacing w:before="76"/>
              <w:ind w:left="140" w:right="137"/>
              <w:rPr>
                <w:sz w:val="28"/>
              </w:rPr>
            </w:pPr>
            <w:r>
              <w:rPr>
                <w:sz w:val="28"/>
              </w:rPr>
              <w:t>68,9</w:t>
            </w:r>
          </w:p>
        </w:tc>
      </w:tr>
      <w:tr w:rsidR="00B23B94">
        <w:trPr>
          <w:trHeight w:val="484"/>
        </w:trPr>
        <w:tc>
          <w:tcPr>
            <w:tcW w:w="4645" w:type="dxa"/>
          </w:tcPr>
          <w:p w:rsidR="00B23B94" w:rsidRDefault="003B2D3B">
            <w:pPr>
              <w:pStyle w:val="TableParagraph"/>
              <w:spacing w:before="81"/>
              <w:ind w:left="107"/>
              <w:jc w:val="left"/>
              <w:rPr>
                <w:sz w:val="28"/>
              </w:rPr>
            </w:pPr>
            <w:r>
              <w:rPr>
                <w:sz w:val="28"/>
              </w:rPr>
              <w:t>Разом</w:t>
            </w:r>
          </w:p>
        </w:tc>
        <w:tc>
          <w:tcPr>
            <w:tcW w:w="852" w:type="dxa"/>
          </w:tcPr>
          <w:p w:rsidR="00B23B94" w:rsidRDefault="003B2D3B">
            <w:pPr>
              <w:pStyle w:val="TableParagraph"/>
              <w:spacing w:before="2"/>
              <w:ind w:right="271"/>
              <w:jc w:val="right"/>
              <w:rPr>
                <w:sz w:val="28"/>
              </w:rPr>
            </w:pPr>
            <w:r>
              <w:rPr>
                <w:sz w:val="28"/>
              </w:rPr>
              <w:t>87</w:t>
            </w:r>
          </w:p>
        </w:tc>
        <w:tc>
          <w:tcPr>
            <w:tcW w:w="709" w:type="dxa"/>
          </w:tcPr>
          <w:p w:rsidR="00B23B94" w:rsidRDefault="003B2D3B">
            <w:pPr>
              <w:pStyle w:val="TableParagraph"/>
              <w:spacing w:before="2"/>
              <w:ind w:left="85" w:right="81"/>
              <w:rPr>
                <w:sz w:val="28"/>
              </w:rPr>
            </w:pPr>
            <w:r>
              <w:rPr>
                <w:sz w:val="28"/>
              </w:rPr>
              <w:t>100</w:t>
            </w:r>
          </w:p>
        </w:tc>
        <w:tc>
          <w:tcPr>
            <w:tcW w:w="992" w:type="dxa"/>
          </w:tcPr>
          <w:p w:rsidR="00B23B94" w:rsidRDefault="003B2D3B">
            <w:pPr>
              <w:pStyle w:val="TableParagraph"/>
              <w:spacing w:before="2"/>
              <w:ind w:left="228" w:right="218"/>
              <w:rPr>
                <w:sz w:val="28"/>
              </w:rPr>
            </w:pPr>
            <w:r>
              <w:rPr>
                <w:sz w:val="28"/>
              </w:rPr>
              <w:t>40</w:t>
            </w:r>
          </w:p>
        </w:tc>
        <w:tc>
          <w:tcPr>
            <w:tcW w:w="853" w:type="dxa"/>
          </w:tcPr>
          <w:p w:rsidR="00B23B94" w:rsidRDefault="003B2D3B">
            <w:pPr>
              <w:pStyle w:val="TableParagraph"/>
              <w:spacing w:before="2"/>
              <w:ind w:left="156" w:right="154"/>
              <w:rPr>
                <w:sz w:val="28"/>
              </w:rPr>
            </w:pPr>
            <w:r>
              <w:rPr>
                <w:sz w:val="28"/>
              </w:rPr>
              <w:t>100</w:t>
            </w:r>
          </w:p>
        </w:tc>
        <w:tc>
          <w:tcPr>
            <w:tcW w:w="709" w:type="dxa"/>
          </w:tcPr>
          <w:p w:rsidR="00B23B94" w:rsidRDefault="003B2D3B">
            <w:pPr>
              <w:pStyle w:val="TableParagraph"/>
              <w:spacing w:before="2"/>
              <w:ind w:right="136"/>
              <w:jc w:val="right"/>
              <w:rPr>
                <w:sz w:val="28"/>
              </w:rPr>
            </w:pPr>
            <w:r>
              <w:rPr>
                <w:sz w:val="28"/>
              </w:rPr>
              <w:t>127</w:t>
            </w:r>
          </w:p>
        </w:tc>
        <w:tc>
          <w:tcPr>
            <w:tcW w:w="817" w:type="dxa"/>
          </w:tcPr>
          <w:p w:rsidR="00B23B94" w:rsidRDefault="003B2D3B">
            <w:pPr>
              <w:pStyle w:val="TableParagraph"/>
              <w:spacing w:before="2"/>
              <w:ind w:left="138" w:right="137"/>
              <w:rPr>
                <w:sz w:val="28"/>
              </w:rPr>
            </w:pPr>
            <w:r>
              <w:rPr>
                <w:sz w:val="28"/>
              </w:rPr>
              <w:t>100</w:t>
            </w:r>
          </w:p>
        </w:tc>
      </w:tr>
    </w:tbl>
    <w:p w:rsidR="00B23B94" w:rsidRDefault="00B23B94">
      <w:pPr>
        <w:pStyle w:val="a3"/>
        <w:ind w:left="0"/>
        <w:jc w:val="left"/>
        <w:rPr>
          <w:b/>
          <w:sz w:val="20"/>
        </w:rPr>
      </w:pPr>
    </w:p>
    <w:p w:rsidR="00B23B94" w:rsidRDefault="003B2D3B">
      <w:pPr>
        <w:spacing w:before="252" w:line="360" w:lineRule="auto"/>
        <w:ind w:left="222" w:right="310" w:firstLine="707"/>
        <w:jc w:val="both"/>
        <w:rPr>
          <w:i/>
          <w:sz w:val="28"/>
        </w:rPr>
      </w:pPr>
      <w:r>
        <w:rPr>
          <w:i/>
          <w:sz w:val="28"/>
        </w:rPr>
        <w:t>Примітка: статистично значимої різниці між групами хворих виявлено не було</w:t>
      </w:r>
      <w:r>
        <w:rPr>
          <w:i/>
          <w:spacing w:val="-3"/>
          <w:sz w:val="28"/>
        </w:rPr>
        <w:t xml:space="preserve"> </w:t>
      </w:r>
      <w:r>
        <w:rPr>
          <w:i/>
          <w:sz w:val="28"/>
        </w:rPr>
        <w:t>(р&gt;0,05).</w:t>
      </w:r>
    </w:p>
    <w:p w:rsidR="00B23B94" w:rsidRDefault="003B2D3B">
      <w:pPr>
        <w:pStyle w:val="a3"/>
        <w:spacing w:before="2" w:line="360" w:lineRule="auto"/>
        <w:ind w:right="306" w:firstLine="707"/>
      </w:pPr>
      <w:r>
        <w:t>В групі порівняння, 16 (34,1%) хворих мали транзиторну ОН з локальними чи системними ускладненнями, 31 (65,9%) локальні чи системні ускладнення протікали без ОН. У 40 (46,0%) хворих перебіг гострого панкретиту був тяжкий. Персистуюча органна недостатність обмежувалася однією системою органів у 11 (27,5%) хворих, поліорганна недостатність виявлено у 29 (72,5%) хворих відповідно.</w:t>
      </w:r>
    </w:p>
    <w:p w:rsidR="00B23B94" w:rsidRDefault="003B2D3B">
      <w:pPr>
        <w:pStyle w:val="a3"/>
        <w:spacing w:line="360" w:lineRule="auto"/>
        <w:ind w:right="305" w:firstLine="707"/>
      </w:pPr>
      <w:r>
        <w:t>Наявність поліорганної недостатності констатували за шкалою Marshal (модифікація 2012 року).</w:t>
      </w:r>
    </w:p>
    <w:p w:rsidR="00B23B94" w:rsidRDefault="003B2D3B">
      <w:pPr>
        <w:pStyle w:val="a3"/>
        <w:spacing w:line="362" w:lineRule="auto"/>
        <w:ind w:right="311" w:firstLine="707"/>
      </w:pPr>
      <w:r>
        <w:t>Тяжкість стану пацієнтів при госпіталізації в стаціонар оцінювали за шкалою BISAP (The Bedside Index Severe Acute Pancreatitis) (табл. 2.7).</w:t>
      </w:r>
    </w:p>
    <w:p w:rsidR="00B23B94" w:rsidRDefault="00B23B94">
      <w:pPr>
        <w:spacing w:line="362" w:lineRule="auto"/>
        <w:sectPr w:rsidR="00B23B94">
          <w:pgSz w:w="11910" w:h="16840"/>
          <w:pgMar w:top="1040" w:right="540" w:bottom="280" w:left="1480" w:header="719" w:footer="0" w:gutter="0"/>
          <w:cols w:space="720"/>
        </w:sectPr>
      </w:pPr>
    </w:p>
    <w:p w:rsidR="00B23B94" w:rsidRDefault="003B2D3B">
      <w:pPr>
        <w:spacing w:before="79"/>
        <w:ind w:right="304"/>
        <w:jc w:val="right"/>
        <w:rPr>
          <w:i/>
          <w:sz w:val="28"/>
        </w:rPr>
      </w:pPr>
      <w:r>
        <w:rPr>
          <w:i/>
          <w:sz w:val="28"/>
        </w:rPr>
        <w:lastRenderedPageBreak/>
        <w:t>Таблиця 2.7</w:t>
      </w:r>
    </w:p>
    <w:p w:rsidR="00B23B94" w:rsidRDefault="003B2D3B">
      <w:pPr>
        <w:pStyle w:val="1"/>
        <w:spacing w:before="163"/>
        <w:ind w:right="56"/>
        <w:jc w:val="center"/>
      </w:pPr>
      <w:r>
        <w:t>Оцінка тяжкості стану хворих за шкалою BISAP.</w:t>
      </w:r>
    </w:p>
    <w:p w:rsidR="00B23B94" w:rsidRDefault="00B23B94">
      <w:pPr>
        <w:pStyle w:val="a3"/>
        <w:spacing w:before="10"/>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50"/>
        <w:gridCol w:w="1086"/>
        <w:gridCol w:w="929"/>
        <w:gridCol w:w="1088"/>
        <w:gridCol w:w="932"/>
      </w:tblGrid>
      <w:tr w:rsidR="00B23B94">
        <w:trPr>
          <w:trHeight w:val="481"/>
        </w:trPr>
        <w:tc>
          <w:tcPr>
            <w:tcW w:w="5550" w:type="dxa"/>
            <w:vMerge w:val="restart"/>
          </w:tcPr>
          <w:p w:rsidR="00B23B94" w:rsidRDefault="00B23B94">
            <w:pPr>
              <w:pStyle w:val="TableParagraph"/>
              <w:spacing w:before="10"/>
              <w:jc w:val="left"/>
              <w:rPr>
                <w:b/>
                <w:sz w:val="41"/>
              </w:rPr>
            </w:pPr>
          </w:p>
          <w:p w:rsidR="00B23B94" w:rsidRDefault="003B2D3B">
            <w:pPr>
              <w:pStyle w:val="TableParagraph"/>
              <w:spacing w:before="1"/>
              <w:ind w:left="107"/>
              <w:jc w:val="left"/>
              <w:rPr>
                <w:b/>
                <w:sz w:val="28"/>
              </w:rPr>
            </w:pPr>
            <w:r>
              <w:rPr>
                <w:b/>
                <w:sz w:val="28"/>
              </w:rPr>
              <w:t>Показник</w:t>
            </w:r>
          </w:p>
        </w:tc>
        <w:tc>
          <w:tcPr>
            <w:tcW w:w="4035" w:type="dxa"/>
            <w:gridSpan w:val="4"/>
          </w:tcPr>
          <w:p w:rsidR="00B23B94" w:rsidRDefault="003B2D3B">
            <w:pPr>
              <w:pStyle w:val="TableParagraph"/>
              <w:ind w:left="1135"/>
              <w:jc w:val="left"/>
              <w:rPr>
                <w:b/>
                <w:sz w:val="28"/>
              </w:rPr>
            </w:pPr>
            <w:r>
              <w:rPr>
                <w:b/>
                <w:sz w:val="28"/>
              </w:rPr>
              <w:t>Групи хворих</w:t>
            </w:r>
          </w:p>
        </w:tc>
      </w:tr>
      <w:tr w:rsidR="00B23B94">
        <w:trPr>
          <w:trHeight w:val="498"/>
        </w:trPr>
        <w:tc>
          <w:tcPr>
            <w:tcW w:w="5550" w:type="dxa"/>
            <w:vMerge/>
            <w:tcBorders>
              <w:top w:val="nil"/>
            </w:tcBorders>
          </w:tcPr>
          <w:p w:rsidR="00B23B94" w:rsidRDefault="00B23B94">
            <w:pPr>
              <w:rPr>
                <w:sz w:val="2"/>
                <w:szCs w:val="2"/>
              </w:rPr>
            </w:pPr>
          </w:p>
        </w:tc>
        <w:tc>
          <w:tcPr>
            <w:tcW w:w="2015" w:type="dxa"/>
            <w:gridSpan w:val="2"/>
          </w:tcPr>
          <w:p w:rsidR="00B23B94" w:rsidRDefault="003B2D3B">
            <w:pPr>
              <w:pStyle w:val="TableParagraph"/>
              <w:spacing w:before="9"/>
              <w:ind w:left="268"/>
              <w:jc w:val="left"/>
              <w:rPr>
                <w:b/>
                <w:sz w:val="28"/>
              </w:rPr>
            </w:pPr>
            <w:r>
              <w:rPr>
                <w:b/>
                <w:sz w:val="28"/>
              </w:rPr>
              <w:t>порівняння</w:t>
            </w:r>
          </w:p>
        </w:tc>
        <w:tc>
          <w:tcPr>
            <w:tcW w:w="2020" w:type="dxa"/>
            <w:gridSpan w:val="2"/>
          </w:tcPr>
          <w:p w:rsidR="00B23B94" w:rsidRDefault="003B2D3B">
            <w:pPr>
              <w:pStyle w:val="TableParagraph"/>
              <w:spacing w:before="9"/>
              <w:ind w:left="497"/>
              <w:jc w:val="left"/>
              <w:rPr>
                <w:b/>
                <w:sz w:val="28"/>
              </w:rPr>
            </w:pPr>
            <w:r>
              <w:rPr>
                <w:b/>
                <w:sz w:val="28"/>
              </w:rPr>
              <w:t>основна</w:t>
            </w:r>
          </w:p>
        </w:tc>
      </w:tr>
      <w:tr w:rsidR="00B23B94">
        <w:trPr>
          <w:trHeight w:val="422"/>
        </w:trPr>
        <w:tc>
          <w:tcPr>
            <w:tcW w:w="5550" w:type="dxa"/>
            <w:vMerge/>
            <w:tcBorders>
              <w:top w:val="nil"/>
            </w:tcBorders>
          </w:tcPr>
          <w:p w:rsidR="00B23B94" w:rsidRDefault="00B23B94">
            <w:pPr>
              <w:rPr>
                <w:sz w:val="2"/>
                <w:szCs w:val="2"/>
              </w:rPr>
            </w:pPr>
          </w:p>
        </w:tc>
        <w:tc>
          <w:tcPr>
            <w:tcW w:w="1086" w:type="dxa"/>
          </w:tcPr>
          <w:p w:rsidR="00B23B94" w:rsidRDefault="003B2D3B">
            <w:pPr>
              <w:pStyle w:val="TableParagraph"/>
              <w:spacing w:before="3"/>
              <w:ind w:left="314" w:right="314"/>
              <w:rPr>
                <w:b/>
                <w:sz w:val="24"/>
              </w:rPr>
            </w:pPr>
            <w:r>
              <w:rPr>
                <w:b/>
                <w:sz w:val="24"/>
              </w:rPr>
              <w:t>абс.</w:t>
            </w:r>
          </w:p>
        </w:tc>
        <w:tc>
          <w:tcPr>
            <w:tcW w:w="929" w:type="dxa"/>
          </w:tcPr>
          <w:p w:rsidR="00B23B94" w:rsidRDefault="003B2D3B">
            <w:pPr>
              <w:pStyle w:val="TableParagraph"/>
              <w:spacing w:before="3"/>
              <w:rPr>
                <w:b/>
                <w:sz w:val="24"/>
              </w:rPr>
            </w:pPr>
            <w:r>
              <w:rPr>
                <w:b/>
                <w:sz w:val="24"/>
              </w:rPr>
              <w:t>%</w:t>
            </w:r>
          </w:p>
        </w:tc>
        <w:tc>
          <w:tcPr>
            <w:tcW w:w="1088" w:type="dxa"/>
          </w:tcPr>
          <w:p w:rsidR="00B23B94" w:rsidRDefault="003B2D3B">
            <w:pPr>
              <w:pStyle w:val="TableParagraph"/>
              <w:spacing w:before="3"/>
              <w:ind w:left="318" w:right="312"/>
              <w:rPr>
                <w:b/>
                <w:sz w:val="24"/>
              </w:rPr>
            </w:pPr>
            <w:r>
              <w:rPr>
                <w:b/>
                <w:sz w:val="24"/>
              </w:rPr>
              <w:t>абс.</w:t>
            </w:r>
          </w:p>
        </w:tc>
        <w:tc>
          <w:tcPr>
            <w:tcW w:w="932" w:type="dxa"/>
          </w:tcPr>
          <w:p w:rsidR="00B23B94" w:rsidRDefault="003B2D3B">
            <w:pPr>
              <w:pStyle w:val="TableParagraph"/>
              <w:spacing w:before="3"/>
              <w:ind w:left="5"/>
              <w:rPr>
                <w:b/>
                <w:sz w:val="24"/>
              </w:rPr>
            </w:pPr>
            <w:r>
              <w:rPr>
                <w:b/>
                <w:sz w:val="24"/>
              </w:rPr>
              <w:t>%</w:t>
            </w:r>
          </w:p>
        </w:tc>
      </w:tr>
      <w:tr w:rsidR="00B23B94">
        <w:trPr>
          <w:trHeight w:val="484"/>
        </w:trPr>
        <w:tc>
          <w:tcPr>
            <w:tcW w:w="5550" w:type="dxa"/>
          </w:tcPr>
          <w:p w:rsidR="00B23B94" w:rsidRDefault="003B2D3B">
            <w:pPr>
              <w:pStyle w:val="TableParagraph"/>
              <w:spacing w:before="2"/>
              <w:ind w:left="107"/>
              <w:jc w:val="left"/>
              <w:rPr>
                <w:sz w:val="28"/>
              </w:rPr>
            </w:pPr>
            <w:r>
              <w:rPr>
                <w:sz w:val="28"/>
              </w:rPr>
              <w:t>Рівень сечовини крові (&gt;8/9 ммоль/л)</w:t>
            </w:r>
          </w:p>
        </w:tc>
        <w:tc>
          <w:tcPr>
            <w:tcW w:w="1086" w:type="dxa"/>
          </w:tcPr>
          <w:p w:rsidR="00B23B94" w:rsidRDefault="003B2D3B">
            <w:pPr>
              <w:pStyle w:val="TableParagraph"/>
              <w:spacing w:before="2"/>
              <w:ind w:left="314" w:right="311"/>
              <w:rPr>
                <w:sz w:val="28"/>
              </w:rPr>
            </w:pPr>
            <w:r>
              <w:rPr>
                <w:sz w:val="28"/>
              </w:rPr>
              <w:t>28</w:t>
            </w:r>
          </w:p>
        </w:tc>
        <w:tc>
          <w:tcPr>
            <w:tcW w:w="929" w:type="dxa"/>
          </w:tcPr>
          <w:p w:rsidR="00B23B94" w:rsidRDefault="003B2D3B">
            <w:pPr>
              <w:pStyle w:val="TableParagraph"/>
              <w:spacing w:before="2"/>
              <w:ind w:left="194" w:right="194"/>
              <w:rPr>
                <w:sz w:val="28"/>
              </w:rPr>
            </w:pPr>
            <w:r>
              <w:rPr>
                <w:sz w:val="28"/>
              </w:rPr>
              <w:t>32,2</w:t>
            </w:r>
          </w:p>
        </w:tc>
        <w:tc>
          <w:tcPr>
            <w:tcW w:w="1088" w:type="dxa"/>
          </w:tcPr>
          <w:p w:rsidR="00B23B94" w:rsidRDefault="003B2D3B">
            <w:pPr>
              <w:pStyle w:val="TableParagraph"/>
              <w:spacing w:before="2"/>
              <w:ind w:left="318" w:right="309"/>
              <w:rPr>
                <w:sz w:val="28"/>
              </w:rPr>
            </w:pPr>
            <w:r>
              <w:rPr>
                <w:sz w:val="28"/>
              </w:rPr>
              <w:t>14</w:t>
            </w:r>
          </w:p>
        </w:tc>
        <w:tc>
          <w:tcPr>
            <w:tcW w:w="932" w:type="dxa"/>
          </w:tcPr>
          <w:p w:rsidR="00B23B94" w:rsidRDefault="003B2D3B">
            <w:pPr>
              <w:pStyle w:val="TableParagraph"/>
              <w:spacing w:before="2"/>
              <w:ind w:left="199" w:right="193"/>
              <w:rPr>
                <w:sz w:val="28"/>
              </w:rPr>
            </w:pPr>
            <w:r>
              <w:rPr>
                <w:sz w:val="28"/>
              </w:rPr>
              <w:t>35,0</w:t>
            </w:r>
          </w:p>
        </w:tc>
      </w:tr>
      <w:tr w:rsidR="00B23B94">
        <w:trPr>
          <w:trHeight w:val="481"/>
        </w:trPr>
        <w:tc>
          <w:tcPr>
            <w:tcW w:w="5550" w:type="dxa"/>
          </w:tcPr>
          <w:p w:rsidR="00B23B94" w:rsidRDefault="003B2D3B">
            <w:pPr>
              <w:pStyle w:val="TableParagraph"/>
              <w:ind w:left="107"/>
              <w:jc w:val="left"/>
              <w:rPr>
                <w:sz w:val="28"/>
              </w:rPr>
            </w:pPr>
            <w:r>
              <w:rPr>
                <w:sz w:val="28"/>
              </w:rPr>
              <w:t>Порушення ментального статусу</w:t>
            </w:r>
          </w:p>
        </w:tc>
        <w:tc>
          <w:tcPr>
            <w:tcW w:w="1086" w:type="dxa"/>
          </w:tcPr>
          <w:p w:rsidR="00B23B94" w:rsidRDefault="003B2D3B">
            <w:pPr>
              <w:pStyle w:val="TableParagraph"/>
              <w:ind w:left="314" w:right="311"/>
              <w:rPr>
                <w:sz w:val="28"/>
              </w:rPr>
            </w:pPr>
            <w:r>
              <w:rPr>
                <w:sz w:val="28"/>
              </w:rPr>
              <w:t>14</w:t>
            </w:r>
          </w:p>
        </w:tc>
        <w:tc>
          <w:tcPr>
            <w:tcW w:w="929" w:type="dxa"/>
          </w:tcPr>
          <w:p w:rsidR="00B23B94" w:rsidRDefault="003B2D3B">
            <w:pPr>
              <w:pStyle w:val="TableParagraph"/>
              <w:ind w:left="194" w:right="194"/>
              <w:rPr>
                <w:sz w:val="28"/>
              </w:rPr>
            </w:pPr>
            <w:r>
              <w:rPr>
                <w:sz w:val="28"/>
              </w:rPr>
              <w:t>16,1</w:t>
            </w:r>
          </w:p>
        </w:tc>
        <w:tc>
          <w:tcPr>
            <w:tcW w:w="1088" w:type="dxa"/>
          </w:tcPr>
          <w:p w:rsidR="00B23B94" w:rsidRDefault="003B2D3B">
            <w:pPr>
              <w:pStyle w:val="TableParagraph"/>
              <w:ind w:left="5"/>
              <w:rPr>
                <w:sz w:val="28"/>
              </w:rPr>
            </w:pPr>
            <w:r>
              <w:rPr>
                <w:sz w:val="28"/>
              </w:rPr>
              <w:t>7</w:t>
            </w:r>
          </w:p>
        </w:tc>
        <w:tc>
          <w:tcPr>
            <w:tcW w:w="932" w:type="dxa"/>
          </w:tcPr>
          <w:p w:rsidR="00B23B94" w:rsidRDefault="003B2D3B">
            <w:pPr>
              <w:pStyle w:val="TableParagraph"/>
              <w:ind w:left="199" w:right="193"/>
              <w:rPr>
                <w:sz w:val="28"/>
              </w:rPr>
            </w:pPr>
            <w:r>
              <w:rPr>
                <w:sz w:val="28"/>
              </w:rPr>
              <w:t>17,5</w:t>
            </w:r>
          </w:p>
        </w:tc>
      </w:tr>
      <w:tr w:rsidR="00B23B94">
        <w:trPr>
          <w:trHeight w:val="484"/>
        </w:trPr>
        <w:tc>
          <w:tcPr>
            <w:tcW w:w="5550" w:type="dxa"/>
          </w:tcPr>
          <w:p w:rsidR="00B23B94" w:rsidRDefault="003B2D3B">
            <w:pPr>
              <w:pStyle w:val="TableParagraph"/>
              <w:ind w:left="107"/>
              <w:jc w:val="left"/>
              <w:rPr>
                <w:sz w:val="28"/>
              </w:rPr>
            </w:pPr>
            <w:r>
              <w:rPr>
                <w:sz w:val="28"/>
              </w:rPr>
              <w:t>SIRS (2 і більше ознак)</w:t>
            </w:r>
          </w:p>
        </w:tc>
        <w:tc>
          <w:tcPr>
            <w:tcW w:w="1086" w:type="dxa"/>
          </w:tcPr>
          <w:p w:rsidR="00B23B94" w:rsidRDefault="003B2D3B">
            <w:pPr>
              <w:pStyle w:val="TableParagraph"/>
              <w:ind w:left="314" w:right="311"/>
              <w:rPr>
                <w:sz w:val="28"/>
              </w:rPr>
            </w:pPr>
            <w:r>
              <w:rPr>
                <w:sz w:val="28"/>
              </w:rPr>
              <w:t>26</w:t>
            </w:r>
          </w:p>
        </w:tc>
        <w:tc>
          <w:tcPr>
            <w:tcW w:w="929" w:type="dxa"/>
          </w:tcPr>
          <w:p w:rsidR="00B23B94" w:rsidRDefault="003B2D3B">
            <w:pPr>
              <w:pStyle w:val="TableParagraph"/>
              <w:ind w:left="194" w:right="194"/>
              <w:rPr>
                <w:sz w:val="28"/>
              </w:rPr>
            </w:pPr>
            <w:r>
              <w:rPr>
                <w:sz w:val="28"/>
              </w:rPr>
              <w:t>29,9</w:t>
            </w:r>
          </w:p>
        </w:tc>
        <w:tc>
          <w:tcPr>
            <w:tcW w:w="1088" w:type="dxa"/>
          </w:tcPr>
          <w:p w:rsidR="00B23B94" w:rsidRDefault="003B2D3B">
            <w:pPr>
              <w:pStyle w:val="TableParagraph"/>
              <w:ind w:left="318" w:right="309"/>
              <w:rPr>
                <w:sz w:val="28"/>
              </w:rPr>
            </w:pPr>
            <w:r>
              <w:rPr>
                <w:sz w:val="28"/>
              </w:rPr>
              <w:t>11</w:t>
            </w:r>
          </w:p>
        </w:tc>
        <w:tc>
          <w:tcPr>
            <w:tcW w:w="932" w:type="dxa"/>
          </w:tcPr>
          <w:p w:rsidR="00B23B94" w:rsidRDefault="003B2D3B">
            <w:pPr>
              <w:pStyle w:val="TableParagraph"/>
              <w:ind w:left="199" w:right="193"/>
              <w:rPr>
                <w:sz w:val="28"/>
              </w:rPr>
            </w:pPr>
            <w:r>
              <w:rPr>
                <w:sz w:val="28"/>
              </w:rPr>
              <w:t>27,5</w:t>
            </w:r>
          </w:p>
        </w:tc>
      </w:tr>
      <w:tr w:rsidR="00B23B94">
        <w:trPr>
          <w:trHeight w:val="482"/>
        </w:trPr>
        <w:tc>
          <w:tcPr>
            <w:tcW w:w="5550" w:type="dxa"/>
          </w:tcPr>
          <w:p w:rsidR="00B23B94" w:rsidRDefault="003B2D3B">
            <w:pPr>
              <w:pStyle w:val="TableParagraph"/>
              <w:ind w:left="107"/>
              <w:jc w:val="left"/>
              <w:rPr>
                <w:sz w:val="28"/>
              </w:rPr>
            </w:pPr>
            <w:r>
              <w:rPr>
                <w:sz w:val="28"/>
              </w:rPr>
              <w:t>Вік більше 60 років</w:t>
            </w:r>
          </w:p>
        </w:tc>
        <w:tc>
          <w:tcPr>
            <w:tcW w:w="1086" w:type="dxa"/>
          </w:tcPr>
          <w:p w:rsidR="00B23B94" w:rsidRDefault="003B2D3B">
            <w:pPr>
              <w:pStyle w:val="TableParagraph"/>
              <w:ind w:left="314" w:right="311"/>
              <w:rPr>
                <w:sz w:val="28"/>
              </w:rPr>
            </w:pPr>
            <w:r>
              <w:rPr>
                <w:sz w:val="28"/>
              </w:rPr>
              <w:t>20</w:t>
            </w:r>
          </w:p>
        </w:tc>
        <w:tc>
          <w:tcPr>
            <w:tcW w:w="929" w:type="dxa"/>
          </w:tcPr>
          <w:p w:rsidR="00B23B94" w:rsidRDefault="003B2D3B">
            <w:pPr>
              <w:pStyle w:val="TableParagraph"/>
              <w:ind w:left="194" w:right="194"/>
              <w:rPr>
                <w:sz w:val="28"/>
              </w:rPr>
            </w:pPr>
            <w:r>
              <w:rPr>
                <w:sz w:val="28"/>
              </w:rPr>
              <w:t>23,0</w:t>
            </w:r>
          </w:p>
        </w:tc>
        <w:tc>
          <w:tcPr>
            <w:tcW w:w="1088" w:type="dxa"/>
          </w:tcPr>
          <w:p w:rsidR="00B23B94" w:rsidRDefault="003B2D3B">
            <w:pPr>
              <w:pStyle w:val="TableParagraph"/>
              <w:ind w:left="5"/>
              <w:rPr>
                <w:sz w:val="28"/>
              </w:rPr>
            </w:pPr>
            <w:r>
              <w:rPr>
                <w:sz w:val="28"/>
              </w:rPr>
              <w:t>9</w:t>
            </w:r>
          </w:p>
        </w:tc>
        <w:tc>
          <w:tcPr>
            <w:tcW w:w="932" w:type="dxa"/>
          </w:tcPr>
          <w:p w:rsidR="00B23B94" w:rsidRDefault="003B2D3B">
            <w:pPr>
              <w:pStyle w:val="TableParagraph"/>
              <w:ind w:left="199" w:right="193"/>
              <w:rPr>
                <w:sz w:val="28"/>
              </w:rPr>
            </w:pPr>
            <w:r>
              <w:rPr>
                <w:sz w:val="28"/>
              </w:rPr>
              <w:t>22,5</w:t>
            </w:r>
          </w:p>
        </w:tc>
      </w:tr>
      <w:tr w:rsidR="00B23B94">
        <w:trPr>
          <w:trHeight w:val="484"/>
        </w:trPr>
        <w:tc>
          <w:tcPr>
            <w:tcW w:w="5550" w:type="dxa"/>
          </w:tcPr>
          <w:p w:rsidR="00B23B94" w:rsidRDefault="003B2D3B">
            <w:pPr>
              <w:pStyle w:val="TableParagraph"/>
              <w:ind w:left="107"/>
              <w:jc w:val="left"/>
              <w:rPr>
                <w:sz w:val="28"/>
              </w:rPr>
            </w:pPr>
            <w:r>
              <w:rPr>
                <w:sz w:val="28"/>
              </w:rPr>
              <w:t>Реактивний плеврит</w:t>
            </w:r>
          </w:p>
        </w:tc>
        <w:tc>
          <w:tcPr>
            <w:tcW w:w="1086" w:type="dxa"/>
          </w:tcPr>
          <w:p w:rsidR="00B23B94" w:rsidRDefault="003B2D3B">
            <w:pPr>
              <w:pStyle w:val="TableParagraph"/>
              <w:ind w:left="314" w:right="311"/>
              <w:rPr>
                <w:sz w:val="28"/>
              </w:rPr>
            </w:pPr>
            <w:r>
              <w:rPr>
                <w:sz w:val="28"/>
              </w:rPr>
              <w:t>45</w:t>
            </w:r>
          </w:p>
        </w:tc>
        <w:tc>
          <w:tcPr>
            <w:tcW w:w="929" w:type="dxa"/>
          </w:tcPr>
          <w:p w:rsidR="00B23B94" w:rsidRDefault="003B2D3B">
            <w:pPr>
              <w:pStyle w:val="TableParagraph"/>
              <w:ind w:left="194" w:right="194"/>
              <w:rPr>
                <w:sz w:val="28"/>
              </w:rPr>
            </w:pPr>
            <w:r>
              <w:rPr>
                <w:sz w:val="28"/>
              </w:rPr>
              <w:t>39,2</w:t>
            </w:r>
          </w:p>
        </w:tc>
        <w:tc>
          <w:tcPr>
            <w:tcW w:w="1088" w:type="dxa"/>
          </w:tcPr>
          <w:p w:rsidR="00B23B94" w:rsidRDefault="003B2D3B">
            <w:pPr>
              <w:pStyle w:val="TableParagraph"/>
              <w:ind w:left="318" w:right="309"/>
              <w:rPr>
                <w:sz w:val="28"/>
              </w:rPr>
            </w:pPr>
            <w:r>
              <w:rPr>
                <w:sz w:val="28"/>
              </w:rPr>
              <w:t>13</w:t>
            </w:r>
          </w:p>
        </w:tc>
        <w:tc>
          <w:tcPr>
            <w:tcW w:w="932" w:type="dxa"/>
          </w:tcPr>
          <w:p w:rsidR="00B23B94" w:rsidRDefault="003B2D3B">
            <w:pPr>
              <w:pStyle w:val="TableParagraph"/>
              <w:ind w:left="199" w:right="193"/>
              <w:rPr>
                <w:sz w:val="28"/>
              </w:rPr>
            </w:pPr>
            <w:r>
              <w:rPr>
                <w:sz w:val="28"/>
              </w:rPr>
              <w:t>32,5</w:t>
            </w:r>
          </w:p>
        </w:tc>
      </w:tr>
    </w:tbl>
    <w:p w:rsidR="00B23B94" w:rsidRDefault="00B23B94">
      <w:pPr>
        <w:pStyle w:val="a3"/>
        <w:spacing w:before="11"/>
        <w:ind w:left="0"/>
        <w:jc w:val="left"/>
        <w:rPr>
          <w:b/>
          <w:sz w:val="41"/>
        </w:rPr>
      </w:pPr>
    </w:p>
    <w:p w:rsidR="00B23B94" w:rsidRDefault="003B2D3B">
      <w:pPr>
        <w:spacing w:line="360" w:lineRule="auto"/>
        <w:ind w:left="222" w:right="312" w:firstLine="707"/>
        <w:jc w:val="both"/>
        <w:rPr>
          <w:i/>
          <w:sz w:val="28"/>
        </w:rPr>
      </w:pPr>
      <w:r>
        <w:rPr>
          <w:i/>
          <w:sz w:val="28"/>
        </w:rPr>
        <w:t>Примітка: статистично значимої різниці між групами хворих виявлено не було</w:t>
      </w:r>
      <w:r>
        <w:rPr>
          <w:i/>
          <w:spacing w:val="-3"/>
          <w:sz w:val="28"/>
        </w:rPr>
        <w:t xml:space="preserve"> </w:t>
      </w:r>
      <w:r>
        <w:rPr>
          <w:i/>
          <w:sz w:val="28"/>
        </w:rPr>
        <w:t>(р&gt;0,05).</w:t>
      </w:r>
    </w:p>
    <w:p w:rsidR="00B23B94" w:rsidRDefault="003B2D3B">
      <w:pPr>
        <w:pStyle w:val="a3"/>
        <w:spacing w:line="360" w:lineRule="auto"/>
        <w:ind w:right="307" w:firstLine="707"/>
      </w:pPr>
      <w:r>
        <w:t>Кожен окремий показник оцінювався в 1 бал. Наявність трьох більше балів у даних пацієнтів визначали високий ризик ускладнень та летальності при гострому панкреатиті. При госпіталізації середня кількість балів у основній групі склала 3,1±0,29 бали, у групі порівняння – 3,2±0,30 бали.</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spacing w:before="79"/>
        <w:ind w:left="1074"/>
      </w:pPr>
      <w:bookmarkStart w:id="7" w:name="_TOC_250009"/>
      <w:bookmarkEnd w:id="7"/>
      <w:r>
        <w:lastRenderedPageBreak/>
        <w:t>2.2 Методи дослідження.</w:t>
      </w:r>
    </w:p>
    <w:p w:rsidR="00B23B94" w:rsidRDefault="00B23B94">
      <w:pPr>
        <w:pStyle w:val="a3"/>
        <w:ind w:left="0"/>
        <w:jc w:val="left"/>
        <w:rPr>
          <w:b/>
          <w:sz w:val="30"/>
        </w:rPr>
      </w:pPr>
    </w:p>
    <w:p w:rsidR="00B23B94" w:rsidRDefault="00B23B94">
      <w:pPr>
        <w:pStyle w:val="a3"/>
        <w:spacing w:before="1"/>
        <w:ind w:left="0"/>
        <w:jc w:val="left"/>
        <w:rPr>
          <w:b/>
          <w:sz w:val="26"/>
        </w:rPr>
      </w:pPr>
    </w:p>
    <w:p w:rsidR="00B23B94" w:rsidRDefault="003B2D3B">
      <w:pPr>
        <w:pStyle w:val="a3"/>
        <w:spacing w:line="360" w:lineRule="auto"/>
        <w:ind w:right="305" w:firstLine="707"/>
      </w:pPr>
      <w:r>
        <w:t>Всім пацієнтам з парапанкреатичними інфекційно-септичними ускладненнями деструктивного панкреатиту було проведено повне клінічне, лабораторне та інструментальне обстеження згідно наказу МОЗ України (наказ №297 від 02.04.2010 року), після отримання письмової згоди від пацієнта на проведення маніпуляцій.</w:t>
      </w:r>
    </w:p>
    <w:p w:rsidR="00B23B94" w:rsidRDefault="003B2D3B">
      <w:pPr>
        <w:pStyle w:val="a3"/>
        <w:spacing w:line="360" w:lineRule="auto"/>
        <w:ind w:right="310" w:firstLine="707"/>
      </w:pPr>
      <w:r>
        <w:t>При зборі анамнезу, звертали увагу на локалізацію, іррадіацію, тривалість, інтенсивність болю, фактори що передували виникненню больового приступу. З’ясовували наявність приступів гострого панкреатиту раніше, їх частоту виникнення, тяжкість перебігу. Визначали наявність супутньої патології.</w:t>
      </w:r>
    </w:p>
    <w:p w:rsidR="00B23B94" w:rsidRDefault="003B2D3B">
      <w:pPr>
        <w:pStyle w:val="a3"/>
        <w:spacing w:line="360" w:lineRule="auto"/>
        <w:ind w:right="306" w:firstLine="707"/>
      </w:pPr>
      <w:r>
        <w:t>Під час об’єктивного обстеження оцінювали колір шкіри та склер, частоту дихання, частоту пульсу та артеріального тиску, температуру тіла. Пальпацією визначали наявність або відсутність інфільтрату епігастральної ділянки, його розміри.</w:t>
      </w:r>
    </w:p>
    <w:p w:rsidR="00B23B94" w:rsidRDefault="003B2D3B">
      <w:pPr>
        <w:pStyle w:val="a3"/>
        <w:spacing w:line="360" w:lineRule="auto"/>
        <w:ind w:right="303" w:firstLine="707"/>
      </w:pPr>
      <w:r>
        <w:t>Усім хворим визначали параметри загальноклінічних лабораторних та біохімічних досліджень. Досліджували рівень гемоглобіну, кількість еритроцитів, лейкоцитів, тромбоцитів, швидкість зсідання еритроцитів, лейкоцитарну формулу, рівень глюкози крові стандартним методом.</w:t>
      </w:r>
    </w:p>
    <w:p w:rsidR="00B23B94" w:rsidRDefault="003B2D3B">
      <w:pPr>
        <w:pStyle w:val="a3"/>
        <w:spacing w:before="1" w:line="360" w:lineRule="auto"/>
        <w:ind w:right="310" w:firstLine="707"/>
      </w:pPr>
      <w:r>
        <w:t>В біохімічному аналізі крові визначали рівень загального білка, загального білірубіну, креатиніну, сечовини, концентрацію калію і кальцію; в коагулограмі брали до уваги показники протромбінового індексу та фібриногену за уніфікованими методами.</w:t>
      </w:r>
    </w:p>
    <w:p w:rsidR="00B23B94" w:rsidRDefault="003B2D3B">
      <w:pPr>
        <w:pStyle w:val="a3"/>
        <w:ind w:left="930"/>
      </w:pPr>
      <w:r>
        <w:t>В загальному аналізі сечі визначали показники діастази та білка.</w:t>
      </w:r>
    </w:p>
    <w:p w:rsidR="00B23B94" w:rsidRDefault="003B2D3B">
      <w:pPr>
        <w:pStyle w:val="a3"/>
        <w:spacing w:before="161" w:line="360" w:lineRule="auto"/>
        <w:ind w:right="303" w:firstLine="707"/>
      </w:pPr>
      <w:r>
        <w:t>Дані обстеження виконувалися пацієнтам в день госпіталізації, через 48 годин, на 7 та 14 добу від госпіталізації. В подальшому в залежності від тривалості перебування в стаціонарі результати аналізів бралися до уваги з інтервалом в середньому близько тижня.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6" w:firstLine="707"/>
      </w:pPr>
      <w:r>
        <w:lastRenderedPageBreak/>
        <w:t>Ультразвукова діагностика виконувалася всім пацієнтам при госпіталізації на ультразвуковому сканері «Logiq C 5» (General Electric, США) за допомогою датчика 3,5-5,0 Мгц в режимі сірої шкали. Під час дослідження звертали увагу на наступні параметри: стан підшлункової залози (контури, розміри, форма, структура, ехогенність), наявність вільної рідини чи секвестрів в сальниковій сумці, ретрокалярно справа та зліва, навколо селезінки, в корені брижі тонкої кишки, вільної рідини в черевній (в тому числі міжпетельно) та плевральних</w:t>
      </w:r>
      <w:r>
        <w:rPr>
          <w:spacing w:val="-4"/>
        </w:rPr>
        <w:t xml:space="preserve"> </w:t>
      </w:r>
      <w:r>
        <w:t>порожнинах.</w:t>
      </w:r>
    </w:p>
    <w:p w:rsidR="00B23B94" w:rsidRDefault="003B2D3B">
      <w:pPr>
        <w:pStyle w:val="a3"/>
        <w:spacing w:line="362" w:lineRule="auto"/>
        <w:ind w:right="312" w:firstLine="707"/>
      </w:pPr>
      <w:r>
        <w:t>Ендоскопічне дослідження шлунку та дванадцятипалої кишки виконували фіброгастродуоденоскопом «GIF-E3» (Olympus, Японія).</w:t>
      </w:r>
    </w:p>
    <w:p w:rsidR="00B23B94" w:rsidRDefault="003B2D3B">
      <w:pPr>
        <w:pStyle w:val="a3"/>
        <w:spacing w:line="360" w:lineRule="auto"/>
        <w:ind w:right="302" w:firstLine="707"/>
      </w:pPr>
      <w:r>
        <w:t>Плевропульмональні ускладнення деструктивного панкреатиту діагностували з допомогою рентгенографії, на апараті «RS-50A» (Shimadzu, Японія). Рентгенографію шлунково-кишкового тракту як правило не виконували, альтернативним методом вважали комп’ютерну томографію.</w:t>
      </w:r>
    </w:p>
    <w:p w:rsidR="00B23B94" w:rsidRDefault="003B2D3B">
      <w:pPr>
        <w:pStyle w:val="a3"/>
        <w:spacing w:line="360" w:lineRule="auto"/>
        <w:ind w:right="304" w:firstLine="707"/>
      </w:pPr>
      <w:r>
        <w:t>Комп'ютерну томографію органів черевної порожнини з контрастуванням виконували на комп’ютерному томографі Siemens somatom Emotion 6/Aquilion prime SP/, Німеччина.</w:t>
      </w:r>
    </w:p>
    <w:p w:rsidR="00B23B94" w:rsidRDefault="003B2D3B">
      <w:pPr>
        <w:pStyle w:val="a3"/>
        <w:spacing w:line="362" w:lineRule="auto"/>
        <w:ind w:right="313" w:firstLine="707"/>
      </w:pPr>
      <w:r>
        <w:t>Магнітно-резонансну томографія проводили на апараті Siemens Magnetom skyra, Німеччина.</w:t>
      </w:r>
    </w:p>
    <w:p w:rsidR="00B23B94" w:rsidRDefault="003B2D3B">
      <w:pPr>
        <w:pStyle w:val="a3"/>
        <w:spacing w:line="360" w:lineRule="auto"/>
        <w:ind w:right="304" w:firstLine="707"/>
      </w:pPr>
      <w:r>
        <w:t>Пацієнтам обох групи виконувалася діагностична пункція парапанкреатичних скопичень. Якщо під час неї отримували рідкий компонент – виконувалося подальше дренування цього скопичення (за умов наявності «ехо-вікна» для постановки дренажу) за допомогою дренажів типу</w:t>
      </w:r>
    </w:p>
    <w:p w:rsidR="00B23B94" w:rsidRDefault="003B2D3B">
      <w:pPr>
        <w:pStyle w:val="a3"/>
        <w:spacing w:line="360" w:lineRule="auto"/>
        <w:ind w:right="305"/>
      </w:pPr>
      <w:r>
        <w:t>«pig tail», і в динаміці під час УЗД досліджень спостерігали за об’ємом, характером виділень і розміром даної порожнини. Катетер видаляли за умов припинення виділень по ньому. Якщо ж під час пункції отримували гній (як правило густий) пацієнту було показане «відкрите» оперативне втручання. Об’єм операції залежав від розміру, локалізації скопичень та кількості анатомічних зон залучених у процес: від мінілапаротомій та мінілюмботомій до традиційної лапаротомії з некрсеквестректомією.</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tabs>
          <w:tab w:val="left" w:pos="895"/>
          <w:tab w:val="left" w:pos="1619"/>
          <w:tab w:val="left" w:pos="3240"/>
          <w:tab w:val="left" w:pos="3414"/>
          <w:tab w:val="left" w:pos="3739"/>
          <w:tab w:val="left" w:pos="5725"/>
          <w:tab w:val="left" w:pos="5776"/>
          <w:tab w:val="left" w:pos="6662"/>
          <w:tab w:val="left" w:pos="7423"/>
          <w:tab w:val="left" w:pos="7981"/>
          <w:tab w:val="left" w:pos="9323"/>
        </w:tabs>
        <w:spacing w:before="79" w:line="360" w:lineRule="auto"/>
        <w:ind w:right="303" w:firstLine="707"/>
        <w:jc w:val="right"/>
      </w:pPr>
      <w:r>
        <w:lastRenderedPageBreak/>
        <w:t>Пунктат отриманий під час пункції/дренуванні</w:t>
      </w:r>
      <w:r>
        <w:rPr>
          <w:spacing w:val="48"/>
        </w:rPr>
        <w:t xml:space="preserve"> </w:t>
      </w:r>
      <w:r>
        <w:t>скопичень</w:t>
      </w:r>
      <w:r>
        <w:rPr>
          <w:spacing w:val="8"/>
        </w:rPr>
        <w:t xml:space="preserve"> </w:t>
      </w:r>
      <w:r>
        <w:t>відправлявся на</w:t>
      </w:r>
      <w:r>
        <w:tab/>
        <w:t>бактеріоскопічне,</w:t>
      </w:r>
      <w:r>
        <w:tab/>
      </w:r>
      <w:r>
        <w:tab/>
        <w:t>бактеріологічне,</w:t>
      </w:r>
      <w:r>
        <w:tab/>
      </w:r>
      <w:r>
        <w:tab/>
        <w:t>біохімічне</w:t>
      </w:r>
      <w:r>
        <w:tab/>
        <w:t>дослідження</w:t>
      </w:r>
      <w:r>
        <w:tab/>
        <w:t>за стандартними</w:t>
      </w:r>
      <w:r>
        <w:rPr>
          <w:spacing w:val="34"/>
        </w:rPr>
        <w:t xml:space="preserve"> </w:t>
      </w:r>
      <w:r>
        <w:t>методиками.</w:t>
      </w:r>
      <w:r>
        <w:rPr>
          <w:spacing w:val="32"/>
        </w:rPr>
        <w:t xml:space="preserve"> </w:t>
      </w:r>
      <w:r>
        <w:t>В</w:t>
      </w:r>
      <w:r>
        <w:rPr>
          <w:spacing w:val="34"/>
        </w:rPr>
        <w:t xml:space="preserve"> </w:t>
      </w:r>
      <w:r>
        <w:t>біохімічному</w:t>
      </w:r>
      <w:r>
        <w:rPr>
          <w:spacing w:val="29"/>
        </w:rPr>
        <w:t xml:space="preserve"> </w:t>
      </w:r>
      <w:r>
        <w:t>аналізі</w:t>
      </w:r>
      <w:r>
        <w:rPr>
          <w:spacing w:val="34"/>
        </w:rPr>
        <w:t xml:space="preserve"> </w:t>
      </w:r>
      <w:r>
        <w:t>визначали</w:t>
      </w:r>
      <w:r>
        <w:rPr>
          <w:spacing w:val="33"/>
        </w:rPr>
        <w:t xml:space="preserve"> </w:t>
      </w:r>
      <w:r>
        <w:t>вміст</w:t>
      </w:r>
      <w:r>
        <w:rPr>
          <w:spacing w:val="33"/>
        </w:rPr>
        <w:t xml:space="preserve"> </w:t>
      </w:r>
      <w:r>
        <w:t>білку</w:t>
      </w:r>
      <w:r>
        <w:rPr>
          <w:spacing w:val="30"/>
        </w:rPr>
        <w:t xml:space="preserve"> </w:t>
      </w:r>
      <w:r>
        <w:t>та активність амілази; в бактеріоскопічному – готувався мазок</w:t>
      </w:r>
      <w:r>
        <w:rPr>
          <w:spacing w:val="4"/>
        </w:rPr>
        <w:t xml:space="preserve"> </w:t>
      </w:r>
      <w:r>
        <w:t>з</w:t>
      </w:r>
      <w:r>
        <w:rPr>
          <w:spacing w:val="1"/>
        </w:rPr>
        <w:t xml:space="preserve"> </w:t>
      </w:r>
      <w:r>
        <w:t>досліджуваного матеріалу; бактеріологічний аналіз допомагав визначити</w:t>
      </w:r>
      <w:r>
        <w:rPr>
          <w:spacing w:val="8"/>
        </w:rPr>
        <w:t xml:space="preserve"> </w:t>
      </w:r>
      <w:r>
        <w:t>збудника,</w:t>
      </w:r>
      <w:r>
        <w:rPr>
          <w:spacing w:val="11"/>
        </w:rPr>
        <w:t xml:space="preserve"> </w:t>
      </w:r>
      <w:r>
        <w:t>кількість бактерій в одному мілілітрі та їх чутливості до</w:t>
      </w:r>
      <w:r>
        <w:rPr>
          <w:spacing w:val="-30"/>
        </w:rPr>
        <w:t xml:space="preserve"> </w:t>
      </w:r>
      <w:r>
        <w:t>антибактеріальних</w:t>
      </w:r>
      <w:r>
        <w:rPr>
          <w:spacing w:val="-6"/>
        </w:rPr>
        <w:t xml:space="preserve"> </w:t>
      </w:r>
      <w:r>
        <w:t>препаратів.</w:t>
      </w:r>
      <w:r>
        <w:rPr>
          <w:spacing w:val="-1"/>
        </w:rPr>
        <w:t xml:space="preserve"> </w:t>
      </w:r>
      <w:r>
        <w:t>Імуноферментні дослідження проводилися на</w:t>
      </w:r>
      <w:r>
        <w:rPr>
          <w:spacing w:val="30"/>
        </w:rPr>
        <w:t xml:space="preserve"> </w:t>
      </w:r>
      <w:r>
        <w:t>базі</w:t>
      </w:r>
      <w:r>
        <w:rPr>
          <w:spacing w:val="27"/>
        </w:rPr>
        <w:t xml:space="preserve"> </w:t>
      </w:r>
      <w:r>
        <w:t>Науково-дослідного інституту</w:t>
      </w:r>
      <w:r>
        <w:tab/>
        <w:t>генетичних</w:t>
      </w:r>
      <w:r>
        <w:tab/>
        <w:t>та</w:t>
      </w:r>
      <w:r>
        <w:tab/>
        <w:t>імунологічних</w:t>
      </w:r>
      <w:r>
        <w:tab/>
        <w:t>основ</w:t>
      </w:r>
      <w:r>
        <w:tab/>
        <w:t>розвитку</w:t>
      </w:r>
      <w:r>
        <w:tab/>
        <w:t>патології</w:t>
      </w:r>
      <w:r>
        <w:tab/>
        <w:t>та</w:t>
      </w:r>
    </w:p>
    <w:p w:rsidR="00B23B94" w:rsidRDefault="003B2D3B">
      <w:pPr>
        <w:pStyle w:val="a3"/>
      </w:pPr>
      <w:r>
        <w:t>фармакогенетики «УМСА», м. Полтава.</w:t>
      </w:r>
    </w:p>
    <w:p w:rsidR="00B23B94" w:rsidRDefault="003B2D3B">
      <w:pPr>
        <w:pStyle w:val="a3"/>
        <w:spacing w:before="164" w:line="360" w:lineRule="auto"/>
        <w:ind w:right="311" w:firstLine="707"/>
      </w:pPr>
      <w:r>
        <w:t>Визначали рівень прокальцитоніну (Набор реагентов для имуноферментного определения концентрации прокальцитонина в сыворотке (плазме) крови человека «Прокальцитонин-ИФА-БЕСТ», Россия).</w:t>
      </w:r>
    </w:p>
    <w:p w:rsidR="00B23B94" w:rsidRDefault="003B2D3B">
      <w:pPr>
        <w:pStyle w:val="a3"/>
        <w:spacing w:line="360" w:lineRule="auto"/>
        <w:ind w:right="302" w:firstLine="707"/>
      </w:pPr>
      <w:r>
        <w:t>У всі лунки вносили по 100 мкл розчину для розведення зразків, потім додавали по 20 мкл кожного калібровочного та контрольного зразків. В інші лунки вносили в дублікатах по 20 мкл досліджуваних зразків плазми крові. Планшет заклеювали плівкою і інкубували протягом 60 хвилин струшуючи на шейкері при температурі +37</w:t>
      </w:r>
      <w:r>
        <w:rPr>
          <w:vertAlign w:val="superscript"/>
        </w:rPr>
        <w:t>0</w:t>
      </w:r>
      <w:r>
        <w:t xml:space="preserve"> С і 700 об/хв. Після інкубації вміст лунок видаляли, і промивали 5 раз дезінфекційним розчином. Дану процедуру повторювали з Кон’югатом №1 та Кон’югатом №2 протягом 30 хвилин за аналогічних умов, після чого в лунки додавали по 100 мкл розчину тетраметилбензидина плюс та інкубували в затемненому місці при температурі +22</w:t>
      </w:r>
      <w:r>
        <w:rPr>
          <w:vertAlign w:val="superscript"/>
        </w:rPr>
        <w:t>0</w:t>
      </w:r>
      <w:r>
        <w:t xml:space="preserve"> С протягом 25 хвилин. Після інкубації у кожну лунку додавали по 100 </w:t>
      </w:r>
      <w:r>
        <w:rPr>
          <w:spacing w:val="-2"/>
        </w:rPr>
        <w:t>мкл</w:t>
      </w:r>
      <w:r>
        <w:t xml:space="preserve"> стоп-реагенту.</w:t>
      </w:r>
    </w:p>
    <w:p w:rsidR="00B23B94" w:rsidRDefault="003B2D3B">
      <w:pPr>
        <w:pStyle w:val="a3"/>
        <w:spacing w:line="360" w:lineRule="auto"/>
        <w:ind w:right="302" w:firstLine="707"/>
      </w:pPr>
      <w:r>
        <w:t>Результати аналізу отримували шляхом вимірювання оптичної щільності розчинів в лунках на спектрофотомері вертикального сканування в двохвильовому режимі: при основній довжині хвилі 450 нм і довжині хвилі порівняння в діапазоні 620-655 нм. Вимірювання проводили протягом 10 хвилин після зупинки реакції. Облік результатів проводили з допомогою лінійного калібровочного графіку залежності отпичної щільності від концентрації прокальцитоніну в калібровочних зразках.</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firstLine="707"/>
      </w:pPr>
      <w:r>
        <w:lastRenderedPageBreak/>
        <w:t>Визначали рівень С-реактивного білка (Набор реагентов для имуноферментного определения концентрации С-реактивного белка в сыворотке (плазме) крови «СРБ-ИФА», ХЕМА, Россия).</w:t>
      </w:r>
    </w:p>
    <w:p w:rsidR="00B23B94" w:rsidRDefault="003B2D3B">
      <w:pPr>
        <w:pStyle w:val="a3"/>
        <w:spacing w:before="1" w:line="360" w:lineRule="auto"/>
        <w:ind w:right="302" w:firstLine="707"/>
      </w:pPr>
      <w:r>
        <w:t>Вносили у всі лунки по 100 мкл червоного ІФА-буфера, потім вносили в відповідні лунки в дублікатах по 25 мкл калібрувальної проби і контрольної сироватки. В інші лунки вносили в дублікатах по 25 мкл попередньо розведених у 100 разів досліджуючих зразків сироватки (плазми) крові. Інкубували планшет протягом 30 хвилин при температурі +37</w:t>
      </w:r>
      <w:r>
        <w:rPr>
          <w:vertAlign w:val="superscript"/>
        </w:rPr>
        <w:t>0</w:t>
      </w:r>
      <w:r>
        <w:t xml:space="preserve"> С. Після трикратного відмивання лунок дезрозчином вносили у всі лунки по 100 мкл кон’югата, інкубували 30 хвилин при температурі +37</w:t>
      </w:r>
      <w:r>
        <w:rPr>
          <w:vertAlign w:val="superscript"/>
        </w:rPr>
        <w:t>0</w:t>
      </w:r>
      <w:r>
        <w:t xml:space="preserve"> С і знову промивали лунки дезрозчином 5 разів. Далі додавали по 100 мкл розчину тетраметилбензидину, і після 20 хвилин інкубації при температурі +22</w:t>
      </w:r>
      <w:r>
        <w:rPr>
          <w:vertAlign w:val="superscript"/>
        </w:rPr>
        <w:t>0</w:t>
      </w:r>
      <w:r>
        <w:t xml:space="preserve"> С вносили по 100 мкл стоп-реагента. Оптичну щільність розчинів визначали спектрофотометром вертикального сканування при довжині хвилі 450 нм. Вміст С-реактивного білка визначали по калібровочному графіку залежності концентрації СРБ плазми крові від оптичної щільності калібровочних</w:t>
      </w:r>
      <w:r>
        <w:rPr>
          <w:spacing w:val="-18"/>
        </w:rPr>
        <w:t xml:space="preserve"> </w:t>
      </w:r>
      <w:r>
        <w:t>проб.</w:t>
      </w:r>
    </w:p>
    <w:p w:rsidR="00B23B94" w:rsidRDefault="003B2D3B">
      <w:pPr>
        <w:pStyle w:val="a3"/>
        <w:spacing w:line="360" w:lineRule="auto"/>
        <w:ind w:right="307" w:firstLine="707"/>
      </w:pPr>
      <w:r>
        <w:t>Визначали рівень Т</w:t>
      </w:r>
      <w:r>
        <w:rPr>
          <w:vertAlign w:val="subscript"/>
        </w:rPr>
        <w:t>3</w:t>
      </w:r>
      <w:r>
        <w:t>, Т</w:t>
      </w:r>
      <w:r>
        <w:rPr>
          <w:vertAlign w:val="subscript"/>
        </w:rPr>
        <w:t>4</w:t>
      </w:r>
      <w:r>
        <w:t>, Т</w:t>
      </w:r>
      <w:r>
        <w:rPr>
          <w:vertAlign w:val="subscript"/>
        </w:rPr>
        <w:t>3</w:t>
      </w:r>
      <w:r>
        <w:t>вільного, ТТГ (Набор реагентов для имуноферментного определения концентрации трийодтиронина в сыворотке (плазме) крови «Т3-ИФА», ХЕМА, Россия; Набор реагентов для имуноферментного определения концентрации тетрайодтиронина в сыворотке (плазме) крови «Т4-ИФА», ХЕМА, Россия; Набор реагентов для имуноферментного определения концентрации свободного трийодтиронина в сыворотке (плазме) крови «свТ3-ИФА», ХЕМА, Россия, Набор реагентов для имуноферментного определения концентрации тиреотропного гормона в сыворотке (плазме) крови «ТТГ-ИФА», ХЕМА, Россия).</w:t>
      </w:r>
    </w:p>
    <w:p w:rsidR="00B23B94" w:rsidRDefault="003B2D3B">
      <w:pPr>
        <w:pStyle w:val="a3"/>
        <w:spacing w:before="1" w:line="360" w:lineRule="auto"/>
        <w:ind w:right="307" w:firstLine="707"/>
      </w:pPr>
      <w:r>
        <w:t>Вносили у відповідні лунки в дублікатах по 25 мкл калібрувальної проби і контрольної сироватки, в інші вносили по 25 мкл досліджуваної плазми крові (для ТТГ – по 50 мкл), додавали у всі лунки по 100 мкл кон’югату та інкубували при температурі +37</w:t>
      </w:r>
      <w:r>
        <w:rPr>
          <w:vertAlign w:val="superscript"/>
        </w:rPr>
        <w:t>0</w:t>
      </w:r>
      <w:r>
        <w:t xml:space="preserve"> С. після закінчення інкубації вміст видаляли, і промивали дезрозчином 5 разів. Далі додавали по 100 мкл</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pPr>
      <w:r>
        <w:lastRenderedPageBreak/>
        <w:t>розчину тетраметилбензидину, і після 20 хвилин інкубації при температурі</w:t>
      </w:r>
    </w:p>
    <w:p w:rsidR="00B23B94" w:rsidRDefault="003B2D3B">
      <w:pPr>
        <w:pStyle w:val="a3"/>
        <w:spacing w:before="163" w:line="360" w:lineRule="auto"/>
        <w:ind w:right="305"/>
      </w:pPr>
      <w:r>
        <w:t>+22</w:t>
      </w:r>
      <w:r>
        <w:rPr>
          <w:vertAlign w:val="superscript"/>
        </w:rPr>
        <w:t>0</w:t>
      </w:r>
      <w:r>
        <w:t xml:space="preserve"> С вносили по 100 мкл стоп-реагента. Оптичну щільність розчинів визначали спектрофотометром вертикального сканування при довжині хвилі 450 нм. Вміст Т</w:t>
      </w:r>
      <w:r>
        <w:rPr>
          <w:vertAlign w:val="subscript"/>
        </w:rPr>
        <w:t>3</w:t>
      </w:r>
      <w:r>
        <w:t>, Т</w:t>
      </w:r>
      <w:r>
        <w:rPr>
          <w:vertAlign w:val="subscript"/>
        </w:rPr>
        <w:t>4</w:t>
      </w:r>
      <w:r>
        <w:t>, Т</w:t>
      </w:r>
      <w:r>
        <w:rPr>
          <w:vertAlign w:val="subscript"/>
        </w:rPr>
        <w:t>3</w:t>
      </w:r>
      <w:r>
        <w:t>вільного, ТТГ визначали по калібровочному графіку залежності концентрації вищезгаданих гормонів плазми крові від оптичної щільності калібровочних проб.</w:t>
      </w:r>
    </w:p>
    <w:p w:rsidR="00B23B94" w:rsidRDefault="003B2D3B">
      <w:pPr>
        <w:pStyle w:val="a3"/>
        <w:spacing w:line="360" w:lineRule="auto"/>
        <w:ind w:right="308" w:firstLine="707"/>
      </w:pPr>
      <w:r>
        <w:rPr>
          <w:b/>
        </w:rPr>
        <w:t xml:space="preserve">Статистичні дослідження: </w:t>
      </w:r>
      <w:r>
        <w:t>Результати дослідження по групах заносились у звітні таблиці та наступним статистичним аналізом даних. Статистична обробка даних, отриманих в ході дослідження, проводилася із застосуванням програми Microsoft Office Excel 2010 на базі MS Windows 10 та програми Statistika</w:t>
      </w:r>
      <w:r>
        <w:rPr>
          <w:spacing w:val="-1"/>
        </w:rPr>
        <w:t xml:space="preserve"> </w:t>
      </w:r>
      <w:r>
        <w:t>10.</w:t>
      </w:r>
    </w:p>
    <w:p w:rsidR="00B23B94" w:rsidRDefault="003B2D3B">
      <w:pPr>
        <w:pStyle w:val="a3"/>
        <w:spacing w:line="360" w:lineRule="auto"/>
        <w:ind w:right="305" w:firstLine="707"/>
      </w:pPr>
      <w:r>
        <w:t>Для порівняння та оцінки достовірності отриманих результатів використовували розрахунок критерію достовірності Ст’юдента (t-тест). [] Результат вважався достовірним при ймовірності похибки p&lt;0,05.</w:t>
      </w:r>
    </w:p>
    <w:p w:rsidR="00B23B94" w:rsidRDefault="003B2D3B">
      <w:pPr>
        <w:pStyle w:val="a3"/>
        <w:spacing w:line="360" w:lineRule="auto"/>
        <w:ind w:right="308" w:firstLine="707"/>
      </w:pPr>
      <w:r>
        <w:t>Оцінку кореляційних взаємозв’язків між показниками в обстежених групах проводили за методом Пірсена. Кореляцію вважали значимою при</w:t>
      </w:r>
    </w:p>
    <w:p w:rsidR="00B23B94" w:rsidRDefault="003B2D3B">
      <w:pPr>
        <w:pStyle w:val="a3"/>
        <w:spacing w:line="321" w:lineRule="exact"/>
      </w:pPr>
      <w:r>
        <w:rPr>
          <w:sz w:val="22"/>
          <w:szCs w:val="22"/>
          <w:rtl/>
        </w:rPr>
        <w:t>׀</w:t>
      </w:r>
      <w:r>
        <w:t>r</w:t>
      </w:r>
      <w:r>
        <w:rPr>
          <w:sz w:val="22"/>
          <w:szCs w:val="22"/>
          <w:rtl/>
        </w:rPr>
        <w:t>׀</w:t>
      </w:r>
      <w:r>
        <w:t>&gt;0,7 при ймовірності похибки p&lt;0,05.</w:t>
      </w:r>
    </w:p>
    <w:p w:rsidR="00B23B94" w:rsidRDefault="00B23B94">
      <w:pPr>
        <w:spacing w:line="321" w:lineRule="exact"/>
        <w:sectPr w:rsidR="00B23B94">
          <w:pgSz w:w="11910" w:h="16840"/>
          <w:pgMar w:top="1040" w:right="540" w:bottom="280" w:left="1480" w:header="719" w:footer="0" w:gutter="0"/>
          <w:cols w:space="720"/>
        </w:sectPr>
      </w:pPr>
    </w:p>
    <w:p w:rsidR="00B23B94" w:rsidRDefault="003B2D3B">
      <w:pPr>
        <w:pStyle w:val="1"/>
        <w:spacing w:before="79"/>
        <w:ind w:right="57"/>
        <w:jc w:val="center"/>
      </w:pPr>
      <w:r>
        <w:lastRenderedPageBreak/>
        <w:t>Розділ ІІІ</w:t>
      </w:r>
    </w:p>
    <w:p w:rsidR="00B23B94" w:rsidRDefault="003B2D3B">
      <w:pPr>
        <w:spacing w:before="163" w:line="360" w:lineRule="auto"/>
        <w:ind w:left="251" w:right="340"/>
        <w:jc w:val="center"/>
        <w:rPr>
          <w:b/>
          <w:sz w:val="28"/>
        </w:rPr>
      </w:pPr>
      <w:r>
        <w:rPr>
          <w:b/>
          <w:sz w:val="28"/>
        </w:rPr>
        <w:t>КЛІНІЧНИЙ ПЕРЕБІГ, ДІАГНОСТИКА ТА ЛІКУВАЛЬНА ТАКТИКА У ХВОРИХ З ІНФІКОВАНИМ ДЕСТРУКТИВНИМ ПАНКРЕАТИТОМ В ЗАЛЕЖНОСТІ ВІД ЛОКАЛІЗАЦІЇ ТА ПОШИРЕНОСТІ СЕПТИЧНОГО ОСЕРЕДКУ</w:t>
      </w:r>
    </w:p>
    <w:p w:rsidR="00B23B94" w:rsidRDefault="00B23B94">
      <w:pPr>
        <w:pStyle w:val="a3"/>
        <w:spacing w:before="11"/>
        <w:ind w:left="0"/>
        <w:jc w:val="left"/>
        <w:rPr>
          <w:b/>
          <w:sz w:val="41"/>
        </w:rPr>
      </w:pPr>
    </w:p>
    <w:p w:rsidR="00B23B94" w:rsidRDefault="003B2D3B">
      <w:pPr>
        <w:pStyle w:val="1"/>
        <w:numPr>
          <w:ilvl w:val="1"/>
          <w:numId w:val="8"/>
        </w:numPr>
        <w:tabs>
          <w:tab w:val="left" w:pos="1427"/>
        </w:tabs>
        <w:spacing w:before="0" w:line="360" w:lineRule="auto"/>
        <w:ind w:right="304" w:firstLine="705"/>
        <w:jc w:val="both"/>
      </w:pPr>
      <w:bookmarkStart w:id="8" w:name="_TOC_250008"/>
      <w:r>
        <w:t>Оцінка тяжкості стану та органної дисфункції у пацієнтів з інфекційно-септичними ускладненнями деструктивного панкреатиту в залежності від поширеності парапанкреатичних</w:t>
      </w:r>
      <w:r>
        <w:rPr>
          <w:spacing w:val="-2"/>
        </w:rPr>
        <w:t xml:space="preserve"> </w:t>
      </w:r>
      <w:bookmarkEnd w:id="8"/>
      <w:r>
        <w:t>ускладнень</w:t>
      </w:r>
    </w:p>
    <w:p w:rsidR="00B23B94" w:rsidRDefault="00B23B94">
      <w:pPr>
        <w:pStyle w:val="a3"/>
        <w:ind w:left="0"/>
        <w:jc w:val="left"/>
        <w:rPr>
          <w:b/>
          <w:sz w:val="42"/>
        </w:rPr>
      </w:pPr>
    </w:p>
    <w:p w:rsidR="00B23B94" w:rsidRDefault="003B2D3B">
      <w:pPr>
        <w:pStyle w:val="a3"/>
        <w:spacing w:before="1" w:line="360" w:lineRule="auto"/>
        <w:ind w:right="300" w:firstLine="707"/>
      </w:pPr>
      <w:r>
        <w:t>Ультразвукове обстеження виконувалося всім хворим при госпіталізації та в динаміці на 2, 7 10-14 добу від моменту госпіталізації. Для зручності аналізу поширеності локальних парапанкреатичних ускладнень, заочеревинний простір умовно був розділений на 8 зон перипанкреатичних некрозів (ЗППН) : 1 – парапанкреатична клітковина, сальникова сумка; 2 – ділянка селезінкового кута ободової кишки; 3 – клітковина панкреато- дуоденальної зони; 4 – ліва піддіафрагмальна ділянка; 5 – права ретроколярна ділянка; 6 – ліва ретроколярна ділянка; 7 – корінь брижі тонкої кишки та міжпетельні скупчення; 8 – клітковина малого тазу. Проводилася візуалізація підшлункової залози, наявності вільної рідини у черевній та плевральних порожнинах та рідинних скупчень заочеревинного</w:t>
      </w:r>
      <w:r>
        <w:rPr>
          <w:spacing w:val="-7"/>
        </w:rPr>
        <w:t xml:space="preserve"> </w:t>
      </w:r>
      <w:r>
        <w:t>простору.</w:t>
      </w:r>
    </w:p>
    <w:p w:rsidR="00B23B94" w:rsidRDefault="003B2D3B">
      <w:pPr>
        <w:pStyle w:val="a3"/>
        <w:spacing w:line="360" w:lineRule="auto"/>
        <w:ind w:right="302" w:firstLine="707"/>
      </w:pPr>
      <w:r>
        <w:t>За даними УЗД при госпіталізації, неоднорідність підшлункової залози з інфільтрацією навколо визначалася у всіх пацієнтів, обмежені рідинні скупчення (ОРС) не визначалися. Поширеність інфільтрату на 1 ЗППН виявлено</w:t>
      </w:r>
      <w:r>
        <w:rPr>
          <w:spacing w:val="19"/>
        </w:rPr>
        <w:t xml:space="preserve"> </w:t>
      </w:r>
      <w:r>
        <w:t>у</w:t>
      </w:r>
      <w:r>
        <w:rPr>
          <w:spacing w:val="17"/>
        </w:rPr>
        <w:t xml:space="preserve"> </w:t>
      </w:r>
      <w:r>
        <w:t>19</w:t>
      </w:r>
      <w:r>
        <w:rPr>
          <w:spacing w:val="21"/>
        </w:rPr>
        <w:t xml:space="preserve"> </w:t>
      </w:r>
      <w:r>
        <w:t>(21,8%)</w:t>
      </w:r>
      <w:r>
        <w:rPr>
          <w:spacing w:val="18"/>
        </w:rPr>
        <w:t xml:space="preserve"> </w:t>
      </w:r>
      <w:r>
        <w:t>хворих,</w:t>
      </w:r>
      <w:r>
        <w:rPr>
          <w:spacing w:val="19"/>
        </w:rPr>
        <w:t xml:space="preserve"> </w:t>
      </w:r>
      <w:r>
        <w:t>2</w:t>
      </w:r>
      <w:r>
        <w:rPr>
          <w:spacing w:val="19"/>
        </w:rPr>
        <w:t xml:space="preserve"> </w:t>
      </w:r>
      <w:r>
        <w:t>ЗППН</w:t>
      </w:r>
      <w:r>
        <w:rPr>
          <w:spacing w:val="19"/>
        </w:rPr>
        <w:t xml:space="preserve"> </w:t>
      </w:r>
      <w:r>
        <w:t>у</w:t>
      </w:r>
      <w:r>
        <w:rPr>
          <w:spacing w:val="17"/>
        </w:rPr>
        <w:t xml:space="preserve"> </w:t>
      </w:r>
      <w:r>
        <w:t>24</w:t>
      </w:r>
      <w:r>
        <w:rPr>
          <w:spacing w:val="21"/>
        </w:rPr>
        <w:t xml:space="preserve"> </w:t>
      </w:r>
      <w:r>
        <w:t>(27,6%),</w:t>
      </w:r>
      <w:r>
        <w:rPr>
          <w:spacing w:val="18"/>
        </w:rPr>
        <w:t xml:space="preserve"> </w:t>
      </w:r>
      <w:r>
        <w:t>3-4</w:t>
      </w:r>
      <w:r>
        <w:rPr>
          <w:spacing w:val="21"/>
        </w:rPr>
        <w:t xml:space="preserve"> </w:t>
      </w:r>
      <w:r>
        <w:t>ЗППН</w:t>
      </w:r>
      <w:r>
        <w:rPr>
          <w:spacing w:val="17"/>
        </w:rPr>
        <w:t xml:space="preserve"> </w:t>
      </w:r>
      <w:r>
        <w:t>–</w:t>
      </w:r>
      <w:r>
        <w:rPr>
          <w:spacing w:val="21"/>
        </w:rPr>
        <w:t xml:space="preserve"> </w:t>
      </w:r>
      <w:r>
        <w:t>26</w:t>
      </w:r>
      <w:r>
        <w:rPr>
          <w:spacing w:val="20"/>
        </w:rPr>
        <w:t xml:space="preserve"> </w:t>
      </w:r>
      <w:r>
        <w:t>(29,8%)</w:t>
      </w:r>
    </w:p>
    <w:p w:rsidR="00B23B94" w:rsidRDefault="003B2D3B">
      <w:pPr>
        <w:pStyle w:val="a3"/>
      </w:pPr>
      <w:r>
        <w:t>хворих, 5 та більше – 18 (20,7%) хворих (табл. 3.1-3.2).</w:t>
      </w:r>
    </w:p>
    <w:p w:rsidR="00B23B94" w:rsidRDefault="003B2D3B">
      <w:pPr>
        <w:pStyle w:val="a3"/>
        <w:spacing w:before="162" w:line="360" w:lineRule="auto"/>
        <w:ind w:right="310" w:firstLine="707"/>
      </w:pPr>
      <w:r>
        <w:t>Реактивний гідроторакс на першу добу від госпіталізації діагностовано у 20 пацієнтів (23,0%). При цьому лівобічний гідроторакс виявлено у 19,5%, правобічний – 2,3% (табл. 3.3).</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left="8189"/>
        <w:rPr>
          <w:i/>
          <w:sz w:val="28"/>
        </w:rPr>
      </w:pPr>
      <w:r>
        <w:rPr>
          <w:i/>
          <w:sz w:val="28"/>
        </w:rPr>
        <w:lastRenderedPageBreak/>
        <w:t>Таблиця 3.1</w:t>
      </w:r>
    </w:p>
    <w:p w:rsidR="00B23B94" w:rsidRDefault="003B2D3B">
      <w:pPr>
        <w:pStyle w:val="1"/>
        <w:spacing w:before="163" w:line="360" w:lineRule="auto"/>
        <w:ind w:left="3781" w:right="1331" w:hanging="2523"/>
      </w:pPr>
      <w:r>
        <w:rPr>
          <w:noProof/>
          <w:lang w:eastAsia="uk-UA"/>
        </w:rPr>
        <mc:AlternateContent>
          <mc:Choice Requires="wps">
            <w:drawing>
              <wp:anchor distT="0" distB="0" distL="114300" distR="114300" simplePos="0" relativeHeight="483706880" behindDoc="1" locked="0" layoutInCell="1" allowOverlap="1">
                <wp:simplePos x="0" y="0"/>
                <wp:positionH relativeFrom="page">
                  <wp:posOffset>1015365</wp:posOffset>
                </wp:positionH>
                <wp:positionV relativeFrom="paragraph">
                  <wp:posOffset>721995</wp:posOffset>
                </wp:positionV>
                <wp:extent cx="1652270" cy="1348740"/>
                <wp:effectExtent l="0" t="0" r="0" b="0"/>
                <wp:wrapNone/>
                <wp:docPr id="15"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2270" cy="134874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19609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56.85pt" to="210.05pt,16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" strokeweight=".48pt">
                <w10:wrap anchorx="page"/>
              </v:line>
            </w:pict>
          </mc:Fallback>
        </mc:AlternateContent>
      </w:r>
      <w:r>
        <w:t>Поширеність локальних парапанкреатичних ускладнень у пацієнтів з ГТП</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12"/>
        <w:gridCol w:w="691"/>
        <w:gridCol w:w="708"/>
        <w:gridCol w:w="705"/>
        <w:gridCol w:w="705"/>
        <w:gridCol w:w="705"/>
        <w:gridCol w:w="708"/>
        <w:gridCol w:w="703"/>
        <w:gridCol w:w="705"/>
        <w:gridCol w:w="691"/>
        <w:gridCol w:w="707"/>
      </w:tblGrid>
      <w:tr w:rsidR="00B23B94">
        <w:trPr>
          <w:trHeight w:val="839"/>
        </w:trPr>
        <w:tc>
          <w:tcPr>
            <w:tcW w:w="2612" w:type="dxa"/>
            <w:tcBorders>
              <w:bottom w:val="nil"/>
            </w:tcBorders>
          </w:tcPr>
          <w:p w:rsidR="00B23B94" w:rsidRDefault="003B2D3B">
            <w:pPr>
              <w:pStyle w:val="TableParagraph"/>
              <w:ind w:left="107" w:right="414" w:firstLine="208"/>
              <w:jc w:val="left"/>
              <w:rPr>
                <w:b/>
                <w:sz w:val="24"/>
              </w:rPr>
            </w:pPr>
            <w:r>
              <w:rPr>
                <w:b/>
                <w:sz w:val="24"/>
              </w:rPr>
              <w:t>Доба від початку захворювання</w:t>
            </w:r>
          </w:p>
        </w:tc>
        <w:tc>
          <w:tcPr>
            <w:tcW w:w="1399" w:type="dxa"/>
            <w:gridSpan w:val="2"/>
          </w:tcPr>
          <w:p w:rsidR="00B23B94" w:rsidRDefault="003B2D3B">
            <w:pPr>
              <w:pStyle w:val="TableParagraph"/>
              <w:spacing w:before="180"/>
              <w:ind w:left="8"/>
              <w:rPr>
                <w:b/>
                <w:sz w:val="28"/>
              </w:rPr>
            </w:pPr>
            <w:r>
              <w:rPr>
                <w:b/>
                <w:sz w:val="28"/>
              </w:rPr>
              <w:t>1</w:t>
            </w:r>
          </w:p>
        </w:tc>
        <w:tc>
          <w:tcPr>
            <w:tcW w:w="1410" w:type="dxa"/>
            <w:gridSpan w:val="2"/>
          </w:tcPr>
          <w:p w:rsidR="00B23B94" w:rsidRDefault="003B2D3B">
            <w:pPr>
              <w:pStyle w:val="TableParagraph"/>
              <w:spacing w:before="180"/>
              <w:ind w:left="12"/>
              <w:rPr>
                <w:b/>
                <w:sz w:val="28"/>
              </w:rPr>
            </w:pPr>
            <w:r>
              <w:rPr>
                <w:b/>
                <w:sz w:val="28"/>
              </w:rPr>
              <w:t>2</w:t>
            </w:r>
          </w:p>
        </w:tc>
        <w:tc>
          <w:tcPr>
            <w:tcW w:w="1413" w:type="dxa"/>
            <w:gridSpan w:val="2"/>
          </w:tcPr>
          <w:p w:rsidR="00B23B94" w:rsidRDefault="003B2D3B">
            <w:pPr>
              <w:pStyle w:val="TableParagraph"/>
              <w:spacing w:before="180"/>
              <w:ind w:left="500" w:right="488"/>
              <w:rPr>
                <w:b/>
                <w:sz w:val="28"/>
              </w:rPr>
            </w:pPr>
            <w:r>
              <w:rPr>
                <w:b/>
                <w:sz w:val="28"/>
              </w:rPr>
              <w:t>6-7</w:t>
            </w:r>
          </w:p>
        </w:tc>
        <w:tc>
          <w:tcPr>
            <w:tcW w:w="1408" w:type="dxa"/>
            <w:gridSpan w:val="2"/>
          </w:tcPr>
          <w:p w:rsidR="00B23B94" w:rsidRDefault="003B2D3B">
            <w:pPr>
              <w:pStyle w:val="TableParagraph"/>
              <w:spacing w:before="180"/>
              <w:ind w:left="379"/>
              <w:jc w:val="left"/>
              <w:rPr>
                <w:b/>
                <w:sz w:val="28"/>
              </w:rPr>
            </w:pPr>
            <w:r>
              <w:rPr>
                <w:b/>
                <w:sz w:val="28"/>
              </w:rPr>
              <w:t>12-14</w:t>
            </w:r>
          </w:p>
        </w:tc>
        <w:tc>
          <w:tcPr>
            <w:tcW w:w="1398" w:type="dxa"/>
            <w:gridSpan w:val="2"/>
          </w:tcPr>
          <w:p w:rsidR="00B23B94" w:rsidRDefault="003B2D3B">
            <w:pPr>
              <w:pStyle w:val="TableParagraph"/>
              <w:spacing w:before="180"/>
              <w:ind w:left="375"/>
              <w:jc w:val="left"/>
              <w:rPr>
                <w:b/>
                <w:sz w:val="28"/>
              </w:rPr>
            </w:pPr>
            <w:r>
              <w:rPr>
                <w:b/>
                <w:sz w:val="28"/>
              </w:rPr>
              <w:t>20-21</w:t>
            </w:r>
          </w:p>
        </w:tc>
      </w:tr>
      <w:tr w:rsidR="00B23B94">
        <w:trPr>
          <w:trHeight w:val="1274"/>
        </w:trPr>
        <w:tc>
          <w:tcPr>
            <w:tcW w:w="2612" w:type="dxa"/>
            <w:tcBorders>
              <w:top w:val="nil"/>
            </w:tcBorders>
          </w:tcPr>
          <w:p w:rsidR="00B23B94" w:rsidRDefault="00B23B94">
            <w:pPr>
              <w:pStyle w:val="TableParagraph"/>
              <w:jc w:val="left"/>
              <w:rPr>
                <w:b/>
                <w:sz w:val="26"/>
              </w:rPr>
            </w:pPr>
          </w:p>
          <w:p w:rsidR="00B23B94" w:rsidRDefault="00B23B94">
            <w:pPr>
              <w:pStyle w:val="TableParagraph"/>
              <w:spacing w:before="11"/>
              <w:jc w:val="left"/>
              <w:rPr>
                <w:b/>
                <w:sz w:val="23"/>
              </w:rPr>
            </w:pPr>
          </w:p>
          <w:p w:rsidR="00B23B94" w:rsidRDefault="003B2D3B">
            <w:pPr>
              <w:pStyle w:val="TableParagraph"/>
              <w:ind w:left="107"/>
              <w:jc w:val="left"/>
              <w:rPr>
                <w:b/>
                <w:sz w:val="24"/>
              </w:rPr>
            </w:pPr>
            <w:r>
              <w:rPr>
                <w:b/>
                <w:sz w:val="24"/>
              </w:rPr>
              <w:t>к-сть ЗППН</w:t>
            </w:r>
          </w:p>
        </w:tc>
        <w:tc>
          <w:tcPr>
            <w:tcW w:w="691" w:type="dxa"/>
          </w:tcPr>
          <w:p w:rsidR="00B23B94" w:rsidRDefault="00B23B94">
            <w:pPr>
              <w:pStyle w:val="TableParagraph"/>
              <w:spacing w:before="5"/>
              <w:jc w:val="left"/>
              <w:rPr>
                <w:b/>
                <w:sz w:val="34"/>
              </w:rPr>
            </w:pPr>
          </w:p>
          <w:p w:rsidR="00B23B94" w:rsidRDefault="003B2D3B">
            <w:pPr>
              <w:pStyle w:val="TableParagraph"/>
              <w:ind w:left="83" w:right="74"/>
              <w:rPr>
                <w:b/>
                <w:sz w:val="28"/>
              </w:rPr>
            </w:pPr>
            <w:r>
              <w:rPr>
                <w:b/>
                <w:sz w:val="28"/>
              </w:rPr>
              <w:t>абс.</w:t>
            </w:r>
          </w:p>
        </w:tc>
        <w:tc>
          <w:tcPr>
            <w:tcW w:w="708" w:type="dxa"/>
          </w:tcPr>
          <w:p w:rsidR="00B23B94" w:rsidRDefault="00B23B94">
            <w:pPr>
              <w:pStyle w:val="TableParagraph"/>
              <w:spacing w:before="5"/>
              <w:jc w:val="left"/>
              <w:rPr>
                <w:b/>
                <w:sz w:val="34"/>
              </w:rPr>
            </w:pPr>
          </w:p>
          <w:p w:rsidR="00B23B94" w:rsidRDefault="003B2D3B">
            <w:pPr>
              <w:pStyle w:val="TableParagraph"/>
              <w:ind w:left="9"/>
              <w:rPr>
                <w:b/>
                <w:sz w:val="28"/>
              </w:rPr>
            </w:pPr>
            <w:r>
              <w:rPr>
                <w:b/>
                <w:sz w:val="28"/>
              </w:rPr>
              <w:t>%</w:t>
            </w:r>
          </w:p>
        </w:tc>
        <w:tc>
          <w:tcPr>
            <w:tcW w:w="705" w:type="dxa"/>
          </w:tcPr>
          <w:p w:rsidR="00B23B94" w:rsidRDefault="00B23B94">
            <w:pPr>
              <w:pStyle w:val="TableParagraph"/>
              <w:spacing w:before="5"/>
              <w:jc w:val="left"/>
              <w:rPr>
                <w:b/>
                <w:sz w:val="34"/>
              </w:rPr>
            </w:pPr>
          </w:p>
          <w:p w:rsidR="00B23B94" w:rsidRDefault="003B2D3B">
            <w:pPr>
              <w:pStyle w:val="TableParagraph"/>
              <w:ind w:left="84" w:right="73"/>
              <w:rPr>
                <w:b/>
                <w:sz w:val="28"/>
              </w:rPr>
            </w:pPr>
            <w:r>
              <w:rPr>
                <w:b/>
                <w:sz w:val="28"/>
              </w:rPr>
              <w:t>абс.</w:t>
            </w:r>
          </w:p>
        </w:tc>
        <w:tc>
          <w:tcPr>
            <w:tcW w:w="705" w:type="dxa"/>
          </w:tcPr>
          <w:p w:rsidR="00B23B94" w:rsidRDefault="00B23B94">
            <w:pPr>
              <w:pStyle w:val="TableParagraph"/>
              <w:spacing w:before="5"/>
              <w:jc w:val="left"/>
              <w:rPr>
                <w:b/>
                <w:sz w:val="34"/>
              </w:rPr>
            </w:pPr>
          </w:p>
          <w:p w:rsidR="00B23B94" w:rsidRDefault="003B2D3B">
            <w:pPr>
              <w:pStyle w:val="TableParagraph"/>
              <w:ind w:left="9"/>
              <w:rPr>
                <w:b/>
                <w:sz w:val="28"/>
              </w:rPr>
            </w:pPr>
            <w:r>
              <w:rPr>
                <w:b/>
                <w:sz w:val="28"/>
              </w:rPr>
              <w:t>%</w:t>
            </w:r>
          </w:p>
        </w:tc>
        <w:tc>
          <w:tcPr>
            <w:tcW w:w="705" w:type="dxa"/>
          </w:tcPr>
          <w:p w:rsidR="00B23B94" w:rsidRDefault="00B23B94">
            <w:pPr>
              <w:pStyle w:val="TableParagraph"/>
              <w:spacing w:before="5"/>
              <w:jc w:val="left"/>
              <w:rPr>
                <w:b/>
                <w:sz w:val="34"/>
              </w:rPr>
            </w:pPr>
          </w:p>
          <w:p w:rsidR="00B23B94" w:rsidRDefault="003B2D3B">
            <w:pPr>
              <w:pStyle w:val="TableParagraph"/>
              <w:ind w:left="81" w:right="73"/>
              <w:rPr>
                <w:b/>
                <w:sz w:val="28"/>
              </w:rPr>
            </w:pPr>
            <w:r>
              <w:rPr>
                <w:b/>
                <w:sz w:val="28"/>
              </w:rPr>
              <w:t>абс.</w:t>
            </w:r>
          </w:p>
        </w:tc>
        <w:tc>
          <w:tcPr>
            <w:tcW w:w="708" w:type="dxa"/>
          </w:tcPr>
          <w:p w:rsidR="00B23B94" w:rsidRDefault="00B23B94">
            <w:pPr>
              <w:pStyle w:val="TableParagraph"/>
              <w:spacing w:before="5"/>
              <w:jc w:val="left"/>
              <w:rPr>
                <w:b/>
                <w:sz w:val="34"/>
              </w:rPr>
            </w:pPr>
          </w:p>
          <w:p w:rsidR="00B23B94" w:rsidRDefault="003B2D3B">
            <w:pPr>
              <w:pStyle w:val="TableParagraph"/>
              <w:ind w:left="10"/>
              <w:rPr>
                <w:b/>
                <w:sz w:val="28"/>
              </w:rPr>
            </w:pPr>
            <w:r>
              <w:rPr>
                <w:b/>
                <w:sz w:val="28"/>
              </w:rPr>
              <w:t>%</w:t>
            </w:r>
          </w:p>
        </w:tc>
        <w:tc>
          <w:tcPr>
            <w:tcW w:w="703" w:type="dxa"/>
          </w:tcPr>
          <w:p w:rsidR="00B23B94" w:rsidRDefault="00B23B94">
            <w:pPr>
              <w:pStyle w:val="TableParagraph"/>
              <w:spacing w:before="5"/>
              <w:jc w:val="left"/>
              <w:rPr>
                <w:b/>
                <w:sz w:val="34"/>
              </w:rPr>
            </w:pPr>
          </w:p>
          <w:p w:rsidR="00B23B94" w:rsidRDefault="003B2D3B">
            <w:pPr>
              <w:pStyle w:val="TableParagraph"/>
              <w:ind w:left="95" w:right="82"/>
              <w:rPr>
                <w:b/>
                <w:sz w:val="28"/>
              </w:rPr>
            </w:pPr>
            <w:r>
              <w:rPr>
                <w:b/>
                <w:sz w:val="28"/>
              </w:rPr>
              <w:t>абс.</w:t>
            </w:r>
          </w:p>
        </w:tc>
        <w:tc>
          <w:tcPr>
            <w:tcW w:w="705" w:type="dxa"/>
          </w:tcPr>
          <w:p w:rsidR="00B23B94" w:rsidRDefault="00B23B94">
            <w:pPr>
              <w:pStyle w:val="TableParagraph"/>
              <w:spacing w:before="5"/>
              <w:jc w:val="left"/>
              <w:rPr>
                <w:b/>
                <w:sz w:val="34"/>
              </w:rPr>
            </w:pPr>
          </w:p>
          <w:p w:rsidR="00B23B94" w:rsidRDefault="003B2D3B">
            <w:pPr>
              <w:pStyle w:val="TableParagraph"/>
              <w:ind w:left="13"/>
              <w:rPr>
                <w:b/>
                <w:sz w:val="28"/>
              </w:rPr>
            </w:pPr>
            <w:r>
              <w:rPr>
                <w:b/>
                <w:sz w:val="28"/>
              </w:rPr>
              <w:t>%</w:t>
            </w:r>
          </w:p>
        </w:tc>
        <w:tc>
          <w:tcPr>
            <w:tcW w:w="691" w:type="dxa"/>
          </w:tcPr>
          <w:p w:rsidR="00B23B94" w:rsidRDefault="00B23B94">
            <w:pPr>
              <w:pStyle w:val="TableParagraph"/>
              <w:spacing w:before="5"/>
              <w:jc w:val="left"/>
              <w:rPr>
                <w:b/>
                <w:sz w:val="34"/>
              </w:rPr>
            </w:pPr>
          </w:p>
          <w:p w:rsidR="00B23B94" w:rsidRDefault="003B2D3B">
            <w:pPr>
              <w:pStyle w:val="TableParagraph"/>
              <w:ind w:left="87" w:right="70"/>
              <w:rPr>
                <w:b/>
                <w:sz w:val="28"/>
              </w:rPr>
            </w:pPr>
            <w:r>
              <w:rPr>
                <w:b/>
                <w:sz w:val="28"/>
              </w:rPr>
              <w:t>абс.</w:t>
            </w:r>
          </w:p>
        </w:tc>
        <w:tc>
          <w:tcPr>
            <w:tcW w:w="707" w:type="dxa"/>
          </w:tcPr>
          <w:p w:rsidR="00B23B94" w:rsidRDefault="00B23B94">
            <w:pPr>
              <w:pStyle w:val="TableParagraph"/>
              <w:spacing w:before="5"/>
              <w:jc w:val="left"/>
              <w:rPr>
                <w:b/>
                <w:sz w:val="34"/>
              </w:rPr>
            </w:pPr>
          </w:p>
          <w:p w:rsidR="00B23B94" w:rsidRDefault="003B2D3B">
            <w:pPr>
              <w:pStyle w:val="TableParagraph"/>
              <w:ind w:left="14"/>
              <w:rPr>
                <w:b/>
                <w:sz w:val="28"/>
              </w:rPr>
            </w:pPr>
            <w:r>
              <w:rPr>
                <w:b/>
                <w:sz w:val="28"/>
              </w:rPr>
              <w:t>%</w:t>
            </w:r>
          </w:p>
        </w:tc>
      </w:tr>
      <w:tr w:rsidR="00B23B94">
        <w:trPr>
          <w:trHeight w:val="837"/>
        </w:trPr>
        <w:tc>
          <w:tcPr>
            <w:tcW w:w="2612" w:type="dxa"/>
          </w:tcPr>
          <w:p w:rsidR="00B23B94" w:rsidRDefault="003B2D3B">
            <w:pPr>
              <w:pStyle w:val="TableParagraph"/>
              <w:spacing w:before="177"/>
              <w:ind w:left="9"/>
              <w:rPr>
                <w:sz w:val="28"/>
              </w:rPr>
            </w:pPr>
            <w:r>
              <w:rPr>
                <w:sz w:val="28"/>
              </w:rPr>
              <w:t>1</w:t>
            </w:r>
          </w:p>
        </w:tc>
        <w:tc>
          <w:tcPr>
            <w:tcW w:w="691" w:type="dxa"/>
          </w:tcPr>
          <w:p w:rsidR="00B23B94" w:rsidRDefault="003B2D3B">
            <w:pPr>
              <w:pStyle w:val="TableParagraph"/>
              <w:spacing w:before="177"/>
              <w:ind w:left="83" w:right="74"/>
              <w:rPr>
                <w:sz w:val="28"/>
              </w:rPr>
            </w:pPr>
            <w:r>
              <w:rPr>
                <w:sz w:val="28"/>
              </w:rPr>
              <w:t>19</w:t>
            </w:r>
          </w:p>
        </w:tc>
        <w:tc>
          <w:tcPr>
            <w:tcW w:w="708" w:type="dxa"/>
          </w:tcPr>
          <w:p w:rsidR="00B23B94" w:rsidRDefault="003B2D3B">
            <w:pPr>
              <w:pStyle w:val="TableParagraph"/>
              <w:spacing w:before="177"/>
              <w:ind w:left="79" w:right="72"/>
              <w:rPr>
                <w:sz w:val="28"/>
              </w:rPr>
            </w:pPr>
            <w:r>
              <w:rPr>
                <w:sz w:val="28"/>
              </w:rPr>
              <w:t>21,8</w:t>
            </w:r>
          </w:p>
        </w:tc>
        <w:tc>
          <w:tcPr>
            <w:tcW w:w="705" w:type="dxa"/>
          </w:tcPr>
          <w:p w:rsidR="00B23B94" w:rsidRDefault="003B2D3B">
            <w:pPr>
              <w:pStyle w:val="TableParagraph"/>
              <w:spacing w:before="177"/>
              <w:ind w:left="83" w:right="73"/>
              <w:rPr>
                <w:sz w:val="28"/>
              </w:rPr>
            </w:pPr>
            <w:r>
              <w:rPr>
                <w:sz w:val="28"/>
              </w:rPr>
              <w:t>19</w:t>
            </w:r>
          </w:p>
        </w:tc>
        <w:tc>
          <w:tcPr>
            <w:tcW w:w="705" w:type="dxa"/>
          </w:tcPr>
          <w:p w:rsidR="00B23B94" w:rsidRDefault="003B2D3B">
            <w:pPr>
              <w:pStyle w:val="TableParagraph"/>
              <w:spacing w:before="177"/>
              <w:ind w:left="85" w:right="73"/>
              <w:rPr>
                <w:sz w:val="28"/>
              </w:rPr>
            </w:pPr>
            <w:r>
              <w:rPr>
                <w:sz w:val="28"/>
              </w:rPr>
              <w:t>21,8</w:t>
            </w:r>
          </w:p>
        </w:tc>
        <w:tc>
          <w:tcPr>
            <w:tcW w:w="705" w:type="dxa"/>
          </w:tcPr>
          <w:p w:rsidR="00B23B94" w:rsidRDefault="003B2D3B">
            <w:pPr>
              <w:pStyle w:val="TableParagraph"/>
              <w:spacing w:before="177"/>
              <w:ind w:left="86" w:right="73"/>
              <w:rPr>
                <w:sz w:val="28"/>
              </w:rPr>
            </w:pPr>
            <w:r>
              <w:rPr>
                <w:sz w:val="28"/>
              </w:rPr>
              <w:t>32</w:t>
            </w:r>
          </w:p>
        </w:tc>
        <w:tc>
          <w:tcPr>
            <w:tcW w:w="708" w:type="dxa"/>
          </w:tcPr>
          <w:p w:rsidR="00B23B94" w:rsidRDefault="003B2D3B">
            <w:pPr>
              <w:pStyle w:val="TableParagraph"/>
              <w:spacing w:before="177"/>
              <w:ind w:left="80" w:right="72"/>
              <w:rPr>
                <w:sz w:val="28"/>
              </w:rPr>
            </w:pPr>
            <w:r>
              <w:rPr>
                <w:sz w:val="28"/>
              </w:rPr>
              <w:t>36,8</w:t>
            </w:r>
          </w:p>
        </w:tc>
        <w:tc>
          <w:tcPr>
            <w:tcW w:w="703" w:type="dxa"/>
          </w:tcPr>
          <w:p w:rsidR="00B23B94" w:rsidRDefault="003B2D3B">
            <w:pPr>
              <w:pStyle w:val="TableParagraph"/>
              <w:spacing w:before="177"/>
              <w:ind w:left="94" w:right="82"/>
              <w:rPr>
                <w:sz w:val="28"/>
              </w:rPr>
            </w:pPr>
            <w:r>
              <w:rPr>
                <w:sz w:val="28"/>
              </w:rPr>
              <w:t>29</w:t>
            </w:r>
          </w:p>
        </w:tc>
        <w:tc>
          <w:tcPr>
            <w:tcW w:w="705" w:type="dxa"/>
          </w:tcPr>
          <w:p w:rsidR="00B23B94" w:rsidRDefault="003B2D3B">
            <w:pPr>
              <w:pStyle w:val="TableParagraph"/>
              <w:spacing w:before="177"/>
              <w:ind w:left="88" w:right="72"/>
              <w:rPr>
                <w:sz w:val="28"/>
              </w:rPr>
            </w:pPr>
            <w:r>
              <w:rPr>
                <w:sz w:val="28"/>
              </w:rPr>
              <w:t>33,3</w:t>
            </w:r>
          </w:p>
        </w:tc>
        <w:tc>
          <w:tcPr>
            <w:tcW w:w="691" w:type="dxa"/>
          </w:tcPr>
          <w:p w:rsidR="00B23B94" w:rsidRDefault="003B2D3B">
            <w:pPr>
              <w:pStyle w:val="TableParagraph"/>
              <w:spacing w:before="177"/>
              <w:ind w:left="87" w:right="70"/>
              <w:rPr>
                <w:sz w:val="28"/>
              </w:rPr>
            </w:pPr>
            <w:r>
              <w:rPr>
                <w:sz w:val="28"/>
              </w:rPr>
              <w:t>29</w:t>
            </w:r>
          </w:p>
        </w:tc>
        <w:tc>
          <w:tcPr>
            <w:tcW w:w="707" w:type="dxa"/>
          </w:tcPr>
          <w:p w:rsidR="00B23B94" w:rsidRDefault="003B2D3B">
            <w:pPr>
              <w:pStyle w:val="TableParagraph"/>
              <w:spacing w:before="177"/>
              <w:ind w:left="84" w:right="68"/>
              <w:rPr>
                <w:sz w:val="28"/>
              </w:rPr>
            </w:pPr>
            <w:r>
              <w:rPr>
                <w:sz w:val="28"/>
              </w:rPr>
              <w:t>33,3</w:t>
            </w:r>
          </w:p>
        </w:tc>
      </w:tr>
      <w:tr w:rsidR="00B23B94">
        <w:trPr>
          <w:trHeight w:val="840"/>
        </w:trPr>
        <w:tc>
          <w:tcPr>
            <w:tcW w:w="2612" w:type="dxa"/>
          </w:tcPr>
          <w:p w:rsidR="00B23B94" w:rsidRDefault="003B2D3B">
            <w:pPr>
              <w:pStyle w:val="TableParagraph"/>
              <w:spacing w:before="180"/>
              <w:ind w:left="9"/>
              <w:rPr>
                <w:sz w:val="28"/>
              </w:rPr>
            </w:pPr>
            <w:r>
              <w:rPr>
                <w:sz w:val="28"/>
              </w:rPr>
              <w:t>2</w:t>
            </w:r>
          </w:p>
        </w:tc>
        <w:tc>
          <w:tcPr>
            <w:tcW w:w="691" w:type="dxa"/>
          </w:tcPr>
          <w:p w:rsidR="00B23B94" w:rsidRDefault="003B2D3B">
            <w:pPr>
              <w:pStyle w:val="TableParagraph"/>
              <w:spacing w:before="180"/>
              <w:ind w:left="83" w:right="74"/>
              <w:rPr>
                <w:sz w:val="28"/>
              </w:rPr>
            </w:pPr>
            <w:r>
              <w:rPr>
                <w:sz w:val="28"/>
              </w:rPr>
              <w:t>24</w:t>
            </w:r>
          </w:p>
        </w:tc>
        <w:tc>
          <w:tcPr>
            <w:tcW w:w="708" w:type="dxa"/>
          </w:tcPr>
          <w:p w:rsidR="00B23B94" w:rsidRDefault="003B2D3B">
            <w:pPr>
              <w:pStyle w:val="TableParagraph"/>
              <w:spacing w:before="180"/>
              <w:ind w:left="79" w:right="72"/>
              <w:rPr>
                <w:sz w:val="28"/>
              </w:rPr>
            </w:pPr>
            <w:r>
              <w:rPr>
                <w:sz w:val="28"/>
              </w:rPr>
              <w:t>27,6</w:t>
            </w:r>
          </w:p>
        </w:tc>
        <w:tc>
          <w:tcPr>
            <w:tcW w:w="705" w:type="dxa"/>
          </w:tcPr>
          <w:p w:rsidR="00B23B94" w:rsidRDefault="003B2D3B">
            <w:pPr>
              <w:pStyle w:val="TableParagraph"/>
              <w:spacing w:before="180"/>
              <w:ind w:left="83" w:right="73"/>
              <w:rPr>
                <w:sz w:val="28"/>
              </w:rPr>
            </w:pPr>
            <w:r>
              <w:rPr>
                <w:sz w:val="28"/>
              </w:rPr>
              <w:t>24</w:t>
            </w:r>
          </w:p>
        </w:tc>
        <w:tc>
          <w:tcPr>
            <w:tcW w:w="705" w:type="dxa"/>
          </w:tcPr>
          <w:p w:rsidR="00B23B94" w:rsidRDefault="003B2D3B">
            <w:pPr>
              <w:pStyle w:val="TableParagraph"/>
              <w:spacing w:before="180"/>
              <w:ind w:left="85" w:right="73"/>
              <w:rPr>
                <w:sz w:val="28"/>
              </w:rPr>
            </w:pPr>
            <w:r>
              <w:rPr>
                <w:sz w:val="28"/>
              </w:rPr>
              <w:t>27,6</w:t>
            </w:r>
          </w:p>
        </w:tc>
        <w:tc>
          <w:tcPr>
            <w:tcW w:w="705" w:type="dxa"/>
          </w:tcPr>
          <w:p w:rsidR="00B23B94" w:rsidRDefault="003B2D3B">
            <w:pPr>
              <w:pStyle w:val="TableParagraph"/>
              <w:spacing w:before="180"/>
              <w:ind w:left="86" w:right="73"/>
              <w:rPr>
                <w:sz w:val="28"/>
              </w:rPr>
            </w:pPr>
            <w:r>
              <w:rPr>
                <w:sz w:val="28"/>
              </w:rPr>
              <w:t>23</w:t>
            </w:r>
          </w:p>
        </w:tc>
        <w:tc>
          <w:tcPr>
            <w:tcW w:w="708" w:type="dxa"/>
          </w:tcPr>
          <w:p w:rsidR="00B23B94" w:rsidRDefault="003B2D3B">
            <w:pPr>
              <w:pStyle w:val="TableParagraph"/>
              <w:spacing w:before="180"/>
              <w:ind w:left="80" w:right="72"/>
              <w:rPr>
                <w:sz w:val="28"/>
              </w:rPr>
            </w:pPr>
            <w:r>
              <w:rPr>
                <w:sz w:val="28"/>
              </w:rPr>
              <w:t>26,4</w:t>
            </w:r>
          </w:p>
        </w:tc>
        <w:tc>
          <w:tcPr>
            <w:tcW w:w="703" w:type="dxa"/>
          </w:tcPr>
          <w:p w:rsidR="00B23B94" w:rsidRDefault="003B2D3B">
            <w:pPr>
              <w:pStyle w:val="TableParagraph"/>
              <w:spacing w:before="180"/>
              <w:ind w:left="94" w:right="82"/>
              <w:rPr>
                <w:sz w:val="28"/>
              </w:rPr>
            </w:pPr>
            <w:r>
              <w:rPr>
                <w:sz w:val="28"/>
              </w:rPr>
              <w:t>26</w:t>
            </w:r>
          </w:p>
        </w:tc>
        <w:tc>
          <w:tcPr>
            <w:tcW w:w="705" w:type="dxa"/>
          </w:tcPr>
          <w:p w:rsidR="00B23B94" w:rsidRDefault="003B2D3B">
            <w:pPr>
              <w:pStyle w:val="TableParagraph"/>
              <w:spacing w:before="180"/>
              <w:ind w:left="88" w:right="72"/>
              <w:rPr>
                <w:sz w:val="28"/>
              </w:rPr>
            </w:pPr>
            <w:r>
              <w:rPr>
                <w:sz w:val="28"/>
              </w:rPr>
              <w:t>29,8</w:t>
            </w:r>
          </w:p>
        </w:tc>
        <w:tc>
          <w:tcPr>
            <w:tcW w:w="691" w:type="dxa"/>
          </w:tcPr>
          <w:p w:rsidR="00B23B94" w:rsidRDefault="003B2D3B">
            <w:pPr>
              <w:pStyle w:val="TableParagraph"/>
              <w:spacing w:before="180"/>
              <w:ind w:left="87" w:right="70"/>
              <w:rPr>
                <w:sz w:val="28"/>
              </w:rPr>
            </w:pPr>
            <w:r>
              <w:rPr>
                <w:sz w:val="28"/>
              </w:rPr>
              <w:t>27</w:t>
            </w:r>
          </w:p>
        </w:tc>
        <w:tc>
          <w:tcPr>
            <w:tcW w:w="707" w:type="dxa"/>
          </w:tcPr>
          <w:p w:rsidR="00B23B94" w:rsidRDefault="003B2D3B">
            <w:pPr>
              <w:pStyle w:val="TableParagraph"/>
              <w:spacing w:before="180"/>
              <w:ind w:left="84" w:right="68"/>
              <w:rPr>
                <w:sz w:val="28"/>
              </w:rPr>
            </w:pPr>
            <w:r>
              <w:rPr>
                <w:sz w:val="28"/>
              </w:rPr>
              <w:t>31,0</w:t>
            </w:r>
          </w:p>
        </w:tc>
      </w:tr>
      <w:tr w:rsidR="00B23B94">
        <w:trPr>
          <w:trHeight w:val="839"/>
        </w:trPr>
        <w:tc>
          <w:tcPr>
            <w:tcW w:w="2612" w:type="dxa"/>
          </w:tcPr>
          <w:p w:rsidR="00B23B94" w:rsidRDefault="003B2D3B">
            <w:pPr>
              <w:pStyle w:val="TableParagraph"/>
              <w:spacing w:before="177"/>
              <w:ind w:left="1098" w:right="1089"/>
              <w:rPr>
                <w:sz w:val="28"/>
              </w:rPr>
            </w:pPr>
            <w:r>
              <w:rPr>
                <w:sz w:val="28"/>
              </w:rPr>
              <w:t>3-4</w:t>
            </w:r>
          </w:p>
        </w:tc>
        <w:tc>
          <w:tcPr>
            <w:tcW w:w="691" w:type="dxa"/>
          </w:tcPr>
          <w:p w:rsidR="00B23B94" w:rsidRDefault="003B2D3B">
            <w:pPr>
              <w:pStyle w:val="TableParagraph"/>
              <w:spacing w:before="177"/>
              <w:ind w:left="83" w:right="74"/>
              <w:rPr>
                <w:sz w:val="28"/>
              </w:rPr>
            </w:pPr>
            <w:r>
              <w:rPr>
                <w:sz w:val="28"/>
              </w:rPr>
              <w:t>26</w:t>
            </w:r>
          </w:p>
        </w:tc>
        <w:tc>
          <w:tcPr>
            <w:tcW w:w="708" w:type="dxa"/>
          </w:tcPr>
          <w:p w:rsidR="00B23B94" w:rsidRDefault="003B2D3B">
            <w:pPr>
              <w:pStyle w:val="TableParagraph"/>
              <w:spacing w:before="177"/>
              <w:ind w:left="79" w:right="72"/>
              <w:rPr>
                <w:sz w:val="28"/>
              </w:rPr>
            </w:pPr>
            <w:r>
              <w:rPr>
                <w:sz w:val="28"/>
              </w:rPr>
              <w:t>29,9</w:t>
            </w:r>
          </w:p>
        </w:tc>
        <w:tc>
          <w:tcPr>
            <w:tcW w:w="705" w:type="dxa"/>
          </w:tcPr>
          <w:p w:rsidR="00B23B94" w:rsidRDefault="003B2D3B">
            <w:pPr>
              <w:pStyle w:val="TableParagraph"/>
              <w:spacing w:before="177"/>
              <w:ind w:left="83" w:right="73"/>
              <w:rPr>
                <w:sz w:val="28"/>
              </w:rPr>
            </w:pPr>
            <w:r>
              <w:rPr>
                <w:sz w:val="28"/>
              </w:rPr>
              <w:t>26</w:t>
            </w:r>
          </w:p>
        </w:tc>
        <w:tc>
          <w:tcPr>
            <w:tcW w:w="705" w:type="dxa"/>
          </w:tcPr>
          <w:p w:rsidR="00B23B94" w:rsidRDefault="003B2D3B">
            <w:pPr>
              <w:pStyle w:val="TableParagraph"/>
              <w:spacing w:before="177"/>
              <w:ind w:left="85" w:right="73"/>
              <w:rPr>
                <w:sz w:val="28"/>
              </w:rPr>
            </w:pPr>
            <w:r>
              <w:rPr>
                <w:sz w:val="28"/>
              </w:rPr>
              <w:t>29,9</w:t>
            </w:r>
          </w:p>
        </w:tc>
        <w:tc>
          <w:tcPr>
            <w:tcW w:w="705" w:type="dxa"/>
          </w:tcPr>
          <w:p w:rsidR="00B23B94" w:rsidRDefault="003B2D3B">
            <w:pPr>
              <w:pStyle w:val="TableParagraph"/>
              <w:spacing w:before="177"/>
              <w:ind w:left="86" w:right="73"/>
              <w:rPr>
                <w:sz w:val="28"/>
              </w:rPr>
            </w:pPr>
            <w:r>
              <w:rPr>
                <w:sz w:val="28"/>
              </w:rPr>
              <w:t>20</w:t>
            </w:r>
          </w:p>
        </w:tc>
        <w:tc>
          <w:tcPr>
            <w:tcW w:w="708" w:type="dxa"/>
          </w:tcPr>
          <w:p w:rsidR="00B23B94" w:rsidRDefault="003B2D3B">
            <w:pPr>
              <w:pStyle w:val="TableParagraph"/>
              <w:spacing w:before="177"/>
              <w:ind w:left="80" w:right="72"/>
              <w:rPr>
                <w:sz w:val="28"/>
              </w:rPr>
            </w:pPr>
            <w:r>
              <w:rPr>
                <w:sz w:val="28"/>
              </w:rPr>
              <w:t>23,0</w:t>
            </w:r>
          </w:p>
        </w:tc>
        <w:tc>
          <w:tcPr>
            <w:tcW w:w="703" w:type="dxa"/>
          </w:tcPr>
          <w:p w:rsidR="00B23B94" w:rsidRDefault="003B2D3B">
            <w:pPr>
              <w:pStyle w:val="TableParagraph"/>
              <w:spacing w:before="177"/>
              <w:ind w:left="94" w:right="82"/>
              <w:rPr>
                <w:sz w:val="28"/>
              </w:rPr>
            </w:pPr>
            <w:r>
              <w:rPr>
                <w:sz w:val="28"/>
              </w:rPr>
              <w:t>22</w:t>
            </w:r>
          </w:p>
        </w:tc>
        <w:tc>
          <w:tcPr>
            <w:tcW w:w="705" w:type="dxa"/>
          </w:tcPr>
          <w:p w:rsidR="00B23B94" w:rsidRDefault="003B2D3B">
            <w:pPr>
              <w:pStyle w:val="TableParagraph"/>
              <w:spacing w:before="177"/>
              <w:ind w:left="88" w:right="72"/>
              <w:rPr>
                <w:sz w:val="28"/>
              </w:rPr>
            </w:pPr>
            <w:r>
              <w:rPr>
                <w:sz w:val="28"/>
              </w:rPr>
              <w:t>25,3</w:t>
            </w:r>
          </w:p>
        </w:tc>
        <w:tc>
          <w:tcPr>
            <w:tcW w:w="691" w:type="dxa"/>
          </w:tcPr>
          <w:p w:rsidR="00B23B94" w:rsidRDefault="003B2D3B">
            <w:pPr>
              <w:pStyle w:val="TableParagraph"/>
              <w:spacing w:before="177"/>
              <w:ind w:left="87" w:right="70"/>
              <w:rPr>
                <w:sz w:val="28"/>
              </w:rPr>
            </w:pPr>
            <w:r>
              <w:rPr>
                <w:sz w:val="28"/>
              </w:rPr>
              <w:t>21</w:t>
            </w:r>
          </w:p>
        </w:tc>
        <w:tc>
          <w:tcPr>
            <w:tcW w:w="707" w:type="dxa"/>
          </w:tcPr>
          <w:p w:rsidR="00B23B94" w:rsidRDefault="003B2D3B">
            <w:pPr>
              <w:pStyle w:val="TableParagraph"/>
              <w:spacing w:before="177"/>
              <w:ind w:left="84" w:right="68"/>
              <w:rPr>
                <w:sz w:val="28"/>
              </w:rPr>
            </w:pPr>
            <w:r>
              <w:rPr>
                <w:sz w:val="28"/>
              </w:rPr>
              <w:t>24,1</w:t>
            </w:r>
          </w:p>
        </w:tc>
      </w:tr>
      <w:tr w:rsidR="00B23B94">
        <w:trPr>
          <w:trHeight w:val="839"/>
        </w:trPr>
        <w:tc>
          <w:tcPr>
            <w:tcW w:w="2612" w:type="dxa"/>
          </w:tcPr>
          <w:p w:rsidR="00B23B94" w:rsidRDefault="003B2D3B">
            <w:pPr>
              <w:pStyle w:val="TableParagraph"/>
              <w:spacing w:before="177"/>
              <w:ind w:left="786"/>
              <w:jc w:val="left"/>
              <w:rPr>
                <w:sz w:val="28"/>
              </w:rPr>
            </w:pPr>
            <w:r>
              <w:rPr>
                <w:sz w:val="28"/>
              </w:rPr>
              <w:t>більше 5</w:t>
            </w:r>
          </w:p>
        </w:tc>
        <w:tc>
          <w:tcPr>
            <w:tcW w:w="691" w:type="dxa"/>
          </w:tcPr>
          <w:p w:rsidR="00B23B94" w:rsidRDefault="003B2D3B">
            <w:pPr>
              <w:pStyle w:val="TableParagraph"/>
              <w:spacing w:before="177"/>
              <w:ind w:left="83" w:right="74"/>
              <w:rPr>
                <w:sz w:val="28"/>
              </w:rPr>
            </w:pPr>
            <w:r>
              <w:rPr>
                <w:sz w:val="28"/>
              </w:rPr>
              <w:t>18</w:t>
            </w:r>
          </w:p>
        </w:tc>
        <w:tc>
          <w:tcPr>
            <w:tcW w:w="708" w:type="dxa"/>
          </w:tcPr>
          <w:p w:rsidR="00B23B94" w:rsidRDefault="003B2D3B">
            <w:pPr>
              <w:pStyle w:val="TableParagraph"/>
              <w:spacing w:before="177"/>
              <w:ind w:left="79" w:right="72"/>
              <w:rPr>
                <w:sz w:val="28"/>
              </w:rPr>
            </w:pPr>
            <w:r>
              <w:rPr>
                <w:sz w:val="28"/>
              </w:rPr>
              <w:t>20,7</w:t>
            </w:r>
          </w:p>
        </w:tc>
        <w:tc>
          <w:tcPr>
            <w:tcW w:w="705" w:type="dxa"/>
          </w:tcPr>
          <w:p w:rsidR="00B23B94" w:rsidRDefault="003B2D3B">
            <w:pPr>
              <w:pStyle w:val="TableParagraph"/>
              <w:spacing w:before="177"/>
              <w:ind w:left="83" w:right="73"/>
              <w:rPr>
                <w:sz w:val="28"/>
              </w:rPr>
            </w:pPr>
            <w:r>
              <w:rPr>
                <w:sz w:val="28"/>
              </w:rPr>
              <w:t>18</w:t>
            </w:r>
          </w:p>
        </w:tc>
        <w:tc>
          <w:tcPr>
            <w:tcW w:w="705" w:type="dxa"/>
          </w:tcPr>
          <w:p w:rsidR="00B23B94" w:rsidRDefault="003B2D3B">
            <w:pPr>
              <w:pStyle w:val="TableParagraph"/>
              <w:spacing w:before="177"/>
              <w:ind w:left="85" w:right="73"/>
              <w:rPr>
                <w:sz w:val="28"/>
              </w:rPr>
            </w:pPr>
            <w:r>
              <w:rPr>
                <w:sz w:val="28"/>
              </w:rPr>
              <w:t>20,7</w:t>
            </w:r>
          </w:p>
        </w:tc>
        <w:tc>
          <w:tcPr>
            <w:tcW w:w="705" w:type="dxa"/>
          </w:tcPr>
          <w:p w:rsidR="00B23B94" w:rsidRDefault="003B2D3B">
            <w:pPr>
              <w:pStyle w:val="TableParagraph"/>
              <w:spacing w:before="177"/>
              <w:ind w:left="86" w:right="73"/>
              <w:rPr>
                <w:sz w:val="28"/>
              </w:rPr>
            </w:pPr>
            <w:r>
              <w:rPr>
                <w:sz w:val="28"/>
              </w:rPr>
              <w:t>12</w:t>
            </w:r>
          </w:p>
        </w:tc>
        <w:tc>
          <w:tcPr>
            <w:tcW w:w="708" w:type="dxa"/>
          </w:tcPr>
          <w:p w:rsidR="00B23B94" w:rsidRDefault="003B2D3B">
            <w:pPr>
              <w:pStyle w:val="TableParagraph"/>
              <w:spacing w:before="177"/>
              <w:ind w:left="80" w:right="72"/>
              <w:rPr>
                <w:sz w:val="28"/>
              </w:rPr>
            </w:pPr>
            <w:r>
              <w:rPr>
                <w:sz w:val="28"/>
              </w:rPr>
              <w:t>13,8</w:t>
            </w:r>
          </w:p>
        </w:tc>
        <w:tc>
          <w:tcPr>
            <w:tcW w:w="703" w:type="dxa"/>
          </w:tcPr>
          <w:p w:rsidR="00B23B94" w:rsidRDefault="003B2D3B">
            <w:pPr>
              <w:pStyle w:val="TableParagraph"/>
              <w:spacing w:before="177"/>
              <w:ind w:left="94" w:right="82"/>
              <w:rPr>
                <w:sz w:val="28"/>
              </w:rPr>
            </w:pPr>
            <w:r>
              <w:rPr>
                <w:sz w:val="28"/>
              </w:rPr>
              <w:t>10</w:t>
            </w:r>
          </w:p>
        </w:tc>
        <w:tc>
          <w:tcPr>
            <w:tcW w:w="705" w:type="dxa"/>
          </w:tcPr>
          <w:p w:rsidR="00B23B94" w:rsidRDefault="003B2D3B">
            <w:pPr>
              <w:pStyle w:val="TableParagraph"/>
              <w:spacing w:before="177"/>
              <w:ind w:left="88" w:right="72"/>
              <w:rPr>
                <w:sz w:val="28"/>
              </w:rPr>
            </w:pPr>
            <w:r>
              <w:rPr>
                <w:sz w:val="28"/>
              </w:rPr>
              <w:t>11,6</w:t>
            </w:r>
          </w:p>
        </w:tc>
        <w:tc>
          <w:tcPr>
            <w:tcW w:w="691" w:type="dxa"/>
          </w:tcPr>
          <w:p w:rsidR="00B23B94" w:rsidRDefault="003B2D3B">
            <w:pPr>
              <w:pStyle w:val="TableParagraph"/>
              <w:spacing w:before="177"/>
              <w:ind w:left="87" w:right="70"/>
              <w:rPr>
                <w:sz w:val="28"/>
              </w:rPr>
            </w:pPr>
            <w:r>
              <w:rPr>
                <w:sz w:val="28"/>
              </w:rPr>
              <w:t>10</w:t>
            </w:r>
          </w:p>
        </w:tc>
        <w:tc>
          <w:tcPr>
            <w:tcW w:w="707" w:type="dxa"/>
          </w:tcPr>
          <w:p w:rsidR="00B23B94" w:rsidRDefault="003B2D3B">
            <w:pPr>
              <w:pStyle w:val="TableParagraph"/>
              <w:spacing w:before="177"/>
              <w:ind w:left="84" w:right="68"/>
              <w:rPr>
                <w:sz w:val="28"/>
              </w:rPr>
            </w:pPr>
            <w:r>
              <w:rPr>
                <w:sz w:val="28"/>
              </w:rPr>
              <w:t>11,6</w:t>
            </w:r>
          </w:p>
        </w:tc>
      </w:tr>
      <w:tr w:rsidR="00B23B94">
        <w:trPr>
          <w:trHeight w:val="837"/>
        </w:trPr>
        <w:tc>
          <w:tcPr>
            <w:tcW w:w="2612" w:type="dxa"/>
          </w:tcPr>
          <w:p w:rsidR="00B23B94" w:rsidRDefault="00B23B94">
            <w:pPr>
              <w:pStyle w:val="TableParagraph"/>
              <w:jc w:val="left"/>
              <w:rPr>
                <w:sz w:val="26"/>
              </w:rPr>
            </w:pPr>
          </w:p>
        </w:tc>
        <w:tc>
          <w:tcPr>
            <w:tcW w:w="691" w:type="dxa"/>
          </w:tcPr>
          <w:p w:rsidR="00B23B94" w:rsidRDefault="003B2D3B">
            <w:pPr>
              <w:pStyle w:val="TableParagraph"/>
              <w:spacing w:before="177"/>
              <w:ind w:left="83" w:right="74"/>
              <w:rPr>
                <w:sz w:val="28"/>
              </w:rPr>
            </w:pPr>
            <w:r>
              <w:rPr>
                <w:sz w:val="28"/>
              </w:rPr>
              <w:t>87</w:t>
            </w:r>
          </w:p>
        </w:tc>
        <w:tc>
          <w:tcPr>
            <w:tcW w:w="708" w:type="dxa"/>
          </w:tcPr>
          <w:p w:rsidR="00B23B94" w:rsidRDefault="003B2D3B">
            <w:pPr>
              <w:pStyle w:val="TableParagraph"/>
              <w:spacing w:before="177"/>
              <w:ind w:left="82" w:right="72"/>
              <w:rPr>
                <w:sz w:val="28"/>
              </w:rPr>
            </w:pPr>
            <w:r>
              <w:rPr>
                <w:sz w:val="28"/>
              </w:rPr>
              <w:t>100</w:t>
            </w:r>
          </w:p>
        </w:tc>
        <w:tc>
          <w:tcPr>
            <w:tcW w:w="705" w:type="dxa"/>
          </w:tcPr>
          <w:p w:rsidR="00B23B94" w:rsidRDefault="003B2D3B">
            <w:pPr>
              <w:pStyle w:val="TableParagraph"/>
              <w:spacing w:before="177"/>
              <w:ind w:left="83" w:right="73"/>
              <w:rPr>
                <w:sz w:val="28"/>
              </w:rPr>
            </w:pPr>
            <w:r>
              <w:rPr>
                <w:sz w:val="28"/>
              </w:rPr>
              <w:t>87</w:t>
            </w:r>
          </w:p>
        </w:tc>
        <w:tc>
          <w:tcPr>
            <w:tcW w:w="705" w:type="dxa"/>
          </w:tcPr>
          <w:p w:rsidR="00B23B94" w:rsidRDefault="003B2D3B">
            <w:pPr>
              <w:pStyle w:val="TableParagraph"/>
              <w:spacing w:before="177"/>
              <w:ind w:left="83" w:right="73"/>
              <w:rPr>
                <w:sz w:val="28"/>
              </w:rPr>
            </w:pPr>
            <w:r>
              <w:rPr>
                <w:sz w:val="28"/>
              </w:rPr>
              <w:t>100</w:t>
            </w:r>
          </w:p>
        </w:tc>
        <w:tc>
          <w:tcPr>
            <w:tcW w:w="705" w:type="dxa"/>
          </w:tcPr>
          <w:p w:rsidR="00B23B94" w:rsidRDefault="003B2D3B">
            <w:pPr>
              <w:pStyle w:val="TableParagraph"/>
              <w:spacing w:before="177"/>
              <w:ind w:left="86" w:right="73"/>
              <w:rPr>
                <w:sz w:val="28"/>
              </w:rPr>
            </w:pPr>
            <w:r>
              <w:rPr>
                <w:sz w:val="28"/>
              </w:rPr>
              <w:t>87</w:t>
            </w:r>
          </w:p>
        </w:tc>
        <w:tc>
          <w:tcPr>
            <w:tcW w:w="708" w:type="dxa"/>
          </w:tcPr>
          <w:p w:rsidR="00B23B94" w:rsidRDefault="003B2D3B">
            <w:pPr>
              <w:pStyle w:val="TableParagraph"/>
              <w:spacing w:before="177"/>
              <w:ind w:left="83" w:right="72"/>
              <w:rPr>
                <w:sz w:val="28"/>
              </w:rPr>
            </w:pPr>
            <w:r>
              <w:rPr>
                <w:sz w:val="28"/>
              </w:rPr>
              <w:t>100</w:t>
            </w:r>
          </w:p>
        </w:tc>
        <w:tc>
          <w:tcPr>
            <w:tcW w:w="703" w:type="dxa"/>
          </w:tcPr>
          <w:p w:rsidR="00B23B94" w:rsidRDefault="003B2D3B">
            <w:pPr>
              <w:pStyle w:val="TableParagraph"/>
              <w:spacing w:before="177"/>
              <w:ind w:left="94" w:right="82"/>
              <w:rPr>
                <w:sz w:val="28"/>
              </w:rPr>
            </w:pPr>
            <w:r>
              <w:rPr>
                <w:sz w:val="28"/>
              </w:rPr>
              <w:t>87</w:t>
            </w:r>
          </w:p>
        </w:tc>
        <w:tc>
          <w:tcPr>
            <w:tcW w:w="705" w:type="dxa"/>
          </w:tcPr>
          <w:p w:rsidR="00B23B94" w:rsidRDefault="003B2D3B">
            <w:pPr>
              <w:pStyle w:val="TableParagraph"/>
              <w:spacing w:before="177"/>
              <w:ind w:left="87" w:right="73"/>
              <w:rPr>
                <w:sz w:val="28"/>
              </w:rPr>
            </w:pPr>
            <w:r>
              <w:rPr>
                <w:sz w:val="28"/>
              </w:rPr>
              <w:t>100</w:t>
            </w:r>
          </w:p>
        </w:tc>
        <w:tc>
          <w:tcPr>
            <w:tcW w:w="691" w:type="dxa"/>
          </w:tcPr>
          <w:p w:rsidR="00B23B94" w:rsidRDefault="003B2D3B">
            <w:pPr>
              <w:pStyle w:val="TableParagraph"/>
              <w:spacing w:before="177"/>
              <w:ind w:left="87" w:right="70"/>
              <w:rPr>
                <w:sz w:val="28"/>
              </w:rPr>
            </w:pPr>
            <w:r>
              <w:rPr>
                <w:sz w:val="28"/>
              </w:rPr>
              <w:t>87</w:t>
            </w:r>
          </w:p>
        </w:tc>
        <w:tc>
          <w:tcPr>
            <w:tcW w:w="707" w:type="dxa"/>
          </w:tcPr>
          <w:p w:rsidR="00B23B94" w:rsidRDefault="003B2D3B">
            <w:pPr>
              <w:pStyle w:val="TableParagraph"/>
              <w:spacing w:before="177"/>
              <w:ind w:left="84" w:right="70"/>
              <w:rPr>
                <w:sz w:val="28"/>
              </w:rPr>
            </w:pPr>
            <w:r>
              <w:rPr>
                <w:sz w:val="28"/>
              </w:rPr>
              <w:t>100</w:t>
            </w:r>
          </w:p>
        </w:tc>
      </w:tr>
    </w:tbl>
    <w:p w:rsidR="00B23B94" w:rsidRDefault="00B23B94">
      <w:pPr>
        <w:pStyle w:val="a3"/>
        <w:spacing w:before="1"/>
        <w:ind w:left="0"/>
        <w:jc w:val="left"/>
        <w:rPr>
          <w:b/>
          <w:sz w:val="42"/>
        </w:rPr>
      </w:pPr>
    </w:p>
    <w:p w:rsidR="00B23B94" w:rsidRDefault="003B2D3B">
      <w:pPr>
        <w:pStyle w:val="a3"/>
        <w:spacing w:line="360" w:lineRule="auto"/>
        <w:ind w:right="303" w:firstLine="707"/>
      </w:pPr>
      <w:r>
        <w:t>Тяжкість стану за шкалою BISAP при госпіталізації у пацієнтів групи порівняння становив 3,2±0,30 бали (від 2 до 5 балів). Кількість балів за шкалою Marshall більше або рівне 2, в одній чи декількох систем із трьох спостерігалося у 59 (67,8%) пацієнтів (табл. 3.4). Всі пацієнти отримували консервативну терапію згідно рекомендацій «Working group IPA/APA acute pancreatitis guidelines» (2012р) з подальшою переоцінкою стану в динаміці.</w:t>
      </w:r>
    </w:p>
    <w:p w:rsidR="00B23B94" w:rsidRDefault="003B2D3B">
      <w:pPr>
        <w:pStyle w:val="a3"/>
        <w:spacing w:line="360" w:lineRule="auto"/>
        <w:ind w:right="303" w:firstLine="707"/>
      </w:pPr>
      <w:r>
        <w:t>За даними ультразвукової діагностики в динаміці через 48 годин значимих змін в характері та поширеності локальних парапанкреатичних ускладнень гострого тяжкого панкреатиту не спостерігалося. Правобічний гідроторакс зберігався у 1 пацієнта (1,1%), лівобічний – у 16 (18,4%),</w:t>
      </w:r>
    </w:p>
    <w:p w:rsidR="00B23B94" w:rsidRDefault="003B2D3B">
      <w:pPr>
        <w:pStyle w:val="a3"/>
      </w:pPr>
      <w:r>
        <w:t>двобічний – у 2 (2,3%) пацієнтів.</w:t>
      </w:r>
    </w:p>
    <w:p w:rsidR="00B23B94" w:rsidRDefault="00B23B94">
      <w:pPr>
        <w:sectPr w:rsidR="00B23B94">
          <w:pgSz w:w="11910" w:h="16840"/>
          <w:pgMar w:top="1040" w:right="540" w:bottom="280" w:left="1480" w:header="719" w:footer="0" w:gutter="0"/>
          <w:cols w:space="720"/>
        </w:sectPr>
      </w:pPr>
    </w:p>
    <w:p w:rsidR="00B23B94" w:rsidRDefault="003B2D3B">
      <w:pPr>
        <w:spacing w:before="79"/>
        <w:ind w:left="8189"/>
        <w:rPr>
          <w:i/>
          <w:sz w:val="28"/>
        </w:rPr>
      </w:pPr>
      <w:r>
        <w:rPr>
          <w:i/>
          <w:sz w:val="28"/>
        </w:rPr>
        <w:lastRenderedPageBreak/>
        <w:t>Таблиця 3.2</w:t>
      </w:r>
    </w:p>
    <w:p w:rsidR="00B23B94" w:rsidRDefault="003B2D3B">
      <w:pPr>
        <w:pStyle w:val="1"/>
        <w:spacing w:before="163" w:line="360" w:lineRule="auto"/>
        <w:ind w:left="3373" w:right="769" w:hanging="1971"/>
      </w:pPr>
      <w:r>
        <w:t>Характеристика локальних парапанкреатичних ускладнень у пацієнтів групи порівняння</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6"/>
        <w:gridCol w:w="1265"/>
        <w:gridCol w:w="1256"/>
        <w:gridCol w:w="1256"/>
        <w:gridCol w:w="1254"/>
        <w:gridCol w:w="1256"/>
        <w:gridCol w:w="1254"/>
      </w:tblGrid>
      <w:tr w:rsidR="00B23B94">
        <w:trPr>
          <w:trHeight w:val="484"/>
        </w:trPr>
        <w:tc>
          <w:tcPr>
            <w:tcW w:w="2036" w:type="dxa"/>
            <w:vMerge w:val="restart"/>
          </w:tcPr>
          <w:p w:rsidR="00B23B94" w:rsidRDefault="00B23B94">
            <w:pPr>
              <w:pStyle w:val="TableParagraph"/>
              <w:spacing w:before="11"/>
              <w:jc w:val="left"/>
              <w:rPr>
                <w:b/>
                <w:sz w:val="42"/>
              </w:rPr>
            </w:pPr>
          </w:p>
          <w:p w:rsidR="00B23B94" w:rsidRDefault="003B2D3B">
            <w:pPr>
              <w:pStyle w:val="TableParagraph"/>
              <w:ind w:left="107" w:right="97" w:hanging="1"/>
              <w:rPr>
                <w:b/>
                <w:sz w:val="28"/>
              </w:rPr>
            </w:pPr>
            <w:r>
              <w:rPr>
                <w:b/>
                <w:sz w:val="28"/>
              </w:rPr>
              <w:t>Доба від початку захворювання</w:t>
            </w:r>
          </w:p>
        </w:tc>
        <w:tc>
          <w:tcPr>
            <w:tcW w:w="7541" w:type="dxa"/>
            <w:gridSpan w:val="6"/>
          </w:tcPr>
          <w:p w:rsidR="00B23B94" w:rsidRDefault="003B2D3B">
            <w:pPr>
              <w:pStyle w:val="TableParagraph"/>
              <w:ind w:left="1893"/>
              <w:jc w:val="left"/>
              <w:rPr>
                <w:b/>
                <w:sz w:val="28"/>
              </w:rPr>
            </w:pPr>
            <w:r>
              <w:rPr>
                <w:b/>
                <w:sz w:val="28"/>
              </w:rPr>
              <w:t>Тип локального ускладнення</w:t>
            </w:r>
          </w:p>
        </w:tc>
      </w:tr>
      <w:tr w:rsidR="00B23B94">
        <w:trPr>
          <w:trHeight w:val="964"/>
        </w:trPr>
        <w:tc>
          <w:tcPr>
            <w:tcW w:w="2036" w:type="dxa"/>
            <w:vMerge/>
            <w:tcBorders>
              <w:top w:val="nil"/>
            </w:tcBorders>
          </w:tcPr>
          <w:p w:rsidR="00B23B94" w:rsidRDefault="00B23B94">
            <w:pPr>
              <w:rPr>
                <w:sz w:val="2"/>
                <w:szCs w:val="2"/>
              </w:rPr>
            </w:pPr>
          </w:p>
        </w:tc>
        <w:tc>
          <w:tcPr>
            <w:tcW w:w="2521" w:type="dxa"/>
            <w:gridSpan w:val="2"/>
          </w:tcPr>
          <w:p w:rsidR="00B23B94" w:rsidRDefault="00B23B94">
            <w:pPr>
              <w:pStyle w:val="TableParagraph"/>
              <w:spacing w:before="11"/>
              <w:jc w:val="left"/>
              <w:rPr>
                <w:b/>
                <w:sz w:val="27"/>
              </w:rPr>
            </w:pPr>
          </w:p>
          <w:p w:rsidR="00B23B94" w:rsidRDefault="003B2D3B">
            <w:pPr>
              <w:pStyle w:val="TableParagraph"/>
              <w:ind w:left="549"/>
              <w:jc w:val="left"/>
              <w:rPr>
                <w:b/>
                <w:sz w:val="28"/>
              </w:rPr>
            </w:pPr>
            <w:r>
              <w:rPr>
                <w:b/>
                <w:sz w:val="28"/>
              </w:rPr>
              <w:t>Інфільтрат</w:t>
            </w:r>
          </w:p>
        </w:tc>
        <w:tc>
          <w:tcPr>
            <w:tcW w:w="2510" w:type="dxa"/>
            <w:gridSpan w:val="2"/>
          </w:tcPr>
          <w:p w:rsidR="00B23B94" w:rsidRDefault="003B2D3B">
            <w:pPr>
              <w:pStyle w:val="TableParagraph"/>
              <w:spacing w:before="160"/>
              <w:ind w:left="579" w:right="557" w:firstLine="196"/>
              <w:jc w:val="left"/>
              <w:rPr>
                <w:b/>
                <w:sz w:val="28"/>
              </w:rPr>
            </w:pPr>
            <w:r>
              <w:rPr>
                <w:b/>
                <w:sz w:val="28"/>
              </w:rPr>
              <w:t>Рідинні скупчення</w:t>
            </w:r>
          </w:p>
        </w:tc>
        <w:tc>
          <w:tcPr>
            <w:tcW w:w="2510" w:type="dxa"/>
            <w:gridSpan w:val="2"/>
          </w:tcPr>
          <w:p w:rsidR="00B23B94" w:rsidRDefault="003B2D3B">
            <w:pPr>
              <w:pStyle w:val="TableParagraph"/>
              <w:spacing w:before="4" w:line="322" w:lineRule="exact"/>
              <w:ind w:left="463" w:right="460" w:firstLine="1"/>
              <w:rPr>
                <w:b/>
                <w:sz w:val="28"/>
              </w:rPr>
            </w:pPr>
            <w:r>
              <w:rPr>
                <w:b/>
                <w:sz w:val="28"/>
              </w:rPr>
              <w:t>Рідинні скупчення + секвестри</w:t>
            </w:r>
          </w:p>
        </w:tc>
      </w:tr>
      <w:tr w:rsidR="00B23B94">
        <w:trPr>
          <w:trHeight w:val="478"/>
        </w:trPr>
        <w:tc>
          <w:tcPr>
            <w:tcW w:w="2036" w:type="dxa"/>
            <w:vMerge/>
            <w:tcBorders>
              <w:top w:val="nil"/>
            </w:tcBorders>
          </w:tcPr>
          <w:p w:rsidR="00B23B94" w:rsidRDefault="00B23B94">
            <w:pPr>
              <w:rPr>
                <w:sz w:val="2"/>
                <w:szCs w:val="2"/>
              </w:rPr>
            </w:pPr>
          </w:p>
        </w:tc>
        <w:tc>
          <w:tcPr>
            <w:tcW w:w="1265" w:type="dxa"/>
          </w:tcPr>
          <w:p w:rsidR="00B23B94" w:rsidRDefault="003B2D3B">
            <w:pPr>
              <w:pStyle w:val="TableParagraph"/>
              <w:spacing w:line="316" w:lineRule="exact"/>
              <w:ind w:left="373" w:right="367"/>
              <w:rPr>
                <w:b/>
                <w:sz w:val="28"/>
              </w:rPr>
            </w:pPr>
            <w:r>
              <w:rPr>
                <w:b/>
                <w:sz w:val="28"/>
              </w:rPr>
              <w:t>абс.</w:t>
            </w:r>
          </w:p>
        </w:tc>
        <w:tc>
          <w:tcPr>
            <w:tcW w:w="1256" w:type="dxa"/>
          </w:tcPr>
          <w:p w:rsidR="00B23B94" w:rsidRDefault="003B2D3B">
            <w:pPr>
              <w:pStyle w:val="TableParagraph"/>
              <w:spacing w:line="316" w:lineRule="exact"/>
              <w:ind w:left="3"/>
              <w:rPr>
                <w:b/>
                <w:sz w:val="28"/>
              </w:rPr>
            </w:pPr>
            <w:r>
              <w:rPr>
                <w:b/>
                <w:sz w:val="28"/>
              </w:rPr>
              <w:t>%</w:t>
            </w:r>
          </w:p>
        </w:tc>
        <w:tc>
          <w:tcPr>
            <w:tcW w:w="1256" w:type="dxa"/>
          </w:tcPr>
          <w:p w:rsidR="00B23B94" w:rsidRDefault="003B2D3B">
            <w:pPr>
              <w:pStyle w:val="TableParagraph"/>
              <w:spacing w:line="316" w:lineRule="exact"/>
              <w:ind w:left="358" w:right="354"/>
              <w:rPr>
                <w:b/>
                <w:sz w:val="28"/>
              </w:rPr>
            </w:pPr>
            <w:r>
              <w:rPr>
                <w:b/>
                <w:sz w:val="28"/>
              </w:rPr>
              <w:t>абс.</w:t>
            </w:r>
          </w:p>
        </w:tc>
        <w:tc>
          <w:tcPr>
            <w:tcW w:w="1254" w:type="dxa"/>
          </w:tcPr>
          <w:p w:rsidR="00B23B94" w:rsidRDefault="003B2D3B">
            <w:pPr>
              <w:pStyle w:val="TableParagraph"/>
              <w:spacing w:line="316" w:lineRule="exact"/>
              <w:ind w:left="3"/>
              <w:rPr>
                <w:b/>
                <w:sz w:val="28"/>
              </w:rPr>
            </w:pPr>
            <w:r>
              <w:rPr>
                <w:b/>
                <w:sz w:val="28"/>
              </w:rPr>
              <w:t>%</w:t>
            </w:r>
          </w:p>
        </w:tc>
        <w:tc>
          <w:tcPr>
            <w:tcW w:w="1256" w:type="dxa"/>
          </w:tcPr>
          <w:p w:rsidR="00B23B94" w:rsidRDefault="003B2D3B">
            <w:pPr>
              <w:pStyle w:val="TableParagraph"/>
              <w:spacing w:line="316" w:lineRule="exact"/>
              <w:ind w:left="358" w:right="356"/>
              <w:rPr>
                <w:b/>
                <w:sz w:val="28"/>
              </w:rPr>
            </w:pPr>
            <w:r>
              <w:rPr>
                <w:b/>
                <w:sz w:val="28"/>
              </w:rPr>
              <w:t>абс.</w:t>
            </w:r>
          </w:p>
        </w:tc>
        <w:tc>
          <w:tcPr>
            <w:tcW w:w="1254" w:type="dxa"/>
          </w:tcPr>
          <w:p w:rsidR="00B23B94" w:rsidRDefault="003B2D3B">
            <w:pPr>
              <w:pStyle w:val="TableParagraph"/>
              <w:spacing w:line="316" w:lineRule="exact"/>
              <w:rPr>
                <w:b/>
                <w:sz w:val="28"/>
              </w:rPr>
            </w:pPr>
            <w:r>
              <w:rPr>
                <w:b/>
                <w:sz w:val="28"/>
              </w:rPr>
              <w:t>%</w:t>
            </w:r>
          </w:p>
        </w:tc>
      </w:tr>
      <w:tr w:rsidR="00B23B94">
        <w:trPr>
          <w:trHeight w:val="482"/>
        </w:trPr>
        <w:tc>
          <w:tcPr>
            <w:tcW w:w="2036" w:type="dxa"/>
          </w:tcPr>
          <w:p w:rsidR="00B23B94" w:rsidRDefault="003B2D3B">
            <w:pPr>
              <w:pStyle w:val="TableParagraph"/>
              <w:ind w:left="107"/>
              <w:jc w:val="left"/>
              <w:rPr>
                <w:sz w:val="28"/>
              </w:rPr>
            </w:pPr>
            <w:r>
              <w:rPr>
                <w:sz w:val="28"/>
              </w:rPr>
              <w:t>1</w:t>
            </w:r>
          </w:p>
        </w:tc>
        <w:tc>
          <w:tcPr>
            <w:tcW w:w="1265" w:type="dxa"/>
          </w:tcPr>
          <w:p w:rsidR="00B23B94" w:rsidRDefault="003B2D3B">
            <w:pPr>
              <w:pStyle w:val="TableParagraph"/>
              <w:ind w:left="373" w:right="367"/>
              <w:rPr>
                <w:sz w:val="28"/>
              </w:rPr>
            </w:pPr>
            <w:r>
              <w:rPr>
                <w:sz w:val="28"/>
              </w:rPr>
              <w:t>87</w:t>
            </w:r>
          </w:p>
        </w:tc>
        <w:tc>
          <w:tcPr>
            <w:tcW w:w="1256" w:type="dxa"/>
          </w:tcPr>
          <w:p w:rsidR="00B23B94" w:rsidRDefault="003B2D3B">
            <w:pPr>
              <w:pStyle w:val="TableParagraph"/>
              <w:ind w:left="358" w:right="355"/>
              <w:rPr>
                <w:sz w:val="28"/>
              </w:rPr>
            </w:pPr>
            <w:r>
              <w:rPr>
                <w:sz w:val="28"/>
              </w:rPr>
              <w:t>100</w:t>
            </w:r>
          </w:p>
        </w:tc>
        <w:tc>
          <w:tcPr>
            <w:tcW w:w="1256" w:type="dxa"/>
          </w:tcPr>
          <w:p w:rsidR="00B23B94" w:rsidRDefault="003B2D3B">
            <w:pPr>
              <w:pStyle w:val="TableParagraph"/>
              <w:ind w:left="6"/>
              <w:rPr>
                <w:sz w:val="28"/>
              </w:rPr>
            </w:pPr>
            <w:r>
              <w:rPr>
                <w:sz w:val="28"/>
              </w:rPr>
              <w:t>-</w:t>
            </w:r>
          </w:p>
        </w:tc>
        <w:tc>
          <w:tcPr>
            <w:tcW w:w="1254" w:type="dxa"/>
          </w:tcPr>
          <w:p w:rsidR="00B23B94" w:rsidRDefault="003B2D3B">
            <w:pPr>
              <w:pStyle w:val="TableParagraph"/>
              <w:ind w:left="3"/>
              <w:rPr>
                <w:sz w:val="28"/>
              </w:rPr>
            </w:pPr>
            <w:r>
              <w:rPr>
                <w:sz w:val="28"/>
              </w:rPr>
              <w:t>-</w:t>
            </w:r>
          </w:p>
        </w:tc>
        <w:tc>
          <w:tcPr>
            <w:tcW w:w="1256" w:type="dxa"/>
          </w:tcPr>
          <w:p w:rsidR="00B23B94" w:rsidRDefault="003B2D3B">
            <w:pPr>
              <w:pStyle w:val="TableParagraph"/>
              <w:ind w:left="4"/>
              <w:rPr>
                <w:sz w:val="28"/>
              </w:rPr>
            </w:pPr>
            <w:r>
              <w:rPr>
                <w:sz w:val="28"/>
              </w:rPr>
              <w:t>-</w:t>
            </w:r>
          </w:p>
        </w:tc>
        <w:tc>
          <w:tcPr>
            <w:tcW w:w="1254" w:type="dxa"/>
          </w:tcPr>
          <w:p w:rsidR="00B23B94" w:rsidRDefault="003B2D3B">
            <w:pPr>
              <w:pStyle w:val="TableParagraph"/>
              <w:rPr>
                <w:sz w:val="28"/>
              </w:rPr>
            </w:pPr>
            <w:r>
              <w:rPr>
                <w:sz w:val="28"/>
              </w:rPr>
              <w:t>-</w:t>
            </w:r>
          </w:p>
        </w:tc>
      </w:tr>
      <w:tr w:rsidR="00B23B94">
        <w:trPr>
          <w:trHeight w:val="481"/>
        </w:trPr>
        <w:tc>
          <w:tcPr>
            <w:tcW w:w="2036" w:type="dxa"/>
          </w:tcPr>
          <w:p w:rsidR="00B23B94" w:rsidRDefault="003B2D3B">
            <w:pPr>
              <w:pStyle w:val="TableParagraph"/>
              <w:ind w:left="107"/>
              <w:jc w:val="left"/>
              <w:rPr>
                <w:sz w:val="28"/>
              </w:rPr>
            </w:pPr>
            <w:r>
              <w:rPr>
                <w:sz w:val="28"/>
              </w:rPr>
              <w:t>2</w:t>
            </w:r>
          </w:p>
        </w:tc>
        <w:tc>
          <w:tcPr>
            <w:tcW w:w="1265" w:type="dxa"/>
          </w:tcPr>
          <w:p w:rsidR="00B23B94" w:rsidRDefault="003B2D3B">
            <w:pPr>
              <w:pStyle w:val="TableParagraph"/>
              <w:ind w:left="373" w:right="367"/>
              <w:rPr>
                <w:sz w:val="28"/>
              </w:rPr>
            </w:pPr>
            <w:r>
              <w:rPr>
                <w:sz w:val="28"/>
              </w:rPr>
              <w:t>87</w:t>
            </w:r>
          </w:p>
        </w:tc>
        <w:tc>
          <w:tcPr>
            <w:tcW w:w="1256" w:type="dxa"/>
          </w:tcPr>
          <w:p w:rsidR="00B23B94" w:rsidRDefault="003B2D3B">
            <w:pPr>
              <w:pStyle w:val="TableParagraph"/>
              <w:ind w:left="358" w:right="355"/>
              <w:rPr>
                <w:sz w:val="28"/>
              </w:rPr>
            </w:pPr>
            <w:r>
              <w:rPr>
                <w:sz w:val="28"/>
              </w:rPr>
              <w:t>100</w:t>
            </w:r>
          </w:p>
        </w:tc>
        <w:tc>
          <w:tcPr>
            <w:tcW w:w="1256" w:type="dxa"/>
          </w:tcPr>
          <w:p w:rsidR="00B23B94" w:rsidRDefault="003B2D3B">
            <w:pPr>
              <w:pStyle w:val="TableParagraph"/>
              <w:ind w:left="6"/>
              <w:rPr>
                <w:sz w:val="28"/>
              </w:rPr>
            </w:pPr>
            <w:r>
              <w:rPr>
                <w:sz w:val="28"/>
              </w:rPr>
              <w:t>-</w:t>
            </w:r>
          </w:p>
        </w:tc>
        <w:tc>
          <w:tcPr>
            <w:tcW w:w="1254" w:type="dxa"/>
          </w:tcPr>
          <w:p w:rsidR="00B23B94" w:rsidRDefault="003B2D3B">
            <w:pPr>
              <w:pStyle w:val="TableParagraph"/>
              <w:ind w:left="3"/>
              <w:rPr>
                <w:sz w:val="28"/>
              </w:rPr>
            </w:pPr>
            <w:r>
              <w:rPr>
                <w:sz w:val="28"/>
              </w:rPr>
              <w:t>-</w:t>
            </w:r>
          </w:p>
        </w:tc>
        <w:tc>
          <w:tcPr>
            <w:tcW w:w="1256" w:type="dxa"/>
          </w:tcPr>
          <w:p w:rsidR="00B23B94" w:rsidRDefault="003B2D3B">
            <w:pPr>
              <w:pStyle w:val="TableParagraph"/>
              <w:ind w:left="4"/>
              <w:rPr>
                <w:sz w:val="28"/>
              </w:rPr>
            </w:pPr>
            <w:r>
              <w:rPr>
                <w:sz w:val="28"/>
              </w:rPr>
              <w:t>-</w:t>
            </w:r>
          </w:p>
        </w:tc>
        <w:tc>
          <w:tcPr>
            <w:tcW w:w="1254" w:type="dxa"/>
          </w:tcPr>
          <w:p w:rsidR="00B23B94" w:rsidRDefault="003B2D3B">
            <w:pPr>
              <w:pStyle w:val="TableParagraph"/>
              <w:rPr>
                <w:sz w:val="28"/>
              </w:rPr>
            </w:pPr>
            <w:r>
              <w:rPr>
                <w:sz w:val="28"/>
              </w:rPr>
              <w:t>-</w:t>
            </w:r>
          </w:p>
        </w:tc>
      </w:tr>
      <w:tr w:rsidR="00B23B94">
        <w:trPr>
          <w:trHeight w:val="485"/>
        </w:trPr>
        <w:tc>
          <w:tcPr>
            <w:tcW w:w="2036" w:type="dxa"/>
          </w:tcPr>
          <w:p w:rsidR="00B23B94" w:rsidRDefault="003B2D3B">
            <w:pPr>
              <w:pStyle w:val="TableParagraph"/>
              <w:spacing w:before="3"/>
              <w:ind w:left="107"/>
              <w:jc w:val="left"/>
              <w:rPr>
                <w:sz w:val="28"/>
              </w:rPr>
            </w:pPr>
            <w:r>
              <w:rPr>
                <w:sz w:val="28"/>
              </w:rPr>
              <w:t>6-7</w:t>
            </w:r>
          </w:p>
        </w:tc>
        <w:tc>
          <w:tcPr>
            <w:tcW w:w="1265" w:type="dxa"/>
          </w:tcPr>
          <w:p w:rsidR="00B23B94" w:rsidRDefault="003B2D3B">
            <w:pPr>
              <w:pStyle w:val="TableParagraph"/>
              <w:spacing w:before="3"/>
              <w:ind w:left="373" w:right="367"/>
              <w:rPr>
                <w:sz w:val="28"/>
              </w:rPr>
            </w:pPr>
            <w:r>
              <w:rPr>
                <w:sz w:val="28"/>
              </w:rPr>
              <w:t>57</w:t>
            </w:r>
          </w:p>
        </w:tc>
        <w:tc>
          <w:tcPr>
            <w:tcW w:w="1256" w:type="dxa"/>
          </w:tcPr>
          <w:p w:rsidR="00B23B94" w:rsidRDefault="003B2D3B">
            <w:pPr>
              <w:pStyle w:val="TableParagraph"/>
              <w:spacing w:before="3"/>
              <w:ind w:left="358" w:right="357"/>
              <w:rPr>
                <w:sz w:val="28"/>
              </w:rPr>
            </w:pPr>
            <w:r>
              <w:rPr>
                <w:sz w:val="28"/>
              </w:rPr>
              <w:t>65,5</w:t>
            </w:r>
          </w:p>
        </w:tc>
        <w:tc>
          <w:tcPr>
            <w:tcW w:w="1256" w:type="dxa"/>
          </w:tcPr>
          <w:p w:rsidR="00B23B94" w:rsidRDefault="003B2D3B">
            <w:pPr>
              <w:pStyle w:val="TableParagraph"/>
              <w:spacing w:before="3"/>
              <w:ind w:left="358" w:right="349"/>
              <w:rPr>
                <w:sz w:val="28"/>
              </w:rPr>
            </w:pPr>
            <w:r>
              <w:rPr>
                <w:sz w:val="28"/>
              </w:rPr>
              <w:t>30</w:t>
            </w:r>
          </w:p>
        </w:tc>
        <w:tc>
          <w:tcPr>
            <w:tcW w:w="1254" w:type="dxa"/>
          </w:tcPr>
          <w:p w:rsidR="00B23B94" w:rsidRDefault="003B2D3B">
            <w:pPr>
              <w:pStyle w:val="TableParagraph"/>
              <w:spacing w:before="3"/>
              <w:ind w:left="358" w:right="352"/>
              <w:rPr>
                <w:sz w:val="28"/>
              </w:rPr>
            </w:pPr>
            <w:r>
              <w:rPr>
                <w:sz w:val="28"/>
              </w:rPr>
              <w:t>34,5</w:t>
            </w:r>
          </w:p>
        </w:tc>
        <w:tc>
          <w:tcPr>
            <w:tcW w:w="1256" w:type="dxa"/>
          </w:tcPr>
          <w:p w:rsidR="00B23B94" w:rsidRDefault="003B2D3B">
            <w:pPr>
              <w:pStyle w:val="TableParagraph"/>
              <w:spacing w:before="3"/>
              <w:ind w:left="4"/>
              <w:rPr>
                <w:sz w:val="28"/>
              </w:rPr>
            </w:pPr>
            <w:r>
              <w:rPr>
                <w:sz w:val="28"/>
              </w:rPr>
              <w:t>-</w:t>
            </w:r>
          </w:p>
        </w:tc>
        <w:tc>
          <w:tcPr>
            <w:tcW w:w="1254" w:type="dxa"/>
          </w:tcPr>
          <w:p w:rsidR="00B23B94" w:rsidRDefault="003B2D3B">
            <w:pPr>
              <w:pStyle w:val="TableParagraph"/>
              <w:spacing w:before="3"/>
              <w:rPr>
                <w:sz w:val="28"/>
              </w:rPr>
            </w:pPr>
            <w:r>
              <w:rPr>
                <w:sz w:val="28"/>
              </w:rPr>
              <w:t>-</w:t>
            </w:r>
          </w:p>
        </w:tc>
      </w:tr>
      <w:tr w:rsidR="00B23B94">
        <w:trPr>
          <w:trHeight w:val="481"/>
        </w:trPr>
        <w:tc>
          <w:tcPr>
            <w:tcW w:w="2036" w:type="dxa"/>
          </w:tcPr>
          <w:p w:rsidR="00B23B94" w:rsidRDefault="003B2D3B">
            <w:pPr>
              <w:pStyle w:val="TableParagraph"/>
              <w:ind w:left="107"/>
              <w:jc w:val="left"/>
              <w:rPr>
                <w:sz w:val="28"/>
              </w:rPr>
            </w:pPr>
            <w:r>
              <w:rPr>
                <w:sz w:val="28"/>
              </w:rPr>
              <w:t>12-14</w:t>
            </w:r>
          </w:p>
        </w:tc>
        <w:tc>
          <w:tcPr>
            <w:tcW w:w="1265" w:type="dxa"/>
          </w:tcPr>
          <w:p w:rsidR="00B23B94" w:rsidRDefault="003B2D3B">
            <w:pPr>
              <w:pStyle w:val="TableParagraph"/>
              <w:ind w:left="373" w:right="367"/>
              <w:rPr>
                <w:sz w:val="28"/>
              </w:rPr>
            </w:pPr>
            <w:r>
              <w:rPr>
                <w:sz w:val="28"/>
              </w:rPr>
              <w:t>10</w:t>
            </w:r>
          </w:p>
        </w:tc>
        <w:tc>
          <w:tcPr>
            <w:tcW w:w="1256" w:type="dxa"/>
          </w:tcPr>
          <w:p w:rsidR="00B23B94" w:rsidRDefault="003B2D3B">
            <w:pPr>
              <w:pStyle w:val="TableParagraph"/>
              <w:ind w:left="358" w:right="357"/>
              <w:rPr>
                <w:sz w:val="28"/>
              </w:rPr>
            </w:pPr>
            <w:r>
              <w:rPr>
                <w:sz w:val="28"/>
              </w:rPr>
              <w:t>11,5</w:t>
            </w:r>
          </w:p>
        </w:tc>
        <w:tc>
          <w:tcPr>
            <w:tcW w:w="1256" w:type="dxa"/>
          </w:tcPr>
          <w:p w:rsidR="00B23B94" w:rsidRDefault="003B2D3B">
            <w:pPr>
              <w:pStyle w:val="TableParagraph"/>
              <w:ind w:left="358" w:right="349"/>
              <w:rPr>
                <w:sz w:val="28"/>
              </w:rPr>
            </w:pPr>
            <w:r>
              <w:rPr>
                <w:sz w:val="28"/>
              </w:rPr>
              <w:t>53</w:t>
            </w:r>
          </w:p>
        </w:tc>
        <w:tc>
          <w:tcPr>
            <w:tcW w:w="1254" w:type="dxa"/>
          </w:tcPr>
          <w:p w:rsidR="00B23B94" w:rsidRDefault="003B2D3B">
            <w:pPr>
              <w:pStyle w:val="TableParagraph"/>
              <w:ind w:left="358" w:right="352"/>
              <w:rPr>
                <w:sz w:val="28"/>
              </w:rPr>
            </w:pPr>
            <w:r>
              <w:rPr>
                <w:sz w:val="28"/>
              </w:rPr>
              <w:t>60,9</w:t>
            </w:r>
          </w:p>
        </w:tc>
        <w:tc>
          <w:tcPr>
            <w:tcW w:w="1256" w:type="dxa"/>
          </w:tcPr>
          <w:p w:rsidR="00B23B94" w:rsidRDefault="003B2D3B">
            <w:pPr>
              <w:pStyle w:val="TableParagraph"/>
              <w:ind w:left="358" w:right="352"/>
              <w:rPr>
                <w:sz w:val="28"/>
              </w:rPr>
            </w:pPr>
            <w:r>
              <w:rPr>
                <w:sz w:val="28"/>
              </w:rPr>
              <w:t>24</w:t>
            </w:r>
          </w:p>
        </w:tc>
        <w:tc>
          <w:tcPr>
            <w:tcW w:w="1254" w:type="dxa"/>
          </w:tcPr>
          <w:p w:rsidR="00B23B94" w:rsidRDefault="003B2D3B">
            <w:pPr>
              <w:pStyle w:val="TableParagraph"/>
              <w:ind w:left="357" w:right="354"/>
              <w:rPr>
                <w:sz w:val="28"/>
              </w:rPr>
            </w:pPr>
            <w:r>
              <w:rPr>
                <w:sz w:val="28"/>
              </w:rPr>
              <w:t>27,6</w:t>
            </w:r>
          </w:p>
        </w:tc>
      </w:tr>
      <w:tr w:rsidR="00B23B94">
        <w:trPr>
          <w:trHeight w:val="484"/>
        </w:trPr>
        <w:tc>
          <w:tcPr>
            <w:tcW w:w="2036" w:type="dxa"/>
          </w:tcPr>
          <w:p w:rsidR="00B23B94" w:rsidRDefault="003B2D3B">
            <w:pPr>
              <w:pStyle w:val="TableParagraph"/>
              <w:ind w:left="107"/>
              <w:jc w:val="left"/>
              <w:rPr>
                <w:sz w:val="28"/>
              </w:rPr>
            </w:pPr>
            <w:r>
              <w:rPr>
                <w:sz w:val="28"/>
              </w:rPr>
              <w:t>20-21</w:t>
            </w:r>
          </w:p>
        </w:tc>
        <w:tc>
          <w:tcPr>
            <w:tcW w:w="1265" w:type="dxa"/>
          </w:tcPr>
          <w:p w:rsidR="00B23B94" w:rsidRDefault="003B2D3B">
            <w:pPr>
              <w:pStyle w:val="TableParagraph"/>
              <w:ind w:left="3"/>
              <w:rPr>
                <w:sz w:val="28"/>
              </w:rPr>
            </w:pPr>
            <w:r>
              <w:rPr>
                <w:sz w:val="28"/>
              </w:rPr>
              <w:t>-</w:t>
            </w:r>
          </w:p>
        </w:tc>
        <w:tc>
          <w:tcPr>
            <w:tcW w:w="1256" w:type="dxa"/>
          </w:tcPr>
          <w:p w:rsidR="00B23B94" w:rsidRDefault="003B2D3B">
            <w:pPr>
              <w:pStyle w:val="TableParagraph"/>
              <w:ind w:left="2"/>
              <w:rPr>
                <w:sz w:val="28"/>
              </w:rPr>
            </w:pPr>
            <w:r>
              <w:rPr>
                <w:sz w:val="28"/>
              </w:rPr>
              <w:t>-</w:t>
            </w:r>
          </w:p>
        </w:tc>
        <w:tc>
          <w:tcPr>
            <w:tcW w:w="1256" w:type="dxa"/>
          </w:tcPr>
          <w:p w:rsidR="00B23B94" w:rsidRDefault="003B2D3B">
            <w:pPr>
              <w:pStyle w:val="TableParagraph"/>
              <w:ind w:left="358" w:right="349"/>
              <w:rPr>
                <w:sz w:val="28"/>
              </w:rPr>
            </w:pPr>
            <w:r>
              <w:rPr>
                <w:sz w:val="28"/>
              </w:rPr>
              <w:t>40</w:t>
            </w:r>
          </w:p>
        </w:tc>
        <w:tc>
          <w:tcPr>
            <w:tcW w:w="1254" w:type="dxa"/>
          </w:tcPr>
          <w:p w:rsidR="00B23B94" w:rsidRDefault="003B2D3B">
            <w:pPr>
              <w:pStyle w:val="TableParagraph"/>
              <w:ind w:left="358" w:right="352"/>
              <w:rPr>
                <w:sz w:val="28"/>
              </w:rPr>
            </w:pPr>
            <w:r>
              <w:rPr>
                <w:sz w:val="28"/>
              </w:rPr>
              <w:t>46,0</w:t>
            </w:r>
          </w:p>
        </w:tc>
        <w:tc>
          <w:tcPr>
            <w:tcW w:w="1256" w:type="dxa"/>
          </w:tcPr>
          <w:p w:rsidR="00B23B94" w:rsidRDefault="003B2D3B">
            <w:pPr>
              <w:pStyle w:val="TableParagraph"/>
              <w:ind w:left="358" w:right="352"/>
              <w:rPr>
                <w:sz w:val="28"/>
              </w:rPr>
            </w:pPr>
            <w:r>
              <w:rPr>
                <w:sz w:val="28"/>
              </w:rPr>
              <w:t>47</w:t>
            </w:r>
          </w:p>
        </w:tc>
        <w:tc>
          <w:tcPr>
            <w:tcW w:w="1254" w:type="dxa"/>
          </w:tcPr>
          <w:p w:rsidR="00B23B94" w:rsidRDefault="003B2D3B">
            <w:pPr>
              <w:pStyle w:val="TableParagraph"/>
              <w:ind w:left="357" w:right="354"/>
              <w:rPr>
                <w:sz w:val="28"/>
              </w:rPr>
            </w:pPr>
            <w:r>
              <w:rPr>
                <w:sz w:val="28"/>
              </w:rPr>
              <w:t>54,0</w:t>
            </w:r>
          </w:p>
        </w:tc>
      </w:tr>
    </w:tbl>
    <w:p w:rsidR="00B23B94" w:rsidRDefault="00B23B94">
      <w:pPr>
        <w:pStyle w:val="a3"/>
        <w:spacing w:before="9"/>
        <w:ind w:left="0"/>
        <w:jc w:val="left"/>
        <w:rPr>
          <w:b/>
          <w:sz w:val="41"/>
        </w:rPr>
      </w:pPr>
    </w:p>
    <w:p w:rsidR="00B23B94" w:rsidRDefault="003B2D3B">
      <w:pPr>
        <w:pStyle w:val="a3"/>
        <w:spacing w:before="1" w:line="360" w:lineRule="auto"/>
        <w:ind w:right="304" w:firstLine="707"/>
      </w:pPr>
      <w:r>
        <w:t>Тяжкість стану за шкалою BISAP через 48 годин після госпіталізації становив 2,9±0,28 бали (від 2 до 4 балів). На фоні інфузійної терапії, яку хворі отримували при госпіталізації, регрес органної недостатності через 2 доби відмічено у 29 (33,3%) хворих, тоді як резистентною до консервативної терапії органна недостатність залишалася у 30 (34,5%)</w:t>
      </w:r>
      <w:r>
        <w:rPr>
          <w:spacing w:val="-8"/>
        </w:rPr>
        <w:t xml:space="preserve"> </w:t>
      </w:r>
      <w:r>
        <w:t>хворих.</w:t>
      </w:r>
    </w:p>
    <w:p w:rsidR="00B23B94" w:rsidRDefault="003B2D3B">
      <w:pPr>
        <w:pStyle w:val="a3"/>
        <w:spacing w:line="360" w:lineRule="auto"/>
        <w:ind w:right="305" w:firstLine="707"/>
      </w:pPr>
      <w:r>
        <w:t>На 6-7 добу, за даними ультразвукового обстеження, поширення парапанкреатичних локальних ускладнень на 1 ЗППН виявлено у 32 (36,8%) пацієнтів, на 2 ЗППН – 23 (26,4%), 3-4 ЗППН – 20 (23,0%), 5 та більше – 12 (13,8%). Інфільтрація парапанкреатичної клітковини визначалася у 57  (65,5%) хворих, рідинні скупчення виявлено у 30 (34,5%) пацієнтів. Ознак секвестрації не спостерігалося в жодному з випадків. Правобічний гідроторакс виявлено у 1 (1,1%) пацієнта, лівобічний – у 12</w:t>
      </w:r>
      <w:r>
        <w:rPr>
          <w:spacing w:val="28"/>
        </w:rPr>
        <w:t xml:space="preserve"> </w:t>
      </w:r>
      <w:r>
        <w:t>(13,8%),</w:t>
      </w:r>
    </w:p>
    <w:p w:rsidR="00B23B94" w:rsidRDefault="003B2D3B">
      <w:pPr>
        <w:pStyle w:val="a3"/>
        <w:spacing w:before="1"/>
      </w:pPr>
      <w:r>
        <w:t>двобічний спостерігався у 1 (1,1%) хворого.</w:t>
      </w:r>
    </w:p>
    <w:p w:rsidR="00B23B94" w:rsidRDefault="003B2D3B">
      <w:pPr>
        <w:pStyle w:val="a3"/>
        <w:spacing w:before="160" w:line="360" w:lineRule="auto"/>
        <w:ind w:right="306" w:firstLine="707"/>
      </w:pPr>
      <w:r>
        <w:t>Тяжкість стану за шкалою BISAP через на 6-7 добу оцінено в 2,5±0,27 бали (від 2 до 4 балів). Органна недостатність зберігалася у 16 (18,4%) хворих (визначалося 2 і більше балів за шкалою Marshall в одній чи декількох систем із</w:t>
      </w:r>
      <w:r>
        <w:rPr>
          <w:spacing w:val="-4"/>
        </w:rPr>
        <w:t xml:space="preserve"> </w:t>
      </w:r>
      <w:r>
        <w:t>трьох).</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right="304"/>
        <w:jc w:val="right"/>
        <w:rPr>
          <w:i/>
          <w:sz w:val="28"/>
        </w:rPr>
      </w:pPr>
      <w:r>
        <w:rPr>
          <w:i/>
          <w:sz w:val="28"/>
        </w:rPr>
        <w:lastRenderedPageBreak/>
        <w:t>Таблиця 3.3</w:t>
      </w:r>
    </w:p>
    <w:p w:rsidR="00B23B94" w:rsidRDefault="003B2D3B">
      <w:pPr>
        <w:pStyle w:val="1"/>
        <w:spacing w:before="163"/>
        <w:ind w:right="60"/>
        <w:jc w:val="center"/>
      </w:pPr>
      <w:r>
        <w:rPr>
          <w:noProof/>
          <w:lang w:eastAsia="uk-UA"/>
        </w:rPr>
        <mc:AlternateContent>
          <mc:Choice Requires="wps">
            <w:drawing>
              <wp:anchor distT="0" distB="0" distL="114300" distR="114300" simplePos="0" relativeHeight="483707392" behindDoc="1" locked="0" layoutInCell="1" allowOverlap="1">
                <wp:simplePos x="0" y="0"/>
                <wp:positionH relativeFrom="page">
                  <wp:posOffset>1015365</wp:posOffset>
                </wp:positionH>
                <wp:positionV relativeFrom="paragraph">
                  <wp:posOffset>415925</wp:posOffset>
                </wp:positionV>
                <wp:extent cx="1531620" cy="1095375"/>
                <wp:effectExtent l="0" t="0" r="0" b="0"/>
                <wp:wrapNone/>
                <wp:docPr id="1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1620" cy="109537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1960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32.75pt" to="200.5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" strokeweight=".48pt">
                <w10:wrap anchorx="page"/>
              </v:line>
            </w:pict>
          </mc:Fallback>
        </mc:AlternateContent>
      </w:r>
      <w:r>
        <w:t>Частота виявлення гідротораксу у пацієнтів групи порівняння</w:t>
      </w:r>
    </w:p>
    <w:p w:rsidR="00B23B94" w:rsidRDefault="00B23B94">
      <w:pPr>
        <w:pStyle w:val="a3"/>
        <w:spacing w:before="10"/>
        <w:ind w:left="0"/>
        <w:jc w:val="left"/>
        <w:rPr>
          <w:b/>
          <w:sz w:val="13"/>
        </w:rPr>
      </w:pP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25"/>
        <w:gridCol w:w="692"/>
        <w:gridCol w:w="718"/>
        <w:gridCol w:w="728"/>
        <w:gridCol w:w="706"/>
        <w:gridCol w:w="730"/>
        <w:gridCol w:w="707"/>
        <w:gridCol w:w="730"/>
        <w:gridCol w:w="706"/>
        <w:gridCol w:w="730"/>
        <w:gridCol w:w="706"/>
      </w:tblGrid>
      <w:tr w:rsidR="00B23B94">
        <w:trPr>
          <w:trHeight w:val="976"/>
        </w:trPr>
        <w:tc>
          <w:tcPr>
            <w:tcW w:w="2425" w:type="dxa"/>
            <w:vMerge w:val="restart"/>
          </w:tcPr>
          <w:p w:rsidR="00B23B94" w:rsidRDefault="003B2D3B">
            <w:pPr>
              <w:pStyle w:val="TableParagraph"/>
              <w:spacing w:line="360" w:lineRule="auto"/>
              <w:ind w:left="755" w:right="81" w:hanging="296"/>
              <w:jc w:val="left"/>
              <w:rPr>
                <w:b/>
                <w:sz w:val="24"/>
              </w:rPr>
            </w:pPr>
            <w:r>
              <w:rPr>
                <w:b/>
                <w:sz w:val="24"/>
              </w:rPr>
              <w:t>Доба від початку захворювання</w:t>
            </w:r>
          </w:p>
          <w:p w:rsidR="00B23B94" w:rsidRDefault="00B23B94">
            <w:pPr>
              <w:pStyle w:val="TableParagraph"/>
              <w:jc w:val="left"/>
              <w:rPr>
                <w:b/>
                <w:sz w:val="26"/>
              </w:rPr>
            </w:pPr>
          </w:p>
          <w:p w:rsidR="00B23B94" w:rsidRDefault="003B2D3B">
            <w:pPr>
              <w:pStyle w:val="TableParagraph"/>
              <w:spacing w:before="151"/>
              <w:ind w:left="107"/>
              <w:jc w:val="left"/>
              <w:rPr>
                <w:b/>
                <w:sz w:val="26"/>
              </w:rPr>
            </w:pPr>
            <w:r>
              <w:rPr>
                <w:b/>
                <w:sz w:val="26"/>
              </w:rPr>
              <w:t>Гідроторакс</w:t>
            </w:r>
          </w:p>
        </w:tc>
        <w:tc>
          <w:tcPr>
            <w:tcW w:w="1410" w:type="dxa"/>
            <w:gridSpan w:val="2"/>
          </w:tcPr>
          <w:p w:rsidR="00B23B94" w:rsidRDefault="003B2D3B">
            <w:pPr>
              <w:pStyle w:val="TableParagraph"/>
              <w:spacing w:before="247"/>
              <w:ind w:left="1"/>
              <w:rPr>
                <w:b/>
                <w:sz w:val="28"/>
              </w:rPr>
            </w:pPr>
            <w:r>
              <w:rPr>
                <w:b/>
                <w:sz w:val="28"/>
              </w:rPr>
              <w:t>1</w:t>
            </w:r>
          </w:p>
        </w:tc>
        <w:tc>
          <w:tcPr>
            <w:tcW w:w="1434" w:type="dxa"/>
            <w:gridSpan w:val="2"/>
          </w:tcPr>
          <w:p w:rsidR="00B23B94" w:rsidRDefault="003B2D3B">
            <w:pPr>
              <w:pStyle w:val="TableParagraph"/>
              <w:spacing w:before="247"/>
              <w:rPr>
                <w:b/>
                <w:sz w:val="28"/>
              </w:rPr>
            </w:pPr>
            <w:r>
              <w:rPr>
                <w:b/>
                <w:sz w:val="28"/>
              </w:rPr>
              <w:t>2</w:t>
            </w:r>
          </w:p>
        </w:tc>
        <w:tc>
          <w:tcPr>
            <w:tcW w:w="1437" w:type="dxa"/>
            <w:gridSpan w:val="2"/>
          </w:tcPr>
          <w:p w:rsidR="00B23B94" w:rsidRDefault="003B2D3B">
            <w:pPr>
              <w:pStyle w:val="TableParagraph"/>
              <w:spacing w:before="247"/>
              <w:ind w:left="508" w:right="504"/>
              <w:rPr>
                <w:b/>
                <w:sz w:val="28"/>
              </w:rPr>
            </w:pPr>
            <w:r>
              <w:rPr>
                <w:b/>
                <w:sz w:val="28"/>
              </w:rPr>
              <w:t>6-7</w:t>
            </w:r>
          </w:p>
        </w:tc>
        <w:tc>
          <w:tcPr>
            <w:tcW w:w="1436" w:type="dxa"/>
            <w:gridSpan w:val="2"/>
          </w:tcPr>
          <w:p w:rsidR="00B23B94" w:rsidRDefault="003B2D3B">
            <w:pPr>
              <w:pStyle w:val="TableParagraph"/>
              <w:spacing w:before="247"/>
              <w:ind w:left="387"/>
              <w:jc w:val="left"/>
              <w:rPr>
                <w:b/>
                <w:sz w:val="28"/>
              </w:rPr>
            </w:pPr>
            <w:r>
              <w:rPr>
                <w:b/>
                <w:sz w:val="28"/>
              </w:rPr>
              <w:t>12-14</w:t>
            </w:r>
          </w:p>
        </w:tc>
        <w:tc>
          <w:tcPr>
            <w:tcW w:w="1436" w:type="dxa"/>
            <w:gridSpan w:val="2"/>
          </w:tcPr>
          <w:p w:rsidR="00B23B94" w:rsidRDefault="003B2D3B">
            <w:pPr>
              <w:pStyle w:val="TableParagraph"/>
              <w:spacing w:before="247"/>
              <w:ind w:left="386"/>
              <w:jc w:val="left"/>
              <w:rPr>
                <w:b/>
                <w:sz w:val="28"/>
              </w:rPr>
            </w:pPr>
            <w:r>
              <w:rPr>
                <w:b/>
                <w:sz w:val="28"/>
              </w:rPr>
              <w:t>20-21</w:t>
            </w:r>
          </w:p>
        </w:tc>
      </w:tr>
      <w:tr w:rsidR="00B23B94">
        <w:trPr>
          <w:trHeight w:val="738"/>
        </w:trPr>
        <w:tc>
          <w:tcPr>
            <w:tcW w:w="2425" w:type="dxa"/>
            <w:vMerge/>
            <w:tcBorders>
              <w:top w:val="nil"/>
            </w:tcBorders>
          </w:tcPr>
          <w:p w:rsidR="00B23B94" w:rsidRDefault="00B23B94">
            <w:pPr>
              <w:rPr>
                <w:sz w:val="2"/>
                <w:szCs w:val="2"/>
              </w:rPr>
            </w:pPr>
          </w:p>
        </w:tc>
        <w:tc>
          <w:tcPr>
            <w:tcW w:w="692" w:type="dxa"/>
          </w:tcPr>
          <w:p w:rsidR="00B23B94" w:rsidRDefault="003B2D3B">
            <w:pPr>
              <w:pStyle w:val="TableParagraph"/>
              <w:ind w:left="85" w:right="82"/>
              <w:rPr>
                <w:b/>
                <w:sz w:val="28"/>
              </w:rPr>
            </w:pPr>
            <w:r>
              <w:rPr>
                <w:b/>
                <w:sz w:val="28"/>
              </w:rPr>
              <w:t>абс.</w:t>
            </w:r>
          </w:p>
        </w:tc>
        <w:tc>
          <w:tcPr>
            <w:tcW w:w="718" w:type="dxa"/>
          </w:tcPr>
          <w:p w:rsidR="00B23B94" w:rsidRDefault="003B2D3B">
            <w:pPr>
              <w:pStyle w:val="TableParagraph"/>
              <w:ind w:left="216"/>
              <w:jc w:val="left"/>
              <w:rPr>
                <w:b/>
                <w:sz w:val="28"/>
              </w:rPr>
            </w:pPr>
            <w:r>
              <w:rPr>
                <w:b/>
                <w:sz w:val="28"/>
              </w:rPr>
              <w:t>%</w:t>
            </w:r>
          </w:p>
        </w:tc>
        <w:tc>
          <w:tcPr>
            <w:tcW w:w="728" w:type="dxa"/>
          </w:tcPr>
          <w:p w:rsidR="00B23B94" w:rsidRDefault="003B2D3B">
            <w:pPr>
              <w:pStyle w:val="TableParagraph"/>
              <w:ind w:left="101" w:right="101"/>
              <w:rPr>
                <w:b/>
                <w:sz w:val="28"/>
              </w:rPr>
            </w:pPr>
            <w:r>
              <w:rPr>
                <w:b/>
                <w:sz w:val="28"/>
              </w:rPr>
              <w:t>абс.</w:t>
            </w:r>
          </w:p>
        </w:tc>
        <w:tc>
          <w:tcPr>
            <w:tcW w:w="706" w:type="dxa"/>
          </w:tcPr>
          <w:p w:rsidR="00B23B94" w:rsidRDefault="003B2D3B">
            <w:pPr>
              <w:pStyle w:val="TableParagraph"/>
              <w:ind w:left="208"/>
              <w:jc w:val="left"/>
              <w:rPr>
                <w:b/>
                <w:sz w:val="28"/>
              </w:rPr>
            </w:pPr>
            <w:r>
              <w:rPr>
                <w:b/>
                <w:sz w:val="28"/>
              </w:rPr>
              <w:t>%</w:t>
            </w:r>
          </w:p>
        </w:tc>
        <w:tc>
          <w:tcPr>
            <w:tcW w:w="730" w:type="dxa"/>
          </w:tcPr>
          <w:p w:rsidR="00B23B94" w:rsidRDefault="003B2D3B">
            <w:pPr>
              <w:pStyle w:val="TableParagraph"/>
              <w:ind w:left="102" w:right="98"/>
              <w:rPr>
                <w:b/>
                <w:sz w:val="28"/>
              </w:rPr>
            </w:pPr>
            <w:r>
              <w:rPr>
                <w:b/>
                <w:sz w:val="28"/>
              </w:rPr>
              <w:t>абс.</w:t>
            </w:r>
          </w:p>
        </w:tc>
        <w:tc>
          <w:tcPr>
            <w:tcW w:w="707" w:type="dxa"/>
          </w:tcPr>
          <w:p w:rsidR="00B23B94" w:rsidRDefault="003B2D3B">
            <w:pPr>
              <w:pStyle w:val="TableParagraph"/>
              <w:ind w:left="1"/>
              <w:rPr>
                <w:b/>
                <w:sz w:val="28"/>
              </w:rPr>
            </w:pPr>
            <w:r>
              <w:rPr>
                <w:b/>
                <w:sz w:val="28"/>
              </w:rPr>
              <w:t>%</w:t>
            </w:r>
          </w:p>
        </w:tc>
        <w:tc>
          <w:tcPr>
            <w:tcW w:w="730" w:type="dxa"/>
          </w:tcPr>
          <w:p w:rsidR="00B23B94" w:rsidRDefault="003B2D3B">
            <w:pPr>
              <w:pStyle w:val="TableParagraph"/>
              <w:ind w:left="102" w:right="100"/>
              <w:rPr>
                <w:b/>
                <w:sz w:val="28"/>
              </w:rPr>
            </w:pPr>
            <w:r>
              <w:rPr>
                <w:b/>
                <w:sz w:val="28"/>
              </w:rPr>
              <w:t>абс.</w:t>
            </w:r>
          </w:p>
        </w:tc>
        <w:tc>
          <w:tcPr>
            <w:tcW w:w="706" w:type="dxa"/>
          </w:tcPr>
          <w:p w:rsidR="00B23B94" w:rsidRDefault="003B2D3B">
            <w:pPr>
              <w:pStyle w:val="TableParagraph"/>
              <w:ind w:right="1"/>
              <w:rPr>
                <w:b/>
                <w:sz w:val="28"/>
              </w:rPr>
            </w:pPr>
            <w:r>
              <w:rPr>
                <w:b/>
                <w:sz w:val="28"/>
              </w:rPr>
              <w:t>%</w:t>
            </w:r>
          </w:p>
        </w:tc>
        <w:tc>
          <w:tcPr>
            <w:tcW w:w="730" w:type="dxa"/>
          </w:tcPr>
          <w:p w:rsidR="00B23B94" w:rsidRDefault="003B2D3B">
            <w:pPr>
              <w:pStyle w:val="TableParagraph"/>
              <w:ind w:left="100" w:right="100"/>
              <w:rPr>
                <w:b/>
                <w:sz w:val="28"/>
              </w:rPr>
            </w:pPr>
            <w:r>
              <w:rPr>
                <w:b/>
                <w:sz w:val="28"/>
              </w:rPr>
              <w:t>абс.</w:t>
            </w:r>
          </w:p>
        </w:tc>
        <w:tc>
          <w:tcPr>
            <w:tcW w:w="706" w:type="dxa"/>
          </w:tcPr>
          <w:p w:rsidR="00B23B94" w:rsidRDefault="003B2D3B">
            <w:pPr>
              <w:pStyle w:val="TableParagraph"/>
              <w:rPr>
                <w:b/>
                <w:sz w:val="28"/>
              </w:rPr>
            </w:pPr>
            <w:r>
              <w:rPr>
                <w:b/>
                <w:sz w:val="28"/>
              </w:rPr>
              <w:t>%</w:t>
            </w:r>
          </w:p>
        </w:tc>
      </w:tr>
      <w:tr w:rsidR="00B23B94">
        <w:trPr>
          <w:trHeight w:val="482"/>
        </w:trPr>
        <w:tc>
          <w:tcPr>
            <w:tcW w:w="2425" w:type="dxa"/>
          </w:tcPr>
          <w:p w:rsidR="00B23B94" w:rsidRDefault="003B2D3B">
            <w:pPr>
              <w:pStyle w:val="TableParagraph"/>
              <w:ind w:left="107"/>
              <w:jc w:val="left"/>
              <w:rPr>
                <w:sz w:val="28"/>
              </w:rPr>
            </w:pPr>
            <w:r>
              <w:rPr>
                <w:sz w:val="28"/>
              </w:rPr>
              <w:t>Правобічний</w:t>
            </w:r>
          </w:p>
        </w:tc>
        <w:tc>
          <w:tcPr>
            <w:tcW w:w="692" w:type="dxa"/>
          </w:tcPr>
          <w:p w:rsidR="00B23B94" w:rsidRDefault="003B2D3B">
            <w:pPr>
              <w:pStyle w:val="TableParagraph"/>
              <w:ind w:left="4"/>
              <w:rPr>
                <w:sz w:val="28"/>
              </w:rPr>
            </w:pPr>
            <w:r>
              <w:rPr>
                <w:sz w:val="28"/>
              </w:rPr>
              <w:t>2</w:t>
            </w:r>
          </w:p>
        </w:tc>
        <w:tc>
          <w:tcPr>
            <w:tcW w:w="718" w:type="dxa"/>
          </w:tcPr>
          <w:p w:rsidR="00B23B94" w:rsidRDefault="003B2D3B">
            <w:pPr>
              <w:pStyle w:val="TableParagraph"/>
              <w:ind w:right="173"/>
              <w:jc w:val="right"/>
              <w:rPr>
                <w:sz w:val="28"/>
              </w:rPr>
            </w:pPr>
            <w:r>
              <w:rPr>
                <w:sz w:val="28"/>
              </w:rPr>
              <w:t>2,3</w:t>
            </w:r>
          </w:p>
        </w:tc>
        <w:tc>
          <w:tcPr>
            <w:tcW w:w="728" w:type="dxa"/>
          </w:tcPr>
          <w:p w:rsidR="00B23B94" w:rsidRDefault="003B2D3B">
            <w:pPr>
              <w:pStyle w:val="TableParagraph"/>
              <w:rPr>
                <w:sz w:val="28"/>
              </w:rPr>
            </w:pPr>
            <w:r>
              <w:rPr>
                <w:sz w:val="28"/>
              </w:rPr>
              <w:t>1</w:t>
            </w:r>
          </w:p>
        </w:tc>
        <w:tc>
          <w:tcPr>
            <w:tcW w:w="706" w:type="dxa"/>
          </w:tcPr>
          <w:p w:rsidR="00B23B94" w:rsidRDefault="003B2D3B">
            <w:pPr>
              <w:pStyle w:val="TableParagraph"/>
              <w:ind w:right="166"/>
              <w:jc w:val="right"/>
              <w:rPr>
                <w:sz w:val="28"/>
              </w:rPr>
            </w:pPr>
            <w:r>
              <w:rPr>
                <w:sz w:val="28"/>
              </w:rPr>
              <w:t>1,1</w:t>
            </w:r>
          </w:p>
        </w:tc>
        <w:tc>
          <w:tcPr>
            <w:tcW w:w="730" w:type="dxa"/>
          </w:tcPr>
          <w:p w:rsidR="00B23B94" w:rsidRDefault="003B2D3B">
            <w:pPr>
              <w:pStyle w:val="TableParagraph"/>
              <w:ind w:left="5"/>
              <w:rPr>
                <w:sz w:val="28"/>
              </w:rPr>
            </w:pPr>
            <w:r>
              <w:rPr>
                <w:sz w:val="28"/>
              </w:rPr>
              <w:t>1</w:t>
            </w:r>
          </w:p>
        </w:tc>
        <w:tc>
          <w:tcPr>
            <w:tcW w:w="707" w:type="dxa"/>
          </w:tcPr>
          <w:p w:rsidR="00B23B94" w:rsidRDefault="003B2D3B">
            <w:pPr>
              <w:pStyle w:val="TableParagraph"/>
              <w:ind w:left="78" w:right="75"/>
              <w:rPr>
                <w:sz w:val="28"/>
              </w:rPr>
            </w:pPr>
            <w:r>
              <w:rPr>
                <w:sz w:val="28"/>
              </w:rPr>
              <w:t>1,1</w:t>
            </w:r>
          </w:p>
        </w:tc>
        <w:tc>
          <w:tcPr>
            <w:tcW w:w="730" w:type="dxa"/>
          </w:tcPr>
          <w:p w:rsidR="00B23B94" w:rsidRDefault="003B2D3B">
            <w:pPr>
              <w:pStyle w:val="TableParagraph"/>
              <w:ind w:left="3"/>
              <w:rPr>
                <w:sz w:val="28"/>
              </w:rPr>
            </w:pPr>
            <w:r>
              <w:rPr>
                <w:sz w:val="28"/>
              </w:rPr>
              <w:t>2</w:t>
            </w:r>
          </w:p>
        </w:tc>
        <w:tc>
          <w:tcPr>
            <w:tcW w:w="706" w:type="dxa"/>
          </w:tcPr>
          <w:p w:rsidR="00B23B94" w:rsidRDefault="003B2D3B">
            <w:pPr>
              <w:pStyle w:val="TableParagraph"/>
              <w:ind w:left="80" w:right="78"/>
              <w:rPr>
                <w:sz w:val="28"/>
              </w:rPr>
            </w:pPr>
            <w:r>
              <w:rPr>
                <w:sz w:val="28"/>
              </w:rPr>
              <w:t>2,3</w:t>
            </w:r>
          </w:p>
        </w:tc>
        <w:tc>
          <w:tcPr>
            <w:tcW w:w="730" w:type="dxa"/>
          </w:tcPr>
          <w:p w:rsidR="00B23B94" w:rsidRDefault="003B2D3B">
            <w:pPr>
              <w:pStyle w:val="TableParagraph"/>
              <w:ind w:left="2"/>
              <w:rPr>
                <w:sz w:val="28"/>
              </w:rPr>
            </w:pPr>
            <w:r>
              <w:rPr>
                <w:sz w:val="28"/>
              </w:rPr>
              <w:t>1</w:t>
            </w:r>
          </w:p>
        </w:tc>
        <w:tc>
          <w:tcPr>
            <w:tcW w:w="706" w:type="dxa"/>
          </w:tcPr>
          <w:p w:rsidR="00B23B94" w:rsidRDefault="003B2D3B">
            <w:pPr>
              <w:pStyle w:val="TableParagraph"/>
              <w:ind w:left="79" w:right="78"/>
              <w:rPr>
                <w:sz w:val="28"/>
              </w:rPr>
            </w:pPr>
            <w:r>
              <w:rPr>
                <w:sz w:val="28"/>
              </w:rPr>
              <w:t>1,1</w:t>
            </w:r>
          </w:p>
        </w:tc>
      </w:tr>
      <w:tr w:rsidR="00B23B94">
        <w:trPr>
          <w:trHeight w:val="484"/>
        </w:trPr>
        <w:tc>
          <w:tcPr>
            <w:tcW w:w="2425" w:type="dxa"/>
          </w:tcPr>
          <w:p w:rsidR="00B23B94" w:rsidRDefault="003B2D3B">
            <w:pPr>
              <w:pStyle w:val="TableParagraph"/>
              <w:ind w:left="107"/>
              <w:jc w:val="left"/>
              <w:rPr>
                <w:sz w:val="28"/>
              </w:rPr>
            </w:pPr>
            <w:r>
              <w:rPr>
                <w:sz w:val="28"/>
              </w:rPr>
              <w:t>Лівобічний</w:t>
            </w:r>
          </w:p>
        </w:tc>
        <w:tc>
          <w:tcPr>
            <w:tcW w:w="692" w:type="dxa"/>
          </w:tcPr>
          <w:p w:rsidR="00B23B94" w:rsidRDefault="003B2D3B">
            <w:pPr>
              <w:pStyle w:val="TableParagraph"/>
              <w:ind w:left="85" w:right="82"/>
              <w:rPr>
                <w:sz w:val="28"/>
              </w:rPr>
            </w:pPr>
            <w:r>
              <w:rPr>
                <w:sz w:val="28"/>
              </w:rPr>
              <w:t>17</w:t>
            </w:r>
          </w:p>
        </w:tc>
        <w:tc>
          <w:tcPr>
            <w:tcW w:w="718" w:type="dxa"/>
          </w:tcPr>
          <w:p w:rsidR="00B23B94" w:rsidRDefault="003B2D3B">
            <w:pPr>
              <w:pStyle w:val="TableParagraph"/>
              <w:ind w:right="104"/>
              <w:jc w:val="right"/>
              <w:rPr>
                <w:sz w:val="28"/>
              </w:rPr>
            </w:pPr>
            <w:r>
              <w:rPr>
                <w:sz w:val="28"/>
              </w:rPr>
              <w:t>19,5</w:t>
            </w:r>
          </w:p>
        </w:tc>
        <w:tc>
          <w:tcPr>
            <w:tcW w:w="728" w:type="dxa"/>
          </w:tcPr>
          <w:p w:rsidR="00B23B94" w:rsidRDefault="003B2D3B">
            <w:pPr>
              <w:pStyle w:val="TableParagraph"/>
              <w:ind w:left="101" w:right="98"/>
              <w:rPr>
                <w:sz w:val="28"/>
              </w:rPr>
            </w:pPr>
            <w:r>
              <w:rPr>
                <w:sz w:val="28"/>
              </w:rPr>
              <w:t>16</w:t>
            </w:r>
          </w:p>
        </w:tc>
        <w:tc>
          <w:tcPr>
            <w:tcW w:w="706" w:type="dxa"/>
          </w:tcPr>
          <w:p w:rsidR="00B23B94" w:rsidRDefault="003B2D3B">
            <w:pPr>
              <w:pStyle w:val="TableParagraph"/>
              <w:ind w:right="98"/>
              <w:jc w:val="right"/>
              <w:rPr>
                <w:sz w:val="28"/>
              </w:rPr>
            </w:pPr>
            <w:r>
              <w:rPr>
                <w:sz w:val="28"/>
              </w:rPr>
              <w:t>18,4</w:t>
            </w:r>
          </w:p>
        </w:tc>
        <w:tc>
          <w:tcPr>
            <w:tcW w:w="730" w:type="dxa"/>
          </w:tcPr>
          <w:p w:rsidR="00B23B94" w:rsidRDefault="003B2D3B">
            <w:pPr>
              <w:pStyle w:val="TableParagraph"/>
              <w:ind w:left="102" w:right="98"/>
              <w:rPr>
                <w:sz w:val="28"/>
              </w:rPr>
            </w:pPr>
            <w:r>
              <w:rPr>
                <w:sz w:val="28"/>
              </w:rPr>
              <w:t>12</w:t>
            </w:r>
          </w:p>
        </w:tc>
        <w:tc>
          <w:tcPr>
            <w:tcW w:w="707" w:type="dxa"/>
          </w:tcPr>
          <w:p w:rsidR="00B23B94" w:rsidRDefault="003B2D3B">
            <w:pPr>
              <w:pStyle w:val="TableParagraph"/>
              <w:ind w:left="77" w:right="75"/>
              <w:rPr>
                <w:sz w:val="28"/>
              </w:rPr>
            </w:pPr>
            <w:r>
              <w:rPr>
                <w:sz w:val="28"/>
              </w:rPr>
              <w:t>13,8</w:t>
            </w:r>
          </w:p>
        </w:tc>
        <w:tc>
          <w:tcPr>
            <w:tcW w:w="730" w:type="dxa"/>
          </w:tcPr>
          <w:p w:rsidR="00B23B94" w:rsidRDefault="003B2D3B">
            <w:pPr>
              <w:pStyle w:val="TableParagraph"/>
              <w:ind w:left="101" w:right="100"/>
              <w:rPr>
                <w:sz w:val="28"/>
              </w:rPr>
            </w:pPr>
            <w:r>
              <w:rPr>
                <w:sz w:val="28"/>
              </w:rPr>
              <w:t>14</w:t>
            </w:r>
          </w:p>
        </w:tc>
        <w:tc>
          <w:tcPr>
            <w:tcW w:w="706" w:type="dxa"/>
          </w:tcPr>
          <w:p w:rsidR="00B23B94" w:rsidRDefault="003B2D3B">
            <w:pPr>
              <w:pStyle w:val="TableParagraph"/>
              <w:ind w:left="79" w:right="78"/>
              <w:rPr>
                <w:sz w:val="28"/>
              </w:rPr>
            </w:pPr>
            <w:r>
              <w:rPr>
                <w:sz w:val="28"/>
              </w:rPr>
              <w:t>16,1</w:t>
            </w:r>
          </w:p>
        </w:tc>
        <w:tc>
          <w:tcPr>
            <w:tcW w:w="730" w:type="dxa"/>
          </w:tcPr>
          <w:p w:rsidR="00B23B94" w:rsidRDefault="003B2D3B">
            <w:pPr>
              <w:pStyle w:val="TableParagraph"/>
              <w:ind w:left="2"/>
              <w:rPr>
                <w:sz w:val="28"/>
              </w:rPr>
            </w:pPr>
            <w:r>
              <w:rPr>
                <w:sz w:val="28"/>
              </w:rPr>
              <w:t>8</w:t>
            </w:r>
          </w:p>
        </w:tc>
        <w:tc>
          <w:tcPr>
            <w:tcW w:w="706" w:type="dxa"/>
          </w:tcPr>
          <w:p w:rsidR="00B23B94" w:rsidRDefault="003B2D3B">
            <w:pPr>
              <w:pStyle w:val="TableParagraph"/>
              <w:ind w:left="79" w:right="78"/>
              <w:rPr>
                <w:sz w:val="28"/>
              </w:rPr>
            </w:pPr>
            <w:r>
              <w:rPr>
                <w:sz w:val="28"/>
              </w:rPr>
              <w:t>9,2</w:t>
            </w:r>
          </w:p>
        </w:tc>
      </w:tr>
      <w:tr w:rsidR="00B23B94">
        <w:trPr>
          <w:trHeight w:val="482"/>
        </w:trPr>
        <w:tc>
          <w:tcPr>
            <w:tcW w:w="2425" w:type="dxa"/>
          </w:tcPr>
          <w:p w:rsidR="00B23B94" w:rsidRDefault="003B2D3B">
            <w:pPr>
              <w:pStyle w:val="TableParagraph"/>
              <w:ind w:left="107"/>
              <w:jc w:val="left"/>
              <w:rPr>
                <w:sz w:val="28"/>
              </w:rPr>
            </w:pPr>
            <w:r>
              <w:rPr>
                <w:sz w:val="28"/>
              </w:rPr>
              <w:t>Двобічний</w:t>
            </w:r>
          </w:p>
        </w:tc>
        <w:tc>
          <w:tcPr>
            <w:tcW w:w="692" w:type="dxa"/>
          </w:tcPr>
          <w:p w:rsidR="00B23B94" w:rsidRDefault="003B2D3B">
            <w:pPr>
              <w:pStyle w:val="TableParagraph"/>
              <w:ind w:left="4"/>
              <w:rPr>
                <w:sz w:val="28"/>
              </w:rPr>
            </w:pPr>
            <w:r>
              <w:rPr>
                <w:sz w:val="28"/>
              </w:rPr>
              <w:t>3</w:t>
            </w:r>
          </w:p>
        </w:tc>
        <w:tc>
          <w:tcPr>
            <w:tcW w:w="718" w:type="dxa"/>
          </w:tcPr>
          <w:p w:rsidR="00B23B94" w:rsidRDefault="003B2D3B">
            <w:pPr>
              <w:pStyle w:val="TableParagraph"/>
              <w:ind w:right="173"/>
              <w:jc w:val="right"/>
              <w:rPr>
                <w:sz w:val="28"/>
              </w:rPr>
            </w:pPr>
            <w:r>
              <w:rPr>
                <w:sz w:val="28"/>
              </w:rPr>
              <w:t>3,1</w:t>
            </w:r>
          </w:p>
        </w:tc>
        <w:tc>
          <w:tcPr>
            <w:tcW w:w="728" w:type="dxa"/>
          </w:tcPr>
          <w:p w:rsidR="00B23B94" w:rsidRDefault="003B2D3B">
            <w:pPr>
              <w:pStyle w:val="TableParagraph"/>
              <w:rPr>
                <w:sz w:val="28"/>
              </w:rPr>
            </w:pPr>
            <w:r>
              <w:rPr>
                <w:sz w:val="28"/>
              </w:rPr>
              <w:t>2</w:t>
            </w:r>
          </w:p>
        </w:tc>
        <w:tc>
          <w:tcPr>
            <w:tcW w:w="706" w:type="dxa"/>
          </w:tcPr>
          <w:p w:rsidR="00B23B94" w:rsidRDefault="003B2D3B">
            <w:pPr>
              <w:pStyle w:val="TableParagraph"/>
              <w:ind w:right="166"/>
              <w:jc w:val="right"/>
              <w:rPr>
                <w:sz w:val="28"/>
              </w:rPr>
            </w:pPr>
            <w:r>
              <w:rPr>
                <w:sz w:val="28"/>
              </w:rPr>
              <w:t>2,3</w:t>
            </w:r>
          </w:p>
        </w:tc>
        <w:tc>
          <w:tcPr>
            <w:tcW w:w="730" w:type="dxa"/>
          </w:tcPr>
          <w:p w:rsidR="00B23B94" w:rsidRDefault="003B2D3B">
            <w:pPr>
              <w:pStyle w:val="TableParagraph"/>
              <w:ind w:left="5"/>
              <w:rPr>
                <w:sz w:val="28"/>
              </w:rPr>
            </w:pPr>
            <w:r>
              <w:rPr>
                <w:sz w:val="28"/>
              </w:rPr>
              <w:t>1</w:t>
            </w:r>
          </w:p>
        </w:tc>
        <w:tc>
          <w:tcPr>
            <w:tcW w:w="707" w:type="dxa"/>
          </w:tcPr>
          <w:p w:rsidR="00B23B94" w:rsidRDefault="003B2D3B">
            <w:pPr>
              <w:pStyle w:val="TableParagraph"/>
              <w:ind w:left="78" w:right="75"/>
              <w:rPr>
                <w:sz w:val="28"/>
              </w:rPr>
            </w:pPr>
            <w:r>
              <w:rPr>
                <w:sz w:val="28"/>
              </w:rPr>
              <w:t>1,1</w:t>
            </w:r>
          </w:p>
        </w:tc>
        <w:tc>
          <w:tcPr>
            <w:tcW w:w="730" w:type="dxa"/>
          </w:tcPr>
          <w:p w:rsidR="00B23B94" w:rsidRDefault="003B2D3B">
            <w:pPr>
              <w:pStyle w:val="TableParagraph"/>
              <w:ind w:left="3"/>
              <w:rPr>
                <w:sz w:val="28"/>
              </w:rPr>
            </w:pPr>
            <w:r>
              <w:rPr>
                <w:sz w:val="28"/>
              </w:rPr>
              <w:t>3</w:t>
            </w:r>
          </w:p>
        </w:tc>
        <w:tc>
          <w:tcPr>
            <w:tcW w:w="706" w:type="dxa"/>
          </w:tcPr>
          <w:p w:rsidR="00B23B94" w:rsidRDefault="003B2D3B">
            <w:pPr>
              <w:pStyle w:val="TableParagraph"/>
              <w:ind w:left="80" w:right="78"/>
              <w:rPr>
                <w:sz w:val="28"/>
              </w:rPr>
            </w:pPr>
            <w:r>
              <w:rPr>
                <w:sz w:val="28"/>
              </w:rPr>
              <w:t>3,4</w:t>
            </w:r>
          </w:p>
        </w:tc>
        <w:tc>
          <w:tcPr>
            <w:tcW w:w="730" w:type="dxa"/>
          </w:tcPr>
          <w:p w:rsidR="00B23B94" w:rsidRDefault="003B2D3B">
            <w:pPr>
              <w:pStyle w:val="TableParagraph"/>
              <w:ind w:right="1"/>
              <w:rPr>
                <w:sz w:val="28"/>
              </w:rPr>
            </w:pPr>
            <w:r>
              <w:rPr>
                <w:sz w:val="28"/>
              </w:rPr>
              <w:t>-</w:t>
            </w:r>
          </w:p>
        </w:tc>
        <w:tc>
          <w:tcPr>
            <w:tcW w:w="706" w:type="dxa"/>
          </w:tcPr>
          <w:p w:rsidR="00B23B94" w:rsidRDefault="003B2D3B">
            <w:pPr>
              <w:pStyle w:val="TableParagraph"/>
              <w:rPr>
                <w:sz w:val="28"/>
              </w:rPr>
            </w:pPr>
            <w:r>
              <w:rPr>
                <w:sz w:val="28"/>
              </w:rPr>
              <w:t>-</w:t>
            </w:r>
          </w:p>
        </w:tc>
      </w:tr>
      <w:tr w:rsidR="00B23B94">
        <w:trPr>
          <w:trHeight w:val="484"/>
        </w:trPr>
        <w:tc>
          <w:tcPr>
            <w:tcW w:w="2425" w:type="dxa"/>
          </w:tcPr>
          <w:p w:rsidR="00B23B94" w:rsidRDefault="003B2D3B">
            <w:pPr>
              <w:pStyle w:val="TableParagraph"/>
              <w:ind w:left="107"/>
              <w:jc w:val="left"/>
              <w:rPr>
                <w:sz w:val="28"/>
              </w:rPr>
            </w:pPr>
            <w:r>
              <w:rPr>
                <w:sz w:val="28"/>
              </w:rPr>
              <w:t>Всього</w:t>
            </w:r>
          </w:p>
        </w:tc>
        <w:tc>
          <w:tcPr>
            <w:tcW w:w="692" w:type="dxa"/>
          </w:tcPr>
          <w:p w:rsidR="00B23B94" w:rsidRDefault="003B2D3B">
            <w:pPr>
              <w:pStyle w:val="TableParagraph"/>
              <w:ind w:left="85" w:right="82"/>
              <w:rPr>
                <w:sz w:val="28"/>
              </w:rPr>
            </w:pPr>
            <w:r>
              <w:rPr>
                <w:sz w:val="28"/>
              </w:rPr>
              <w:t>20</w:t>
            </w:r>
          </w:p>
        </w:tc>
        <w:tc>
          <w:tcPr>
            <w:tcW w:w="718" w:type="dxa"/>
          </w:tcPr>
          <w:p w:rsidR="00B23B94" w:rsidRDefault="003B2D3B">
            <w:pPr>
              <w:pStyle w:val="TableParagraph"/>
              <w:ind w:right="104"/>
              <w:jc w:val="right"/>
              <w:rPr>
                <w:sz w:val="28"/>
              </w:rPr>
            </w:pPr>
            <w:r>
              <w:rPr>
                <w:sz w:val="28"/>
              </w:rPr>
              <w:t>23,0</w:t>
            </w:r>
          </w:p>
        </w:tc>
        <w:tc>
          <w:tcPr>
            <w:tcW w:w="728" w:type="dxa"/>
          </w:tcPr>
          <w:p w:rsidR="00B23B94" w:rsidRDefault="003B2D3B">
            <w:pPr>
              <w:pStyle w:val="TableParagraph"/>
              <w:ind w:left="101" w:right="98"/>
              <w:rPr>
                <w:sz w:val="28"/>
              </w:rPr>
            </w:pPr>
            <w:r>
              <w:rPr>
                <w:sz w:val="28"/>
              </w:rPr>
              <w:t>19</w:t>
            </w:r>
          </w:p>
        </w:tc>
        <w:tc>
          <w:tcPr>
            <w:tcW w:w="706" w:type="dxa"/>
          </w:tcPr>
          <w:p w:rsidR="00B23B94" w:rsidRDefault="003B2D3B">
            <w:pPr>
              <w:pStyle w:val="TableParagraph"/>
              <w:ind w:right="98"/>
              <w:jc w:val="right"/>
              <w:rPr>
                <w:sz w:val="28"/>
              </w:rPr>
            </w:pPr>
            <w:r>
              <w:rPr>
                <w:sz w:val="28"/>
              </w:rPr>
              <w:t>18,4</w:t>
            </w:r>
          </w:p>
        </w:tc>
        <w:tc>
          <w:tcPr>
            <w:tcW w:w="730" w:type="dxa"/>
          </w:tcPr>
          <w:p w:rsidR="00B23B94" w:rsidRDefault="003B2D3B">
            <w:pPr>
              <w:pStyle w:val="TableParagraph"/>
              <w:ind w:left="102" w:right="98"/>
              <w:rPr>
                <w:sz w:val="28"/>
              </w:rPr>
            </w:pPr>
            <w:r>
              <w:rPr>
                <w:sz w:val="28"/>
              </w:rPr>
              <w:t>14</w:t>
            </w:r>
          </w:p>
        </w:tc>
        <w:tc>
          <w:tcPr>
            <w:tcW w:w="707" w:type="dxa"/>
          </w:tcPr>
          <w:p w:rsidR="00B23B94" w:rsidRDefault="003B2D3B">
            <w:pPr>
              <w:pStyle w:val="TableParagraph"/>
              <w:ind w:left="77" w:right="75"/>
              <w:rPr>
                <w:sz w:val="28"/>
              </w:rPr>
            </w:pPr>
            <w:r>
              <w:rPr>
                <w:sz w:val="28"/>
              </w:rPr>
              <w:t>16,1</w:t>
            </w:r>
          </w:p>
        </w:tc>
        <w:tc>
          <w:tcPr>
            <w:tcW w:w="730" w:type="dxa"/>
          </w:tcPr>
          <w:p w:rsidR="00B23B94" w:rsidRDefault="003B2D3B">
            <w:pPr>
              <w:pStyle w:val="TableParagraph"/>
              <w:ind w:left="101" w:right="100"/>
              <w:rPr>
                <w:sz w:val="28"/>
              </w:rPr>
            </w:pPr>
            <w:r>
              <w:rPr>
                <w:sz w:val="28"/>
              </w:rPr>
              <w:t>19</w:t>
            </w:r>
          </w:p>
        </w:tc>
        <w:tc>
          <w:tcPr>
            <w:tcW w:w="706" w:type="dxa"/>
          </w:tcPr>
          <w:p w:rsidR="00B23B94" w:rsidRDefault="003B2D3B">
            <w:pPr>
              <w:pStyle w:val="TableParagraph"/>
              <w:ind w:left="79" w:right="78"/>
              <w:rPr>
                <w:sz w:val="28"/>
              </w:rPr>
            </w:pPr>
            <w:r>
              <w:rPr>
                <w:sz w:val="28"/>
              </w:rPr>
              <w:t>18,4</w:t>
            </w:r>
          </w:p>
        </w:tc>
        <w:tc>
          <w:tcPr>
            <w:tcW w:w="730" w:type="dxa"/>
          </w:tcPr>
          <w:p w:rsidR="00B23B94" w:rsidRDefault="003B2D3B">
            <w:pPr>
              <w:pStyle w:val="TableParagraph"/>
              <w:ind w:left="2"/>
              <w:rPr>
                <w:sz w:val="28"/>
              </w:rPr>
            </w:pPr>
            <w:r>
              <w:rPr>
                <w:sz w:val="28"/>
              </w:rPr>
              <w:t>9</w:t>
            </w:r>
          </w:p>
        </w:tc>
        <w:tc>
          <w:tcPr>
            <w:tcW w:w="706" w:type="dxa"/>
          </w:tcPr>
          <w:p w:rsidR="00B23B94" w:rsidRDefault="003B2D3B">
            <w:pPr>
              <w:pStyle w:val="TableParagraph"/>
              <w:ind w:left="78" w:right="78"/>
              <w:rPr>
                <w:sz w:val="28"/>
              </w:rPr>
            </w:pPr>
            <w:r>
              <w:rPr>
                <w:sz w:val="28"/>
              </w:rPr>
              <w:t>10,3</w:t>
            </w:r>
          </w:p>
        </w:tc>
      </w:tr>
    </w:tbl>
    <w:p w:rsidR="00B23B94" w:rsidRDefault="00B23B94">
      <w:pPr>
        <w:pStyle w:val="a3"/>
        <w:spacing w:before="11"/>
        <w:ind w:left="0"/>
        <w:jc w:val="left"/>
        <w:rPr>
          <w:b/>
          <w:sz w:val="41"/>
        </w:rPr>
      </w:pPr>
    </w:p>
    <w:p w:rsidR="00B23B94" w:rsidRDefault="003B2D3B">
      <w:pPr>
        <w:pStyle w:val="a3"/>
        <w:spacing w:line="360" w:lineRule="auto"/>
        <w:ind w:right="305" w:firstLine="707"/>
      </w:pPr>
      <w:r>
        <w:t>За даними комп’ютерної томографії з внутрішньовенним контрастуванням на 12-14 добу інфільтрація парапанкреатичної клітковини зберігалася у 10 (11,5%) пацієнтів, рідинні скупчення виявлено у 77 (88,5%) хворих, наявність тканинного компоненту (секвестрів) встановлено у 24 (27,6%) з них. Поширеність парапанкреатичних локальних ускладнень на одну</w:t>
      </w:r>
      <w:r>
        <w:rPr>
          <w:spacing w:val="13"/>
        </w:rPr>
        <w:t xml:space="preserve"> </w:t>
      </w:r>
      <w:r>
        <w:t>ЗППН</w:t>
      </w:r>
      <w:r>
        <w:rPr>
          <w:spacing w:val="16"/>
        </w:rPr>
        <w:t xml:space="preserve"> </w:t>
      </w:r>
      <w:r>
        <w:t>діагностовано</w:t>
      </w:r>
      <w:r>
        <w:rPr>
          <w:spacing w:val="17"/>
        </w:rPr>
        <w:t xml:space="preserve"> </w:t>
      </w:r>
      <w:r>
        <w:t>у</w:t>
      </w:r>
      <w:r>
        <w:rPr>
          <w:spacing w:val="13"/>
        </w:rPr>
        <w:t xml:space="preserve"> </w:t>
      </w:r>
      <w:r>
        <w:t>29</w:t>
      </w:r>
      <w:r>
        <w:rPr>
          <w:spacing w:val="15"/>
        </w:rPr>
        <w:t xml:space="preserve"> </w:t>
      </w:r>
      <w:r>
        <w:t>(33,3%)</w:t>
      </w:r>
      <w:r>
        <w:rPr>
          <w:spacing w:val="14"/>
        </w:rPr>
        <w:t xml:space="preserve"> </w:t>
      </w:r>
      <w:r>
        <w:t>пацієнтів,</w:t>
      </w:r>
      <w:r>
        <w:rPr>
          <w:spacing w:val="14"/>
        </w:rPr>
        <w:t xml:space="preserve"> </w:t>
      </w:r>
      <w:r>
        <w:t>на</w:t>
      </w:r>
      <w:r>
        <w:rPr>
          <w:spacing w:val="14"/>
        </w:rPr>
        <w:t xml:space="preserve"> </w:t>
      </w:r>
      <w:r>
        <w:t>2</w:t>
      </w:r>
      <w:r>
        <w:rPr>
          <w:spacing w:val="26"/>
        </w:rPr>
        <w:t xml:space="preserve"> </w:t>
      </w:r>
      <w:r>
        <w:t>ЗППН</w:t>
      </w:r>
      <w:r>
        <w:rPr>
          <w:spacing w:val="16"/>
        </w:rPr>
        <w:t xml:space="preserve"> </w:t>
      </w:r>
      <w:r>
        <w:t>–</w:t>
      </w:r>
      <w:r>
        <w:rPr>
          <w:spacing w:val="19"/>
        </w:rPr>
        <w:t xml:space="preserve"> </w:t>
      </w:r>
      <w:r>
        <w:t>у</w:t>
      </w:r>
      <w:r>
        <w:rPr>
          <w:spacing w:val="12"/>
        </w:rPr>
        <w:t xml:space="preserve"> </w:t>
      </w:r>
      <w:r>
        <w:t>26</w:t>
      </w:r>
      <w:r>
        <w:rPr>
          <w:spacing w:val="18"/>
        </w:rPr>
        <w:t xml:space="preserve"> </w:t>
      </w:r>
      <w:r>
        <w:t>(29,8%),</w:t>
      </w:r>
    </w:p>
    <w:p w:rsidR="00B23B94" w:rsidRDefault="003B2D3B">
      <w:pPr>
        <w:pStyle w:val="a3"/>
        <w:spacing w:line="360" w:lineRule="auto"/>
        <w:ind w:right="306"/>
      </w:pPr>
      <w:r>
        <w:t xml:space="preserve">3-4 ЗППН – у 22 (25,3%), 5 та більше – у 10 (11,6%) пацієнтів з гострим тяжким панкреатитом. Гідроторакс виявлено у 19 хворих. З них двобічний процес спостерігався у 3 (3,4%) хворих, правобічний – у 2 </w:t>
      </w:r>
      <w:r>
        <w:rPr>
          <w:spacing w:val="11"/>
        </w:rPr>
        <w:t xml:space="preserve"> </w:t>
      </w:r>
      <w:r>
        <w:t>(2,3%), лівобічний</w:t>
      </w:r>
    </w:p>
    <w:p w:rsidR="00B23B94" w:rsidRDefault="003B2D3B">
      <w:pPr>
        <w:pStyle w:val="a4"/>
        <w:numPr>
          <w:ilvl w:val="0"/>
          <w:numId w:val="7"/>
        </w:numPr>
        <w:tabs>
          <w:tab w:val="left" w:pos="434"/>
        </w:tabs>
        <w:ind w:left="433" w:right="0"/>
        <w:rPr>
          <w:sz w:val="28"/>
        </w:rPr>
      </w:pPr>
      <w:r>
        <w:rPr>
          <w:sz w:val="28"/>
        </w:rPr>
        <w:t>у 14 (16,1%) пацієнтів з гострим тяжким</w:t>
      </w:r>
      <w:r>
        <w:rPr>
          <w:spacing w:val="-8"/>
          <w:sz w:val="28"/>
        </w:rPr>
        <w:t xml:space="preserve"> </w:t>
      </w:r>
      <w:r>
        <w:rPr>
          <w:sz w:val="28"/>
        </w:rPr>
        <w:t>панкреатитом.</w:t>
      </w:r>
    </w:p>
    <w:p w:rsidR="00B23B94" w:rsidRDefault="003B2D3B">
      <w:pPr>
        <w:pStyle w:val="a3"/>
        <w:spacing w:before="160" w:line="360" w:lineRule="auto"/>
        <w:ind w:right="305" w:firstLine="707"/>
      </w:pPr>
      <w:r>
        <w:t>Тяжкість стану за шкалою BISAP через на 12-14 добу оцінено в 2,8±0,30 бали (від 2 до 5 балів). Ознаки органної дисфункції виявлено у 28 (32,2%) хворих. При цьому персистуюча органна дисфункція зберігалася у 16 (18,4%) хворих. Друга хвиля ПОД розвинулася у 12 (13,8%) пацієнтів, що була пов’язана з розвитком інфекційно-септичних</w:t>
      </w:r>
      <w:r>
        <w:rPr>
          <w:spacing w:val="-3"/>
        </w:rPr>
        <w:t xml:space="preserve"> </w:t>
      </w:r>
      <w:r>
        <w:t>ускладнень.</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left="8189"/>
        <w:rPr>
          <w:i/>
          <w:sz w:val="28"/>
        </w:rPr>
      </w:pPr>
      <w:r>
        <w:rPr>
          <w:i/>
          <w:sz w:val="28"/>
        </w:rPr>
        <w:lastRenderedPageBreak/>
        <w:t>Таблиця 3.4</w:t>
      </w:r>
    </w:p>
    <w:p w:rsidR="00B23B94" w:rsidRDefault="003B2D3B">
      <w:pPr>
        <w:pStyle w:val="1"/>
        <w:spacing w:before="163" w:line="360" w:lineRule="auto"/>
        <w:ind w:left="3373" w:right="1899" w:hanging="840"/>
      </w:pPr>
      <w:r>
        <w:t>Динаміка тяжкості перебігу захворювання у пацієнтів групи порівняння</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1"/>
        <w:gridCol w:w="1210"/>
        <w:gridCol w:w="1210"/>
        <w:gridCol w:w="1213"/>
        <w:gridCol w:w="1210"/>
        <w:gridCol w:w="1210"/>
      </w:tblGrid>
      <w:tr w:rsidR="00B23B94">
        <w:trPr>
          <w:trHeight w:val="484"/>
        </w:trPr>
        <w:tc>
          <w:tcPr>
            <w:tcW w:w="3521" w:type="dxa"/>
            <w:vMerge w:val="restart"/>
          </w:tcPr>
          <w:p w:rsidR="00B23B94" w:rsidRDefault="00B23B94">
            <w:pPr>
              <w:pStyle w:val="TableParagraph"/>
              <w:jc w:val="left"/>
              <w:rPr>
                <w:sz w:val="28"/>
              </w:rPr>
            </w:pPr>
          </w:p>
        </w:tc>
        <w:tc>
          <w:tcPr>
            <w:tcW w:w="6053" w:type="dxa"/>
            <w:gridSpan w:val="5"/>
          </w:tcPr>
          <w:p w:rsidR="00B23B94" w:rsidRDefault="003B2D3B">
            <w:pPr>
              <w:pStyle w:val="TableParagraph"/>
              <w:ind w:left="978" w:right="974"/>
              <w:rPr>
                <w:b/>
                <w:sz w:val="28"/>
              </w:rPr>
            </w:pPr>
            <w:r>
              <w:rPr>
                <w:b/>
                <w:sz w:val="28"/>
              </w:rPr>
              <w:t>Доба від початку захворювання</w:t>
            </w:r>
          </w:p>
        </w:tc>
      </w:tr>
      <w:tr w:rsidR="00B23B94">
        <w:trPr>
          <w:trHeight w:val="482"/>
        </w:trPr>
        <w:tc>
          <w:tcPr>
            <w:tcW w:w="3521" w:type="dxa"/>
            <w:vMerge/>
            <w:tcBorders>
              <w:top w:val="nil"/>
            </w:tcBorders>
          </w:tcPr>
          <w:p w:rsidR="00B23B94" w:rsidRDefault="00B23B94">
            <w:pPr>
              <w:rPr>
                <w:sz w:val="2"/>
                <w:szCs w:val="2"/>
              </w:rPr>
            </w:pPr>
          </w:p>
        </w:tc>
        <w:tc>
          <w:tcPr>
            <w:tcW w:w="1210" w:type="dxa"/>
          </w:tcPr>
          <w:p w:rsidR="00B23B94" w:rsidRDefault="003B2D3B">
            <w:pPr>
              <w:pStyle w:val="TableParagraph"/>
              <w:ind w:left="11"/>
              <w:rPr>
                <w:b/>
                <w:sz w:val="28"/>
              </w:rPr>
            </w:pPr>
            <w:r>
              <w:rPr>
                <w:b/>
                <w:sz w:val="28"/>
              </w:rPr>
              <w:t>1</w:t>
            </w:r>
          </w:p>
        </w:tc>
        <w:tc>
          <w:tcPr>
            <w:tcW w:w="1210" w:type="dxa"/>
          </w:tcPr>
          <w:p w:rsidR="00B23B94" w:rsidRDefault="003B2D3B">
            <w:pPr>
              <w:pStyle w:val="TableParagraph"/>
              <w:ind w:left="11"/>
              <w:rPr>
                <w:b/>
                <w:sz w:val="28"/>
              </w:rPr>
            </w:pPr>
            <w:r>
              <w:rPr>
                <w:b/>
                <w:sz w:val="28"/>
              </w:rPr>
              <w:t>2</w:t>
            </w:r>
          </w:p>
        </w:tc>
        <w:tc>
          <w:tcPr>
            <w:tcW w:w="1213" w:type="dxa"/>
          </w:tcPr>
          <w:p w:rsidR="00B23B94" w:rsidRDefault="003B2D3B">
            <w:pPr>
              <w:pStyle w:val="TableParagraph"/>
              <w:ind w:left="87" w:right="79"/>
              <w:rPr>
                <w:b/>
                <w:sz w:val="28"/>
              </w:rPr>
            </w:pPr>
            <w:r>
              <w:rPr>
                <w:b/>
                <w:sz w:val="28"/>
              </w:rPr>
              <w:t>6-7</w:t>
            </w:r>
          </w:p>
        </w:tc>
        <w:tc>
          <w:tcPr>
            <w:tcW w:w="1210" w:type="dxa"/>
          </w:tcPr>
          <w:p w:rsidR="00B23B94" w:rsidRDefault="003B2D3B">
            <w:pPr>
              <w:pStyle w:val="TableParagraph"/>
              <w:ind w:left="81" w:right="78"/>
              <w:rPr>
                <w:b/>
                <w:sz w:val="28"/>
              </w:rPr>
            </w:pPr>
            <w:r>
              <w:rPr>
                <w:b/>
                <w:sz w:val="28"/>
              </w:rPr>
              <w:t>12-14</w:t>
            </w:r>
          </w:p>
        </w:tc>
        <w:tc>
          <w:tcPr>
            <w:tcW w:w="1210" w:type="dxa"/>
          </w:tcPr>
          <w:p w:rsidR="00B23B94" w:rsidRDefault="003B2D3B">
            <w:pPr>
              <w:pStyle w:val="TableParagraph"/>
              <w:ind w:left="81" w:right="78"/>
              <w:rPr>
                <w:b/>
                <w:sz w:val="28"/>
              </w:rPr>
            </w:pPr>
            <w:r>
              <w:rPr>
                <w:b/>
                <w:sz w:val="28"/>
              </w:rPr>
              <w:t>20-21</w:t>
            </w:r>
          </w:p>
        </w:tc>
      </w:tr>
      <w:tr w:rsidR="00B23B94">
        <w:trPr>
          <w:trHeight w:val="481"/>
        </w:trPr>
        <w:tc>
          <w:tcPr>
            <w:tcW w:w="3521" w:type="dxa"/>
          </w:tcPr>
          <w:p w:rsidR="00B23B94" w:rsidRDefault="003B2D3B">
            <w:pPr>
              <w:pStyle w:val="TableParagraph"/>
              <w:ind w:left="1014"/>
              <w:jc w:val="left"/>
              <w:rPr>
                <w:sz w:val="28"/>
              </w:rPr>
            </w:pPr>
            <w:r>
              <w:rPr>
                <w:sz w:val="28"/>
              </w:rPr>
              <w:t>BISAP, бали</w:t>
            </w:r>
          </w:p>
        </w:tc>
        <w:tc>
          <w:tcPr>
            <w:tcW w:w="1210" w:type="dxa"/>
          </w:tcPr>
          <w:p w:rsidR="00B23B94" w:rsidRDefault="003B2D3B">
            <w:pPr>
              <w:pStyle w:val="TableParagraph"/>
              <w:ind w:left="85" w:right="75"/>
              <w:rPr>
                <w:sz w:val="28"/>
              </w:rPr>
            </w:pPr>
            <w:r>
              <w:rPr>
                <w:sz w:val="28"/>
              </w:rPr>
              <w:t>3,2±0,32</w:t>
            </w:r>
          </w:p>
        </w:tc>
        <w:tc>
          <w:tcPr>
            <w:tcW w:w="1210" w:type="dxa"/>
          </w:tcPr>
          <w:p w:rsidR="00B23B94" w:rsidRDefault="003B2D3B">
            <w:pPr>
              <w:pStyle w:val="TableParagraph"/>
              <w:ind w:left="85" w:right="75"/>
              <w:rPr>
                <w:sz w:val="28"/>
              </w:rPr>
            </w:pPr>
            <w:r>
              <w:rPr>
                <w:sz w:val="28"/>
              </w:rPr>
              <w:t>2,9±0,28</w:t>
            </w:r>
          </w:p>
        </w:tc>
        <w:tc>
          <w:tcPr>
            <w:tcW w:w="1213" w:type="dxa"/>
          </w:tcPr>
          <w:p w:rsidR="00B23B94" w:rsidRDefault="003B2D3B">
            <w:pPr>
              <w:pStyle w:val="TableParagraph"/>
              <w:ind w:left="87" w:right="81"/>
              <w:rPr>
                <w:sz w:val="28"/>
              </w:rPr>
            </w:pPr>
            <w:r>
              <w:rPr>
                <w:sz w:val="28"/>
              </w:rPr>
              <w:t>2,5±0,27</w:t>
            </w:r>
          </w:p>
        </w:tc>
        <w:tc>
          <w:tcPr>
            <w:tcW w:w="1210" w:type="dxa"/>
          </w:tcPr>
          <w:p w:rsidR="00B23B94" w:rsidRDefault="003B2D3B">
            <w:pPr>
              <w:pStyle w:val="TableParagraph"/>
              <w:ind w:left="82" w:right="78"/>
              <w:rPr>
                <w:sz w:val="28"/>
              </w:rPr>
            </w:pPr>
            <w:r>
              <w:rPr>
                <w:sz w:val="28"/>
              </w:rPr>
              <w:t>2,8±0,30</w:t>
            </w:r>
          </w:p>
        </w:tc>
        <w:tc>
          <w:tcPr>
            <w:tcW w:w="1210" w:type="dxa"/>
          </w:tcPr>
          <w:p w:rsidR="00B23B94" w:rsidRDefault="003B2D3B">
            <w:pPr>
              <w:pStyle w:val="TableParagraph"/>
              <w:ind w:left="82" w:right="78"/>
              <w:rPr>
                <w:sz w:val="28"/>
              </w:rPr>
            </w:pPr>
            <w:r>
              <w:rPr>
                <w:sz w:val="28"/>
              </w:rPr>
              <w:t>2,6±0,27</w:t>
            </w:r>
          </w:p>
        </w:tc>
      </w:tr>
      <w:tr w:rsidR="00B23B94">
        <w:trPr>
          <w:trHeight w:val="1449"/>
        </w:trPr>
        <w:tc>
          <w:tcPr>
            <w:tcW w:w="3521" w:type="dxa"/>
          </w:tcPr>
          <w:p w:rsidR="00B23B94" w:rsidRDefault="003B2D3B">
            <w:pPr>
              <w:pStyle w:val="TableParagraph"/>
              <w:spacing w:before="2" w:line="360" w:lineRule="auto"/>
              <w:ind w:left="254" w:right="244"/>
              <w:rPr>
                <w:sz w:val="28"/>
              </w:rPr>
            </w:pPr>
            <w:r>
              <w:rPr>
                <w:sz w:val="28"/>
              </w:rPr>
              <w:t>Marshall (≥2балів у одній чи декількох системах із</w:t>
            </w:r>
          </w:p>
          <w:p w:rsidR="00B23B94" w:rsidRDefault="003B2D3B">
            <w:pPr>
              <w:pStyle w:val="TableParagraph"/>
              <w:tabs>
                <w:tab w:val="left" w:pos="1055"/>
              </w:tabs>
              <w:spacing w:line="321" w:lineRule="exact"/>
              <w:ind w:left="11"/>
              <w:rPr>
                <w:sz w:val="28"/>
              </w:rPr>
            </w:pPr>
            <w:r>
              <w:rPr>
                <w:sz w:val="28"/>
              </w:rPr>
              <w:t>трьох),</w:t>
            </w:r>
            <w:r>
              <w:rPr>
                <w:sz w:val="28"/>
              </w:rPr>
              <w:tab/>
              <w:t>абс.</w:t>
            </w:r>
            <w:r>
              <w:rPr>
                <w:spacing w:val="-1"/>
                <w:sz w:val="28"/>
              </w:rPr>
              <w:t xml:space="preserve"> </w:t>
            </w:r>
            <w:r>
              <w:rPr>
                <w:sz w:val="28"/>
              </w:rPr>
              <w:t>(%)</w:t>
            </w:r>
          </w:p>
        </w:tc>
        <w:tc>
          <w:tcPr>
            <w:tcW w:w="1210" w:type="dxa"/>
          </w:tcPr>
          <w:p w:rsidR="00B23B94" w:rsidRDefault="003B2D3B">
            <w:pPr>
              <w:pStyle w:val="TableParagraph"/>
              <w:spacing w:before="242"/>
              <w:ind w:left="85" w:right="75"/>
              <w:rPr>
                <w:sz w:val="28"/>
              </w:rPr>
            </w:pPr>
            <w:r>
              <w:rPr>
                <w:sz w:val="28"/>
              </w:rPr>
              <w:t>59</w:t>
            </w:r>
          </w:p>
          <w:p w:rsidR="00B23B94" w:rsidRDefault="003B2D3B">
            <w:pPr>
              <w:pStyle w:val="TableParagraph"/>
              <w:spacing w:before="161"/>
              <w:ind w:left="85" w:right="74"/>
              <w:rPr>
                <w:sz w:val="28"/>
              </w:rPr>
            </w:pPr>
            <w:r>
              <w:rPr>
                <w:sz w:val="28"/>
              </w:rPr>
              <w:t>(67,8)</w:t>
            </w:r>
          </w:p>
        </w:tc>
        <w:tc>
          <w:tcPr>
            <w:tcW w:w="1210" w:type="dxa"/>
          </w:tcPr>
          <w:p w:rsidR="00B23B94" w:rsidRDefault="003B2D3B">
            <w:pPr>
              <w:pStyle w:val="TableParagraph"/>
              <w:spacing w:before="242"/>
              <w:ind w:left="85" w:right="76"/>
              <w:rPr>
                <w:sz w:val="28"/>
              </w:rPr>
            </w:pPr>
            <w:r>
              <w:rPr>
                <w:sz w:val="28"/>
              </w:rPr>
              <w:t>30</w:t>
            </w:r>
          </w:p>
          <w:p w:rsidR="00B23B94" w:rsidRDefault="003B2D3B">
            <w:pPr>
              <w:pStyle w:val="TableParagraph"/>
              <w:spacing w:before="161"/>
              <w:ind w:left="85" w:right="74"/>
              <w:rPr>
                <w:sz w:val="28"/>
              </w:rPr>
            </w:pPr>
            <w:r>
              <w:rPr>
                <w:sz w:val="28"/>
              </w:rPr>
              <w:t>(34,5)</w:t>
            </w:r>
          </w:p>
        </w:tc>
        <w:tc>
          <w:tcPr>
            <w:tcW w:w="1213" w:type="dxa"/>
          </w:tcPr>
          <w:p w:rsidR="00B23B94" w:rsidRDefault="003B2D3B">
            <w:pPr>
              <w:pStyle w:val="TableParagraph"/>
              <w:spacing w:before="242"/>
              <w:ind w:left="87" w:right="80"/>
              <w:rPr>
                <w:sz w:val="28"/>
              </w:rPr>
            </w:pPr>
            <w:r>
              <w:rPr>
                <w:sz w:val="28"/>
              </w:rPr>
              <w:t>16</w:t>
            </w:r>
          </w:p>
          <w:p w:rsidR="00B23B94" w:rsidRDefault="003B2D3B">
            <w:pPr>
              <w:pStyle w:val="TableParagraph"/>
              <w:spacing w:before="161"/>
              <w:ind w:left="87" w:right="79"/>
              <w:rPr>
                <w:sz w:val="28"/>
              </w:rPr>
            </w:pPr>
            <w:r>
              <w:rPr>
                <w:sz w:val="28"/>
              </w:rPr>
              <w:t>(18,4)</w:t>
            </w:r>
          </w:p>
        </w:tc>
        <w:tc>
          <w:tcPr>
            <w:tcW w:w="1210" w:type="dxa"/>
          </w:tcPr>
          <w:p w:rsidR="00B23B94" w:rsidRDefault="003B2D3B">
            <w:pPr>
              <w:pStyle w:val="TableParagraph"/>
              <w:spacing w:before="242"/>
              <w:ind w:left="81" w:right="78"/>
              <w:rPr>
                <w:sz w:val="28"/>
              </w:rPr>
            </w:pPr>
            <w:r>
              <w:rPr>
                <w:sz w:val="28"/>
              </w:rPr>
              <w:t>28</w:t>
            </w:r>
          </w:p>
          <w:p w:rsidR="00B23B94" w:rsidRDefault="003B2D3B">
            <w:pPr>
              <w:pStyle w:val="TableParagraph"/>
              <w:spacing w:before="161"/>
              <w:ind w:left="82" w:right="78"/>
              <w:rPr>
                <w:sz w:val="28"/>
              </w:rPr>
            </w:pPr>
            <w:r>
              <w:rPr>
                <w:sz w:val="28"/>
              </w:rPr>
              <w:t>(32,2)</w:t>
            </w:r>
          </w:p>
        </w:tc>
        <w:tc>
          <w:tcPr>
            <w:tcW w:w="1210" w:type="dxa"/>
          </w:tcPr>
          <w:p w:rsidR="00B23B94" w:rsidRDefault="003B2D3B">
            <w:pPr>
              <w:pStyle w:val="TableParagraph"/>
              <w:spacing w:before="242"/>
              <w:ind w:left="81" w:right="78"/>
              <w:rPr>
                <w:sz w:val="28"/>
              </w:rPr>
            </w:pPr>
            <w:r>
              <w:rPr>
                <w:sz w:val="28"/>
              </w:rPr>
              <w:t>10</w:t>
            </w:r>
          </w:p>
          <w:p w:rsidR="00B23B94" w:rsidRDefault="003B2D3B">
            <w:pPr>
              <w:pStyle w:val="TableParagraph"/>
              <w:spacing w:before="161"/>
              <w:ind w:left="82" w:right="78"/>
              <w:rPr>
                <w:sz w:val="28"/>
              </w:rPr>
            </w:pPr>
            <w:r>
              <w:rPr>
                <w:sz w:val="28"/>
              </w:rPr>
              <w:t>(11,5)</w:t>
            </w:r>
          </w:p>
        </w:tc>
      </w:tr>
    </w:tbl>
    <w:p w:rsidR="00B23B94" w:rsidRDefault="00B23B94">
      <w:pPr>
        <w:pStyle w:val="a3"/>
        <w:ind w:left="0"/>
        <w:jc w:val="left"/>
        <w:rPr>
          <w:b/>
          <w:sz w:val="20"/>
        </w:rPr>
      </w:pPr>
    </w:p>
    <w:p w:rsidR="00B23B94" w:rsidRDefault="003B2D3B">
      <w:pPr>
        <w:pStyle w:val="a3"/>
        <w:spacing w:before="254" w:line="360" w:lineRule="auto"/>
        <w:ind w:right="302" w:firstLine="707"/>
      </w:pPr>
      <w:r>
        <w:t>На 20-21 добу, за даними ультразвукового обстеження/комп’ютерної томографії, локалізація парапанкреатичних ускладнень в 1 ЗППН виявлено у 29 (33,3%) пацієнтів, на 2 ЗППН – 27 (31,0%), 3-4 ЗППН – 21 (24,1%), 5 та</w:t>
      </w:r>
    </w:p>
    <w:p w:rsidR="00B23B94" w:rsidRDefault="003B2D3B">
      <w:pPr>
        <w:pStyle w:val="a3"/>
        <w:spacing w:line="360" w:lineRule="auto"/>
        <w:ind w:right="304"/>
      </w:pPr>
      <w:r>
        <w:t>більше – 10 (11,6%). Відмежовані рідинні скупчення виявлено у 40 (46,0%) пацієнтів, рідинні скупчення з секвестрами діагностовано у 47 (54,0%) хворих. Лівобічний гідроторакс виявлено у 8 (9,2%) пацієнтів, правобічний – 1 (1,1%) пацієнтів, двобічного процесу не спостерігалося.</w:t>
      </w:r>
    </w:p>
    <w:p w:rsidR="00B23B94" w:rsidRDefault="003B2D3B">
      <w:pPr>
        <w:pStyle w:val="a3"/>
        <w:spacing w:line="360" w:lineRule="auto"/>
        <w:ind w:right="305" w:firstLine="707"/>
      </w:pPr>
      <w:r>
        <w:t>Тяжкість стану за шкалою BISAP через на 20-21 добу оцінено в 2,6±0,27 бали (від 2 до 4 балів). Ознаки органної недостатності залишалися у 10 (11,5%)</w:t>
      </w:r>
      <w:r>
        <w:rPr>
          <w:spacing w:val="-1"/>
        </w:rPr>
        <w:t xml:space="preserve"> </w:t>
      </w:r>
      <w:r>
        <w:t>пацієнтів.</w:t>
      </w:r>
    </w:p>
    <w:p w:rsidR="00B23B94" w:rsidRDefault="003B2D3B">
      <w:pPr>
        <w:pStyle w:val="a3"/>
        <w:spacing w:line="360" w:lineRule="auto"/>
        <w:ind w:right="308" w:firstLine="707"/>
      </w:pPr>
      <w:r>
        <w:t>Встановлено залежність між поширеністю локальних парапанкреатичних ускладнень та перебігом органної дисфункції у пацієнтів з гострим тяжким панкреатитом (табл.</w:t>
      </w:r>
      <w:r>
        <w:rPr>
          <w:spacing w:val="-6"/>
        </w:rPr>
        <w:t xml:space="preserve"> </w:t>
      </w:r>
      <w:r>
        <w:t>3.5).</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spacing w:before="79"/>
        <w:ind w:left="8189"/>
        <w:rPr>
          <w:i/>
          <w:sz w:val="28"/>
        </w:rPr>
      </w:pPr>
      <w:r>
        <w:rPr>
          <w:i/>
          <w:sz w:val="28"/>
        </w:rPr>
        <w:lastRenderedPageBreak/>
        <w:t>Таблиця 3.5</w:t>
      </w:r>
    </w:p>
    <w:p w:rsidR="00B23B94" w:rsidRDefault="003B2D3B">
      <w:pPr>
        <w:pStyle w:val="1"/>
        <w:spacing w:before="163" w:line="360" w:lineRule="auto"/>
        <w:ind w:left="2101" w:right="852" w:hanging="1326"/>
      </w:pPr>
      <w:r>
        <w:t>Тривалість ПОД у пацієнтів з ГТП в залежності від поширеності локальних парапанкреатичних ускладнень.</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4"/>
        <w:gridCol w:w="1476"/>
        <w:gridCol w:w="1068"/>
        <w:gridCol w:w="1070"/>
        <w:gridCol w:w="1068"/>
        <w:gridCol w:w="1071"/>
        <w:gridCol w:w="1068"/>
        <w:gridCol w:w="1071"/>
      </w:tblGrid>
      <w:tr w:rsidR="00B23B94">
        <w:trPr>
          <w:trHeight w:val="323"/>
        </w:trPr>
        <w:tc>
          <w:tcPr>
            <w:tcW w:w="1454" w:type="dxa"/>
            <w:vMerge w:val="restart"/>
          </w:tcPr>
          <w:p w:rsidR="00B23B94" w:rsidRDefault="003B2D3B">
            <w:pPr>
              <w:pStyle w:val="TableParagraph"/>
              <w:spacing w:line="242" w:lineRule="auto"/>
              <w:ind w:left="326" w:right="82" w:hanging="219"/>
              <w:jc w:val="left"/>
              <w:rPr>
                <w:b/>
                <w:sz w:val="28"/>
              </w:rPr>
            </w:pPr>
            <w:r>
              <w:rPr>
                <w:b/>
                <w:sz w:val="28"/>
              </w:rPr>
              <w:t>Кількість ЗППН</w:t>
            </w:r>
          </w:p>
        </w:tc>
        <w:tc>
          <w:tcPr>
            <w:tcW w:w="1476" w:type="dxa"/>
            <w:vMerge w:val="restart"/>
          </w:tcPr>
          <w:p w:rsidR="00B23B94" w:rsidRDefault="003B2D3B">
            <w:pPr>
              <w:pStyle w:val="TableParagraph"/>
              <w:ind w:left="108" w:right="92" w:hanging="7"/>
              <w:rPr>
                <w:b/>
                <w:sz w:val="26"/>
              </w:rPr>
            </w:pPr>
            <w:r>
              <w:rPr>
                <w:b/>
                <w:sz w:val="28"/>
              </w:rPr>
              <w:t>Кількість пацієнтів</w:t>
            </w:r>
            <w:r>
              <w:rPr>
                <w:sz w:val="28"/>
              </w:rPr>
              <w:t xml:space="preserve">, </w:t>
            </w:r>
            <w:r>
              <w:rPr>
                <w:b/>
                <w:sz w:val="26"/>
              </w:rPr>
              <w:t>абс</w:t>
            </w:r>
          </w:p>
        </w:tc>
        <w:tc>
          <w:tcPr>
            <w:tcW w:w="6416" w:type="dxa"/>
            <w:gridSpan w:val="6"/>
          </w:tcPr>
          <w:p w:rsidR="00B23B94" w:rsidRDefault="003B2D3B">
            <w:pPr>
              <w:pStyle w:val="TableParagraph"/>
              <w:spacing w:line="304" w:lineRule="exact"/>
              <w:ind w:left="2107" w:right="2094"/>
              <w:rPr>
                <w:b/>
                <w:sz w:val="28"/>
              </w:rPr>
            </w:pPr>
            <w:r>
              <w:rPr>
                <w:b/>
                <w:sz w:val="28"/>
              </w:rPr>
              <w:t>Тривалість ПОН</w:t>
            </w:r>
          </w:p>
        </w:tc>
      </w:tr>
      <w:tr w:rsidR="00B23B94">
        <w:trPr>
          <w:trHeight w:val="297"/>
        </w:trPr>
        <w:tc>
          <w:tcPr>
            <w:tcW w:w="1454" w:type="dxa"/>
            <w:vMerge/>
            <w:tcBorders>
              <w:top w:val="nil"/>
            </w:tcBorders>
          </w:tcPr>
          <w:p w:rsidR="00B23B94" w:rsidRDefault="00B23B94">
            <w:pPr>
              <w:rPr>
                <w:sz w:val="2"/>
                <w:szCs w:val="2"/>
              </w:rPr>
            </w:pPr>
          </w:p>
        </w:tc>
        <w:tc>
          <w:tcPr>
            <w:tcW w:w="1476" w:type="dxa"/>
            <w:vMerge/>
            <w:tcBorders>
              <w:top w:val="nil"/>
            </w:tcBorders>
          </w:tcPr>
          <w:p w:rsidR="00B23B94" w:rsidRDefault="00B23B94">
            <w:pPr>
              <w:rPr>
                <w:sz w:val="2"/>
                <w:szCs w:val="2"/>
              </w:rPr>
            </w:pPr>
          </w:p>
        </w:tc>
        <w:tc>
          <w:tcPr>
            <w:tcW w:w="2138" w:type="dxa"/>
            <w:gridSpan w:val="2"/>
          </w:tcPr>
          <w:p w:rsidR="00B23B94" w:rsidRDefault="003B2D3B">
            <w:pPr>
              <w:pStyle w:val="TableParagraph"/>
              <w:spacing w:line="277" w:lineRule="exact"/>
              <w:ind w:left="147"/>
              <w:jc w:val="left"/>
              <w:rPr>
                <w:b/>
                <w:sz w:val="26"/>
              </w:rPr>
            </w:pPr>
            <w:r>
              <w:rPr>
                <w:b/>
                <w:sz w:val="26"/>
              </w:rPr>
              <w:t>менше 24 годин</w:t>
            </w:r>
          </w:p>
        </w:tc>
        <w:tc>
          <w:tcPr>
            <w:tcW w:w="2139" w:type="dxa"/>
            <w:gridSpan w:val="2"/>
          </w:tcPr>
          <w:p w:rsidR="00B23B94" w:rsidRDefault="003B2D3B">
            <w:pPr>
              <w:pStyle w:val="TableParagraph"/>
              <w:spacing w:line="277" w:lineRule="exact"/>
              <w:ind w:left="392"/>
              <w:jc w:val="left"/>
              <w:rPr>
                <w:b/>
                <w:sz w:val="26"/>
              </w:rPr>
            </w:pPr>
            <w:r>
              <w:rPr>
                <w:b/>
                <w:sz w:val="26"/>
              </w:rPr>
              <w:t>24-48 годин</w:t>
            </w:r>
          </w:p>
        </w:tc>
        <w:tc>
          <w:tcPr>
            <w:tcW w:w="2139" w:type="dxa"/>
            <w:gridSpan w:val="2"/>
          </w:tcPr>
          <w:p w:rsidR="00B23B94" w:rsidRDefault="003B2D3B">
            <w:pPr>
              <w:pStyle w:val="TableParagraph"/>
              <w:spacing w:line="277" w:lineRule="exact"/>
              <w:ind w:left="123"/>
              <w:jc w:val="left"/>
              <w:rPr>
                <w:b/>
                <w:sz w:val="26"/>
              </w:rPr>
            </w:pPr>
            <w:r>
              <w:rPr>
                <w:b/>
                <w:sz w:val="26"/>
              </w:rPr>
              <w:t>більше 48 годин</w:t>
            </w:r>
          </w:p>
        </w:tc>
      </w:tr>
      <w:tr w:rsidR="00B23B94">
        <w:trPr>
          <w:trHeight w:val="484"/>
        </w:trPr>
        <w:tc>
          <w:tcPr>
            <w:tcW w:w="1454" w:type="dxa"/>
            <w:vMerge/>
            <w:tcBorders>
              <w:top w:val="nil"/>
            </w:tcBorders>
          </w:tcPr>
          <w:p w:rsidR="00B23B94" w:rsidRDefault="00B23B94">
            <w:pPr>
              <w:rPr>
                <w:sz w:val="2"/>
                <w:szCs w:val="2"/>
              </w:rPr>
            </w:pPr>
          </w:p>
        </w:tc>
        <w:tc>
          <w:tcPr>
            <w:tcW w:w="1476" w:type="dxa"/>
            <w:vMerge/>
            <w:tcBorders>
              <w:top w:val="nil"/>
            </w:tcBorders>
          </w:tcPr>
          <w:p w:rsidR="00B23B94" w:rsidRDefault="00B23B94">
            <w:pPr>
              <w:rPr>
                <w:sz w:val="2"/>
                <w:szCs w:val="2"/>
              </w:rPr>
            </w:pPr>
          </w:p>
        </w:tc>
        <w:tc>
          <w:tcPr>
            <w:tcW w:w="1068" w:type="dxa"/>
          </w:tcPr>
          <w:p w:rsidR="00B23B94" w:rsidRDefault="003B2D3B">
            <w:pPr>
              <w:pStyle w:val="TableParagraph"/>
              <w:ind w:left="274" w:right="265"/>
              <w:rPr>
                <w:b/>
                <w:sz w:val="28"/>
              </w:rPr>
            </w:pPr>
            <w:r>
              <w:rPr>
                <w:b/>
                <w:sz w:val="28"/>
              </w:rPr>
              <w:t>абс.</w:t>
            </w:r>
          </w:p>
        </w:tc>
        <w:tc>
          <w:tcPr>
            <w:tcW w:w="1070" w:type="dxa"/>
          </w:tcPr>
          <w:p w:rsidR="00B23B94" w:rsidRDefault="003B2D3B">
            <w:pPr>
              <w:pStyle w:val="TableParagraph"/>
              <w:ind w:left="10"/>
              <w:rPr>
                <w:b/>
                <w:sz w:val="28"/>
              </w:rPr>
            </w:pPr>
            <w:r>
              <w:rPr>
                <w:b/>
                <w:sz w:val="28"/>
              </w:rPr>
              <w:t>%</w:t>
            </w:r>
          </w:p>
        </w:tc>
        <w:tc>
          <w:tcPr>
            <w:tcW w:w="1068" w:type="dxa"/>
          </w:tcPr>
          <w:p w:rsidR="00B23B94" w:rsidRDefault="003B2D3B">
            <w:pPr>
              <w:pStyle w:val="TableParagraph"/>
              <w:ind w:left="273" w:right="267"/>
              <w:rPr>
                <w:b/>
                <w:sz w:val="28"/>
              </w:rPr>
            </w:pPr>
            <w:r>
              <w:rPr>
                <w:b/>
                <w:sz w:val="28"/>
              </w:rPr>
              <w:t>абс.</w:t>
            </w:r>
          </w:p>
        </w:tc>
        <w:tc>
          <w:tcPr>
            <w:tcW w:w="1071" w:type="dxa"/>
          </w:tcPr>
          <w:p w:rsidR="00B23B94" w:rsidRDefault="003B2D3B">
            <w:pPr>
              <w:pStyle w:val="TableParagraph"/>
              <w:ind w:left="11"/>
              <w:rPr>
                <w:b/>
                <w:sz w:val="28"/>
              </w:rPr>
            </w:pPr>
            <w:r>
              <w:rPr>
                <w:b/>
                <w:sz w:val="28"/>
              </w:rPr>
              <w:t>%</w:t>
            </w:r>
          </w:p>
        </w:tc>
        <w:tc>
          <w:tcPr>
            <w:tcW w:w="1068" w:type="dxa"/>
          </w:tcPr>
          <w:p w:rsidR="00B23B94" w:rsidRDefault="003B2D3B">
            <w:pPr>
              <w:pStyle w:val="TableParagraph"/>
              <w:ind w:left="273" w:right="267"/>
              <w:rPr>
                <w:b/>
                <w:sz w:val="28"/>
              </w:rPr>
            </w:pPr>
            <w:r>
              <w:rPr>
                <w:b/>
                <w:sz w:val="28"/>
              </w:rPr>
              <w:t>абс.</w:t>
            </w:r>
          </w:p>
        </w:tc>
        <w:tc>
          <w:tcPr>
            <w:tcW w:w="1071" w:type="dxa"/>
          </w:tcPr>
          <w:p w:rsidR="00B23B94" w:rsidRDefault="003B2D3B">
            <w:pPr>
              <w:pStyle w:val="TableParagraph"/>
              <w:ind w:left="10"/>
              <w:rPr>
                <w:b/>
                <w:sz w:val="28"/>
              </w:rPr>
            </w:pPr>
            <w:r>
              <w:rPr>
                <w:b/>
                <w:sz w:val="28"/>
              </w:rPr>
              <w:t>%</w:t>
            </w:r>
          </w:p>
        </w:tc>
      </w:tr>
      <w:tr w:rsidR="00B23B94">
        <w:trPr>
          <w:trHeight w:val="481"/>
        </w:trPr>
        <w:tc>
          <w:tcPr>
            <w:tcW w:w="1454" w:type="dxa"/>
          </w:tcPr>
          <w:p w:rsidR="00B23B94" w:rsidRDefault="003B2D3B">
            <w:pPr>
              <w:pStyle w:val="TableParagraph"/>
              <w:ind w:left="11"/>
              <w:rPr>
                <w:sz w:val="28"/>
              </w:rPr>
            </w:pPr>
            <w:r>
              <w:rPr>
                <w:sz w:val="28"/>
              </w:rPr>
              <w:t>1</w:t>
            </w:r>
          </w:p>
        </w:tc>
        <w:tc>
          <w:tcPr>
            <w:tcW w:w="1476" w:type="dxa"/>
          </w:tcPr>
          <w:p w:rsidR="00B23B94" w:rsidRDefault="003B2D3B">
            <w:pPr>
              <w:pStyle w:val="TableParagraph"/>
              <w:ind w:left="148" w:right="135"/>
              <w:rPr>
                <w:sz w:val="28"/>
              </w:rPr>
            </w:pPr>
            <w:r>
              <w:rPr>
                <w:sz w:val="28"/>
              </w:rPr>
              <w:t>19</w:t>
            </w:r>
          </w:p>
        </w:tc>
        <w:tc>
          <w:tcPr>
            <w:tcW w:w="1068" w:type="dxa"/>
          </w:tcPr>
          <w:p w:rsidR="00B23B94" w:rsidRDefault="003B2D3B">
            <w:pPr>
              <w:pStyle w:val="TableParagraph"/>
              <w:ind w:left="274" w:right="261"/>
              <w:rPr>
                <w:sz w:val="28"/>
              </w:rPr>
            </w:pPr>
            <w:r>
              <w:rPr>
                <w:sz w:val="28"/>
              </w:rPr>
              <w:t>14</w:t>
            </w:r>
          </w:p>
        </w:tc>
        <w:tc>
          <w:tcPr>
            <w:tcW w:w="1070" w:type="dxa"/>
          </w:tcPr>
          <w:p w:rsidR="00B23B94" w:rsidRDefault="003B2D3B">
            <w:pPr>
              <w:pStyle w:val="TableParagraph"/>
              <w:ind w:left="269" w:right="261"/>
              <w:rPr>
                <w:sz w:val="28"/>
              </w:rPr>
            </w:pPr>
            <w:r>
              <w:rPr>
                <w:sz w:val="28"/>
              </w:rPr>
              <w:t>73,7</w:t>
            </w:r>
          </w:p>
        </w:tc>
        <w:tc>
          <w:tcPr>
            <w:tcW w:w="1068" w:type="dxa"/>
          </w:tcPr>
          <w:p w:rsidR="00B23B94" w:rsidRDefault="003B2D3B">
            <w:pPr>
              <w:pStyle w:val="TableParagraph"/>
              <w:ind w:left="7"/>
              <w:rPr>
                <w:sz w:val="28"/>
              </w:rPr>
            </w:pPr>
            <w:r>
              <w:rPr>
                <w:sz w:val="28"/>
              </w:rPr>
              <w:t>3</w:t>
            </w:r>
          </w:p>
        </w:tc>
        <w:tc>
          <w:tcPr>
            <w:tcW w:w="1071" w:type="dxa"/>
          </w:tcPr>
          <w:p w:rsidR="00B23B94" w:rsidRDefault="003B2D3B">
            <w:pPr>
              <w:pStyle w:val="TableParagraph"/>
              <w:ind w:left="198" w:right="189"/>
              <w:rPr>
                <w:sz w:val="28"/>
              </w:rPr>
            </w:pPr>
            <w:r>
              <w:rPr>
                <w:sz w:val="28"/>
              </w:rPr>
              <w:t>15,8</w:t>
            </w:r>
          </w:p>
        </w:tc>
        <w:tc>
          <w:tcPr>
            <w:tcW w:w="1068" w:type="dxa"/>
          </w:tcPr>
          <w:p w:rsidR="00B23B94" w:rsidRDefault="003B2D3B">
            <w:pPr>
              <w:pStyle w:val="TableParagraph"/>
              <w:ind w:left="7"/>
              <w:rPr>
                <w:sz w:val="28"/>
              </w:rPr>
            </w:pPr>
            <w:r>
              <w:rPr>
                <w:sz w:val="28"/>
              </w:rPr>
              <w:t>2</w:t>
            </w:r>
          </w:p>
        </w:tc>
        <w:tc>
          <w:tcPr>
            <w:tcW w:w="1071" w:type="dxa"/>
          </w:tcPr>
          <w:p w:rsidR="00B23B94" w:rsidRDefault="003B2D3B">
            <w:pPr>
              <w:pStyle w:val="TableParagraph"/>
              <w:ind w:left="201" w:right="188"/>
              <w:rPr>
                <w:sz w:val="28"/>
              </w:rPr>
            </w:pPr>
            <w:r>
              <w:rPr>
                <w:sz w:val="28"/>
              </w:rPr>
              <w:t>10,5</w:t>
            </w:r>
          </w:p>
        </w:tc>
      </w:tr>
      <w:tr w:rsidR="00B23B94">
        <w:trPr>
          <w:trHeight w:val="482"/>
        </w:trPr>
        <w:tc>
          <w:tcPr>
            <w:tcW w:w="1454" w:type="dxa"/>
          </w:tcPr>
          <w:p w:rsidR="00B23B94" w:rsidRDefault="003B2D3B">
            <w:pPr>
              <w:pStyle w:val="TableParagraph"/>
              <w:ind w:left="11"/>
              <w:rPr>
                <w:sz w:val="28"/>
              </w:rPr>
            </w:pPr>
            <w:r>
              <w:rPr>
                <w:sz w:val="28"/>
              </w:rPr>
              <w:t>2</w:t>
            </w:r>
          </w:p>
        </w:tc>
        <w:tc>
          <w:tcPr>
            <w:tcW w:w="1476" w:type="dxa"/>
          </w:tcPr>
          <w:p w:rsidR="00B23B94" w:rsidRDefault="003B2D3B">
            <w:pPr>
              <w:pStyle w:val="TableParagraph"/>
              <w:ind w:left="148" w:right="135"/>
              <w:rPr>
                <w:sz w:val="28"/>
              </w:rPr>
            </w:pPr>
            <w:r>
              <w:rPr>
                <w:sz w:val="28"/>
              </w:rPr>
              <w:t>24</w:t>
            </w:r>
          </w:p>
        </w:tc>
        <w:tc>
          <w:tcPr>
            <w:tcW w:w="1068" w:type="dxa"/>
          </w:tcPr>
          <w:p w:rsidR="00B23B94" w:rsidRDefault="003B2D3B">
            <w:pPr>
              <w:pStyle w:val="TableParagraph"/>
              <w:ind w:left="274" w:right="261"/>
              <w:rPr>
                <w:sz w:val="28"/>
              </w:rPr>
            </w:pPr>
            <w:r>
              <w:rPr>
                <w:sz w:val="28"/>
              </w:rPr>
              <w:t>17</w:t>
            </w:r>
          </w:p>
        </w:tc>
        <w:tc>
          <w:tcPr>
            <w:tcW w:w="1070" w:type="dxa"/>
          </w:tcPr>
          <w:p w:rsidR="00B23B94" w:rsidRDefault="003B2D3B">
            <w:pPr>
              <w:pStyle w:val="TableParagraph"/>
              <w:ind w:left="269" w:right="261"/>
              <w:rPr>
                <w:sz w:val="28"/>
              </w:rPr>
            </w:pPr>
            <w:r>
              <w:rPr>
                <w:sz w:val="28"/>
              </w:rPr>
              <w:t>70,8</w:t>
            </w:r>
          </w:p>
        </w:tc>
        <w:tc>
          <w:tcPr>
            <w:tcW w:w="1068" w:type="dxa"/>
          </w:tcPr>
          <w:p w:rsidR="00B23B94" w:rsidRDefault="003B2D3B">
            <w:pPr>
              <w:pStyle w:val="TableParagraph"/>
              <w:ind w:left="7"/>
              <w:rPr>
                <w:sz w:val="28"/>
              </w:rPr>
            </w:pPr>
            <w:r>
              <w:rPr>
                <w:sz w:val="28"/>
              </w:rPr>
              <w:t>4</w:t>
            </w:r>
          </w:p>
        </w:tc>
        <w:tc>
          <w:tcPr>
            <w:tcW w:w="1071" w:type="dxa"/>
          </w:tcPr>
          <w:p w:rsidR="00B23B94" w:rsidRDefault="003B2D3B">
            <w:pPr>
              <w:pStyle w:val="TableParagraph"/>
              <w:ind w:left="198" w:right="189"/>
              <w:rPr>
                <w:sz w:val="28"/>
              </w:rPr>
            </w:pPr>
            <w:r>
              <w:rPr>
                <w:sz w:val="28"/>
              </w:rPr>
              <w:t>16,7</w:t>
            </w:r>
          </w:p>
        </w:tc>
        <w:tc>
          <w:tcPr>
            <w:tcW w:w="1068" w:type="dxa"/>
          </w:tcPr>
          <w:p w:rsidR="00B23B94" w:rsidRDefault="003B2D3B">
            <w:pPr>
              <w:pStyle w:val="TableParagraph"/>
              <w:ind w:left="7"/>
              <w:rPr>
                <w:sz w:val="28"/>
              </w:rPr>
            </w:pPr>
            <w:r>
              <w:rPr>
                <w:sz w:val="28"/>
              </w:rPr>
              <w:t>3</w:t>
            </w:r>
          </w:p>
        </w:tc>
        <w:tc>
          <w:tcPr>
            <w:tcW w:w="1071" w:type="dxa"/>
          </w:tcPr>
          <w:p w:rsidR="00B23B94" w:rsidRDefault="003B2D3B">
            <w:pPr>
              <w:pStyle w:val="TableParagraph"/>
              <w:ind w:left="201" w:right="188"/>
              <w:rPr>
                <w:sz w:val="28"/>
              </w:rPr>
            </w:pPr>
            <w:r>
              <w:rPr>
                <w:sz w:val="28"/>
              </w:rPr>
              <w:t>12,5</w:t>
            </w:r>
          </w:p>
        </w:tc>
      </w:tr>
      <w:tr w:rsidR="00B23B94">
        <w:trPr>
          <w:trHeight w:val="484"/>
        </w:trPr>
        <w:tc>
          <w:tcPr>
            <w:tcW w:w="1454" w:type="dxa"/>
          </w:tcPr>
          <w:p w:rsidR="00B23B94" w:rsidRDefault="003B2D3B">
            <w:pPr>
              <w:pStyle w:val="TableParagraph"/>
              <w:spacing w:before="2"/>
              <w:ind w:left="11"/>
              <w:rPr>
                <w:sz w:val="28"/>
              </w:rPr>
            </w:pPr>
            <w:r>
              <w:rPr>
                <w:sz w:val="28"/>
              </w:rPr>
              <w:t>3</w:t>
            </w:r>
          </w:p>
        </w:tc>
        <w:tc>
          <w:tcPr>
            <w:tcW w:w="1476" w:type="dxa"/>
          </w:tcPr>
          <w:p w:rsidR="00B23B94" w:rsidRDefault="003B2D3B">
            <w:pPr>
              <w:pStyle w:val="TableParagraph"/>
              <w:spacing w:before="2"/>
              <w:ind w:left="148" w:right="135"/>
              <w:rPr>
                <w:sz w:val="28"/>
              </w:rPr>
            </w:pPr>
            <w:r>
              <w:rPr>
                <w:sz w:val="28"/>
              </w:rPr>
              <w:t>17</w:t>
            </w:r>
          </w:p>
        </w:tc>
        <w:tc>
          <w:tcPr>
            <w:tcW w:w="1068" w:type="dxa"/>
          </w:tcPr>
          <w:p w:rsidR="00B23B94" w:rsidRDefault="003B2D3B">
            <w:pPr>
              <w:pStyle w:val="TableParagraph"/>
              <w:spacing w:before="2"/>
              <w:ind w:left="10"/>
              <w:rPr>
                <w:sz w:val="28"/>
              </w:rPr>
            </w:pPr>
            <w:r>
              <w:rPr>
                <w:sz w:val="28"/>
              </w:rPr>
              <w:t>8</w:t>
            </w:r>
          </w:p>
        </w:tc>
        <w:tc>
          <w:tcPr>
            <w:tcW w:w="1070" w:type="dxa"/>
          </w:tcPr>
          <w:p w:rsidR="00B23B94" w:rsidRDefault="003B2D3B">
            <w:pPr>
              <w:pStyle w:val="TableParagraph"/>
              <w:spacing w:before="2"/>
              <w:ind w:left="269" w:right="261"/>
              <w:rPr>
                <w:sz w:val="28"/>
              </w:rPr>
            </w:pPr>
            <w:r>
              <w:rPr>
                <w:sz w:val="28"/>
              </w:rPr>
              <w:t>47,1</w:t>
            </w:r>
          </w:p>
        </w:tc>
        <w:tc>
          <w:tcPr>
            <w:tcW w:w="1068" w:type="dxa"/>
          </w:tcPr>
          <w:p w:rsidR="00B23B94" w:rsidRDefault="003B2D3B">
            <w:pPr>
              <w:pStyle w:val="TableParagraph"/>
              <w:spacing w:before="2"/>
              <w:ind w:left="7"/>
              <w:rPr>
                <w:sz w:val="28"/>
              </w:rPr>
            </w:pPr>
            <w:r>
              <w:rPr>
                <w:sz w:val="28"/>
              </w:rPr>
              <w:t>4</w:t>
            </w:r>
          </w:p>
        </w:tc>
        <w:tc>
          <w:tcPr>
            <w:tcW w:w="1071" w:type="dxa"/>
          </w:tcPr>
          <w:p w:rsidR="00B23B94" w:rsidRDefault="003B2D3B">
            <w:pPr>
              <w:pStyle w:val="TableParagraph"/>
              <w:spacing w:before="2"/>
              <w:ind w:left="198" w:right="189"/>
              <w:rPr>
                <w:sz w:val="28"/>
              </w:rPr>
            </w:pPr>
            <w:r>
              <w:rPr>
                <w:sz w:val="28"/>
              </w:rPr>
              <w:t>23,5</w:t>
            </w:r>
          </w:p>
        </w:tc>
        <w:tc>
          <w:tcPr>
            <w:tcW w:w="1068" w:type="dxa"/>
          </w:tcPr>
          <w:p w:rsidR="00B23B94" w:rsidRDefault="003B2D3B">
            <w:pPr>
              <w:pStyle w:val="TableParagraph"/>
              <w:spacing w:before="2"/>
              <w:ind w:left="7"/>
              <w:rPr>
                <w:sz w:val="28"/>
              </w:rPr>
            </w:pPr>
            <w:r>
              <w:rPr>
                <w:sz w:val="28"/>
              </w:rPr>
              <w:t>5</w:t>
            </w:r>
          </w:p>
        </w:tc>
        <w:tc>
          <w:tcPr>
            <w:tcW w:w="1071" w:type="dxa"/>
          </w:tcPr>
          <w:p w:rsidR="00B23B94" w:rsidRDefault="003B2D3B">
            <w:pPr>
              <w:pStyle w:val="TableParagraph"/>
              <w:spacing w:before="2"/>
              <w:ind w:left="201" w:right="188"/>
              <w:rPr>
                <w:sz w:val="28"/>
              </w:rPr>
            </w:pPr>
            <w:r>
              <w:rPr>
                <w:sz w:val="28"/>
              </w:rPr>
              <w:t>29,4</w:t>
            </w:r>
          </w:p>
        </w:tc>
      </w:tr>
      <w:tr w:rsidR="00B23B94">
        <w:trPr>
          <w:trHeight w:val="482"/>
        </w:trPr>
        <w:tc>
          <w:tcPr>
            <w:tcW w:w="1454" w:type="dxa"/>
          </w:tcPr>
          <w:p w:rsidR="00B23B94" w:rsidRDefault="003B2D3B">
            <w:pPr>
              <w:pStyle w:val="TableParagraph"/>
              <w:ind w:left="11"/>
              <w:rPr>
                <w:sz w:val="28"/>
              </w:rPr>
            </w:pPr>
            <w:r>
              <w:rPr>
                <w:sz w:val="28"/>
              </w:rPr>
              <w:t>4</w:t>
            </w:r>
          </w:p>
        </w:tc>
        <w:tc>
          <w:tcPr>
            <w:tcW w:w="1476" w:type="dxa"/>
          </w:tcPr>
          <w:p w:rsidR="00B23B94" w:rsidRDefault="003B2D3B">
            <w:pPr>
              <w:pStyle w:val="TableParagraph"/>
              <w:ind w:left="10"/>
              <w:rPr>
                <w:sz w:val="28"/>
              </w:rPr>
            </w:pPr>
            <w:r>
              <w:rPr>
                <w:sz w:val="28"/>
              </w:rPr>
              <w:t>9</w:t>
            </w:r>
          </w:p>
        </w:tc>
        <w:tc>
          <w:tcPr>
            <w:tcW w:w="1068" w:type="dxa"/>
          </w:tcPr>
          <w:p w:rsidR="00B23B94" w:rsidRDefault="003B2D3B">
            <w:pPr>
              <w:pStyle w:val="TableParagraph"/>
              <w:ind w:left="10"/>
              <w:rPr>
                <w:sz w:val="28"/>
              </w:rPr>
            </w:pPr>
            <w:r>
              <w:rPr>
                <w:sz w:val="28"/>
              </w:rPr>
              <w:t>4</w:t>
            </w:r>
          </w:p>
        </w:tc>
        <w:tc>
          <w:tcPr>
            <w:tcW w:w="1070" w:type="dxa"/>
          </w:tcPr>
          <w:p w:rsidR="00B23B94" w:rsidRDefault="003B2D3B">
            <w:pPr>
              <w:pStyle w:val="TableParagraph"/>
              <w:ind w:left="269" w:right="261"/>
              <w:rPr>
                <w:sz w:val="28"/>
              </w:rPr>
            </w:pPr>
            <w:r>
              <w:rPr>
                <w:sz w:val="28"/>
              </w:rPr>
              <w:t>44,4</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11,1</w:t>
            </w:r>
          </w:p>
        </w:tc>
        <w:tc>
          <w:tcPr>
            <w:tcW w:w="1068" w:type="dxa"/>
          </w:tcPr>
          <w:p w:rsidR="00B23B94" w:rsidRDefault="003B2D3B">
            <w:pPr>
              <w:pStyle w:val="TableParagraph"/>
              <w:ind w:left="7"/>
              <w:rPr>
                <w:sz w:val="28"/>
              </w:rPr>
            </w:pPr>
            <w:r>
              <w:rPr>
                <w:sz w:val="28"/>
              </w:rPr>
              <w:t>4</w:t>
            </w:r>
          </w:p>
        </w:tc>
        <w:tc>
          <w:tcPr>
            <w:tcW w:w="1071" w:type="dxa"/>
          </w:tcPr>
          <w:p w:rsidR="00B23B94" w:rsidRDefault="003B2D3B">
            <w:pPr>
              <w:pStyle w:val="TableParagraph"/>
              <w:ind w:left="201" w:right="188"/>
              <w:rPr>
                <w:sz w:val="28"/>
              </w:rPr>
            </w:pPr>
            <w:r>
              <w:rPr>
                <w:sz w:val="28"/>
              </w:rPr>
              <w:t>44,4</w:t>
            </w:r>
          </w:p>
        </w:tc>
      </w:tr>
      <w:tr w:rsidR="00B23B94">
        <w:trPr>
          <w:trHeight w:val="484"/>
        </w:trPr>
        <w:tc>
          <w:tcPr>
            <w:tcW w:w="1454" w:type="dxa"/>
          </w:tcPr>
          <w:p w:rsidR="00B23B94" w:rsidRDefault="003B2D3B">
            <w:pPr>
              <w:pStyle w:val="TableParagraph"/>
              <w:ind w:left="11"/>
              <w:rPr>
                <w:sz w:val="28"/>
              </w:rPr>
            </w:pPr>
            <w:r>
              <w:rPr>
                <w:sz w:val="28"/>
              </w:rPr>
              <w:t>5</w:t>
            </w:r>
          </w:p>
        </w:tc>
        <w:tc>
          <w:tcPr>
            <w:tcW w:w="1476" w:type="dxa"/>
          </w:tcPr>
          <w:p w:rsidR="00B23B94" w:rsidRDefault="003B2D3B">
            <w:pPr>
              <w:pStyle w:val="TableParagraph"/>
              <w:ind w:left="10"/>
              <w:rPr>
                <w:sz w:val="28"/>
              </w:rPr>
            </w:pPr>
            <w:r>
              <w:rPr>
                <w:sz w:val="28"/>
              </w:rPr>
              <w:t>5</w:t>
            </w:r>
          </w:p>
        </w:tc>
        <w:tc>
          <w:tcPr>
            <w:tcW w:w="1068" w:type="dxa"/>
          </w:tcPr>
          <w:p w:rsidR="00B23B94" w:rsidRDefault="003B2D3B">
            <w:pPr>
              <w:pStyle w:val="TableParagraph"/>
              <w:ind w:left="11"/>
              <w:rPr>
                <w:sz w:val="28"/>
              </w:rPr>
            </w:pPr>
            <w:r>
              <w:rPr>
                <w:sz w:val="28"/>
              </w:rPr>
              <w:t>-</w:t>
            </w:r>
          </w:p>
        </w:tc>
        <w:tc>
          <w:tcPr>
            <w:tcW w:w="1070" w:type="dxa"/>
          </w:tcPr>
          <w:p w:rsidR="00B23B94" w:rsidRDefault="003B2D3B">
            <w:pPr>
              <w:pStyle w:val="TableParagraph"/>
              <w:ind w:left="10"/>
              <w:rPr>
                <w:sz w:val="28"/>
              </w:rPr>
            </w:pPr>
            <w:r>
              <w:rPr>
                <w:sz w:val="28"/>
              </w:rPr>
              <w:t>-</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20,0</w:t>
            </w:r>
          </w:p>
        </w:tc>
        <w:tc>
          <w:tcPr>
            <w:tcW w:w="1068" w:type="dxa"/>
          </w:tcPr>
          <w:p w:rsidR="00B23B94" w:rsidRDefault="003B2D3B">
            <w:pPr>
              <w:pStyle w:val="TableParagraph"/>
              <w:ind w:left="7"/>
              <w:rPr>
                <w:sz w:val="28"/>
              </w:rPr>
            </w:pPr>
            <w:r>
              <w:rPr>
                <w:sz w:val="28"/>
              </w:rPr>
              <w:t>4</w:t>
            </w:r>
          </w:p>
        </w:tc>
        <w:tc>
          <w:tcPr>
            <w:tcW w:w="1071" w:type="dxa"/>
          </w:tcPr>
          <w:p w:rsidR="00B23B94" w:rsidRDefault="003B2D3B">
            <w:pPr>
              <w:pStyle w:val="TableParagraph"/>
              <w:ind w:left="201" w:right="188"/>
              <w:rPr>
                <w:sz w:val="28"/>
              </w:rPr>
            </w:pPr>
            <w:r>
              <w:rPr>
                <w:sz w:val="28"/>
              </w:rPr>
              <w:t>80,0</w:t>
            </w:r>
          </w:p>
        </w:tc>
      </w:tr>
      <w:tr w:rsidR="00B23B94">
        <w:trPr>
          <w:trHeight w:val="481"/>
        </w:trPr>
        <w:tc>
          <w:tcPr>
            <w:tcW w:w="1454" w:type="dxa"/>
          </w:tcPr>
          <w:p w:rsidR="00B23B94" w:rsidRDefault="003B2D3B">
            <w:pPr>
              <w:pStyle w:val="TableParagraph"/>
              <w:ind w:left="11"/>
              <w:rPr>
                <w:sz w:val="28"/>
              </w:rPr>
            </w:pPr>
            <w:r>
              <w:rPr>
                <w:sz w:val="28"/>
              </w:rPr>
              <w:t>6</w:t>
            </w:r>
          </w:p>
        </w:tc>
        <w:tc>
          <w:tcPr>
            <w:tcW w:w="1476" w:type="dxa"/>
          </w:tcPr>
          <w:p w:rsidR="00B23B94" w:rsidRDefault="003B2D3B">
            <w:pPr>
              <w:pStyle w:val="TableParagraph"/>
              <w:ind w:left="10"/>
              <w:rPr>
                <w:sz w:val="28"/>
              </w:rPr>
            </w:pPr>
            <w:r>
              <w:rPr>
                <w:sz w:val="28"/>
              </w:rPr>
              <w:t>5</w:t>
            </w:r>
          </w:p>
        </w:tc>
        <w:tc>
          <w:tcPr>
            <w:tcW w:w="1068" w:type="dxa"/>
          </w:tcPr>
          <w:p w:rsidR="00B23B94" w:rsidRDefault="003B2D3B">
            <w:pPr>
              <w:pStyle w:val="TableParagraph"/>
              <w:ind w:left="11"/>
              <w:rPr>
                <w:sz w:val="28"/>
              </w:rPr>
            </w:pPr>
            <w:r>
              <w:rPr>
                <w:sz w:val="28"/>
              </w:rPr>
              <w:t>-</w:t>
            </w:r>
          </w:p>
        </w:tc>
        <w:tc>
          <w:tcPr>
            <w:tcW w:w="1070" w:type="dxa"/>
          </w:tcPr>
          <w:p w:rsidR="00B23B94" w:rsidRDefault="003B2D3B">
            <w:pPr>
              <w:pStyle w:val="TableParagraph"/>
              <w:ind w:left="10"/>
              <w:rPr>
                <w:sz w:val="28"/>
              </w:rPr>
            </w:pPr>
            <w:r>
              <w:rPr>
                <w:sz w:val="28"/>
              </w:rPr>
              <w:t>-</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20,0</w:t>
            </w:r>
          </w:p>
        </w:tc>
        <w:tc>
          <w:tcPr>
            <w:tcW w:w="1068" w:type="dxa"/>
          </w:tcPr>
          <w:p w:rsidR="00B23B94" w:rsidRDefault="003B2D3B">
            <w:pPr>
              <w:pStyle w:val="TableParagraph"/>
              <w:ind w:left="7"/>
              <w:rPr>
                <w:sz w:val="28"/>
              </w:rPr>
            </w:pPr>
            <w:r>
              <w:rPr>
                <w:sz w:val="28"/>
              </w:rPr>
              <w:t>4</w:t>
            </w:r>
          </w:p>
        </w:tc>
        <w:tc>
          <w:tcPr>
            <w:tcW w:w="1071" w:type="dxa"/>
          </w:tcPr>
          <w:p w:rsidR="00B23B94" w:rsidRDefault="003B2D3B">
            <w:pPr>
              <w:pStyle w:val="TableParagraph"/>
              <w:ind w:left="201" w:right="188"/>
              <w:rPr>
                <w:sz w:val="28"/>
              </w:rPr>
            </w:pPr>
            <w:r>
              <w:rPr>
                <w:sz w:val="28"/>
              </w:rPr>
              <w:t>80,0</w:t>
            </w:r>
          </w:p>
        </w:tc>
      </w:tr>
      <w:tr w:rsidR="00B23B94">
        <w:trPr>
          <w:trHeight w:val="482"/>
        </w:trPr>
        <w:tc>
          <w:tcPr>
            <w:tcW w:w="1454" w:type="dxa"/>
          </w:tcPr>
          <w:p w:rsidR="00B23B94" w:rsidRDefault="003B2D3B">
            <w:pPr>
              <w:pStyle w:val="TableParagraph"/>
              <w:ind w:left="11"/>
              <w:rPr>
                <w:sz w:val="28"/>
              </w:rPr>
            </w:pPr>
            <w:r>
              <w:rPr>
                <w:sz w:val="28"/>
              </w:rPr>
              <w:t>7</w:t>
            </w:r>
          </w:p>
        </w:tc>
        <w:tc>
          <w:tcPr>
            <w:tcW w:w="1476" w:type="dxa"/>
          </w:tcPr>
          <w:p w:rsidR="00B23B94" w:rsidRDefault="003B2D3B">
            <w:pPr>
              <w:pStyle w:val="TableParagraph"/>
              <w:ind w:left="10"/>
              <w:rPr>
                <w:sz w:val="28"/>
              </w:rPr>
            </w:pPr>
            <w:r>
              <w:rPr>
                <w:sz w:val="28"/>
              </w:rPr>
              <w:t>3</w:t>
            </w:r>
          </w:p>
        </w:tc>
        <w:tc>
          <w:tcPr>
            <w:tcW w:w="1068" w:type="dxa"/>
          </w:tcPr>
          <w:p w:rsidR="00B23B94" w:rsidRDefault="003B2D3B">
            <w:pPr>
              <w:pStyle w:val="TableParagraph"/>
              <w:ind w:left="11"/>
              <w:rPr>
                <w:sz w:val="28"/>
              </w:rPr>
            </w:pPr>
            <w:r>
              <w:rPr>
                <w:sz w:val="28"/>
              </w:rPr>
              <w:t>-</w:t>
            </w:r>
          </w:p>
        </w:tc>
        <w:tc>
          <w:tcPr>
            <w:tcW w:w="1070" w:type="dxa"/>
          </w:tcPr>
          <w:p w:rsidR="00B23B94" w:rsidRDefault="003B2D3B">
            <w:pPr>
              <w:pStyle w:val="TableParagraph"/>
              <w:ind w:left="10"/>
              <w:rPr>
                <w:sz w:val="28"/>
              </w:rPr>
            </w:pPr>
            <w:r>
              <w:rPr>
                <w:sz w:val="28"/>
              </w:rPr>
              <w:t>-</w:t>
            </w:r>
          </w:p>
        </w:tc>
        <w:tc>
          <w:tcPr>
            <w:tcW w:w="1068" w:type="dxa"/>
          </w:tcPr>
          <w:p w:rsidR="00B23B94" w:rsidRDefault="003B2D3B">
            <w:pPr>
              <w:pStyle w:val="TableParagraph"/>
              <w:ind w:left="8"/>
              <w:rPr>
                <w:sz w:val="28"/>
              </w:rPr>
            </w:pPr>
            <w:r>
              <w:rPr>
                <w:sz w:val="28"/>
              </w:rPr>
              <w:t>-</w:t>
            </w:r>
          </w:p>
        </w:tc>
        <w:tc>
          <w:tcPr>
            <w:tcW w:w="1071" w:type="dxa"/>
          </w:tcPr>
          <w:p w:rsidR="00B23B94" w:rsidRDefault="003B2D3B">
            <w:pPr>
              <w:pStyle w:val="TableParagraph"/>
              <w:ind w:left="11"/>
              <w:rPr>
                <w:sz w:val="28"/>
              </w:rPr>
            </w:pPr>
            <w:r>
              <w:rPr>
                <w:sz w:val="28"/>
              </w:rPr>
              <w:t>-</w:t>
            </w:r>
          </w:p>
        </w:tc>
        <w:tc>
          <w:tcPr>
            <w:tcW w:w="1068" w:type="dxa"/>
          </w:tcPr>
          <w:p w:rsidR="00B23B94" w:rsidRDefault="003B2D3B">
            <w:pPr>
              <w:pStyle w:val="TableParagraph"/>
              <w:ind w:left="7"/>
              <w:rPr>
                <w:sz w:val="28"/>
              </w:rPr>
            </w:pPr>
            <w:r>
              <w:rPr>
                <w:sz w:val="28"/>
              </w:rPr>
              <w:t>3</w:t>
            </w:r>
          </w:p>
        </w:tc>
        <w:tc>
          <w:tcPr>
            <w:tcW w:w="1071" w:type="dxa"/>
          </w:tcPr>
          <w:p w:rsidR="00B23B94" w:rsidRDefault="003B2D3B">
            <w:pPr>
              <w:pStyle w:val="TableParagraph"/>
              <w:ind w:left="201" w:right="189"/>
              <w:rPr>
                <w:sz w:val="28"/>
              </w:rPr>
            </w:pPr>
            <w:r>
              <w:rPr>
                <w:sz w:val="28"/>
              </w:rPr>
              <w:t>100,0</w:t>
            </w:r>
          </w:p>
        </w:tc>
      </w:tr>
      <w:tr w:rsidR="00B23B94">
        <w:trPr>
          <w:trHeight w:val="484"/>
        </w:trPr>
        <w:tc>
          <w:tcPr>
            <w:tcW w:w="1454" w:type="dxa"/>
          </w:tcPr>
          <w:p w:rsidR="00B23B94" w:rsidRDefault="003B2D3B">
            <w:pPr>
              <w:pStyle w:val="TableParagraph"/>
              <w:spacing w:before="2"/>
              <w:ind w:left="11"/>
              <w:rPr>
                <w:sz w:val="28"/>
              </w:rPr>
            </w:pPr>
            <w:r>
              <w:rPr>
                <w:sz w:val="28"/>
              </w:rPr>
              <w:t>8</w:t>
            </w:r>
          </w:p>
        </w:tc>
        <w:tc>
          <w:tcPr>
            <w:tcW w:w="1476" w:type="dxa"/>
          </w:tcPr>
          <w:p w:rsidR="00B23B94" w:rsidRDefault="003B2D3B">
            <w:pPr>
              <w:pStyle w:val="TableParagraph"/>
              <w:spacing w:before="2"/>
              <w:ind w:left="10"/>
              <w:rPr>
                <w:sz w:val="28"/>
              </w:rPr>
            </w:pPr>
            <w:r>
              <w:rPr>
                <w:sz w:val="28"/>
              </w:rPr>
              <w:t>5</w:t>
            </w:r>
          </w:p>
        </w:tc>
        <w:tc>
          <w:tcPr>
            <w:tcW w:w="1068" w:type="dxa"/>
          </w:tcPr>
          <w:p w:rsidR="00B23B94" w:rsidRDefault="003B2D3B">
            <w:pPr>
              <w:pStyle w:val="TableParagraph"/>
              <w:spacing w:before="2"/>
              <w:ind w:left="11"/>
              <w:rPr>
                <w:sz w:val="28"/>
              </w:rPr>
            </w:pPr>
            <w:r>
              <w:rPr>
                <w:sz w:val="28"/>
              </w:rPr>
              <w:t>-</w:t>
            </w:r>
          </w:p>
        </w:tc>
        <w:tc>
          <w:tcPr>
            <w:tcW w:w="1070" w:type="dxa"/>
          </w:tcPr>
          <w:p w:rsidR="00B23B94" w:rsidRDefault="003B2D3B">
            <w:pPr>
              <w:pStyle w:val="TableParagraph"/>
              <w:spacing w:before="2"/>
              <w:ind w:left="10"/>
              <w:rPr>
                <w:sz w:val="28"/>
              </w:rPr>
            </w:pPr>
            <w:r>
              <w:rPr>
                <w:sz w:val="28"/>
              </w:rPr>
              <w:t>-</w:t>
            </w:r>
          </w:p>
        </w:tc>
        <w:tc>
          <w:tcPr>
            <w:tcW w:w="1068" w:type="dxa"/>
          </w:tcPr>
          <w:p w:rsidR="00B23B94" w:rsidRDefault="003B2D3B">
            <w:pPr>
              <w:pStyle w:val="TableParagraph"/>
              <w:spacing w:before="2"/>
              <w:ind w:left="8"/>
              <w:rPr>
                <w:sz w:val="28"/>
              </w:rPr>
            </w:pPr>
            <w:r>
              <w:rPr>
                <w:sz w:val="28"/>
              </w:rPr>
              <w:t>-</w:t>
            </w:r>
          </w:p>
        </w:tc>
        <w:tc>
          <w:tcPr>
            <w:tcW w:w="1071" w:type="dxa"/>
          </w:tcPr>
          <w:p w:rsidR="00B23B94" w:rsidRDefault="003B2D3B">
            <w:pPr>
              <w:pStyle w:val="TableParagraph"/>
              <w:spacing w:before="2"/>
              <w:ind w:left="11"/>
              <w:rPr>
                <w:sz w:val="28"/>
              </w:rPr>
            </w:pPr>
            <w:r>
              <w:rPr>
                <w:sz w:val="28"/>
              </w:rPr>
              <w:t>-</w:t>
            </w:r>
          </w:p>
        </w:tc>
        <w:tc>
          <w:tcPr>
            <w:tcW w:w="1068" w:type="dxa"/>
          </w:tcPr>
          <w:p w:rsidR="00B23B94" w:rsidRDefault="003B2D3B">
            <w:pPr>
              <w:pStyle w:val="TableParagraph"/>
              <w:spacing w:before="2"/>
              <w:ind w:left="7"/>
              <w:rPr>
                <w:sz w:val="28"/>
              </w:rPr>
            </w:pPr>
            <w:r>
              <w:rPr>
                <w:sz w:val="28"/>
              </w:rPr>
              <w:t>5</w:t>
            </w:r>
          </w:p>
        </w:tc>
        <w:tc>
          <w:tcPr>
            <w:tcW w:w="1071" w:type="dxa"/>
          </w:tcPr>
          <w:p w:rsidR="00B23B94" w:rsidRDefault="003B2D3B">
            <w:pPr>
              <w:pStyle w:val="TableParagraph"/>
              <w:spacing w:before="2"/>
              <w:ind w:left="201" w:right="189"/>
              <w:rPr>
                <w:sz w:val="28"/>
              </w:rPr>
            </w:pPr>
            <w:r>
              <w:rPr>
                <w:sz w:val="28"/>
              </w:rPr>
              <w:t>100,0</w:t>
            </w:r>
          </w:p>
        </w:tc>
      </w:tr>
    </w:tbl>
    <w:p w:rsidR="00B23B94" w:rsidRDefault="00B23B94">
      <w:pPr>
        <w:pStyle w:val="a3"/>
        <w:spacing w:before="9"/>
        <w:ind w:left="0"/>
        <w:jc w:val="left"/>
        <w:rPr>
          <w:b/>
          <w:sz w:val="41"/>
        </w:rPr>
      </w:pPr>
    </w:p>
    <w:p w:rsidR="00B23B94" w:rsidRDefault="003B2D3B">
      <w:pPr>
        <w:pStyle w:val="a3"/>
        <w:spacing w:before="1" w:line="360" w:lineRule="auto"/>
        <w:ind w:right="304" w:firstLine="707"/>
      </w:pPr>
      <w:r>
        <w:t>При поширенні локальних парапанкреатичних ускладнень гострого тяжкого панкреатиту на одну чи дві ЗППН, тривалість органної дисфункції понад 48 годин спостерігається не більше ніж у 12,5% пацієнтів. При поширенні деструктивного процесу на 3 і 4 ЗППН, персистуюча органна недостатність виявлено у 29,4% і 44,4% пацієнтів відповідно, а при розповсюдженні запального процесу на 5-8 ЗППН, персистуюча органна дисфункція спостерігалася більше ніж у 80% пацієнтів.</w:t>
      </w:r>
    </w:p>
    <w:p w:rsidR="00B23B94" w:rsidRDefault="003B2D3B">
      <w:pPr>
        <w:pStyle w:val="a3"/>
        <w:spacing w:before="1" w:line="360" w:lineRule="auto"/>
        <w:ind w:right="310" w:firstLine="707"/>
      </w:pPr>
      <w:r>
        <w:t>Таким чином, тяжкість стану хворих значною мірою залежить від розвитку інфекційно-септичних ускладнень та поліорганної дисфункції. В свою чергу, тривалість органної дисфункції прямо залежить від поширеності локальних парапанкреатичних ускладнень.</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1"/>
        <w:numPr>
          <w:ilvl w:val="1"/>
          <w:numId w:val="8"/>
        </w:numPr>
        <w:tabs>
          <w:tab w:val="left" w:pos="1422"/>
        </w:tabs>
        <w:spacing w:before="79" w:line="360" w:lineRule="auto"/>
        <w:ind w:right="303" w:firstLine="705"/>
        <w:jc w:val="both"/>
      </w:pPr>
      <w:bookmarkStart w:id="9" w:name="_TOC_250007"/>
      <w:bookmarkEnd w:id="9"/>
      <w:r>
        <w:lastRenderedPageBreak/>
        <w:t>Особливості хірургічної тактики в залежності від характеру, локалізації та поширеності інфекційно-септичного осередку при деструктивному панкреатиті.</w:t>
      </w:r>
    </w:p>
    <w:p w:rsidR="00B23B94" w:rsidRDefault="003B2D3B">
      <w:pPr>
        <w:pStyle w:val="a3"/>
        <w:spacing w:before="1" w:line="360" w:lineRule="auto"/>
        <w:ind w:right="312" w:firstLine="707"/>
      </w:pPr>
      <w:r>
        <w:t>Хворі при госпіталізації до стаціонару отримували базисну терапію,  яка включала в</w:t>
      </w:r>
      <w:r>
        <w:rPr>
          <w:spacing w:val="-4"/>
        </w:rPr>
        <w:t xml:space="preserve"> </w:t>
      </w:r>
      <w:r>
        <w:t>себе:</w:t>
      </w:r>
    </w:p>
    <w:p w:rsidR="00B23B94" w:rsidRDefault="003B2D3B">
      <w:pPr>
        <w:pStyle w:val="a4"/>
        <w:numPr>
          <w:ilvl w:val="0"/>
          <w:numId w:val="6"/>
        </w:numPr>
        <w:tabs>
          <w:tab w:val="left" w:pos="1290"/>
        </w:tabs>
        <w:spacing w:before="1"/>
        <w:ind w:right="0"/>
        <w:rPr>
          <w:sz w:val="28"/>
        </w:rPr>
      </w:pPr>
      <w:r>
        <w:rPr>
          <w:sz w:val="28"/>
        </w:rPr>
        <w:t>Гемодинамічну</w:t>
      </w:r>
      <w:r>
        <w:rPr>
          <w:spacing w:val="-5"/>
          <w:sz w:val="28"/>
        </w:rPr>
        <w:t xml:space="preserve"> </w:t>
      </w:r>
      <w:r>
        <w:rPr>
          <w:sz w:val="28"/>
        </w:rPr>
        <w:t>підтримку:</w:t>
      </w:r>
    </w:p>
    <w:p w:rsidR="00B23B94" w:rsidRDefault="003B2D3B">
      <w:pPr>
        <w:pStyle w:val="a4"/>
        <w:numPr>
          <w:ilvl w:val="1"/>
          <w:numId w:val="7"/>
        </w:numPr>
        <w:tabs>
          <w:tab w:val="left" w:pos="942"/>
        </w:tabs>
        <w:spacing w:before="160" w:line="360" w:lineRule="auto"/>
        <w:ind w:left="941" w:right="306"/>
        <w:rPr>
          <w:sz w:val="28"/>
        </w:rPr>
      </w:pPr>
      <w:r>
        <w:rPr>
          <w:sz w:val="28"/>
        </w:rPr>
        <w:t>Відновлення дефіциту ОЦК та корекція електролітного балансу (ресусцитація рідини 30-80 мл/кг/добу);</w:t>
      </w:r>
    </w:p>
    <w:p w:rsidR="00B23B94" w:rsidRDefault="003B2D3B">
      <w:pPr>
        <w:pStyle w:val="a4"/>
        <w:numPr>
          <w:ilvl w:val="1"/>
          <w:numId w:val="7"/>
        </w:numPr>
        <w:tabs>
          <w:tab w:val="left" w:pos="942"/>
        </w:tabs>
        <w:spacing w:line="362" w:lineRule="auto"/>
        <w:ind w:left="941" w:right="304"/>
        <w:rPr>
          <w:sz w:val="28"/>
        </w:rPr>
      </w:pPr>
      <w:r>
        <w:rPr>
          <w:sz w:val="28"/>
        </w:rPr>
        <w:t>Інотропну підтримку (в умовах ВАІТ за нестабільної гемодинаміки на фоні інфузійної</w:t>
      </w:r>
      <w:r>
        <w:rPr>
          <w:spacing w:val="-2"/>
          <w:sz w:val="28"/>
        </w:rPr>
        <w:t xml:space="preserve"> </w:t>
      </w:r>
      <w:r>
        <w:rPr>
          <w:sz w:val="28"/>
        </w:rPr>
        <w:t>терапії).</w:t>
      </w:r>
    </w:p>
    <w:p w:rsidR="00B23B94" w:rsidRDefault="003B2D3B">
      <w:pPr>
        <w:pStyle w:val="a4"/>
        <w:numPr>
          <w:ilvl w:val="0"/>
          <w:numId w:val="6"/>
        </w:numPr>
        <w:tabs>
          <w:tab w:val="left" w:pos="1290"/>
          <w:tab w:val="left" w:pos="3697"/>
          <w:tab w:val="left" w:pos="4882"/>
          <w:tab w:val="left" w:pos="6400"/>
          <w:tab w:val="left" w:pos="7371"/>
          <w:tab w:val="left" w:pos="8391"/>
          <w:tab w:val="left" w:pos="9218"/>
        </w:tabs>
        <w:spacing w:line="360" w:lineRule="auto"/>
        <w:ind w:right="312"/>
        <w:rPr>
          <w:sz w:val="28"/>
        </w:rPr>
      </w:pPr>
      <w:r>
        <w:rPr>
          <w:sz w:val="28"/>
        </w:rPr>
        <w:t>Антибактеріальну</w:t>
      </w:r>
      <w:r>
        <w:rPr>
          <w:sz w:val="28"/>
        </w:rPr>
        <w:tab/>
        <w:t>терапію</w:t>
      </w:r>
      <w:r>
        <w:rPr>
          <w:sz w:val="28"/>
        </w:rPr>
        <w:tab/>
        <w:t>проводили</w:t>
      </w:r>
      <w:r>
        <w:rPr>
          <w:sz w:val="28"/>
        </w:rPr>
        <w:tab/>
        <w:t>згідно</w:t>
      </w:r>
      <w:r>
        <w:rPr>
          <w:sz w:val="28"/>
        </w:rPr>
        <w:tab/>
        <w:t>наказу</w:t>
      </w:r>
      <w:r>
        <w:rPr>
          <w:sz w:val="28"/>
        </w:rPr>
        <w:tab/>
        <w:t>МОЗ</w:t>
      </w:r>
      <w:r>
        <w:rPr>
          <w:sz w:val="28"/>
        </w:rPr>
        <w:tab/>
      </w:r>
      <w:r>
        <w:rPr>
          <w:spacing w:val="-6"/>
          <w:sz w:val="28"/>
        </w:rPr>
        <w:t xml:space="preserve">від </w:t>
      </w:r>
      <w:r>
        <w:rPr>
          <w:sz w:val="28"/>
        </w:rPr>
        <w:t>02.04.2010 року №</w:t>
      </w:r>
      <w:r>
        <w:rPr>
          <w:spacing w:val="-4"/>
          <w:sz w:val="28"/>
        </w:rPr>
        <w:t xml:space="preserve"> </w:t>
      </w:r>
      <w:r>
        <w:rPr>
          <w:sz w:val="28"/>
        </w:rPr>
        <w:t>297.</w:t>
      </w:r>
    </w:p>
    <w:p w:rsidR="00B23B94" w:rsidRDefault="003B2D3B">
      <w:pPr>
        <w:pStyle w:val="a4"/>
        <w:numPr>
          <w:ilvl w:val="0"/>
          <w:numId w:val="6"/>
        </w:numPr>
        <w:tabs>
          <w:tab w:val="left" w:pos="1290"/>
          <w:tab w:val="left" w:pos="2941"/>
          <w:tab w:val="left" w:pos="3344"/>
          <w:tab w:val="left" w:pos="5586"/>
          <w:tab w:val="left" w:pos="6034"/>
          <w:tab w:val="left" w:pos="8044"/>
        </w:tabs>
        <w:spacing w:line="362" w:lineRule="auto"/>
        <w:ind w:right="308"/>
        <w:rPr>
          <w:sz w:val="28"/>
        </w:rPr>
      </w:pPr>
      <w:r>
        <w:rPr>
          <w:sz w:val="28"/>
        </w:rPr>
        <w:t>Знеболення</w:t>
      </w:r>
      <w:r>
        <w:rPr>
          <w:sz w:val="28"/>
        </w:rPr>
        <w:tab/>
        <w:t>–</w:t>
      </w:r>
      <w:r>
        <w:rPr>
          <w:sz w:val="28"/>
        </w:rPr>
        <w:tab/>
        <w:t>мультимодальне</w:t>
      </w:r>
      <w:r>
        <w:rPr>
          <w:sz w:val="28"/>
        </w:rPr>
        <w:tab/>
        <w:t>із</w:t>
      </w:r>
      <w:r>
        <w:rPr>
          <w:sz w:val="28"/>
        </w:rPr>
        <w:tab/>
        <w:t>застосуванням</w:t>
      </w:r>
      <w:r>
        <w:rPr>
          <w:sz w:val="28"/>
        </w:rPr>
        <w:tab/>
      </w:r>
      <w:r>
        <w:rPr>
          <w:spacing w:val="-3"/>
          <w:sz w:val="28"/>
        </w:rPr>
        <w:t xml:space="preserve">епідуральної </w:t>
      </w:r>
      <w:r>
        <w:rPr>
          <w:sz w:val="28"/>
        </w:rPr>
        <w:t>анестезії.</w:t>
      </w:r>
    </w:p>
    <w:p w:rsidR="00B23B94" w:rsidRDefault="003B2D3B">
      <w:pPr>
        <w:pStyle w:val="a4"/>
        <w:numPr>
          <w:ilvl w:val="0"/>
          <w:numId w:val="6"/>
        </w:numPr>
        <w:tabs>
          <w:tab w:val="left" w:pos="1290"/>
        </w:tabs>
        <w:spacing w:line="317" w:lineRule="exact"/>
        <w:ind w:right="0"/>
        <w:rPr>
          <w:sz w:val="28"/>
        </w:rPr>
      </w:pPr>
      <w:r>
        <w:rPr>
          <w:sz w:val="28"/>
        </w:rPr>
        <w:t>Раннє ентеральне</w:t>
      </w:r>
      <w:r>
        <w:rPr>
          <w:spacing w:val="-6"/>
          <w:sz w:val="28"/>
        </w:rPr>
        <w:t xml:space="preserve"> </w:t>
      </w:r>
      <w:r>
        <w:rPr>
          <w:sz w:val="28"/>
        </w:rPr>
        <w:t>харчування.</w:t>
      </w:r>
    </w:p>
    <w:p w:rsidR="00B23B94" w:rsidRDefault="003B2D3B">
      <w:pPr>
        <w:pStyle w:val="a4"/>
        <w:numPr>
          <w:ilvl w:val="0"/>
          <w:numId w:val="6"/>
        </w:numPr>
        <w:tabs>
          <w:tab w:val="left" w:pos="1290"/>
        </w:tabs>
        <w:spacing w:before="154"/>
        <w:ind w:right="0"/>
        <w:rPr>
          <w:sz w:val="28"/>
        </w:rPr>
      </w:pPr>
      <w:r>
        <w:rPr>
          <w:sz w:val="28"/>
        </w:rPr>
        <w:t>Спазмолітична</w:t>
      </w:r>
      <w:r>
        <w:rPr>
          <w:spacing w:val="-1"/>
          <w:sz w:val="28"/>
        </w:rPr>
        <w:t xml:space="preserve"> </w:t>
      </w:r>
      <w:r>
        <w:rPr>
          <w:sz w:val="28"/>
        </w:rPr>
        <w:t>терапія.</w:t>
      </w:r>
    </w:p>
    <w:p w:rsidR="00B23B94" w:rsidRDefault="003B2D3B">
      <w:pPr>
        <w:pStyle w:val="a4"/>
        <w:numPr>
          <w:ilvl w:val="0"/>
          <w:numId w:val="6"/>
        </w:numPr>
        <w:tabs>
          <w:tab w:val="left" w:pos="1290"/>
        </w:tabs>
        <w:spacing w:before="160" w:line="360" w:lineRule="auto"/>
        <w:ind w:right="308"/>
        <w:rPr>
          <w:sz w:val="28"/>
        </w:rPr>
      </w:pPr>
      <w:r>
        <w:rPr>
          <w:sz w:val="28"/>
        </w:rPr>
        <w:t>Профілактика тромбоемболічних ускладнень (переважно у пацієнтів з</w:t>
      </w:r>
      <w:r>
        <w:rPr>
          <w:spacing w:val="-2"/>
          <w:sz w:val="28"/>
        </w:rPr>
        <w:t xml:space="preserve"> </w:t>
      </w:r>
      <w:r>
        <w:rPr>
          <w:sz w:val="28"/>
        </w:rPr>
        <w:t>ожирінням).</w:t>
      </w:r>
    </w:p>
    <w:p w:rsidR="00B23B94" w:rsidRDefault="003B2D3B">
      <w:pPr>
        <w:pStyle w:val="a3"/>
        <w:spacing w:before="2" w:line="360" w:lineRule="auto"/>
        <w:ind w:right="303" w:firstLine="705"/>
      </w:pPr>
      <w:r>
        <w:t>Показанням до хірургічних маніпуляцій було формування рідинних скупчень. Об’єм хірургічного втручання залежав від характеру рідинного компоненту (наявність або відсутність секвестрів) та поширенню парапанкреатичних локальних ускладнень на зони заочеревинного простору.</w:t>
      </w:r>
    </w:p>
    <w:p w:rsidR="00B23B94" w:rsidRDefault="003B2D3B">
      <w:pPr>
        <w:pStyle w:val="a3"/>
        <w:spacing w:line="360" w:lineRule="auto"/>
        <w:ind w:right="300" w:firstLine="705"/>
      </w:pPr>
      <w:r>
        <w:t>Так на 6-7 добу перебування в стаціонарі, за даними методів візуалізації, рідинні скупчення діагностовано у 20 (23,0%) хворих. Розповсюдження на 1 ЗППН виявлено у 15 (17,2%) хворого, на 2 ЗППН – 5 (5,7%) хворих. Показанням до дренування було наявність у пацієнтів ознак SIRS у 18 (20,7%) хворих, та/або ознаки компресії верхніх відділів шлунково- кишкового тракту з клінікою порушення кишкового пасажу у 2 (2,3%) пацієнтів. Дренування виконували під ультразвукової навігацією катетерами по типу «PigTail» від 9 до 12 Fr. Обов’язковою умовою проведення</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2" w:lineRule="auto"/>
        <w:ind w:right="311"/>
      </w:pPr>
      <w:r>
        <w:lastRenderedPageBreak/>
        <w:t>маніпуляції було наявність «ехо-вікна». У разі відсутності останнього виконували лише тонкогольну пункцію рідинних скупчень.</w:t>
      </w:r>
    </w:p>
    <w:p w:rsidR="00B23B94" w:rsidRDefault="003B2D3B">
      <w:pPr>
        <w:pStyle w:val="a3"/>
        <w:spacing w:line="360" w:lineRule="auto"/>
        <w:ind w:right="302" w:firstLine="705"/>
      </w:pPr>
      <w:r>
        <w:t xml:space="preserve">В результаті маніпуляції отримували в середньому до 600±130 мл бурого ексудату одноразово, та по 140±30 мл протягом наступних </w:t>
      </w:r>
      <w:r>
        <w:rPr>
          <w:spacing w:val="3"/>
        </w:rPr>
        <w:t xml:space="preserve">2-3 </w:t>
      </w:r>
      <w:r>
        <w:t>діб. Отриману рідину відправляли на дослідження α-амілази та бактеріологічний посів з чутливістю до антибіотиків. Середній рівень діастази пунктату становив 512±168 Од (від 128 до 2048 Од). Інфікований вміст було виявлено у 8 (40,0%) пацієнтів, стерильними скупчення були у 12 (60,0%) випадках. При переоцінці стану через 48-72 години, відмічалося зменшення об’єму рідинних скупчень у 2-4 рази. Регрес ознак високої кишкової непрохідності відмічено у всіх пацієнтів, депресія SIRS відмічено у 8 (40,0%) хворих. У 13 (65,0%) пацієнтів, дренування було завершальним етапом хірургічного лікування, дренаж видалявся при зменшенні об’єму серозних виділень до 10- 30</w:t>
      </w:r>
      <w:r>
        <w:rPr>
          <w:spacing w:val="1"/>
        </w:rPr>
        <w:t xml:space="preserve"> </w:t>
      </w:r>
      <w:r>
        <w:t>мл.</w:t>
      </w:r>
    </w:p>
    <w:p w:rsidR="00B23B94" w:rsidRDefault="003B2D3B">
      <w:pPr>
        <w:pStyle w:val="a3"/>
        <w:spacing w:line="360" w:lineRule="auto"/>
        <w:ind w:right="305" w:firstLine="705"/>
      </w:pPr>
      <w:r>
        <w:t>Додаткове дренування парапанкреатичного скупчення виконано 7 хворим (8,0%). Показанням до даної маніпуляції було відсутність регресу SIRS у 6 (8,0%) пацієнтів та наявність рідинного скупчення, що не здренувалося під час попереднього дренування у 2 (3,4%) пацієнтів. В подальшому у цих хворих констатовано розвиток інфекційно-септичних ускладнень, і вони потребували відкритого оперативного втручання. В даному випадку пункційно-дренуюче втручання дозволяло відтермінувати відкриту операцію, та сприяло, в першу чергу, демаркації та «локалізації» осередку</w:t>
      </w:r>
      <w:r>
        <w:rPr>
          <w:spacing w:val="-5"/>
        </w:rPr>
        <w:t xml:space="preserve"> </w:t>
      </w:r>
      <w:r>
        <w:t>запалення.</w:t>
      </w:r>
    </w:p>
    <w:p w:rsidR="00B23B94" w:rsidRDefault="003B2D3B">
      <w:pPr>
        <w:pStyle w:val="a3"/>
        <w:spacing w:line="360" w:lineRule="auto"/>
        <w:ind w:right="306" w:firstLine="705"/>
      </w:pPr>
      <w:r>
        <w:t>Реактивний гідроторакс виявлено при госпіталізації виявлено у 20 (23%) пацієнтів. З них, лівобічний гідроторакс виявлено у 17 (19,5%) пацієнтів, двобічний гідроторакс спостерігали у 3 (3,1%) хворих,</w:t>
      </w:r>
      <w:r>
        <w:rPr>
          <w:spacing w:val="-33"/>
        </w:rPr>
        <w:t xml:space="preserve"> </w:t>
      </w:r>
      <w:r>
        <w:t>правобічний</w:t>
      </w:r>
    </w:p>
    <w:p w:rsidR="00B23B94" w:rsidRDefault="003B2D3B">
      <w:pPr>
        <w:pStyle w:val="a4"/>
        <w:numPr>
          <w:ilvl w:val="0"/>
          <w:numId w:val="7"/>
        </w:numPr>
        <w:tabs>
          <w:tab w:val="left" w:pos="530"/>
        </w:tabs>
        <w:spacing w:line="360" w:lineRule="auto"/>
        <w:ind w:right="307" w:firstLine="0"/>
        <w:rPr>
          <w:sz w:val="28"/>
        </w:rPr>
      </w:pPr>
      <w:r>
        <w:rPr>
          <w:sz w:val="28"/>
        </w:rPr>
        <w:t xml:space="preserve">у 2 (2,1%) хворих. На 6-7 добу перебування в стаціонарі лівобічний гідроторакс виявлено у 12 (13,8%) пацієнтів, двобічний гідроторакс спостерігали у 2 (2,3%) хворих, правобічний – у 1 (1,1%) хворих. Усім хворим </w:t>
      </w:r>
      <w:r>
        <w:rPr>
          <w:spacing w:val="37"/>
          <w:sz w:val="28"/>
        </w:rPr>
        <w:t xml:space="preserve"> </w:t>
      </w:r>
      <w:r>
        <w:rPr>
          <w:sz w:val="28"/>
        </w:rPr>
        <w:t xml:space="preserve">з </w:t>
      </w:r>
      <w:r>
        <w:rPr>
          <w:spacing w:val="38"/>
          <w:sz w:val="28"/>
        </w:rPr>
        <w:t xml:space="preserve"> </w:t>
      </w:r>
      <w:r>
        <w:rPr>
          <w:sz w:val="28"/>
        </w:rPr>
        <w:t xml:space="preserve">об’ємом </w:t>
      </w:r>
      <w:r>
        <w:rPr>
          <w:spacing w:val="36"/>
          <w:sz w:val="28"/>
        </w:rPr>
        <w:t xml:space="preserve"> </w:t>
      </w:r>
      <w:r>
        <w:rPr>
          <w:sz w:val="28"/>
        </w:rPr>
        <w:t xml:space="preserve">ексудату </w:t>
      </w:r>
      <w:r>
        <w:rPr>
          <w:spacing w:val="34"/>
          <w:sz w:val="28"/>
        </w:rPr>
        <w:t xml:space="preserve"> </w:t>
      </w:r>
      <w:r>
        <w:rPr>
          <w:sz w:val="28"/>
        </w:rPr>
        <w:t xml:space="preserve">в </w:t>
      </w:r>
      <w:r>
        <w:rPr>
          <w:spacing w:val="40"/>
          <w:sz w:val="28"/>
        </w:rPr>
        <w:t xml:space="preserve"> </w:t>
      </w:r>
      <w:r>
        <w:rPr>
          <w:sz w:val="28"/>
        </w:rPr>
        <w:t xml:space="preserve">плевральних </w:t>
      </w:r>
      <w:r>
        <w:rPr>
          <w:spacing w:val="39"/>
          <w:sz w:val="28"/>
        </w:rPr>
        <w:t xml:space="preserve"> </w:t>
      </w:r>
      <w:r>
        <w:rPr>
          <w:sz w:val="28"/>
        </w:rPr>
        <w:t xml:space="preserve">порожнинах </w:t>
      </w:r>
      <w:r>
        <w:rPr>
          <w:spacing w:val="38"/>
          <w:sz w:val="28"/>
        </w:rPr>
        <w:t xml:space="preserve"> </w:t>
      </w:r>
      <w:r>
        <w:rPr>
          <w:sz w:val="28"/>
        </w:rPr>
        <w:t xml:space="preserve">більше </w:t>
      </w:r>
      <w:r>
        <w:rPr>
          <w:spacing w:val="36"/>
          <w:sz w:val="28"/>
        </w:rPr>
        <w:t xml:space="preserve"> </w:t>
      </w:r>
      <w:r>
        <w:rPr>
          <w:sz w:val="28"/>
        </w:rPr>
        <w:t xml:space="preserve">200 </w:t>
      </w:r>
      <w:r>
        <w:rPr>
          <w:spacing w:val="39"/>
          <w:sz w:val="28"/>
        </w:rPr>
        <w:t xml:space="preserve"> </w:t>
      </w:r>
      <w:r>
        <w:rPr>
          <w:sz w:val="28"/>
        </w:rPr>
        <w:t>мл</w:t>
      </w:r>
    </w:p>
    <w:p w:rsidR="00B23B94" w:rsidRDefault="00B23B94">
      <w:pPr>
        <w:spacing w:line="360" w:lineRule="auto"/>
        <w:jc w:val="both"/>
        <w:rPr>
          <w:sz w:val="28"/>
        </w:rPr>
        <w:sectPr w:rsidR="00B23B94">
          <w:pgSz w:w="11910" w:h="16840"/>
          <w:pgMar w:top="1040" w:right="540" w:bottom="280" w:left="1480" w:header="719" w:footer="0" w:gutter="0"/>
          <w:cols w:space="720"/>
        </w:sectPr>
      </w:pPr>
    </w:p>
    <w:p w:rsidR="00B23B94" w:rsidRDefault="003B2D3B">
      <w:pPr>
        <w:pStyle w:val="a3"/>
        <w:spacing w:before="79" w:line="360" w:lineRule="auto"/>
        <w:ind w:right="306"/>
      </w:pPr>
      <w:r>
        <w:lastRenderedPageBreak/>
        <w:t>проводили плевральну пункцію під контролем УЗД. В середньому отримували 350±70 мл ексудату, який відправляли на бактеріологічне дослідження та визначали рівень α-амілази. На 7 добу, при бактеріологічному дослідженні ріст мікрофлори не виявляли. Рівень α-амілази становив від 32 до 128 Од (в середньому 81,3±18</w:t>
      </w:r>
      <w:r>
        <w:rPr>
          <w:spacing w:val="-6"/>
        </w:rPr>
        <w:t xml:space="preserve"> </w:t>
      </w:r>
      <w:r>
        <w:t>Од).</w:t>
      </w:r>
    </w:p>
    <w:p w:rsidR="00B23B94" w:rsidRDefault="003B2D3B">
      <w:pPr>
        <w:pStyle w:val="a3"/>
        <w:spacing w:before="2"/>
        <w:ind w:left="927"/>
      </w:pPr>
      <w:r>
        <w:t>Показанням до дренування плевральної порожнини було об’єм випоту</w:t>
      </w:r>
    </w:p>
    <w:p w:rsidR="00B23B94" w:rsidRDefault="003B2D3B">
      <w:pPr>
        <w:pStyle w:val="a3"/>
        <w:spacing w:before="160" w:line="360" w:lineRule="auto"/>
        <w:ind w:right="310"/>
      </w:pPr>
      <w:r>
        <w:t>500 мл і більше, а також рецидивуючий гідроторакс. Виконана дана маніпуляція 13 хворим (14,9%). Одномоментно під час дренування отримували в середньому 770±150 мл, після чого за добу виділялося від 200 до 350 мл переважно серозних виділень. Після проведеної маніпуляції відмічали покращення загального стану пацієнтів, а також регрес явищ дихальної недостатності. Дренажі видалялися при зменшенні виділень з плевральної порожнини до 50 мл за добу.</w:t>
      </w:r>
    </w:p>
    <w:p w:rsidR="00B23B94" w:rsidRDefault="003B2D3B">
      <w:pPr>
        <w:pStyle w:val="a3"/>
        <w:spacing w:before="2" w:line="360" w:lineRule="auto"/>
        <w:ind w:right="305" w:firstLine="705"/>
      </w:pPr>
      <w:r>
        <w:t>На 12-14 добу після госпіталізації, інфільтрація парапанкреатичної клітковини зберігалася у 10 (11,5%) пацієнтів – ці пацієнти продовжували отримувати базисну консервативну терапію, хірургічної агресії не потребували. Рідинні скупчення виявлено у 27 (31,0%) пацієнтів. Поширення останніх</w:t>
      </w:r>
      <w:r>
        <w:rPr>
          <w:spacing w:val="6"/>
        </w:rPr>
        <w:t xml:space="preserve"> </w:t>
      </w:r>
      <w:r>
        <w:t>на</w:t>
      </w:r>
      <w:r>
        <w:rPr>
          <w:spacing w:val="5"/>
        </w:rPr>
        <w:t xml:space="preserve"> </w:t>
      </w:r>
      <w:r>
        <w:t>1</w:t>
      </w:r>
      <w:r>
        <w:rPr>
          <w:spacing w:val="10"/>
        </w:rPr>
        <w:t xml:space="preserve"> </w:t>
      </w:r>
      <w:r>
        <w:t>ЗППН</w:t>
      </w:r>
      <w:r>
        <w:rPr>
          <w:spacing w:val="4"/>
        </w:rPr>
        <w:t xml:space="preserve"> </w:t>
      </w:r>
      <w:r>
        <w:t xml:space="preserve">спостерігали </w:t>
      </w:r>
      <w:r>
        <w:rPr>
          <w:spacing w:val="14"/>
        </w:rPr>
        <w:t xml:space="preserve"> </w:t>
      </w:r>
      <w:r>
        <w:t>у</w:t>
      </w:r>
      <w:r>
        <w:rPr>
          <w:spacing w:val="2"/>
        </w:rPr>
        <w:t xml:space="preserve"> </w:t>
      </w:r>
      <w:r>
        <w:t>13</w:t>
      </w:r>
      <w:r>
        <w:rPr>
          <w:spacing w:val="8"/>
        </w:rPr>
        <w:t xml:space="preserve"> </w:t>
      </w:r>
      <w:r>
        <w:t>(14,9%)</w:t>
      </w:r>
      <w:r>
        <w:rPr>
          <w:spacing w:val="5"/>
        </w:rPr>
        <w:t xml:space="preserve"> </w:t>
      </w:r>
      <w:r>
        <w:t>хворих,</w:t>
      </w:r>
      <w:r>
        <w:rPr>
          <w:spacing w:val="5"/>
        </w:rPr>
        <w:t xml:space="preserve"> </w:t>
      </w:r>
      <w:r>
        <w:t>2</w:t>
      </w:r>
      <w:r>
        <w:rPr>
          <w:spacing w:val="9"/>
        </w:rPr>
        <w:t xml:space="preserve"> </w:t>
      </w:r>
      <w:r>
        <w:t>ЗППН</w:t>
      </w:r>
      <w:r>
        <w:rPr>
          <w:spacing w:val="6"/>
        </w:rPr>
        <w:t xml:space="preserve"> </w:t>
      </w:r>
      <w:r>
        <w:t>–</w:t>
      </w:r>
      <w:r>
        <w:rPr>
          <w:spacing w:val="9"/>
        </w:rPr>
        <w:t xml:space="preserve"> </w:t>
      </w:r>
      <w:r>
        <w:t>у</w:t>
      </w:r>
      <w:r>
        <w:rPr>
          <w:spacing w:val="4"/>
        </w:rPr>
        <w:t xml:space="preserve"> </w:t>
      </w:r>
      <w:r>
        <w:t>9</w:t>
      </w:r>
      <w:r>
        <w:rPr>
          <w:spacing w:val="8"/>
        </w:rPr>
        <w:t xml:space="preserve"> </w:t>
      </w:r>
      <w:r>
        <w:t>(10,3%)</w:t>
      </w:r>
    </w:p>
    <w:p w:rsidR="00B23B94" w:rsidRDefault="003B2D3B">
      <w:pPr>
        <w:pStyle w:val="a3"/>
        <w:spacing w:line="360" w:lineRule="auto"/>
        <w:ind w:right="304"/>
      </w:pPr>
      <w:r>
        <w:t>хворих, 3-4 ЗППН – у 4 (4,6%) хворих, 5 і більше – у 1 (1,1%) хворих. Рідинні скупчення з тканинним компонентом діагностовано у 24 (27,6%) хворих. Локалізацію останніх в одній анатомічній зоні виявляли у 9 (10,3%) пацієнтів, 2  анатомічні  зони  –  4  (4,6%),   3-4  анатомічні  зони  –  у 6</w:t>
      </w:r>
      <w:r>
        <w:rPr>
          <w:spacing w:val="-16"/>
        </w:rPr>
        <w:t xml:space="preserve"> </w:t>
      </w:r>
      <w:r>
        <w:t>(6,9%)</w:t>
      </w:r>
    </w:p>
    <w:p w:rsidR="00B23B94" w:rsidRDefault="003B2D3B">
      <w:pPr>
        <w:pStyle w:val="a3"/>
      </w:pPr>
      <w:r>
        <w:t>пацієнтів, 5 та більше – у 5 (5,7%) пацієнтів.</w:t>
      </w:r>
    </w:p>
    <w:p w:rsidR="00B23B94" w:rsidRDefault="003B2D3B">
      <w:pPr>
        <w:pStyle w:val="a3"/>
        <w:spacing w:before="160" w:line="360" w:lineRule="auto"/>
        <w:ind w:right="303" w:firstLine="705"/>
      </w:pPr>
      <w:r>
        <w:t>В групі порівняння тяжкість стану за шкалою BISAP на 14 добу становила 2,8±0,30 балів (від 2 до 5 балів), ознаки ПОД (2 і більше балів у одній чи декількох системах із трьох за шкалою Marshall) спостерігали у 28 (32,2%) хворих. Ознаки SIRS були наявні у 31 (35,6%) хворого.</w:t>
      </w:r>
    </w:p>
    <w:p w:rsidR="00B23B94" w:rsidRDefault="003B2D3B">
      <w:pPr>
        <w:pStyle w:val="a3"/>
        <w:spacing w:before="1" w:line="360" w:lineRule="auto"/>
        <w:ind w:right="303" w:firstLine="705"/>
      </w:pPr>
      <w:r>
        <w:t>Первинно дренування під УЗ-контролем виконано 13 (14,9%) пацієнтам з рідинними скупченнями без тканинного компоненту, що поширювалися на 1</w:t>
      </w:r>
      <w:r>
        <w:rPr>
          <w:spacing w:val="42"/>
        </w:rPr>
        <w:t xml:space="preserve"> </w:t>
      </w:r>
      <w:r>
        <w:t>ЗППН</w:t>
      </w:r>
      <w:r>
        <w:rPr>
          <w:spacing w:val="39"/>
        </w:rPr>
        <w:t xml:space="preserve"> </w:t>
      </w:r>
      <w:r>
        <w:t>і</w:t>
      </w:r>
      <w:r>
        <w:rPr>
          <w:spacing w:val="40"/>
        </w:rPr>
        <w:t xml:space="preserve"> </w:t>
      </w:r>
      <w:r>
        <w:t>9</w:t>
      </w:r>
      <w:r>
        <w:rPr>
          <w:spacing w:val="39"/>
        </w:rPr>
        <w:t xml:space="preserve"> </w:t>
      </w:r>
      <w:r>
        <w:t>(10,3%)</w:t>
      </w:r>
      <w:r>
        <w:rPr>
          <w:spacing w:val="40"/>
        </w:rPr>
        <w:t xml:space="preserve"> </w:t>
      </w:r>
      <w:r>
        <w:t>пацієнтам,</w:t>
      </w:r>
      <w:r>
        <w:rPr>
          <w:spacing w:val="40"/>
        </w:rPr>
        <w:t xml:space="preserve"> </w:t>
      </w:r>
      <w:r>
        <w:t>що</w:t>
      </w:r>
      <w:r>
        <w:rPr>
          <w:spacing w:val="38"/>
        </w:rPr>
        <w:t xml:space="preserve"> </w:t>
      </w:r>
      <w:r>
        <w:t>поширювалися</w:t>
      </w:r>
      <w:r>
        <w:rPr>
          <w:spacing w:val="39"/>
        </w:rPr>
        <w:t xml:space="preserve"> </w:t>
      </w:r>
      <w:r>
        <w:t>на</w:t>
      </w:r>
      <w:r>
        <w:rPr>
          <w:spacing w:val="38"/>
        </w:rPr>
        <w:t xml:space="preserve"> </w:t>
      </w:r>
      <w:r>
        <w:t>2</w:t>
      </w:r>
      <w:r>
        <w:rPr>
          <w:spacing w:val="46"/>
        </w:rPr>
        <w:t xml:space="preserve"> </w:t>
      </w:r>
      <w:r>
        <w:t>ЗППН.</w:t>
      </w:r>
      <w:r>
        <w:rPr>
          <w:spacing w:val="41"/>
        </w:rPr>
        <w:t xml:space="preserve"> </w:t>
      </w:r>
      <w:r>
        <w:t>Отримано</w:t>
      </w:r>
      <w:r>
        <w:rPr>
          <w:spacing w:val="41"/>
        </w:rPr>
        <w:t xml:space="preserve"> </w:t>
      </w:r>
      <w:r>
        <w:t>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4"/>
      </w:pPr>
      <w:r>
        <w:lastRenderedPageBreak/>
        <w:t>середньому 500±150 мл ексудату, який відправляли на дослідження. Інфікований вміст отримано у 13 (14,9%) хворих, гній – у 5 (5,7%) хворих, гній з детритними масами – у 4 (4,5%) хворих. Завершальним етапом дане дренування було для 9 (10,3%) пацієнтів. Інші 18 пацієнтів потребували додатково дренування парапанкреатичних скупчень або відкритого оперативного втручання. Причиною цього було збереження ознак SIRS у 13 (14,9%) пацієнтів, відсутність ефекту від дренування у вигляді зберігання ознак високої кишкової непрохідності у 2 (2,3%) пацієнтів, а також відсутності динаміки зменшення парапанкреатичного скупчення за даними УЗД в динаміці (6 пацієнтів – 6,7%).</w:t>
      </w:r>
    </w:p>
    <w:p w:rsidR="00B23B94" w:rsidRDefault="003B2D3B">
      <w:pPr>
        <w:pStyle w:val="a3"/>
        <w:spacing w:before="2" w:line="360" w:lineRule="auto"/>
        <w:ind w:right="304" w:firstLine="705"/>
      </w:pPr>
      <w:r>
        <w:t>Полідренування застосовували у 5 (5,7%) пацієнтів з локалізацією парапанкреатичних рідинних скупчень на 3 та більше ЗППН. У 4 (4,6%) з них,</w:t>
      </w:r>
      <w:r>
        <w:rPr>
          <w:spacing w:val="12"/>
        </w:rPr>
        <w:t xml:space="preserve"> </w:t>
      </w:r>
      <w:r>
        <w:t>через</w:t>
      </w:r>
      <w:r>
        <w:rPr>
          <w:spacing w:val="13"/>
        </w:rPr>
        <w:t xml:space="preserve"> </w:t>
      </w:r>
      <w:r>
        <w:t>24-48</w:t>
      </w:r>
      <w:r>
        <w:rPr>
          <w:spacing w:val="15"/>
        </w:rPr>
        <w:t xml:space="preserve"> </w:t>
      </w:r>
      <w:r>
        <w:t>годин</w:t>
      </w:r>
      <w:r>
        <w:rPr>
          <w:spacing w:val="13"/>
        </w:rPr>
        <w:t xml:space="preserve"> </w:t>
      </w:r>
      <w:r>
        <w:t>спостерігалося</w:t>
      </w:r>
      <w:r>
        <w:rPr>
          <w:spacing w:val="12"/>
        </w:rPr>
        <w:t xml:space="preserve"> </w:t>
      </w:r>
      <w:r>
        <w:t>регрес</w:t>
      </w:r>
      <w:r>
        <w:rPr>
          <w:spacing w:val="18"/>
        </w:rPr>
        <w:t xml:space="preserve"> </w:t>
      </w:r>
      <w:r>
        <w:t>SIRS.</w:t>
      </w:r>
      <w:r>
        <w:rPr>
          <w:spacing w:val="11"/>
        </w:rPr>
        <w:t xml:space="preserve"> </w:t>
      </w:r>
      <w:r>
        <w:t>Завершальним</w:t>
      </w:r>
      <w:r>
        <w:rPr>
          <w:spacing w:val="13"/>
        </w:rPr>
        <w:t xml:space="preserve"> </w:t>
      </w:r>
      <w:r>
        <w:t>воно</w:t>
      </w:r>
      <w:r>
        <w:rPr>
          <w:spacing w:val="15"/>
        </w:rPr>
        <w:t xml:space="preserve"> </w:t>
      </w:r>
      <w:r>
        <w:t>було</w:t>
      </w:r>
    </w:p>
    <w:p w:rsidR="00B23B94" w:rsidRDefault="003B2D3B">
      <w:pPr>
        <w:pStyle w:val="a3"/>
        <w:spacing w:before="1" w:line="360" w:lineRule="auto"/>
        <w:ind w:right="303"/>
      </w:pPr>
      <w:r>
        <w:t>1 (1,1%) пацієнтів. Всі інші потребували в подальшому відкритих некрсеквестректомій (НСЕ), у зв’язку з діагностикою у даних пацієнтів секвестральних мас (4 пацієнти – 4,6%) та відсутності регресу клініки SIRS (2 пацієнта – 2,3%). В даному випадку полідренування під УЗ-контролем дозволило відтермінувати відкрите оперативне втручання та сприяло відмежуванню осередку запалення.</w:t>
      </w:r>
    </w:p>
    <w:p w:rsidR="00B23B94" w:rsidRDefault="003B2D3B">
      <w:pPr>
        <w:pStyle w:val="a3"/>
        <w:spacing w:line="360" w:lineRule="auto"/>
        <w:ind w:right="305" w:firstLine="705"/>
      </w:pPr>
      <w:r>
        <w:t>Первинно відкрита некрсеквестректомія на 14 добу від початку захворювання виконана 19 (21,8%) пацієнтам, у яких парапанкреатичні скупчення за даними КТ ОЧП з в/в контрастуванням містили окрім рідинного компоненту секвестральні маси та констатували резистентну до консервативної терапії поліорганну дисфункцію. При поширеності деструктивного процесу на 1-2 ЗППН (9 пацієнтів – 10,3%) виконували лапаротомію з НСЕ у 8 випадках та лівобічну люмботомію у 1 випадку. У разі, коли патологічний процес поширювався на 3 та більше ЗППН (10 пацієнтів – 11,5%) виконували лапаротомію з люмботомією та НСЕ. На операції здійснювали видалення гнійно-некротичних мас з подальшим відправленням їх на бактеріоскопічне, бактеріологічне дослідження та</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79" w:line="360" w:lineRule="auto"/>
        <w:ind w:right="302"/>
      </w:pPr>
      <w:r>
        <w:lastRenderedPageBreak/>
        <w:t>визначення чутливості до антибактеріальних препаратів. За можливості, гнійники що розташовувалися в заочеревинному просторі розкривали таким чином, щоб уникнути їх сполучення з черевною порожниною. Під час виконання НСЕ, проводили видалення лише вільнолежачих секвестрів, щоб зменшити ризик виникнення кровотечі. Дренування проводили м’якими силіконовими дренажами. У випадку дренування гнійників заочеревинного простору налагоджували проточне промивання. Лаваж по дренажам в післяопераційному періоді проводили 1-3 рази на добу до «чистих вод», в залежності від наявності та кількості детриту що виділявся при промиванні.</w:t>
      </w:r>
    </w:p>
    <w:p w:rsidR="00B23B94" w:rsidRDefault="003B2D3B">
      <w:pPr>
        <w:pStyle w:val="a3"/>
        <w:spacing w:before="3" w:line="360" w:lineRule="auto"/>
        <w:ind w:right="306" w:firstLine="705"/>
      </w:pPr>
      <w:r>
        <w:t>В післяопераційному періоді на 2-6 добу, у 4 (21,1%) пацієнтів після відкритих НСЕ виникли ускладнення, які були представлені арозивною кровотечою (табл. 3.8). Ці пацієнти потребували негайного оперативного втручання для зупинки кровотечі.</w:t>
      </w:r>
    </w:p>
    <w:p w:rsidR="00B23B94" w:rsidRDefault="003B2D3B">
      <w:pPr>
        <w:pStyle w:val="a3"/>
        <w:spacing w:line="360" w:lineRule="auto"/>
        <w:ind w:right="308" w:firstLine="705"/>
      </w:pPr>
      <w:r>
        <w:t>У 11 (57,9%) пацієнтів, НСЕ була одномоментною, та не потребувала подальших етапних хірургічних втручань. 8 пацієнтів (42,1%) потребували повторних етапних НСЕ. У 6 (31,5%) пацієнтів в післяопераційному періоді зберігалися ознаки SIRS, а у 2 (10,5%) пацієнтів під час операції виявляли щільно фіксовані секвестри, що унеможливлювало їх безпечне видалення (табл. 3.7). Тяжкість стану за шкалою BISAP становила 2,8±0,29 бали (від 2 до 4 балів), ознаки органної дисфункції зберігалися у 6 (31,5%)</w:t>
      </w:r>
      <w:r>
        <w:rPr>
          <w:spacing w:val="-19"/>
        </w:rPr>
        <w:t xml:space="preserve"> </w:t>
      </w:r>
      <w:r>
        <w:t>хворих.</w:t>
      </w:r>
    </w:p>
    <w:p w:rsidR="00B23B94" w:rsidRDefault="003B2D3B">
      <w:pPr>
        <w:pStyle w:val="a3"/>
        <w:spacing w:line="360" w:lineRule="auto"/>
        <w:ind w:right="306" w:firstLine="705"/>
      </w:pPr>
      <w:r>
        <w:t>На 20-21 добу парапанкреатичні скупчення з виключно рідинними компонентом виявлено у 2 (2,3%) хворих. Поширювалися вони на 1 ЗППН. Цим пацієнтам виконувалося дренування під УЗ-контролем. Одномоментно отримано 650±100 мл густого гною, який був відправлений на бактеріоскопічне та бактеріологічне дослідження з визначенням чутливості до антибактеріальних препаратів. На 3-4 добу у хворих відмічали регрес ознак SIRS. Дренування під УЗ-контролем було завершальним етапом у лікуванні даних</w:t>
      </w:r>
      <w:r>
        <w:rPr>
          <w:spacing w:val="-2"/>
        </w:rPr>
        <w:t xml:space="preserve"> </w:t>
      </w:r>
      <w:r>
        <w:t>пацієнтів.</w:t>
      </w:r>
    </w:p>
    <w:p w:rsidR="00B23B94" w:rsidRDefault="00B23B94">
      <w:pPr>
        <w:spacing w:line="360" w:lineRule="auto"/>
        <w:sectPr w:rsidR="00B23B94">
          <w:pgSz w:w="11910" w:h="16840"/>
          <w:pgMar w:top="1040" w:right="540" w:bottom="280" w:left="1480" w:header="719" w:footer="0" w:gutter="0"/>
          <w:cols w:space="720"/>
        </w:sectPr>
      </w:pPr>
    </w:p>
    <w:p w:rsidR="00B23B94" w:rsidRDefault="003B2D3B">
      <w:pPr>
        <w:pStyle w:val="a3"/>
        <w:spacing w:before="68"/>
        <w:ind w:left="0" w:right="108"/>
        <w:jc w:val="right"/>
      </w:pPr>
      <w:r>
        <w:lastRenderedPageBreak/>
        <w:t>72</w:t>
      </w:r>
    </w:p>
    <w:p w:rsidR="00B23B94" w:rsidRDefault="00B23B94">
      <w:pPr>
        <w:pStyle w:val="a3"/>
        <w:ind w:left="0"/>
        <w:jc w:val="left"/>
        <w:rPr>
          <w:sz w:val="30"/>
        </w:rPr>
      </w:pPr>
    </w:p>
    <w:p w:rsidR="00B23B94" w:rsidRDefault="00B23B94">
      <w:pPr>
        <w:pStyle w:val="a3"/>
        <w:spacing w:before="5"/>
        <w:ind w:left="0"/>
        <w:jc w:val="left"/>
      </w:pPr>
    </w:p>
    <w:p w:rsidR="00B23B94" w:rsidRDefault="003B2D3B">
      <w:pPr>
        <w:spacing w:line="322" w:lineRule="exact"/>
        <w:ind w:left="12397"/>
        <w:rPr>
          <w:i/>
          <w:sz w:val="28"/>
        </w:rPr>
      </w:pPr>
      <w:r>
        <w:rPr>
          <w:i/>
          <w:sz w:val="28"/>
        </w:rPr>
        <w:t>Таблиця</w:t>
      </w:r>
      <w:r>
        <w:rPr>
          <w:i/>
          <w:spacing w:val="-3"/>
          <w:sz w:val="28"/>
        </w:rPr>
        <w:t xml:space="preserve"> </w:t>
      </w:r>
      <w:r>
        <w:rPr>
          <w:i/>
          <w:sz w:val="28"/>
        </w:rPr>
        <w:t>3.6</w:t>
      </w:r>
    </w:p>
    <w:p w:rsidR="00B23B94" w:rsidRDefault="003B2D3B">
      <w:pPr>
        <w:pStyle w:val="1"/>
        <w:spacing w:before="0" w:line="360" w:lineRule="auto"/>
        <w:ind w:left="4274" w:right="814" w:hanging="3349"/>
      </w:pPr>
      <w:r>
        <w:t>Результати хірургічного лікування локальних парапанкреатичних ускладнень деструктивного панкреатиту у пацієнтів групи порівняння</w:t>
      </w:r>
    </w:p>
    <w:p w:rsidR="00B23B94" w:rsidRDefault="00B23B94">
      <w:pPr>
        <w:pStyle w:val="a3"/>
        <w:ind w:left="0"/>
        <w:jc w:val="left"/>
        <w:rPr>
          <w:b/>
          <w:sz w:val="20"/>
        </w:rPr>
      </w:pPr>
    </w:p>
    <w:p w:rsidR="00B23B94" w:rsidRDefault="00B23B94">
      <w:pPr>
        <w:pStyle w:val="a3"/>
        <w:ind w:left="0"/>
        <w:jc w:val="left"/>
        <w:rPr>
          <w:b/>
          <w:sz w:val="20"/>
        </w:rPr>
      </w:pPr>
    </w:p>
    <w:p w:rsidR="00B23B94" w:rsidRDefault="00B23B94">
      <w:pPr>
        <w:pStyle w:val="a3"/>
        <w:spacing w:before="7"/>
        <w:ind w:left="0"/>
        <w:jc w:val="left"/>
        <w:rPr>
          <w:b/>
          <w:sz w:val="1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8"/>
        <w:gridCol w:w="715"/>
        <w:gridCol w:w="706"/>
        <w:gridCol w:w="792"/>
        <w:gridCol w:w="566"/>
        <w:gridCol w:w="715"/>
        <w:gridCol w:w="705"/>
        <w:gridCol w:w="715"/>
        <w:gridCol w:w="705"/>
        <w:gridCol w:w="715"/>
        <w:gridCol w:w="566"/>
        <w:gridCol w:w="715"/>
        <w:gridCol w:w="705"/>
        <w:gridCol w:w="715"/>
        <w:gridCol w:w="564"/>
        <w:gridCol w:w="715"/>
        <w:gridCol w:w="708"/>
      </w:tblGrid>
      <w:tr w:rsidR="00B23B94">
        <w:trPr>
          <w:trHeight w:val="1176"/>
        </w:trPr>
        <w:tc>
          <w:tcPr>
            <w:tcW w:w="2158" w:type="dxa"/>
            <w:vMerge w:val="restart"/>
          </w:tcPr>
          <w:p w:rsidR="00B23B94" w:rsidRDefault="00B23B94">
            <w:pPr>
              <w:pStyle w:val="TableParagraph"/>
              <w:jc w:val="left"/>
              <w:rPr>
                <w:sz w:val="28"/>
              </w:rPr>
            </w:pPr>
          </w:p>
        </w:tc>
        <w:tc>
          <w:tcPr>
            <w:tcW w:w="2779" w:type="dxa"/>
            <w:gridSpan w:val="4"/>
          </w:tcPr>
          <w:p w:rsidR="00B23B94" w:rsidRDefault="00B23B94">
            <w:pPr>
              <w:pStyle w:val="TableParagraph"/>
              <w:spacing w:before="1"/>
              <w:jc w:val="left"/>
              <w:rPr>
                <w:b/>
                <w:sz w:val="30"/>
              </w:rPr>
            </w:pPr>
          </w:p>
          <w:p w:rsidR="00B23B94" w:rsidRDefault="003B2D3B">
            <w:pPr>
              <w:pStyle w:val="TableParagraph"/>
              <w:ind w:left="251"/>
              <w:jc w:val="left"/>
              <w:rPr>
                <w:b/>
                <w:sz w:val="28"/>
              </w:rPr>
            </w:pPr>
            <w:r>
              <w:rPr>
                <w:b/>
                <w:sz w:val="28"/>
              </w:rPr>
              <w:t>1 анатомічна зона</w:t>
            </w:r>
          </w:p>
        </w:tc>
        <w:tc>
          <w:tcPr>
            <w:tcW w:w="2840" w:type="dxa"/>
            <w:gridSpan w:val="4"/>
          </w:tcPr>
          <w:p w:rsidR="00B23B94" w:rsidRDefault="00B23B94">
            <w:pPr>
              <w:pStyle w:val="TableParagraph"/>
              <w:spacing w:before="1"/>
              <w:jc w:val="left"/>
              <w:rPr>
                <w:b/>
                <w:sz w:val="30"/>
              </w:rPr>
            </w:pPr>
          </w:p>
          <w:p w:rsidR="00B23B94" w:rsidRDefault="003B2D3B">
            <w:pPr>
              <w:pStyle w:val="TableParagraph"/>
              <w:ind w:left="300"/>
              <w:jc w:val="left"/>
              <w:rPr>
                <w:b/>
                <w:sz w:val="28"/>
              </w:rPr>
            </w:pPr>
            <w:r>
              <w:rPr>
                <w:b/>
                <w:sz w:val="28"/>
              </w:rPr>
              <w:t>2 анатомічні зони</w:t>
            </w:r>
          </w:p>
        </w:tc>
        <w:tc>
          <w:tcPr>
            <w:tcW w:w="2701" w:type="dxa"/>
            <w:gridSpan w:val="4"/>
          </w:tcPr>
          <w:p w:rsidR="00B23B94" w:rsidRDefault="00B23B94">
            <w:pPr>
              <w:pStyle w:val="TableParagraph"/>
              <w:spacing w:before="1"/>
              <w:jc w:val="left"/>
              <w:rPr>
                <w:b/>
                <w:sz w:val="30"/>
              </w:rPr>
            </w:pPr>
          </w:p>
          <w:p w:rsidR="00B23B94" w:rsidRDefault="003B2D3B">
            <w:pPr>
              <w:pStyle w:val="TableParagraph"/>
              <w:ind w:left="117"/>
              <w:jc w:val="left"/>
              <w:rPr>
                <w:b/>
                <w:sz w:val="28"/>
              </w:rPr>
            </w:pPr>
            <w:r>
              <w:rPr>
                <w:b/>
                <w:sz w:val="28"/>
              </w:rPr>
              <w:t>3-4 анатомічні зони</w:t>
            </w:r>
          </w:p>
        </w:tc>
        <w:tc>
          <w:tcPr>
            <w:tcW w:w="2702" w:type="dxa"/>
            <w:gridSpan w:val="4"/>
          </w:tcPr>
          <w:p w:rsidR="00B23B94" w:rsidRDefault="003B2D3B">
            <w:pPr>
              <w:pStyle w:val="TableParagraph"/>
              <w:spacing w:before="106" w:line="360" w:lineRule="auto"/>
              <w:ind w:left="311" w:right="269" w:firstLine="424"/>
              <w:jc w:val="left"/>
              <w:rPr>
                <w:b/>
                <w:sz w:val="28"/>
              </w:rPr>
            </w:pPr>
            <w:r>
              <w:rPr>
                <w:b/>
                <w:sz w:val="28"/>
              </w:rPr>
              <w:t>5 і більше анатомічних зон</w:t>
            </w:r>
          </w:p>
        </w:tc>
      </w:tr>
      <w:tr w:rsidR="00B23B94">
        <w:trPr>
          <w:trHeight w:val="589"/>
        </w:trPr>
        <w:tc>
          <w:tcPr>
            <w:tcW w:w="2158" w:type="dxa"/>
            <w:vMerge/>
            <w:tcBorders>
              <w:top w:val="nil"/>
            </w:tcBorders>
          </w:tcPr>
          <w:p w:rsidR="00B23B94" w:rsidRDefault="00B23B94">
            <w:pPr>
              <w:rPr>
                <w:sz w:val="2"/>
                <w:szCs w:val="2"/>
              </w:rPr>
            </w:pPr>
          </w:p>
        </w:tc>
        <w:tc>
          <w:tcPr>
            <w:tcW w:w="1421" w:type="dxa"/>
            <w:gridSpan w:val="2"/>
          </w:tcPr>
          <w:p w:rsidR="00B23B94" w:rsidRDefault="003B2D3B">
            <w:pPr>
              <w:pStyle w:val="TableParagraph"/>
              <w:spacing w:before="55"/>
              <w:ind w:left="504" w:right="493"/>
              <w:rPr>
                <w:b/>
                <w:sz w:val="28"/>
              </w:rPr>
            </w:pPr>
            <w:r>
              <w:rPr>
                <w:b/>
                <w:sz w:val="28"/>
              </w:rPr>
              <w:t>РС</w:t>
            </w:r>
          </w:p>
        </w:tc>
        <w:tc>
          <w:tcPr>
            <w:tcW w:w="1358" w:type="dxa"/>
            <w:gridSpan w:val="2"/>
          </w:tcPr>
          <w:p w:rsidR="00B23B94" w:rsidRDefault="003B2D3B">
            <w:pPr>
              <w:pStyle w:val="TableParagraph"/>
              <w:spacing w:before="55"/>
              <w:ind w:left="132"/>
              <w:jc w:val="left"/>
              <w:rPr>
                <w:b/>
                <w:sz w:val="28"/>
              </w:rPr>
            </w:pPr>
            <w:r>
              <w:rPr>
                <w:b/>
                <w:sz w:val="28"/>
              </w:rPr>
              <w:t>РС+секв</w:t>
            </w:r>
          </w:p>
        </w:tc>
        <w:tc>
          <w:tcPr>
            <w:tcW w:w="1420" w:type="dxa"/>
            <w:gridSpan w:val="2"/>
          </w:tcPr>
          <w:p w:rsidR="00B23B94" w:rsidRDefault="003B2D3B">
            <w:pPr>
              <w:pStyle w:val="TableParagraph"/>
              <w:spacing w:before="55"/>
              <w:ind w:left="502" w:right="493"/>
              <w:rPr>
                <w:b/>
                <w:sz w:val="28"/>
              </w:rPr>
            </w:pPr>
            <w:r>
              <w:rPr>
                <w:b/>
                <w:sz w:val="28"/>
              </w:rPr>
              <w:t>РС</w:t>
            </w:r>
          </w:p>
        </w:tc>
        <w:tc>
          <w:tcPr>
            <w:tcW w:w="1420" w:type="dxa"/>
            <w:gridSpan w:val="2"/>
          </w:tcPr>
          <w:p w:rsidR="00B23B94" w:rsidRDefault="003B2D3B">
            <w:pPr>
              <w:pStyle w:val="TableParagraph"/>
              <w:spacing w:before="55"/>
              <w:ind w:left="165"/>
              <w:jc w:val="left"/>
              <w:rPr>
                <w:b/>
                <w:sz w:val="28"/>
              </w:rPr>
            </w:pPr>
            <w:r>
              <w:rPr>
                <w:b/>
                <w:sz w:val="28"/>
              </w:rPr>
              <w:t>РС+секв</w:t>
            </w:r>
          </w:p>
        </w:tc>
        <w:tc>
          <w:tcPr>
            <w:tcW w:w="1281" w:type="dxa"/>
            <w:gridSpan w:val="2"/>
          </w:tcPr>
          <w:p w:rsidR="00B23B94" w:rsidRDefault="003B2D3B">
            <w:pPr>
              <w:pStyle w:val="TableParagraph"/>
              <w:spacing w:before="55"/>
              <w:ind w:left="435" w:right="422"/>
              <w:rPr>
                <w:b/>
                <w:sz w:val="28"/>
              </w:rPr>
            </w:pPr>
            <w:r>
              <w:rPr>
                <w:b/>
                <w:sz w:val="28"/>
              </w:rPr>
              <w:t>РС</w:t>
            </w:r>
          </w:p>
        </w:tc>
        <w:tc>
          <w:tcPr>
            <w:tcW w:w="1420" w:type="dxa"/>
            <w:gridSpan w:val="2"/>
          </w:tcPr>
          <w:p w:rsidR="00B23B94" w:rsidRDefault="003B2D3B">
            <w:pPr>
              <w:pStyle w:val="TableParagraph"/>
              <w:spacing w:before="55"/>
              <w:ind w:left="166"/>
              <w:jc w:val="left"/>
              <w:rPr>
                <w:b/>
                <w:sz w:val="28"/>
              </w:rPr>
            </w:pPr>
            <w:r>
              <w:rPr>
                <w:b/>
                <w:sz w:val="28"/>
              </w:rPr>
              <w:t>РС+секв</w:t>
            </w:r>
          </w:p>
        </w:tc>
        <w:tc>
          <w:tcPr>
            <w:tcW w:w="1279" w:type="dxa"/>
            <w:gridSpan w:val="2"/>
          </w:tcPr>
          <w:p w:rsidR="00B23B94" w:rsidRDefault="003B2D3B">
            <w:pPr>
              <w:pStyle w:val="TableParagraph"/>
              <w:spacing w:before="55"/>
              <w:ind w:left="437" w:right="418"/>
              <w:rPr>
                <w:b/>
                <w:sz w:val="28"/>
              </w:rPr>
            </w:pPr>
            <w:r>
              <w:rPr>
                <w:b/>
                <w:sz w:val="28"/>
              </w:rPr>
              <w:t>РС</w:t>
            </w:r>
          </w:p>
        </w:tc>
        <w:tc>
          <w:tcPr>
            <w:tcW w:w="1423" w:type="dxa"/>
            <w:gridSpan w:val="2"/>
          </w:tcPr>
          <w:p w:rsidR="00B23B94" w:rsidRDefault="003B2D3B">
            <w:pPr>
              <w:pStyle w:val="TableParagraph"/>
              <w:spacing w:before="55"/>
              <w:ind w:left="172"/>
              <w:jc w:val="left"/>
              <w:rPr>
                <w:b/>
                <w:sz w:val="28"/>
              </w:rPr>
            </w:pPr>
            <w:r>
              <w:rPr>
                <w:b/>
                <w:sz w:val="28"/>
              </w:rPr>
              <w:t>РС+секв</w:t>
            </w:r>
          </w:p>
        </w:tc>
      </w:tr>
      <w:tr w:rsidR="00B23B94">
        <w:trPr>
          <w:trHeight w:val="614"/>
        </w:trPr>
        <w:tc>
          <w:tcPr>
            <w:tcW w:w="2158" w:type="dxa"/>
            <w:vMerge/>
            <w:tcBorders>
              <w:top w:val="nil"/>
            </w:tcBorders>
          </w:tcPr>
          <w:p w:rsidR="00B23B94" w:rsidRDefault="00B23B94">
            <w:pPr>
              <w:rPr>
                <w:sz w:val="2"/>
                <w:szCs w:val="2"/>
              </w:rPr>
            </w:pPr>
          </w:p>
        </w:tc>
        <w:tc>
          <w:tcPr>
            <w:tcW w:w="715" w:type="dxa"/>
          </w:tcPr>
          <w:p w:rsidR="00B23B94" w:rsidRDefault="003B2D3B">
            <w:pPr>
              <w:pStyle w:val="TableParagraph"/>
              <w:spacing w:before="67"/>
              <w:ind w:left="93" w:right="83"/>
              <w:rPr>
                <w:b/>
                <w:sz w:val="28"/>
              </w:rPr>
            </w:pPr>
            <w:r>
              <w:rPr>
                <w:b/>
                <w:sz w:val="28"/>
              </w:rPr>
              <w:t>абс.</w:t>
            </w:r>
          </w:p>
        </w:tc>
        <w:tc>
          <w:tcPr>
            <w:tcW w:w="706" w:type="dxa"/>
          </w:tcPr>
          <w:p w:rsidR="00B23B94" w:rsidRDefault="003B2D3B">
            <w:pPr>
              <w:pStyle w:val="TableParagraph"/>
              <w:spacing w:before="67"/>
              <w:ind w:left="7"/>
              <w:rPr>
                <w:b/>
                <w:sz w:val="28"/>
              </w:rPr>
            </w:pPr>
            <w:r>
              <w:rPr>
                <w:b/>
                <w:sz w:val="28"/>
              </w:rPr>
              <w:t>%</w:t>
            </w:r>
          </w:p>
        </w:tc>
        <w:tc>
          <w:tcPr>
            <w:tcW w:w="792" w:type="dxa"/>
          </w:tcPr>
          <w:p w:rsidR="00B23B94" w:rsidRDefault="003B2D3B">
            <w:pPr>
              <w:pStyle w:val="TableParagraph"/>
              <w:spacing w:before="67"/>
              <w:ind w:left="138" w:right="128"/>
              <w:rPr>
                <w:b/>
                <w:sz w:val="28"/>
              </w:rPr>
            </w:pPr>
            <w:r>
              <w:rPr>
                <w:b/>
                <w:sz w:val="28"/>
              </w:rPr>
              <w:t>абс.</w:t>
            </w:r>
          </w:p>
        </w:tc>
        <w:tc>
          <w:tcPr>
            <w:tcW w:w="566" w:type="dxa"/>
          </w:tcPr>
          <w:p w:rsidR="00B23B94" w:rsidRDefault="003B2D3B">
            <w:pPr>
              <w:pStyle w:val="TableParagraph"/>
              <w:spacing w:before="67"/>
              <w:ind w:left="8"/>
              <w:rPr>
                <w:b/>
                <w:sz w:val="28"/>
              </w:rPr>
            </w:pPr>
            <w:r>
              <w:rPr>
                <w:b/>
                <w:sz w:val="28"/>
              </w:rPr>
              <w:t>%</w:t>
            </w:r>
          </w:p>
        </w:tc>
        <w:tc>
          <w:tcPr>
            <w:tcW w:w="715" w:type="dxa"/>
          </w:tcPr>
          <w:p w:rsidR="00B23B94" w:rsidRDefault="003B2D3B">
            <w:pPr>
              <w:pStyle w:val="TableParagraph"/>
              <w:spacing w:before="67"/>
              <w:ind w:left="94" w:right="83"/>
              <w:rPr>
                <w:b/>
                <w:sz w:val="28"/>
              </w:rPr>
            </w:pPr>
            <w:r>
              <w:rPr>
                <w:b/>
                <w:sz w:val="28"/>
              </w:rPr>
              <w:t>абс.</w:t>
            </w:r>
          </w:p>
        </w:tc>
        <w:tc>
          <w:tcPr>
            <w:tcW w:w="705" w:type="dxa"/>
          </w:tcPr>
          <w:p w:rsidR="00B23B94" w:rsidRDefault="003B2D3B">
            <w:pPr>
              <w:pStyle w:val="TableParagraph"/>
              <w:spacing w:before="67"/>
              <w:ind w:left="9"/>
              <w:rPr>
                <w:b/>
                <w:sz w:val="28"/>
              </w:rPr>
            </w:pPr>
            <w:r>
              <w:rPr>
                <w:b/>
                <w:sz w:val="28"/>
              </w:rPr>
              <w:t>%</w:t>
            </w:r>
          </w:p>
        </w:tc>
        <w:tc>
          <w:tcPr>
            <w:tcW w:w="715" w:type="dxa"/>
          </w:tcPr>
          <w:p w:rsidR="00B23B94" w:rsidRDefault="003B2D3B">
            <w:pPr>
              <w:pStyle w:val="TableParagraph"/>
              <w:spacing w:before="67"/>
              <w:ind w:left="97" w:right="83"/>
              <w:rPr>
                <w:b/>
                <w:sz w:val="28"/>
              </w:rPr>
            </w:pPr>
            <w:r>
              <w:rPr>
                <w:b/>
                <w:sz w:val="28"/>
              </w:rPr>
              <w:t>абс.</w:t>
            </w:r>
          </w:p>
        </w:tc>
        <w:tc>
          <w:tcPr>
            <w:tcW w:w="705" w:type="dxa"/>
          </w:tcPr>
          <w:p w:rsidR="00B23B94" w:rsidRDefault="003B2D3B">
            <w:pPr>
              <w:pStyle w:val="TableParagraph"/>
              <w:spacing w:before="67"/>
              <w:ind w:left="12"/>
              <w:rPr>
                <w:b/>
                <w:sz w:val="28"/>
              </w:rPr>
            </w:pPr>
            <w:r>
              <w:rPr>
                <w:b/>
                <w:sz w:val="28"/>
              </w:rPr>
              <w:t>%</w:t>
            </w:r>
          </w:p>
        </w:tc>
        <w:tc>
          <w:tcPr>
            <w:tcW w:w="715" w:type="dxa"/>
          </w:tcPr>
          <w:p w:rsidR="00B23B94" w:rsidRDefault="003B2D3B">
            <w:pPr>
              <w:pStyle w:val="TableParagraph"/>
              <w:spacing w:before="67"/>
              <w:ind w:left="98" w:right="83"/>
              <w:rPr>
                <w:b/>
                <w:sz w:val="28"/>
              </w:rPr>
            </w:pPr>
            <w:r>
              <w:rPr>
                <w:b/>
                <w:sz w:val="28"/>
              </w:rPr>
              <w:t>абс.</w:t>
            </w:r>
          </w:p>
        </w:tc>
        <w:tc>
          <w:tcPr>
            <w:tcW w:w="566" w:type="dxa"/>
          </w:tcPr>
          <w:p w:rsidR="00B23B94" w:rsidRDefault="003B2D3B">
            <w:pPr>
              <w:pStyle w:val="TableParagraph"/>
              <w:spacing w:before="67"/>
              <w:ind w:left="13"/>
              <w:rPr>
                <w:b/>
                <w:sz w:val="28"/>
              </w:rPr>
            </w:pPr>
            <w:r>
              <w:rPr>
                <w:b/>
                <w:sz w:val="28"/>
              </w:rPr>
              <w:t>%</w:t>
            </w:r>
          </w:p>
        </w:tc>
        <w:tc>
          <w:tcPr>
            <w:tcW w:w="715" w:type="dxa"/>
          </w:tcPr>
          <w:p w:rsidR="00B23B94" w:rsidRDefault="003B2D3B">
            <w:pPr>
              <w:pStyle w:val="TableParagraph"/>
              <w:spacing w:before="67"/>
              <w:ind w:left="99" w:right="83"/>
              <w:rPr>
                <w:b/>
                <w:sz w:val="28"/>
              </w:rPr>
            </w:pPr>
            <w:r>
              <w:rPr>
                <w:b/>
                <w:sz w:val="28"/>
              </w:rPr>
              <w:t>абс.</w:t>
            </w:r>
          </w:p>
        </w:tc>
        <w:tc>
          <w:tcPr>
            <w:tcW w:w="705" w:type="dxa"/>
          </w:tcPr>
          <w:p w:rsidR="00B23B94" w:rsidRDefault="003B2D3B">
            <w:pPr>
              <w:pStyle w:val="TableParagraph"/>
              <w:spacing w:before="67"/>
              <w:ind w:left="16"/>
              <w:rPr>
                <w:b/>
                <w:sz w:val="28"/>
              </w:rPr>
            </w:pPr>
            <w:r>
              <w:rPr>
                <w:b/>
                <w:sz w:val="28"/>
              </w:rPr>
              <w:t>%</w:t>
            </w:r>
          </w:p>
        </w:tc>
        <w:tc>
          <w:tcPr>
            <w:tcW w:w="715" w:type="dxa"/>
          </w:tcPr>
          <w:p w:rsidR="00B23B94" w:rsidRDefault="003B2D3B">
            <w:pPr>
              <w:pStyle w:val="TableParagraph"/>
              <w:spacing w:before="67"/>
              <w:ind w:left="100" w:right="81"/>
              <w:rPr>
                <w:b/>
                <w:sz w:val="28"/>
              </w:rPr>
            </w:pPr>
            <w:r>
              <w:rPr>
                <w:b/>
                <w:sz w:val="28"/>
              </w:rPr>
              <w:t>абс.</w:t>
            </w:r>
          </w:p>
        </w:tc>
        <w:tc>
          <w:tcPr>
            <w:tcW w:w="564" w:type="dxa"/>
          </w:tcPr>
          <w:p w:rsidR="00B23B94" w:rsidRDefault="003B2D3B">
            <w:pPr>
              <w:pStyle w:val="TableParagraph"/>
              <w:spacing w:before="67"/>
              <w:ind w:left="19"/>
              <w:rPr>
                <w:b/>
                <w:sz w:val="28"/>
              </w:rPr>
            </w:pPr>
            <w:r>
              <w:rPr>
                <w:b/>
                <w:sz w:val="28"/>
              </w:rPr>
              <w:t>%</w:t>
            </w:r>
          </w:p>
        </w:tc>
        <w:tc>
          <w:tcPr>
            <w:tcW w:w="715" w:type="dxa"/>
          </w:tcPr>
          <w:p w:rsidR="00B23B94" w:rsidRDefault="003B2D3B">
            <w:pPr>
              <w:pStyle w:val="TableParagraph"/>
              <w:spacing w:before="67"/>
              <w:ind w:left="100" w:right="76"/>
              <w:rPr>
                <w:b/>
                <w:sz w:val="28"/>
              </w:rPr>
            </w:pPr>
            <w:r>
              <w:rPr>
                <w:b/>
                <w:sz w:val="28"/>
              </w:rPr>
              <w:t>абс.</w:t>
            </w:r>
          </w:p>
        </w:tc>
        <w:tc>
          <w:tcPr>
            <w:tcW w:w="708" w:type="dxa"/>
          </w:tcPr>
          <w:p w:rsidR="00B23B94" w:rsidRDefault="003B2D3B">
            <w:pPr>
              <w:pStyle w:val="TableParagraph"/>
              <w:spacing w:before="67"/>
              <w:ind w:left="20"/>
              <w:rPr>
                <w:b/>
                <w:sz w:val="28"/>
              </w:rPr>
            </w:pPr>
            <w:r>
              <w:rPr>
                <w:b/>
                <w:sz w:val="28"/>
              </w:rPr>
              <w:t>%</w:t>
            </w:r>
          </w:p>
        </w:tc>
      </w:tr>
      <w:tr w:rsidR="00B23B94">
        <w:trPr>
          <w:trHeight w:val="1178"/>
        </w:trPr>
        <w:tc>
          <w:tcPr>
            <w:tcW w:w="2158" w:type="dxa"/>
          </w:tcPr>
          <w:p w:rsidR="00B23B94" w:rsidRDefault="003B2D3B">
            <w:pPr>
              <w:pStyle w:val="TableParagraph"/>
              <w:spacing w:before="106" w:line="362" w:lineRule="auto"/>
              <w:ind w:left="107" w:right="150"/>
              <w:jc w:val="left"/>
              <w:rPr>
                <w:sz w:val="28"/>
              </w:rPr>
            </w:pPr>
            <w:r>
              <w:rPr>
                <w:sz w:val="28"/>
              </w:rPr>
              <w:t>Дренування під УЗД контролем</w:t>
            </w:r>
          </w:p>
        </w:tc>
        <w:tc>
          <w:tcPr>
            <w:tcW w:w="715" w:type="dxa"/>
          </w:tcPr>
          <w:p w:rsidR="00B23B94" w:rsidRDefault="00B23B94">
            <w:pPr>
              <w:pStyle w:val="TableParagraph"/>
              <w:spacing w:before="3"/>
              <w:jc w:val="left"/>
              <w:rPr>
                <w:b/>
                <w:sz w:val="30"/>
              </w:rPr>
            </w:pPr>
          </w:p>
          <w:p w:rsidR="00B23B94" w:rsidRDefault="003B2D3B">
            <w:pPr>
              <w:pStyle w:val="TableParagraph"/>
              <w:ind w:left="97" w:right="83"/>
              <w:rPr>
                <w:sz w:val="28"/>
              </w:rPr>
            </w:pPr>
            <w:r>
              <w:rPr>
                <w:sz w:val="28"/>
              </w:rPr>
              <w:t>30</w:t>
            </w:r>
          </w:p>
        </w:tc>
        <w:tc>
          <w:tcPr>
            <w:tcW w:w="706" w:type="dxa"/>
          </w:tcPr>
          <w:p w:rsidR="00B23B94" w:rsidRDefault="00B23B94">
            <w:pPr>
              <w:pStyle w:val="TableParagraph"/>
              <w:spacing w:before="3"/>
              <w:jc w:val="left"/>
              <w:rPr>
                <w:b/>
                <w:sz w:val="30"/>
              </w:rPr>
            </w:pPr>
          </w:p>
          <w:p w:rsidR="00B23B94" w:rsidRDefault="003B2D3B">
            <w:pPr>
              <w:pStyle w:val="TableParagraph"/>
              <w:ind w:left="83" w:right="74"/>
              <w:rPr>
                <w:sz w:val="28"/>
              </w:rPr>
            </w:pPr>
            <w:r>
              <w:rPr>
                <w:sz w:val="28"/>
              </w:rPr>
              <w:t>34,4</w:t>
            </w:r>
          </w:p>
        </w:tc>
        <w:tc>
          <w:tcPr>
            <w:tcW w:w="792" w:type="dxa"/>
          </w:tcPr>
          <w:p w:rsidR="00B23B94" w:rsidRDefault="00B23B94">
            <w:pPr>
              <w:pStyle w:val="TableParagraph"/>
              <w:spacing w:before="3"/>
              <w:jc w:val="left"/>
              <w:rPr>
                <w:b/>
                <w:sz w:val="30"/>
              </w:rPr>
            </w:pPr>
          </w:p>
          <w:p w:rsidR="00B23B94" w:rsidRDefault="003B2D3B">
            <w:pPr>
              <w:pStyle w:val="TableParagraph"/>
              <w:ind w:left="7"/>
              <w:rPr>
                <w:sz w:val="28"/>
              </w:rPr>
            </w:pPr>
            <w:r>
              <w:rPr>
                <w:sz w:val="28"/>
              </w:rPr>
              <w:t>-</w:t>
            </w:r>
          </w:p>
        </w:tc>
        <w:tc>
          <w:tcPr>
            <w:tcW w:w="566" w:type="dxa"/>
          </w:tcPr>
          <w:p w:rsidR="00B23B94" w:rsidRDefault="00B23B94">
            <w:pPr>
              <w:pStyle w:val="TableParagraph"/>
              <w:spacing w:before="3"/>
              <w:jc w:val="left"/>
              <w:rPr>
                <w:b/>
                <w:sz w:val="30"/>
              </w:rPr>
            </w:pPr>
          </w:p>
          <w:p w:rsidR="00B23B94" w:rsidRDefault="003B2D3B">
            <w:pPr>
              <w:pStyle w:val="TableParagraph"/>
              <w:ind w:left="8"/>
              <w:rPr>
                <w:sz w:val="28"/>
              </w:rPr>
            </w:pPr>
            <w:r>
              <w:rPr>
                <w:sz w:val="28"/>
              </w:rPr>
              <w:t>-</w:t>
            </w:r>
          </w:p>
        </w:tc>
        <w:tc>
          <w:tcPr>
            <w:tcW w:w="715" w:type="dxa"/>
          </w:tcPr>
          <w:p w:rsidR="00B23B94" w:rsidRDefault="00B23B94">
            <w:pPr>
              <w:pStyle w:val="TableParagraph"/>
              <w:spacing w:before="3"/>
              <w:jc w:val="left"/>
              <w:rPr>
                <w:b/>
                <w:sz w:val="30"/>
              </w:rPr>
            </w:pPr>
          </w:p>
          <w:p w:rsidR="00B23B94" w:rsidRDefault="003B2D3B">
            <w:pPr>
              <w:pStyle w:val="TableParagraph"/>
              <w:ind w:left="94" w:right="83"/>
              <w:rPr>
                <w:sz w:val="28"/>
              </w:rPr>
            </w:pPr>
            <w:r>
              <w:rPr>
                <w:sz w:val="28"/>
              </w:rPr>
              <w:t>14</w:t>
            </w:r>
          </w:p>
        </w:tc>
        <w:tc>
          <w:tcPr>
            <w:tcW w:w="705" w:type="dxa"/>
          </w:tcPr>
          <w:p w:rsidR="00B23B94" w:rsidRDefault="00B23B94">
            <w:pPr>
              <w:pStyle w:val="TableParagraph"/>
              <w:spacing w:before="3"/>
              <w:jc w:val="left"/>
              <w:rPr>
                <w:b/>
                <w:sz w:val="30"/>
              </w:rPr>
            </w:pPr>
          </w:p>
          <w:p w:rsidR="00B23B94" w:rsidRDefault="003B2D3B">
            <w:pPr>
              <w:pStyle w:val="TableParagraph"/>
              <w:ind w:left="85" w:right="73"/>
              <w:rPr>
                <w:sz w:val="28"/>
              </w:rPr>
            </w:pPr>
            <w:r>
              <w:rPr>
                <w:sz w:val="28"/>
              </w:rPr>
              <w:t>16,1</w:t>
            </w:r>
          </w:p>
        </w:tc>
        <w:tc>
          <w:tcPr>
            <w:tcW w:w="715" w:type="dxa"/>
          </w:tcPr>
          <w:p w:rsidR="00B23B94" w:rsidRDefault="00B23B94">
            <w:pPr>
              <w:pStyle w:val="TableParagraph"/>
              <w:spacing w:before="3"/>
              <w:jc w:val="left"/>
              <w:rPr>
                <w:b/>
                <w:sz w:val="30"/>
              </w:rPr>
            </w:pPr>
          </w:p>
          <w:p w:rsidR="00B23B94" w:rsidRDefault="003B2D3B">
            <w:pPr>
              <w:pStyle w:val="TableParagraph"/>
              <w:ind w:left="11"/>
              <w:rPr>
                <w:sz w:val="28"/>
              </w:rPr>
            </w:pPr>
            <w:r>
              <w:rPr>
                <w:sz w:val="28"/>
              </w:rPr>
              <w:t>-</w:t>
            </w:r>
          </w:p>
        </w:tc>
        <w:tc>
          <w:tcPr>
            <w:tcW w:w="705" w:type="dxa"/>
          </w:tcPr>
          <w:p w:rsidR="00B23B94" w:rsidRDefault="00B23B94">
            <w:pPr>
              <w:pStyle w:val="TableParagraph"/>
              <w:spacing w:before="3"/>
              <w:jc w:val="left"/>
              <w:rPr>
                <w:b/>
                <w:sz w:val="30"/>
              </w:rPr>
            </w:pPr>
          </w:p>
          <w:p w:rsidR="00B23B94" w:rsidRDefault="003B2D3B">
            <w:pPr>
              <w:pStyle w:val="TableParagraph"/>
              <w:ind w:left="12"/>
              <w:rPr>
                <w:sz w:val="28"/>
              </w:rPr>
            </w:pPr>
            <w:r>
              <w:rPr>
                <w:sz w:val="28"/>
              </w:rPr>
              <w:t>-</w:t>
            </w:r>
          </w:p>
        </w:tc>
        <w:tc>
          <w:tcPr>
            <w:tcW w:w="715" w:type="dxa"/>
          </w:tcPr>
          <w:p w:rsidR="00B23B94" w:rsidRDefault="00B23B94">
            <w:pPr>
              <w:pStyle w:val="TableParagraph"/>
              <w:spacing w:before="3"/>
              <w:jc w:val="left"/>
              <w:rPr>
                <w:b/>
                <w:sz w:val="30"/>
              </w:rPr>
            </w:pPr>
          </w:p>
          <w:p w:rsidR="00B23B94" w:rsidRDefault="003B2D3B">
            <w:pPr>
              <w:pStyle w:val="TableParagraph"/>
              <w:ind w:left="12"/>
              <w:rPr>
                <w:sz w:val="28"/>
              </w:rPr>
            </w:pPr>
            <w:r>
              <w:rPr>
                <w:sz w:val="28"/>
              </w:rPr>
              <w:t>-</w:t>
            </w:r>
          </w:p>
        </w:tc>
        <w:tc>
          <w:tcPr>
            <w:tcW w:w="566" w:type="dxa"/>
          </w:tcPr>
          <w:p w:rsidR="00B23B94" w:rsidRDefault="00B23B94">
            <w:pPr>
              <w:pStyle w:val="TableParagraph"/>
              <w:spacing w:before="3"/>
              <w:jc w:val="left"/>
              <w:rPr>
                <w:b/>
                <w:sz w:val="30"/>
              </w:rPr>
            </w:pPr>
          </w:p>
          <w:p w:rsidR="00B23B94" w:rsidRDefault="003B2D3B">
            <w:pPr>
              <w:pStyle w:val="TableParagraph"/>
              <w:ind w:left="13"/>
              <w:rPr>
                <w:sz w:val="28"/>
              </w:rPr>
            </w:pPr>
            <w:r>
              <w:rPr>
                <w:sz w:val="28"/>
              </w:rPr>
              <w:t>-</w:t>
            </w:r>
          </w:p>
        </w:tc>
        <w:tc>
          <w:tcPr>
            <w:tcW w:w="715" w:type="dxa"/>
          </w:tcPr>
          <w:p w:rsidR="00B23B94" w:rsidRDefault="00B23B94">
            <w:pPr>
              <w:pStyle w:val="TableParagraph"/>
              <w:spacing w:before="3"/>
              <w:jc w:val="left"/>
              <w:rPr>
                <w:b/>
                <w:sz w:val="30"/>
              </w:rPr>
            </w:pPr>
          </w:p>
          <w:p w:rsidR="00B23B94" w:rsidRDefault="003B2D3B">
            <w:pPr>
              <w:pStyle w:val="TableParagraph"/>
              <w:ind w:left="14"/>
              <w:rPr>
                <w:sz w:val="28"/>
              </w:rPr>
            </w:pPr>
            <w:r>
              <w:rPr>
                <w:sz w:val="28"/>
              </w:rPr>
              <w:t>-</w:t>
            </w:r>
          </w:p>
        </w:tc>
        <w:tc>
          <w:tcPr>
            <w:tcW w:w="705" w:type="dxa"/>
          </w:tcPr>
          <w:p w:rsidR="00B23B94" w:rsidRDefault="00B23B94">
            <w:pPr>
              <w:pStyle w:val="TableParagraph"/>
              <w:spacing w:before="3"/>
              <w:jc w:val="left"/>
              <w:rPr>
                <w:b/>
                <w:sz w:val="30"/>
              </w:rPr>
            </w:pPr>
          </w:p>
          <w:p w:rsidR="00B23B94" w:rsidRDefault="003B2D3B">
            <w:pPr>
              <w:pStyle w:val="TableParagraph"/>
              <w:ind w:left="16"/>
              <w:rPr>
                <w:sz w:val="28"/>
              </w:rPr>
            </w:pPr>
            <w:r>
              <w:rPr>
                <w:sz w:val="28"/>
              </w:rPr>
              <w:t>-</w:t>
            </w:r>
          </w:p>
        </w:tc>
        <w:tc>
          <w:tcPr>
            <w:tcW w:w="715" w:type="dxa"/>
          </w:tcPr>
          <w:p w:rsidR="00B23B94" w:rsidRDefault="00B23B94">
            <w:pPr>
              <w:pStyle w:val="TableParagraph"/>
              <w:spacing w:before="3"/>
              <w:jc w:val="left"/>
              <w:rPr>
                <w:b/>
                <w:sz w:val="30"/>
              </w:rPr>
            </w:pPr>
          </w:p>
          <w:p w:rsidR="00B23B94" w:rsidRDefault="003B2D3B">
            <w:pPr>
              <w:pStyle w:val="TableParagraph"/>
              <w:ind w:left="16"/>
              <w:rPr>
                <w:sz w:val="28"/>
              </w:rPr>
            </w:pPr>
            <w:r>
              <w:rPr>
                <w:sz w:val="28"/>
              </w:rPr>
              <w:t>-</w:t>
            </w:r>
          </w:p>
        </w:tc>
        <w:tc>
          <w:tcPr>
            <w:tcW w:w="564" w:type="dxa"/>
          </w:tcPr>
          <w:p w:rsidR="00B23B94" w:rsidRDefault="00B23B94">
            <w:pPr>
              <w:pStyle w:val="TableParagraph"/>
              <w:spacing w:before="3"/>
              <w:jc w:val="left"/>
              <w:rPr>
                <w:b/>
                <w:sz w:val="30"/>
              </w:rPr>
            </w:pPr>
          </w:p>
          <w:p w:rsidR="00B23B94" w:rsidRDefault="003B2D3B">
            <w:pPr>
              <w:pStyle w:val="TableParagraph"/>
              <w:ind w:left="19"/>
              <w:rPr>
                <w:sz w:val="28"/>
              </w:rPr>
            </w:pPr>
            <w:r>
              <w:rPr>
                <w:sz w:val="28"/>
              </w:rPr>
              <w:t>-</w:t>
            </w:r>
          </w:p>
        </w:tc>
        <w:tc>
          <w:tcPr>
            <w:tcW w:w="715" w:type="dxa"/>
          </w:tcPr>
          <w:p w:rsidR="00B23B94" w:rsidRDefault="00B23B94">
            <w:pPr>
              <w:pStyle w:val="TableParagraph"/>
              <w:spacing w:before="3"/>
              <w:jc w:val="left"/>
              <w:rPr>
                <w:b/>
                <w:sz w:val="30"/>
              </w:rPr>
            </w:pPr>
          </w:p>
          <w:p w:rsidR="00B23B94" w:rsidRDefault="003B2D3B">
            <w:pPr>
              <w:pStyle w:val="TableParagraph"/>
              <w:ind w:left="22"/>
              <w:rPr>
                <w:sz w:val="28"/>
              </w:rPr>
            </w:pPr>
            <w:r>
              <w:rPr>
                <w:sz w:val="28"/>
              </w:rPr>
              <w:t>-</w:t>
            </w:r>
          </w:p>
        </w:tc>
        <w:tc>
          <w:tcPr>
            <w:tcW w:w="708" w:type="dxa"/>
          </w:tcPr>
          <w:p w:rsidR="00B23B94" w:rsidRDefault="00B23B94">
            <w:pPr>
              <w:pStyle w:val="TableParagraph"/>
              <w:spacing w:before="3"/>
              <w:jc w:val="left"/>
              <w:rPr>
                <w:b/>
                <w:sz w:val="30"/>
              </w:rPr>
            </w:pPr>
          </w:p>
          <w:p w:rsidR="00B23B94" w:rsidRDefault="003B2D3B">
            <w:pPr>
              <w:pStyle w:val="TableParagraph"/>
              <w:ind w:left="20"/>
              <w:rPr>
                <w:sz w:val="28"/>
              </w:rPr>
            </w:pPr>
            <w:r>
              <w:rPr>
                <w:sz w:val="28"/>
              </w:rPr>
              <w:t>-</w:t>
            </w:r>
          </w:p>
        </w:tc>
      </w:tr>
      <w:tr w:rsidR="00B23B94">
        <w:trPr>
          <w:trHeight w:val="563"/>
        </w:trPr>
        <w:tc>
          <w:tcPr>
            <w:tcW w:w="2158" w:type="dxa"/>
          </w:tcPr>
          <w:p w:rsidR="00B23B94" w:rsidRDefault="003B2D3B">
            <w:pPr>
              <w:pStyle w:val="TableParagraph"/>
              <w:spacing w:before="40"/>
              <w:ind w:left="107"/>
              <w:jc w:val="left"/>
              <w:rPr>
                <w:sz w:val="28"/>
              </w:rPr>
            </w:pPr>
            <w:r>
              <w:rPr>
                <w:sz w:val="28"/>
              </w:rPr>
              <w:t>Полідренування</w:t>
            </w:r>
          </w:p>
        </w:tc>
        <w:tc>
          <w:tcPr>
            <w:tcW w:w="715" w:type="dxa"/>
          </w:tcPr>
          <w:p w:rsidR="00B23B94" w:rsidRDefault="003B2D3B">
            <w:pPr>
              <w:pStyle w:val="TableParagraph"/>
              <w:spacing w:before="40"/>
              <w:ind w:left="12"/>
              <w:rPr>
                <w:sz w:val="28"/>
              </w:rPr>
            </w:pPr>
            <w:r>
              <w:rPr>
                <w:sz w:val="28"/>
              </w:rPr>
              <w:t>-</w:t>
            </w:r>
          </w:p>
        </w:tc>
        <w:tc>
          <w:tcPr>
            <w:tcW w:w="706" w:type="dxa"/>
          </w:tcPr>
          <w:p w:rsidR="00B23B94" w:rsidRDefault="003B2D3B">
            <w:pPr>
              <w:pStyle w:val="TableParagraph"/>
              <w:spacing w:before="40"/>
              <w:ind w:left="7"/>
              <w:rPr>
                <w:sz w:val="28"/>
              </w:rPr>
            </w:pPr>
            <w:r>
              <w:rPr>
                <w:sz w:val="28"/>
              </w:rPr>
              <w:t>-</w:t>
            </w:r>
          </w:p>
        </w:tc>
        <w:tc>
          <w:tcPr>
            <w:tcW w:w="792" w:type="dxa"/>
          </w:tcPr>
          <w:p w:rsidR="00B23B94" w:rsidRDefault="003B2D3B">
            <w:pPr>
              <w:pStyle w:val="TableParagraph"/>
              <w:spacing w:before="40"/>
              <w:ind w:left="7"/>
              <w:rPr>
                <w:sz w:val="28"/>
              </w:rPr>
            </w:pPr>
            <w:r>
              <w:rPr>
                <w:sz w:val="28"/>
              </w:rPr>
              <w:t>-</w:t>
            </w:r>
          </w:p>
        </w:tc>
        <w:tc>
          <w:tcPr>
            <w:tcW w:w="566" w:type="dxa"/>
          </w:tcPr>
          <w:p w:rsidR="00B23B94" w:rsidRDefault="003B2D3B">
            <w:pPr>
              <w:pStyle w:val="TableParagraph"/>
              <w:spacing w:before="40"/>
              <w:ind w:left="8"/>
              <w:rPr>
                <w:sz w:val="28"/>
              </w:rPr>
            </w:pPr>
            <w:r>
              <w:rPr>
                <w:sz w:val="28"/>
              </w:rPr>
              <w:t>-</w:t>
            </w:r>
          </w:p>
        </w:tc>
        <w:tc>
          <w:tcPr>
            <w:tcW w:w="715" w:type="dxa"/>
          </w:tcPr>
          <w:p w:rsidR="00B23B94" w:rsidRDefault="003B2D3B">
            <w:pPr>
              <w:pStyle w:val="TableParagraph"/>
              <w:spacing w:before="40"/>
              <w:ind w:left="8"/>
              <w:rPr>
                <w:sz w:val="28"/>
              </w:rPr>
            </w:pPr>
            <w:r>
              <w:rPr>
                <w:sz w:val="28"/>
              </w:rPr>
              <w:t>-</w:t>
            </w:r>
          </w:p>
        </w:tc>
        <w:tc>
          <w:tcPr>
            <w:tcW w:w="705" w:type="dxa"/>
          </w:tcPr>
          <w:p w:rsidR="00B23B94" w:rsidRDefault="003B2D3B">
            <w:pPr>
              <w:pStyle w:val="TableParagraph"/>
              <w:spacing w:before="40"/>
              <w:ind w:left="9"/>
              <w:rPr>
                <w:sz w:val="28"/>
              </w:rPr>
            </w:pPr>
            <w:r>
              <w:rPr>
                <w:sz w:val="28"/>
              </w:rPr>
              <w:t>-</w:t>
            </w:r>
          </w:p>
        </w:tc>
        <w:tc>
          <w:tcPr>
            <w:tcW w:w="715" w:type="dxa"/>
          </w:tcPr>
          <w:p w:rsidR="00B23B94" w:rsidRDefault="003B2D3B">
            <w:pPr>
              <w:pStyle w:val="TableParagraph"/>
              <w:spacing w:before="40"/>
              <w:ind w:left="11"/>
              <w:rPr>
                <w:sz w:val="28"/>
              </w:rPr>
            </w:pPr>
            <w:r>
              <w:rPr>
                <w:sz w:val="28"/>
              </w:rPr>
              <w:t>-</w:t>
            </w:r>
          </w:p>
        </w:tc>
        <w:tc>
          <w:tcPr>
            <w:tcW w:w="705" w:type="dxa"/>
          </w:tcPr>
          <w:p w:rsidR="00B23B94" w:rsidRDefault="003B2D3B">
            <w:pPr>
              <w:pStyle w:val="TableParagraph"/>
              <w:spacing w:before="40"/>
              <w:ind w:left="12"/>
              <w:rPr>
                <w:sz w:val="28"/>
              </w:rPr>
            </w:pPr>
            <w:r>
              <w:rPr>
                <w:sz w:val="28"/>
              </w:rPr>
              <w:t>-</w:t>
            </w:r>
          </w:p>
        </w:tc>
        <w:tc>
          <w:tcPr>
            <w:tcW w:w="715" w:type="dxa"/>
          </w:tcPr>
          <w:p w:rsidR="00B23B94" w:rsidRDefault="003B2D3B">
            <w:pPr>
              <w:pStyle w:val="TableParagraph"/>
              <w:spacing w:before="40"/>
              <w:ind w:left="16"/>
              <w:rPr>
                <w:sz w:val="28"/>
              </w:rPr>
            </w:pPr>
            <w:r>
              <w:rPr>
                <w:sz w:val="28"/>
              </w:rPr>
              <w:t>4</w:t>
            </w:r>
          </w:p>
        </w:tc>
        <w:tc>
          <w:tcPr>
            <w:tcW w:w="566" w:type="dxa"/>
          </w:tcPr>
          <w:p w:rsidR="00B23B94" w:rsidRDefault="003B2D3B">
            <w:pPr>
              <w:pStyle w:val="TableParagraph"/>
              <w:spacing w:before="40"/>
              <w:ind w:left="89" w:right="72"/>
              <w:rPr>
                <w:sz w:val="28"/>
              </w:rPr>
            </w:pPr>
            <w:r>
              <w:rPr>
                <w:sz w:val="28"/>
              </w:rPr>
              <w:t>4,5</w:t>
            </w:r>
          </w:p>
        </w:tc>
        <w:tc>
          <w:tcPr>
            <w:tcW w:w="715" w:type="dxa"/>
          </w:tcPr>
          <w:p w:rsidR="00B23B94" w:rsidRDefault="003B2D3B">
            <w:pPr>
              <w:pStyle w:val="TableParagraph"/>
              <w:spacing w:before="40"/>
              <w:ind w:left="14"/>
              <w:rPr>
                <w:sz w:val="28"/>
              </w:rPr>
            </w:pPr>
            <w:r>
              <w:rPr>
                <w:sz w:val="28"/>
              </w:rPr>
              <w:t>-</w:t>
            </w:r>
          </w:p>
        </w:tc>
        <w:tc>
          <w:tcPr>
            <w:tcW w:w="705" w:type="dxa"/>
          </w:tcPr>
          <w:p w:rsidR="00B23B94" w:rsidRDefault="003B2D3B">
            <w:pPr>
              <w:pStyle w:val="TableParagraph"/>
              <w:spacing w:before="40"/>
              <w:ind w:left="16"/>
              <w:rPr>
                <w:sz w:val="28"/>
              </w:rPr>
            </w:pPr>
            <w:r>
              <w:rPr>
                <w:sz w:val="28"/>
              </w:rPr>
              <w:t>-</w:t>
            </w:r>
          </w:p>
        </w:tc>
        <w:tc>
          <w:tcPr>
            <w:tcW w:w="715" w:type="dxa"/>
          </w:tcPr>
          <w:p w:rsidR="00B23B94" w:rsidRDefault="003B2D3B">
            <w:pPr>
              <w:pStyle w:val="TableParagraph"/>
              <w:spacing w:before="40"/>
              <w:ind w:left="20"/>
              <w:rPr>
                <w:sz w:val="28"/>
              </w:rPr>
            </w:pPr>
            <w:r>
              <w:rPr>
                <w:sz w:val="28"/>
              </w:rPr>
              <w:t>1</w:t>
            </w:r>
          </w:p>
        </w:tc>
        <w:tc>
          <w:tcPr>
            <w:tcW w:w="564" w:type="dxa"/>
          </w:tcPr>
          <w:p w:rsidR="00B23B94" w:rsidRDefault="003B2D3B">
            <w:pPr>
              <w:pStyle w:val="TableParagraph"/>
              <w:spacing w:before="40"/>
              <w:ind w:left="93" w:right="70"/>
              <w:rPr>
                <w:sz w:val="28"/>
              </w:rPr>
            </w:pPr>
            <w:r>
              <w:rPr>
                <w:sz w:val="28"/>
              </w:rPr>
              <w:t>1,1</w:t>
            </w:r>
          </w:p>
        </w:tc>
        <w:tc>
          <w:tcPr>
            <w:tcW w:w="715" w:type="dxa"/>
          </w:tcPr>
          <w:p w:rsidR="00B23B94" w:rsidRDefault="003B2D3B">
            <w:pPr>
              <w:pStyle w:val="TableParagraph"/>
              <w:spacing w:before="40"/>
              <w:ind w:left="22"/>
              <w:rPr>
                <w:sz w:val="28"/>
              </w:rPr>
            </w:pPr>
            <w:r>
              <w:rPr>
                <w:sz w:val="28"/>
              </w:rPr>
              <w:t>-</w:t>
            </w:r>
          </w:p>
        </w:tc>
        <w:tc>
          <w:tcPr>
            <w:tcW w:w="708" w:type="dxa"/>
          </w:tcPr>
          <w:p w:rsidR="00B23B94" w:rsidRDefault="003B2D3B">
            <w:pPr>
              <w:pStyle w:val="TableParagraph"/>
              <w:spacing w:before="40"/>
              <w:ind w:left="20"/>
              <w:rPr>
                <w:sz w:val="28"/>
              </w:rPr>
            </w:pPr>
            <w:r>
              <w:rPr>
                <w:sz w:val="28"/>
              </w:rPr>
              <w:t>-</w:t>
            </w:r>
          </w:p>
        </w:tc>
      </w:tr>
      <w:tr w:rsidR="00B23B94">
        <w:trPr>
          <w:trHeight w:val="964"/>
        </w:trPr>
        <w:tc>
          <w:tcPr>
            <w:tcW w:w="2158" w:type="dxa"/>
          </w:tcPr>
          <w:p w:rsidR="00B23B94" w:rsidRDefault="003B2D3B">
            <w:pPr>
              <w:pStyle w:val="TableParagraph"/>
              <w:ind w:left="107"/>
              <w:jc w:val="left"/>
              <w:rPr>
                <w:sz w:val="28"/>
              </w:rPr>
            </w:pPr>
            <w:r>
              <w:rPr>
                <w:sz w:val="28"/>
              </w:rPr>
              <w:t>Одномоментні</w:t>
            </w:r>
          </w:p>
          <w:p w:rsidR="00B23B94" w:rsidRDefault="003B2D3B">
            <w:pPr>
              <w:pStyle w:val="TableParagraph"/>
              <w:spacing w:before="160"/>
              <w:ind w:left="107"/>
              <w:jc w:val="left"/>
              <w:rPr>
                <w:sz w:val="28"/>
              </w:rPr>
            </w:pPr>
            <w:r>
              <w:rPr>
                <w:sz w:val="28"/>
              </w:rPr>
              <w:t>НСЕ</w:t>
            </w:r>
          </w:p>
        </w:tc>
        <w:tc>
          <w:tcPr>
            <w:tcW w:w="715" w:type="dxa"/>
          </w:tcPr>
          <w:p w:rsidR="00B23B94" w:rsidRDefault="003B2D3B">
            <w:pPr>
              <w:pStyle w:val="TableParagraph"/>
              <w:spacing w:before="242"/>
              <w:ind w:left="12"/>
              <w:rPr>
                <w:sz w:val="28"/>
              </w:rPr>
            </w:pPr>
            <w:r>
              <w:rPr>
                <w:sz w:val="28"/>
              </w:rPr>
              <w:t>-</w:t>
            </w:r>
          </w:p>
        </w:tc>
        <w:tc>
          <w:tcPr>
            <w:tcW w:w="706" w:type="dxa"/>
          </w:tcPr>
          <w:p w:rsidR="00B23B94" w:rsidRDefault="003B2D3B">
            <w:pPr>
              <w:pStyle w:val="TableParagraph"/>
              <w:spacing w:before="242"/>
              <w:ind w:left="7"/>
              <w:rPr>
                <w:sz w:val="28"/>
              </w:rPr>
            </w:pPr>
            <w:r>
              <w:rPr>
                <w:sz w:val="28"/>
              </w:rPr>
              <w:t>-</w:t>
            </w:r>
          </w:p>
        </w:tc>
        <w:tc>
          <w:tcPr>
            <w:tcW w:w="792" w:type="dxa"/>
          </w:tcPr>
          <w:p w:rsidR="00B23B94" w:rsidRDefault="003B2D3B">
            <w:pPr>
              <w:pStyle w:val="TableParagraph"/>
              <w:spacing w:before="242"/>
              <w:ind w:left="11"/>
              <w:rPr>
                <w:sz w:val="28"/>
              </w:rPr>
            </w:pPr>
            <w:r>
              <w:rPr>
                <w:sz w:val="28"/>
              </w:rPr>
              <w:t>4</w:t>
            </w:r>
          </w:p>
        </w:tc>
        <w:tc>
          <w:tcPr>
            <w:tcW w:w="566" w:type="dxa"/>
          </w:tcPr>
          <w:p w:rsidR="00B23B94" w:rsidRDefault="003B2D3B">
            <w:pPr>
              <w:pStyle w:val="TableParagraph"/>
              <w:spacing w:before="242"/>
              <w:ind w:left="86" w:right="74"/>
              <w:rPr>
                <w:sz w:val="28"/>
              </w:rPr>
            </w:pPr>
            <w:r>
              <w:rPr>
                <w:sz w:val="28"/>
              </w:rPr>
              <w:t>4,5</w:t>
            </w:r>
          </w:p>
        </w:tc>
        <w:tc>
          <w:tcPr>
            <w:tcW w:w="715" w:type="dxa"/>
          </w:tcPr>
          <w:p w:rsidR="00B23B94" w:rsidRDefault="003B2D3B">
            <w:pPr>
              <w:pStyle w:val="TableParagraph"/>
              <w:spacing w:before="242"/>
              <w:ind w:left="8"/>
              <w:rPr>
                <w:sz w:val="28"/>
              </w:rPr>
            </w:pPr>
            <w:r>
              <w:rPr>
                <w:sz w:val="28"/>
              </w:rPr>
              <w:t>-</w:t>
            </w:r>
          </w:p>
        </w:tc>
        <w:tc>
          <w:tcPr>
            <w:tcW w:w="705" w:type="dxa"/>
          </w:tcPr>
          <w:p w:rsidR="00B23B94" w:rsidRDefault="003B2D3B">
            <w:pPr>
              <w:pStyle w:val="TableParagraph"/>
              <w:spacing w:before="242"/>
              <w:ind w:left="9"/>
              <w:rPr>
                <w:sz w:val="28"/>
              </w:rPr>
            </w:pPr>
            <w:r>
              <w:rPr>
                <w:sz w:val="28"/>
              </w:rPr>
              <w:t>-</w:t>
            </w:r>
          </w:p>
        </w:tc>
        <w:tc>
          <w:tcPr>
            <w:tcW w:w="715" w:type="dxa"/>
          </w:tcPr>
          <w:p w:rsidR="00B23B94" w:rsidRDefault="003B2D3B">
            <w:pPr>
              <w:pStyle w:val="TableParagraph"/>
              <w:spacing w:before="242"/>
              <w:ind w:left="96" w:right="83"/>
              <w:rPr>
                <w:sz w:val="28"/>
              </w:rPr>
            </w:pPr>
            <w:r>
              <w:rPr>
                <w:sz w:val="28"/>
              </w:rPr>
              <w:t>15</w:t>
            </w:r>
          </w:p>
        </w:tc>
        <w:tc>
          <w:tcPr>
            <w:tcW w:w="705" w:type="dxa"/>
          </w:tcPr>
          <w:p w:rsidR="00B23B94" w:rsidRDefault="003B2D3B">
            <w:pPr>
              <w:pStyle w:val="TableParagraph"/>
              <w:spacing w:before="242"/>
              <w:ind w:left="87" w:right="73"/>
              <w:rPr>
                <w:sz w:val="28"/>
              </w:rPr>
            </w:pPr>
            <w:r>
              <w:rPr>
                <w:sz w:val="28"/>
              </w:rPr>
              <w:t>17,2</w:t>
            </w:r>
          </w:p>
        </w:tc>
        <w:tc>
          <w:tcPr>
            <w:tcW w:w="715" w:type="dxa"/>
          </w:tcPr>
          <w:p w:rsidR="00B23B94" w:rsidRDefault="003B2D3B">
            <w:pPr>
              <w:pStyle w:val="TableParagraph"/>
              <w:spacing w:before="242"/>
              <w:ind w:left="12"/>
              <w:rPr>
                <w:sz w:val="28"/>
              </w:rPr>
            </w:pPr>
            <w:r>
              <w:rPr>
                <w:sz w:val="28"/>
              </w:rPr>
              <w:t>-</w:t>
            </w:r>
          </w:p>
        </w:tc>
        <w:tc>
          <w:tcPr>
            <w:tcW w:w="566" w:type="dxa"/>
          </w:tcPr>
          <w:p w:rsidR="00B23B94" w:rsidRDefault="003B2D3B">
            <w:pPr>
              <w:pStyle w:val="TableParagraph"/>
              <w:spacing w:before="242"/>
              <w:ind w:left="13"/>
              <w:rPr>
                <w:sz w:val="28"/>
              </w:rPr>
            </w:pPr>
            <w:r>
              <w:rPr>
                <w:sz w:val="28"/>
              </w:rPr>
              <w:t>-</w:t>
            </w:r>
          </w:p>
        </w:tc>
        <w:tc>
          <w:tcPr>
            <w:tcW w:w="715" w:type="dxa"/>
          </w:tcPr>
          <w:p w:rsidR="00B23B94" w:rsidRDefault="003B2D3B">
            <w:pPr>
              <w:pStyle w:val="TableParagraph"/>
              <w:spacing w:before="242"/>
              <w:ind w:left="17"/>
              <w:rPr>
                <w:sz w:val="28"/>
              </w:rPr>
            </w:pPr>
            <w:r>
              <w:rPr>
                <w:sz w:val="28"/>
              </w:rPr>
              <w:t>9</w:t>
            </w:r>
          </w:p>
        </w:tc>
        <w:tc>
          <w:tcPr>
            <w:tcW w:w="705" w:type="dxa"/>
          </w:tcPr>
          <w:p w:rsidR="00B23B94" w:rsidRDefault="003B2D3B">
            <w:pPr>
              <w:pStyle w:val="TableParagraph"/>
              <w:spacing w:before="242"/>
              <w:ind w:left="88" w:right="70"/>
              <w:rPr>
                <w:sz w:val="28"/>
              </w:rPr>
            </w:pPr>
            <w:r>
              <w:rPr>
                <w:sz w:val="28"/>
              </w:rPr>
              <w:t>10,3</w:t>
            </w:r>
          </w:p>
        </w:tc>
        <w:tc>
          <w:tcPr>
            <w:tcW w:w="715" w:type="dxa"/>
          </w:tcPr>
          <w:p w:rsidR="00B23B94" w:rsidRDefault="003B2D3B">
            <w:pPr>
              <w:pStyle w:val="TableParagraph"/>
              <w:spacing w:before="242"/>
              <w:ind w:left="16"/>
              <w:rPr>
                <w:sz w:val="28"/>
              </w:rPr>
            </w:pPr>
            <w:r>
              <w:rPr>
                <w:sz w:val="28"/>
              </w:rPr>
              <w:t>-</w:t>
            </w:r>
          </w:p>
        </w:tc>
        <w:tc>
          <w:tcPr>
            <w:tcW w:w="564" w:type="dxa"/>
          </w:tcPr>
          <w:p w:rsidR="00B23B94" w:rsidRDefault="003B2D3B">
            <w:pPr>
              <w:pStyle w:val="TableParagraph"/>
              <w:spacing w:before="242"/>
              <w:ind w:left="19"/>
              <w:rPr>
                <w:sz w:val="28"/>
              </w:rPr>
            </w:pPr>
            <w:r>
              <w:rPr>
                <w:sz w:val="28"/>
              </w:rPr>
              <w:t>-</w:t>
            </w:r>
          </w:p>
        </w:tc>
        <w:tc>
          <w:tcPr>
            <w:tcW w:w="715" w:type="dxa"/>
          </w:tcPr>
          <w:p w:rsidR="00B23B94" w:rsidRDefault="003B2D3B">
            <w:pPr>
              <w:pStyle w:val="TableParagraph"/>
              <w:spacing w:before="242"/>
              <w:ind w:left="100" w:right="76"/>
              <w:rPr>
                <w:sz w:val="28"/>
              </w:rPr>
            </w:pPr>
            <w:r>
              <w:rPr>
                <w:sz w:val="28"/>
              </w:rPr>
              <w:t>10</w:t>
            </w:r>
          </w:p>
        </w:tc>
        <w:tc>
          <w:tcPr>
            <w:tcW w:w="708" w:type="dxa"/>
          </w:tcPr>
          <w:p w:rsidR="00B23B94" w:rsidRDefault="003B2D3B">
            <w:pPr>
              <w:pStyle w:val="TableParagraph"/>
              <w:spacing w:before="242"/>
              <w:ind w:left="86" w:right="63"/>
              <w:rPr>
                <w:sz w:val="28"/>
              </w:rPr>
            </w:pPr>
            <w:r>
              <w:rPr>
                <w:sz w:val="28"/>
              </w:rPr>
              <w:t>11,5</w:t>
            </w:r>
          </w:p>
        </w:tc>
      </w:tr>
      <w:tr w:rsidR="00B23B94">
        <w:trPr>
          <w:trHeight w:val="564"/>
        </w:trPr>
        <w:tc>
          <w:tcPr>
            <w:tcW w:w="2158" w:type="dxa"/>
          </w:tcPr>
          <w:p w:rsidR="00B23B94" w:rsidRDefault="003B2D3B">
            <w:pPr>
              <w:pStyle w:val="TableParagraph"/>
              <w:spacing w:before="41"/>
              <w:ind w:left="107"/>
              <w:jc w:val="left"/>
              <w:rPr>
                <w:sz w:val="28"/>
              </w:rPr>
            </w:pPr>
            <w:r>
              <w:rPr>
                <w:sz w:val="28"/>
              </w:rPr>
              <w:t>Етапні НСЕ</w:t>
            </w:r>
          </w:p>
        </w:tc>
        <w:tc>
          <w:tcPr>
            <w:tcW w:w="715" w:type="dxa"/>
          </w:tcPr>
          <w:p w:rsidR="00B23B94" w:rsidRDefault="003B2D3B">
            <w:pPr>
              <w:pStyle w:val="TableParagraph"/>
              <w:spacing w:before="41"/>
              <w:ind w:left="11"/>
              <w:rPr>
                <w:sz w:val="28"/>
              </w:rPr>
            </w:pPr>
            <w:r>
              <w:rPr>
                <w:sz w:val="28"/>
              </w:rPr>
              <w:t>7</w:t>
            </w:r>
          </w:p>
        </w:tc>
        <w:tc>
          <w:tcPr>
            <w:tcW w:w="706" w:type="dxa"/>
          </w:tcPr>
          <w:p w:rsidR="00B23B94" w:rsidRDefault="003B2D3B">
            <w:pPr>
              <w:pStyle w:val="TableParagraph"/>
              <w:spacing w:before="41"/>
              <w:ind w:left="83" w:right="72"/>
              <w:rPr>
                <w:sz w:val="28"/>
              </w:rPr>
            </w:pPr>
            <w:r>
              <w:rPr>
                <w:sz w:val="28"/>
              </w:rPr>
              <w:t>8,0</w:t>
            </w:r>
          </w:p>
        </w:tc>
        <w:tc>
          <w:tcPr>
            <w:tcW w:w="792" w:type="dxa"/>
          </w:tcPr>
          <w:p w:rsidR="00B23B94" w:rsidRDefault="003B2D3B">
            <w:pPr>
              <w:pStyle w:val="TableParagraph"/>
              <w:spacing w:before="41"/>
              <w:ind w:left="11"/>
              <w:rPr>
                <w:sz w:val="28"/>
              </w:rPr>
            </w:pPr>
            <w:r>
              <w:rPr>
                <w:sz w:val="28"/>
              </w:rPr>
              <w:t>2</w:t>
            </w:r>
          </w:p>
        </w:tc>
        <w:tc>
          <w:tcPr>
            <w:tcW w:w="566" w:type="dxa"/>
          </w:tcPr>
          <w:p w:rsidR="00B23B94" w:rsidRDefault="003B2D3B">
            <w:pPr>
              <w:pStyle w:val="TableParagraph"/>
              <w:spacing w:before="41"/>
              <w:ind w:left="86" w:right="74"/>
              <w:rPr>
                <w:sz w:val="28"/>
              </w:rPr>
            </w:pPr>
            <w:r>
              <w:rPr>
                <w:sz w:val="28"/>
              </w:rPr>
              <w:t>2,2</w:t>
            </w:r>
          </w:p>
        </w:tc>
        <w:tc>
          <w:tcPr>
            <w:tcW w:w="715" w:type="dxa"/>
          </w:tcPr>
          <w:p w:rsidR="00B23B94" w:rsidRDefault="003B2D3B">
            <w:pPr>
              <w:pStyle w:val="TableParagraph"/>
              <w:spacing w:before="41"/>
              <w:ind w:left="12"/>
              <w:rPr>
                <w:sz w:val="28"/>
              </w:rPr>
            </w:pPr>
            <w:r>
              <w:rPr>
                <w:sz w:val="28"/>
              </w:rPr>
              <w:t>3</w:t>
            </w:r>
          </w:p>
        </w:tc>
        <w:tc>
          <w:tcPr>
            <w:tcW w:w="705" w:type="dxa"/>
          </w:tcPr>
          <w:p w:rsidR="00B23B94" w:rsidRDefault="003B2D3B">
            <w:pPr>
              <w:pStyle w:val="TableParagraph"/>
              <w:spacing w:before="41"/>
              <w:ind w:left="86" w:right="73"/>
              <w:rPr>
                <w:sz w:val="28"/>
              </w:rPr>
            </w:pPr>
            <w:r>
              <w:rPr>
                <w:sz w:val="28"/>
              </w:rPr>
              <w:t>3,4</w:t>
            </w:r>
          </w:p>
        </w:tc>
        <w:tc>
          <w:tcPr>
            <w:tcW w:w="715" w:type="dxa"/>
          </w:tcPr>
          <w:p w:rsidR="00B23B94" w:rsidRDefault="003B2D3B">
            <w:pPr>
              <w:pStyle w:val="TableParagraph"/>
              <w:spacing w:before="41"/>
              <w:ind w:left="96" w:right="83"/>
              <w:rPr>
                <w:sz w:val="28"/>
              </w:rPr>
            </w:pPr>
            <w:r>
              <w:rPr>
                <w:sz w:val="28"/>
              </w:rPr>
              <w:t>10</w:t>
            </w:r>
          </w:p>
        </w:tc>
        <w:tc>
          <w:tcPr>
            <w:tcW w:w="705" w:type="dxa"/>
          </w:tcPr>
          <w:p w:rsidR="00B23B94" w:rsidRDefault="003B2D3B">
            <w:pPr>
              <w:pStyle w:val="TableParagraph"/>
              <w:spacing w:before="41"/>
              <w:ind w:left="87" w:right="73"/>
              <w:rPr>
                <w:sz w:val="28"/>
              </w:rPr>
            </w:pPr>
            <w:r>
              <w:rPr>
                <w:sz w:val="28"/>
              </w:rPr>
              <w:t>11,5</w:t>
            </w:r>
          </w:p>
        </w:tc>
        <w:tc>
          <w:tcPr>
            <w:tcW w:w="715" w:type="dxa"/>
          </w:tcPr>
          <w:p w:rsidR="00B23B94" w:rsidRDefault="003B2D3B">
            <w:pPr>
              <w:pStyle w:val="TableParagraph"/>
              <w:spacing w:before="41"/>
              <w:ind w:left="12"/>
              <w:rPr>
                <w:sz w:val="28"/>
              </w:rPr>
            </w:pPr>
            <w:r>
              <w:rPr>
                <w:sz w:val="28"/>
              </w:rPr>
              <w:t>-</w:t>
            </w:r>
          </w:p>
        </w:tc>
        <w:tc>
          <w:tcPr>
            <w:tcW w:w="566" w:type="dxa"/>
          </w:tcPr>
          <w:p w:rsidR="00B23B94" w:rsidRDefault="003B2D3B">
            <w:pPr>
              <w:pStyle w:val="TableParagraph"/>
              <w:spacing w:before="41"/>
              <w:ind w:left="13"/>
              <w:rPr>
                <w:sz w:val="28"/>
              </w:rPr>
            </w:pPr>
            <w:r>
              <w:rPr>
                <w:sz w:val="28"/>
              </w:rPr>
              <w:t>-</w:t>
            </w:r>
          </w:p>
        </w:tc>
        <w:tc>
          <w:tcPr>
            <w:tcW w:w="715" w:type="dxa"/>
          </w:tcPr>
          <w:p w:rsidR="00B23B94" w:rsidRDefault="003B2D3B">
            <w:pPr>
              <w:pStyle w:val="TableParagraph"/>
              <w:spacing w:before="41"/>
              <w:ind w:left="99" w:right="83"/>
              <w:rPr>
                <w:sz w:val="28"/>
              </w:rPr>
            </w:pPr>
            <w:r>
              <w:rPr>
                <w:sz w:val="28"/>
              </w:rPr>
              <w:t>10</w:t>
            </w:r>
          </w:p>
        </w:tc>
        <w:tc>
          <w:tcPr>
            <w:tcW w:w="705" w:type="dxa"/>
          </w:tcPr>
          <w:p w:rsidR="00B23B94" w:rsidRDefault="003B2D3B">
            <w:pPr>
              <w:pStyle w:val="TableParagraph"/>
              <w:spacing w:before="41"/>
              <w:ind w:left="88" w:right="70"/>
              <w:rPr>
                <w:sz w:val="28"/>
              </w:rPr>
            </w:pPr>
            <w:r>
              <w:rPr>
                <w:sz w:val="28"/>
              </w:rPr>
              <w:t>11,5</w:t>
            </w:r>
          </w:p>
        </w:tc>
        <w:tc>
          <w:tcPr>
            <w:tcW w:w="715" w:type="dxa"/>
          </w:tcPr>
          <w:p w:rsidR="00B23B94" w:rsidRDefault="003B2D3B">
            <w:pPr>
              <w:pStyle w:val="TableParagraph"/>
              <w:spacing w:before="41"/>
              <w:ind w:left="16"/>
              <w:rPr>
                <w:sz w:val="28"/>
              </w:rPr>
            </w:pPr>
            <w:r>
              <w:rPr>
                <w:sz w:val="28"/>
              </w:rPr>
              <w:t>-</w:t>
            </w:r>
          </w:p>
        </w:tc>
        <w:tc>
          <w:tcPr>
            <w:tcW w:w="564" w:type="dxa"/>
          </w:tcPr>
          <w:p w:rsidR="00B23B94" w:rsidRDefault="003B2D3B">
            <w:pPr>
              <w:pStyle w:val="TableParagraph"/>
              <w:spacing w:before="41"/>
              <w:ind w:left="19"/>
              <w:rPr>
                <w:sz w:val="28"/>
              </w:rPr>
            </w:pPr>
            <w:r>
              <w:rPr>
                <w:sz w:val="28"/>
              </w:rPr>
              <w:t>-</w:t>
            </w:r>
          </w:p>
        </w:tc>
        <w:tc>
          <w:tcPr>
            <w:tcW w:w="715" w:type="dxa"/>
          </w:tcPr>
          <w:p w:rsidR="00B23B94" w:rsidRDefault="003B2D3B">
            <w:pPr>
              <w:pStyle w:val="TableParagraph"/>
              <w:spacing w:before="41"/>
              <w:ind w:left="100" w:right="76"/>
              <w:rPr>
                <w:sz w:val="28"/>
              </w:rPr>
            </w:pPr>
            <w:r>
              <w:rPr>
                <w:sz w:val="28"/>
              </w:rPr>
              <w:t>10</w:t>
            </w:r>
          </w:p>
        </w:tc>
        <w:tc>
          <w:tcPr>
            <w:tcW w:w="708" w:type="dxa"/>
          </w:tcPr>
          <w:p w:rsidR="00B23B94" w:rsidRDefault="003B2D3B">
            <w:pPr>
              <w:pStyle w:val="TableParagraph"/>
              <w:spacing w:before="41"/>
              <w:ind w:left="86" w:right="63"/>
              <w:rPr>
                <w:sz w:val="28"/>
              </w:rPr>
            </w:pPr>
            <w:r>
              <w:rPr>
                <w:sz w:val="28"/>
              </w:rPr>
              <w:t>11,5</w:t>
            </w:r>
          </w:p>
        </w:tc>
      </w:tr>
    </w:tbl>
    <w:p w:rsidR="00B23B94" w:rsidRDefault="00B23B94">
      <w:pPr>
        <w:rPr>
          <w:sz w:val="28"/>
        </w:rPr>
        <w:sectPr w:rsidR="00B23B94">
          <w:headerReference w:type="default" r:id="rId10"/>
          <w:pgSz w:w="15840" w:h="12240" w:orient="landscape"/>
          <w:pgMar w:top="640" w:right="1020" w:bottom="280" w:left="920" w:header="0" w:footer="0" w:gutter="0"/>
          <w:cols w:space="720"/>
        </w:sectPr>
      </w:pPr>
    </w:p>
    <w:p w:rsidR="00B23B94" w:rsidRDefault="003B2D3B">
      <w:pPr>
        <w:pStyle w:val="a3"/>
        <w:spacing w:before="89" w:line="360" w:lineRule="auto"/>
        <w:ind w:left="542" w:right="784" w:firstLine="705"/>
      </w:pPr>
      <w:r>
        <w:lastRenderedPageBreak/>
        <w:t>Парапанкреатичні рідинні скупчення з секвестральними масами діагностовано у 47 (54,0%) пацієнтів. З них поширення на 1 ЗППН спостерігали у 8 (9,1%) хворих, 2 ЗППН – у 13 (14,9%) хворих, 3-4 ЗППН – у</w:t>
      </w:r>
    </w:p>
    <w:p w:rsidR="00B23B94" w:rsidRDefault="003B2D3B">
      <w:pPr>
        <w:pStyle w:val="a3"/>
        <w:spacing w:before="2" w:line="360" w:lineRule="auto"/>
        <w:ind w:left="542" w:right="780"/>
      </w:pPr>
      <w:r>
        <w:t>20 (23,0%) хворих, 5 і більше – у 6 (6,9%) хворих. Критерії SIRS були виявлені у 35 (40,2%) хворих. Тяжкість стану за шкалою BISAP становила 2,6±0,27 бали (від 2 до 4 балів), ознаки ПОН (2 і більше балів у одній чи декількох системах із трьох за шкалою Marshall) спостерігали у 10 (11,5%) хворих. В групі порівняння серед 47 пацієнтів, первинну НСЕ на 20-21 добу від початку захворювання виконали 23 (26,4%) пацієнтам. З них лапаротомію з НСЕ виконано 10 (43,5%) пацієнтам у яких деструктивний процес поширювався на 1 чи 2 ЗППН. У разі поширення запального процесу на 3 та більше ЗППН (13 пацієнтів) виконували лапаротомію з люмботомією та НСЕ у всіх випадках (56,5%). При переоцінці стану хворого в післяопераційному періоді, через 48 годин, тяжкість стану за шкалою BISAP в середньому становила 2,4 ±0,25 бали (від 1 до 4 балів). Ознаки органної дисфункції зберігалися у 8 (9,2%) пацієнтів, ознаки SIRS – у 11 (47,8%). У 13 (56,5%) пацієнтів оперованих первинно на 20-21 добу після госпіталізації в стаціонар, первинна НСЕ була завершальним етапом у лікуванні. 10 (43,5%) пацієнтів потребували подальших етапних хірургічних втручань (табл. 3.7).</w:t>
      </w:r>
    </w:p>
    <w:p w:rsidR="00B23B94" w:rsidRDefault="003B2D3B">
      <w:pPr>
        <w:spacing w:before="1"/>
        <w:ind w:left="8509"/>
        <w:rPr>
          <w:i/>
          <w:sz w:val="28"/>
        </w:rPr>
      </w:pPr>
      <w:r>
        <w:rPr>
          <w:i/>
          <w:sz w:val="28"/>
        </w:rPr>
        <w:t>Таблиця 3.7</w:t>
      </w:r>
    </w:p>
    <w:p w:rsidR="00B23B94" w:rsidRDefault="003B2D3B">
      <w:pPr>
        <w:pStyle w:val="1"/>
        <w:spacing w:before="161" w:line="360" w:lineRule="auto"/>
        <w:ind w:left="3305" w:right="1659" w:hanging="1880"/>
      </w:pPr>
      <w:r>
        <w:t>Кількість та об’єм первинних та повторних відкритих НСЕ у пацієнтів групи порівняння.</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4"/>
        <w:gridCol w:w="735"/>
        <w:gridCol w:w="879"/>
        <w:gridCol w:w="718"/>
        <w:gridCol w:w="762"/>
        <w:gridCol w:w="725"/>
        <w:gridCol w:w="879"/>
        <w:gridCol w:w="726"/>
        <w:gridCol w:w="759"/>
      </w:tblGrid>
      <w:tr w:rsidR="00B23B94">
        <w:trPr>
          <w:trHeight w:val="642"/>
        </w:trPr>
        <w:tc>
          <w:tcPr>
            <w:tcW w:w="3394" w:type="dxa"/>
            <w:vMerge w:val="restart"/>
          </w:tcPr>
          <w:p w:rsidR="00B23B94" w:rsidRDefault="00B23B94">
            <w:pPr>
              <w:pStyle w:val="TableParagraph"/>
              <w:jc w:val="left"/>
              <w:rPr>
                <w:b/>
                <w:sz w:val="30"/>
              </w:rPr>
            </w:pPr>
          </w:p>
          <w:p w:rsidR="00B23B94" w:rsidRDefault="00B23B94">
            <w:pPr>
              <w:pStyle w:val="TableParagraph"/>
              <w:jc w:val="left"/>
              <w:rPr>
                <w:b/>
                <w:sz w:val="30"/>
              </w:rPr>
            </w:pPr>
          </w:p>
          <w:p w:rsidR="00B23B94" w:rsidRDefault="00B23B94">
            <w:pPr>
              <w:pStyle w:val="TableParagraph"/>
              <w:spacing w:before="10"/>
              <w:jc w:val="left"/>
              <w:rPr>
                <w:b/>
                <w:sz w:val="23"/>
              </w:rPr>
            </w:pPr>
          </w:p>
          <w:p w:rsidR="00B23B94" w:rsidRDefault="003B2D3B">
            <w:pPr>
              <w:pStyle w:val="TableParagraph"/>
              <w:ind w:left="801"/>
              <w:jc w:val="left"/>
              <w:rPr>
                <w:sz w:val="28"/>
              </w:rPr>
            </w:pPr>
            <w:r>
              <w:rPr>
                <w:sz w:val="28"/>
              </w:rPr>
              <w:t>Об’єм операції</w:t>
            </w:r>
          </w:p>
        </w:tc>
        <w:tc>
          <w:tcPr>
            <w:tcW w:w="3094" w:type="dxa"/>
            <w:gridSpan w:val="4"/>
          </w:tcPr>
          <w:p w:rsidR="00B23B94" w:rsidRDefault="003B2D3B">
            <w:pPr>
              <w:pStyle w:val="TableParagraph"/>
              <w:spacing w:before="3" w:line="322" w:lineRule="exact"/>
              <w:ind w:left="703" w:right="161" w:hanging="519"/>
              <w:jc w:val="left"/>
              <w:rPr>
                <w:sz w:val="28"/>
              </w:rPr>
            </w:pPr>
            <w:r>
              <w:rPr>
                <w:sz w:val="28"/>
              </w:rPr>
              <w:t>12-14 доба від початку захворювання</w:t>
            </w:r>
          </w:p>
        </w:tc>
        <w:tc>
          <w:tcPr>
            <w:tcW w:w="3089" w:type="dxa"/>
            <w:gridSpan w:val="4"/>
          </w:tcPr>
          <w:p w:rsidR="00B23B94" w:rsidRDefault="003B2D3B">
            <w:pPr>
              <w:pStyle w:val="TableParagraph"/>
              <w:spacing w:before="3" w:line="322" w:lineRule="exact"/>
              <w:ind w:left="696" w:right="160" w:hanging="516"/>
              <w:jc w:val="left"/>
              <w:rPr>
                <w:sz w:val="28"/>
              </w:rPr>
            </w:pPr>
            <w:r>
              <w:rPr>
                <w:sz w:val="28"/>
              </w:rPr>
              <w:t>20-21 доба від початку захворювання</w:t>
            </w:r>
          </w:p>
        </w:tc>
      </w:tr>
      <w:tr w:rsidR="00B23B94">
        <w:trPr>
          <w:trHeight w:val="641"/>
        </w:trPr>
        <w:tc>
          <w:tcPr>
            <w:tcW w:w="3394" w:type="dxa"/>
            <w:vMerge/>
            <w:tcBorders>
              <w:top w:val="nil"/>
            </w:tcBorders>
          </w:tcPr>
          <w:p w:rsidR="00B23B94" w:rsidRDefault="00B23B94">
            <w:pPr>
              <w:rPr>
                <w:sz w:val="2"/>
                <w:szCs w:val="2"/>
              </w:rPr>
            </w:pPr>
          </w:p>
        </w:tc>
        <w:tc>
          <w:tcPr>
            <w:tcW w:w="1614" w:type="dxa"/>
            <w:gridSpan w:val="2"/>
          </w:tcPr>
          <w:p w:rsidR="00B23B94" w:rsidRDefault="003B2D3B">
            <w:pPr>
              <w:pStyle w:val="TableParagraph"/>
              <w:spacing w:line="322" w:lineRule="exact"/>
              <w:ind w:left="525" w:right="194" w:hanging="308"/>
              <w:jc w:val="left"/>
              <w:rPr>
                <w:sz w:val="28"/>
              </w:rPr>
            </w:pPr>
            <w:r>
              <w:rPr>
                <w:sz w:val="28"/>
              </w:rPr>
              <w:t>Первинна НСЕ</w:t>
            </w:r>
          </w:p>
        </w:tc>
        <w:tc>
          <w:tcPr>
            <w:tcW w:w="1480" w:type="dxa"/>
            <w:gridSpan w:val="2"/>
          </w:tcPr>
          <w:p w:rsidR="00B23B94" w:rsidRDefault="003B2D3B">
            <w:pPr>
              <w:pStyle w:val="TableParagraph"/>
              <w:spacing w:line="322" w:lineRule="exact"/>
              <w:ind w:left="457" w:right="295" w:hanging="144"/>
              <w:jc w:val="left"/>
              <w:rPr>
                <w:sz w:val="28"/>
              </w:rPr>
            </w:pPr>
            <w:r>
              <w:rPr>
                <w:sz w:val="28"/>
              </w:rPr>
              <w:t>Етапна НСЕ</w:t>
            </w:r>
          </w:p>
        </w:tc>
        <w:tc>
          <w:tcPr>
            <w:tcW w:w="1604" w:type="dxa"/>
            <w:gridSpan w:val="2"/>
          </w:tcPr>
          <w:p w:rsidR="00B23B94" w:rsidRDefault="003B2D3B">
            <w:pPr>
              <w:pStyle w:val="TableParagraph"/>
              <w:spacing w:line="322" w:lineRule="exact"/>
              <w:ind w:left="516" w:right="193" w:hanging="308"/>
              <w:jc w:val="left"/>
              <w:rPr>
                <w:sz w:val="28"/>
              </w:rPr>
            </w:pPr>
            <w:r>
              <w:rPr>
                <w:sz w:val="28"/>
              </w:rPr>
              <w:t>Первинна НСЕ</w:t>
            </w:r>
          </w:p>
        </w:tc>
        <w:tc>
          <w:tcPr>
            <w:tcW w:w="1485" w:type="dxa"/>
            <w:gridSpan w:val="2"/>
          </w:tcPr>
          <w:p w:rsidR="00B23B94" w:rsidRDefault="003B2D3B">
            <w:pPr>
              <w:pStyle w:val="TableParagraph"/>
              <w:spacing w:line="322" w:lineRule="exact"/>
              <w:ind w:left="456" w:right="299" w:hanging="142"/>
              <w:jc w:val="left"/>
              <w:rPr>
                <w:sz w:val="28"/>
              </w:rPr>
            </w:pPr>
            <w:r>
              <w:rPr>
                <w:sz w:val="28"/>
              </w:rPr>
              <w:t>Етапна НСЕ</w:t>
            </w:r>
          </w:p>
        </w:tc>
      </w:tr>
      <w:tr w:rsidR="00B23B94">
        <w:trPr>
          <w:trHeight w:val="479"/>
        </w:trPr>
        <w:tc>
          <w:tcPr>
            <w:tcW w:w="3394" w:type="dxa"/>
            <w:vMerge/>
            <w:tcBorders>
              <w:top w:val="nil"/>
            </w:tcBorders>
          </w:tcPr>
          <w:p w:rsidR="00B23B94" w:rsidRDefault="00B23B94">
            <w:pPr>
              <w:rPr>
                <w:sz w:val="2"/>
                <w:szCs w:val="2"/>
              </w:rPr>
            </w:pPr>
          </w:p>
        </w:tc>
        <w:tc>
          <w:tcPr>
            <w:tcW w:w="735" w:type="dxa"/>
          </w:tcPr>
          <w:p w:rsidR="00B23B94" w:rsidRDefault="003B2D3B">
            <w:pPr>
              <w:pStyle w:val="TableParagraph"/>
              <w:spacing w:line="320" w:lineRule="exact"/>
              <w:ind w:left="117" w:right="106"/>
              <w:rPr>
                <w:sz w:val="28"/>
              </w:rPr>
            </w:pPr>
            <w:r>
              <w:rPr>
                <w:sz w:val="28"/>
              </w:rPr>
              <w:t>абс.</w:t>
            </w:r>
          </w:p>
        </w:tc>
        <w:tc>
          <w:tcPr>
            <w:tcW w:w="879" w:type="dxa"/>
          </w:tcPr>
          <w:p w:rsidR="00B23B94" w:rsidRDefault="003B2D3B">
            <w:pPr>
              <w:pStyle w:val="TableParagraph"/>
              <w:spacing w:line="320" w:lineRule="exact"/>
              <w:ind w:left="7"/>
              <w:rPr>
                <w:sz w:val="28"/>
              </w:rPr>
            </w:pPr>
            <w:r>
              <w:rPr>
                <w:sz w:val="28"/>
              </w:rPr>
              <w:t>%</w:t>
            </w:r>
          </w:p>
        </w:tc>
        <w:tc>
          <w:tcPr>
            <w:tcW w:w="718" w:type="dxa"/>
          </w:tcPr>
          <w:p w:rsidR="00B23B94" w:rsidRDefault="003B2D3B">
            <w:pPr>
              <w:pStyle w:val="TableParagraph"/>
              <w:spacing w:line="320" w:lineRule="exact"/>
              <w:ind w:left="107" w:right="100"/>
              <w:rPr>
                <w:sz w:val="28"/>
              </w:rPr>
            </w:pPr>
            <w:r>
              <w:rPr>
                <w:sz w:val="28"/>
              </w:rPr>
              <w:t>абс.</w:t>
            </w:r>
          </w:p>
        </w:tc>
        <w:tc>
          <w:tcPr>
            <w:tcW w:w="762" w:type="dxa"/>
          </w:tcPr>
          <w:p w:rsidR="00B23B94" w:rsidRDefault="003B2D3B">
            <w:pPr>
              <w:pStyle w:val="TableParagraph"/>
              <w:spacing w:line="320" w:lineRule="exact"/>
              <w:ind w:left="2"/>
              <w:rPr>
                <w:sz w:val="28"/>
              </w:rPr>
            </w:pPr>
            <w:r>
              <w:rPr>
                <w:sz w:val="28"/>
              </w:rPr>
              <w:t>%</w:t>
            </w:r>
          </w:p>
        </w:tc>
        <w:tc>
          <w:tcPr>
            <w:tcW w:w="725" w:type="dxa"/>
          </w:tcPr>
          <w:p w:rsidR="00B23B94" w:rsidRDefault="003B2D3B">
            <w:pPr>
              <w:pStyle w:val="TableParagraph"/>
              <w:spacing w:line="320" w:lineRule="exact"/>
              <w:ind w:left="108" w:right="105"/>
              <w:rPr>
                <w:sz w:val="28"/>
              </w:rPr>
            </w:pPr>
            <w:r>
              <w:rPr>
                <w:sz w:val="28"/>
              </w:rPr>
              <w:t>абс.</w:t>
            </w:r>
          </w:p>
        </w:tc>
        <w:tc>
          <w:tcPr>
            <w:tcW w:w="879" w:type="dxa"/>
          </w:tcPr>
          <w:p w:rsidR="00B23B94" w:rsidRDefault="003B2D3B">
            <w:pPr>
              <w:pStyle w:val="TableParagraph"/>
              <w:spacing w:line="320" w:lineRule="exact"/>
              <w:ind w:left="3"/>
              <w:rPr>
                <w:sz w:val="28"/>
              </w:rPr>
            </w:pPr>
            <w:r>
              <w:rPr>
                <w:sz w:val="28"/>
              </w:rPr>
              <w:t>%</w:t>
            </w:r>
          </w:p>
        </w:tc>
        <w:tc>
          <w:tcPr>
            <w:tcW w:w="726" w:type="dxa"/>
          </w:tcPr>
          <w:p w:rsidR="00B23B94" w:rsidRDefault="003B2D3B">
            <w:pPr>
              <w:pStyle w:val="TableParagraph"/>
              <w:spacing w:line="320" w:lineRule="exact"/>
              <w:ind w:left="108" w:right="107"/>
              <w:rPr>
                <w:sz w:val="28"/>
              </w:rPr>
            </w:pPr>
            <w:r>
              <w:rPr>
                <w:sz w:val="28"/>
              </w:rPr>
              <w:t>абс.</w:t>
            </w:r>
          </w:p>
        </w:tc>
        <w:tc>
          <w:tcPr>
            <w:tcW w:w="759" w:type="dxa"/>
          </w:tcPr>
          <w:p w:rsidR="00B23B94" w:rsidRDefault="003B2D3B">
            <w:pPr>
              <w:pStyle w:val="TableParagraph"/>
              <w:spacing w:line="320" w:lineRule="exact"/>
              <w:ind w:right="1"/>
              <w:rPr>
                <w:sz w:val="28"/>
              </w:rPr>
            </w:pPr>
            <w:r>
              <w:rPr>
                <w:sz w:val="28"/>
              </w:rPr>
              <w:t>%</w:t>
            </w:r>
          </w:p>
        </w:tc>
      </w:tr>
      <w:tr w:rsidR="00B23B94">
        <w:trPr>
          <w:trHeight w:val="481"/>
        </w:trPr>
        <w:tc>
          <w:tcPr>
            <w:tcW w:w="3394" w:type="dxa"/>
          </w:tcPr>
          <w:p w:rsidR="00B23B94" w:rsidRDefault="003B2D3B">
            <w:pPr>
              <w:pStyle w:val="TableParagraph"/>
              <w:ind w:left="107"/>
              <w:jc w:val="left"/>
              <w:rPr>
                <w:sz w:val="28"/>
              </w:rPr>
            </w:pPr>
            <w:r>
              <w:rPr>
                <w:sz w:val="28"/>
              </w:rPr>
              <w:t>Лапаротомія</w:t>
            </w:r>
          </w:p>
        </w:tc>
        <w:tc>
          <w:tcPr>
            <w:tcW w:w="735" w:type="dxa"/>
          </w:tcPr>
          <w:p w:rsidR="00B23B94" w:rsidRDefault="003B2D3B">
            <w:pPr>
              <w:pStyle w:val="TableParagraph"/>
              <w:ind w:left="10"/>
              <w:rPr>
                <w:sz w:val="28"/>
              </w:rPr>
            </w:pPr>
            <w:r>
              <w:rPr>
                <w:sz w:val="28"/>
              </w:rPr>
              <w:t>8</w:t>
            </w:r>
          </w:p>
        </w:tc>
        <w:tc>
          <w:tcPr>
            <w:tcW w:w="879" w:type="dxa"/>
          </w:tcPr>
          <w:p w:rsidR="00B23B94" w:rsidRDefault="003B2D3B">
            <w:pPr>
              <w:pStyle w:val="TableParagraph"/>
              <w:ind w:left="101" w:right="92"/>
              <w:rPr>
                <w:sz w:val="28"/>
              </w:rPr>
            </w:pPr>
            <w:r>
              <w:rPr>
                <w:sz w:val="28"/>
              </w:rPr>
              <w:t>42,1</w:t>
            </w:r>
          </w:p>
        </w:tc>
        <w:tc>
          <w:tcPr>
            <w:tcW w:w="718" w:type="dxa"/>
          </w:tcPr>
          <w:p w:rsidR="00B23B94" w:rsidRDefault="003B2D3B">
            <w:pPr>
              <w:pStyle w:val="TableParagraph"/>
              <w:ind w:left="6"/>
              <w:rPr>
                <w:sz w:val="28"/>
              </w:rPr>
            </w:pPr>
            <w:r>
              <w:rPr>
                <w:sz w:val="28"/>
              </w:rPr>
              <w:t>3</w:t>
            </w:r>
          </w:p>
        </w:tc>
        <w:tc>
          <w:tcPr>
            <w:tcW w:w="762" w:type="dxa"/>
          </w:tcPr>
          <w:p w:rsidR="00B23B94" w:rsidRDefault="003B2D3B">
            <w:pPr>
              <w:pStyle w:val="TableParagraph"/>
              <w:ind w:left="113" w:right="109"/>
              <w:rPr>
                <w:sz w:val="28"/>
              </w:rPr>
            </w:pPr>
            <w:r>
              <w:rPr>
                <w:sz w:val="28"/>
              </w:rPr>
              <w:t>15,8</w:t>
            </w:r>
          </w:p>
        </w:tc>
        <w:tc>
          <w:tcPr>
            <w:tcW w:w="725" w:type="dxa"/>
          </w:tcPr>
          <w:p w:rsidR="00B23B94" w:rsidRDefault="003B2D3B">
            <w:pPr>
              <w:pStyle w:val="TableParagraph"/>
              <w:ind w:left="106" w:right="105"/>
              <w:rPr>
                <w:sz w:val="28"/>
              </w:rPr>
            </w:pPr>
            <w:r>
              <w:rPr>
                <w:sz w:val="28"/>
              </w:rPr>
              <w:t>10</w:t>
            </w:r>
          </w:p>
        </w:tc>
        <w:tc>
          <w:tcPr>
            <w:tcW w:w="879" w:type="dxa"/>
          </w:tcPr>
          <w:p w:rsidR="00B23B94" w:rsidRDefault="003B2D3B">
            <w:pPr>
              <w:pStyle w:val="TableParagraph"/>
              <w:ind w:left="101" w:right="96"/>
              <w:rPr>
                <w:sz w:val="28"/>
              </w:rPr>
            </w:pPr>
            <w:r>
              <w:rPr>
                <w:sz w:val="28"/>
              </w:rPr>
              <w:t>43,5</w:t>
            </w:r>
          </w:p>
        </w:tc>
        <w:tc>
          <w:tcPr>
            <w:tcW w:w="726" w:type="dxa"/>
          </w:tcPr>
          <w:p w:rsidR="00B23B94" w:rsidRDefault="003B2D3B">
            <w:pPr>
              <w:pStyle w:val="TableParagraph"/>
              <w:rPr>
                <w:sz w:val="28"/>
              </w:rPr>
            </w:pPr>
            <w:r>
              <w:rPr>
                <w:sz w:val="28"/>
              </w:rPr>
              <w:t>4</w:t>
            </w:r>
          </w:p>
        </w:tc>
        <w:tc>
          <w:tcPr>
            <w:tcW w:w="759" w:type="dxa"/>
          </w:tcPr>
          <w:p w:rsidR="00B23B94" w:rsidRDefault="003B2D3B">
            <w:pPr>
              <w:pStyle w:val="TableParagraph"/>
              <w:ind w:right="128"/>
              <w:jc w:val="right"/>
              <w:rPr>
                <w:sz w:val="28"/>
              </w:rPr>
            </w:pPr>
            <w:r>
              <w:rPr>
                <w:sz w:val="28"/>
              </w:rPr>
              <w:t>17,4</w:t>
            </w:r>
          </w:p>
        </w:tc>
      </w:tr>
      <w:tr w:rsidR="00B23B94">
        <w:trPr>
          <w:trHeight w:val="484"/>
        </w:trPr>
        <w:tc>
          <w:tcPr>
            <w:tcW w:w="3394" w:type="dxa"/>
          </w:tcPr>
          <w:p w:rsidR="00B23B94" w:rsidRDefault="003B2D3B">
            <w:pPr>
              <w:pStyle w:val="TableParagraph"/>
              <w:spacing w:before="2"/>
              <w:ind w:left="107"/>
              <w:jc w:val="left"/>
              <w:rPr>
                <w:sz w:val="28"/>
              </w:rPr>
            </w:pPr>
            <w:r>
              <w:rPr>
                <w:sz w:val="28"/>
              </w:rPr>
              <w:t>Люмботомія</w:t>
            </w:r>
          </w:p>
        </w:tc>
        <w:tc>
          <w:tcPr>
            <w:tcW w:w="735" w:type="dxa"/>
          </w:tcPr>
          <w:p w:rsidR="00B23B94" w:rsidRDefault="003B2D3B">
            <w:pPr>
              <w:pStyle w:val="TableParagraph"/>
              <w:spacing w:before="2"/>
              <w:ind w:left="10"/>
              <w:rPr>
                <w:sz w:val="28"/>
              </w:rPr>
            </w:pPr>
            <w:r>
              <w:rPr>
                <w:sz w:val="28"/>
              </w:rPr>
              <w:t>1</w:t>
            </w:r>
          </w:p>
        </w:tc>
        <w:tc>
          <w:tcPr>
            <w:tcW w:w="879" w:type="dxa"/>
          </w:tcPr>
          <w:p w:rsidR="00B23B94" w:rsidRDefault="003B2D3B">
            <w:pPr>
              <w:pStyle w:val="TableParagraph"/>
              <w:spacing w:before="2"/>
              <w:ind w:left="101" w:right="91"/>
              <w:rPr>
                <w:sz w:val="28"/>
              </w:rPr>
            </w:pPr>
            <w:r>
              <w:rPr>
                <w:sz w:val="28"/>
              </w:rPr>
              <w:t>5,2</w:t>
            </w:r>
          </w:p>
        </w:tc>
        <w:tc>
          <w:tcPr>
            <w:tcW w:w="718" w:type="dxa"/>
          </w:tcPr>
          <w:p w:rsidR="00B23B94" w:rsidRDefault="003B2D3B">
            <w:pPr>
              <w:pStyle w:val="TableParagraph"/>
              <w:spacing w:before="2"/>
              <w:ind w:left="7"/>
              <w:rPr>
                <w:sz w:val="28"/>
              </w:rPr>
            </w:pPr>
            <w:r>
              <w:rPr>
                <w:sz w:val="28"/>
              </w:rPr>
              <w:t>-</w:t>
            </w:r>
          </w:p>
        </w:tc>
        <w:tc>
          <w:tcPr>
            <w:tcW w:w="762" w:type="dxa"/>
          </w:tcPr>
          <w:p w:rsidR="00B23B94" w:rsidRDefault="003B2D3B">
            <w:pPr>
              <w:pStyle w:val="TableParagraph"/>
              <w:spacing w:before="2"/>
              <w:ind w:left="1"/>
              <w:rPr>
                <w:sz w:val="28"/>
              </w:rPr>
            </w:pPr>
            <w:r>
              <w:rPr>
                <w:sz w:val="28"/>
              </w:rPr>
              <w:t>-</w:t>
            </w:r>
          </w:p>
        </w:tc>
        <w:tc>
          <w:tcPr>
            <w:tcW w:w="725" w:type="dxa"/>
          </w:tcPr>
          <w:p w:rsidR="00B23B94" w:rsidRDefault="003B2D3B">
            <w:pPr>
              <w:pStyle w:val="TableParagraph"/>
              <w:spacing w:before="2"/>
              <w:ind w:right="1"/>
              <w:rPr>
                <w:sz w:val="28"/>
              </w:rPr>
            </w:pPr>
            <w:r>
              <w:rPr>
                <w:sz w:val="28"/>
              </w:rPr>
              <w:t>-</w:t>
            </w:r>
          </w:p>
        </w:tc>
        <w:tc>
          <w:tcPr>
            <w:tcW w:w="879" w:type="dxa"/>
          </w:tcPr>
          <w:p w:rsidR="00B23B94" w:rsidRDefault="003B2D3B">
            <w:pPr>
              <w:pStyle w:val="TableParagraph"/>
              <w:spacing w:before="2"/>
              <w:ind w:left="2"/>
              <w:rPr>
                <w:sz w:val="28"/>
              </w:rPr>
            </w:pPr>
            <w:r>
              <w:rPr>
                <w:sz w:val="28"/>
              </w:rPr>
              <w:t>-</w:t>
            </w:r>
          </w:p>
        </w:tc>
        <w:tc>
          <w:tcPr>
            <w:tcW w:w="726" w:type="dxa"/>
          </w:tcPr>
          <w:p w:rsidR="00B23B94" w:rsidRDefault="003B2D3B">
            <w:pPr>
              <w:pStyle w:val="TableParagraph"/>
              <w:spacing w:before="2"/>
              <w:rPr>
                <w:sz w:val="28"/>
              </w:rPr>
            </w:pPr>
            <w:r>
              <w:rPr>
                <w:sz w:val="28"/>
              </w:rPr>
              <w:t>1</w:t>
            </w:r>
          </w:p>
        </w:tc>
        <w:tc>
          <w:tcPr>
            <w:tcW w:w="759" w:type="dxa"/>
          </w:tcPr>
          <w:p w:rsidR="00B23B94" w:rsidRDefault="003B2D3B">
            <w:pPr>
              <w:pStyle w:val="TableParagraph"/>
              <w:spacing w:before="2"/>
              <w:ind w:right="197"/>
              <w:jc w:val="right"/>
              <w:rPr>
                <w:sz w:val="28"/>
              </w:rPr>
            </w:pPr>
            <w:r>
              <w:rPr>
                <w:sz w:val="28"/>
              </w:rPr>
              <w:t>4,3</w:t>
            </w:r>
          </w:p>
        </w:tc>
      </w:tr>
      <w:tr w:rsidR="00B23B94">
        <w:trPr>
          <w:trHeight w:val="481"/>
        </w:trPr>
        <w:tc>
          <w:tcPr>
            <w:tcW w:w="3394" w:type="dxa"/>
          </w:tcPr>
          <w:p w:rsidR="00B23B94" w:rsidRDefault="003B2D3B">
            <w:pPr>
              <w:pStyle w:val="TableParagraph"/>
              <w:ind w:left="107"/>
              <w:jc w:val="left"/>
              <w:rPr>
                <w:sz w:val="28"/>
              </w:rPr>
            </w:pPr>
            <w:r>
              <w:rPr>
                <w:sz w:val="28"/>
              </w:rPr>
              <w:t>Лапаротомія+Люмботомія</w:t>
            </w:r>
          </w:p>
        </w:tc>
        <w:tc>
          <w:tcPr>
            <w:tcW w:w="735" w:type="dxa"/>
          </w:tcPr>
          <w:p w:rsidR="00B23B94" w:rsidRDefault="003B2D3B">
            <w:pPr>
              <w:pStyle w:val="TableParagraph"/>
              <w:ind w:left="115" w:right="106"/>
              <w:rPr>
                <w:sz w:val="28"/>
              </w:rPr>
            </w:pPr>
            <w:r>
              <w:rPr>
                <w:sz w:val="28"/>
              </w:rPr>
              <w:t>10</w:t>
            </w:r>
          </w:p>
        </w:tc>
        <w:tc>
          <w:tcPr>
            <w:tcW w:w="879" w:type="dxa"/>
          </w:tcPr>
          <w:p w:rsidR="00B23B94" w:rsidRDefault="003B2D3B">
            <w:pPr>
              <w:pStyle w:val="TableParagraph"/>
              <w:ind w:left="101" w:right="92"/>
              <w:rPr>
                <w:sz w:val="28"/>
              </w:rPr>
            </w:pPr>
            <w:r>
              <w:rPr>
                <w:sz w:val="28"/>
              </w:rPr>
              <w:t>52,7</w:t>
            </w:r>
          </w:p>
        </w:tc>
        <w:tc>
          <w:tcPr>
            <w:tcW w:w="718" w:type="dxa"/>
          </w:tcPr>
          <w:p w:rsidR="00B23B94" w:rsidRDefault="003B2D3B">
            <w:pPr>
              <w:pStyle w:val="TableParagraph"/>
              <w:ind w:left="6"/>
              <w:rPr>
                <w:sz w:val="28"/>
              </w:rPr>
            </w:pPr>
            <w:r>
              <w:rPr>
                <w:sz w:val="28"/>
              </w:rPr>
              <w:t>5</w:t>
            </w:r>
          </w:p>
        </w:tc>
        <w:tc>
          <w:tcPr>
            <w:tcW w:w="762" w:type="dxa"/>
          </w:tcPr>
          <w:p w:rsidR="00B23B94" w:rsidRDefault="003B2D3B">
            <w:pPr>
              <w:pStyle w:val="TableParagraph"/>
              <w:ind w:left="113" w:right="109"/>
              <w:rPr>
                <w:sz w:val="28"/>
              </w:rPr>
            </w:pPr>
            <w:r>
              <w:rPr>
                <w:sz w:val="28"/>
              </w:rPr>
              <w:t>26,3</w:t>
            </w:r>
          </w:p>
        </w:tc>
        <w:tc>
          <w:tcPr>
            <w:tcW w:w="725" w:type="dxa"/>
          </w:tcPr>
          <w:p w:rsidR="00B23B94" w:rsidRDefault="003B2D3B">
            <w:pPr>
              <w:pStyle w:val="TableParagraph"/>
              <w:ind w:left="106" w:right="105"/>
              <w:rPr>
                <w:sz w:val="28"/>
              </w:rPr>
            </w:pPr>
            <w:r>
              <w:rPr>
                <w:sz w:val="28"/>
              </w:rPr>
              <w:t>13</w:t>
            </w:r>
          </w:p>
        </w:tc>
        <w:tc>
          <w:tcPr>
            <w:tcW w:w="879" w:type="dxa"/>
          </w:tcPr>
          <w:p w:rsidR="00B23B94" w:rsidRDefault="003B2D3B">
            <w:pPr>
              <w:pStyle w:val="TableParagraph"/>
              <w:ind w:left="101" w:right="96"/>
              <w:rPr>
                <w:sz w:val="28"/>
              </w:rPr>
            </w:pPr>
            <w:r>
              <w:rPr>
                <w:sz w:val="28"/>
              </w:rPr>
              <w:t>56,5</w:t>
            </w:r>
          </w:p>
        </w:tc>
        <w:tc>
          <w:tcPr>
            <w:tcW w:w="726" w:type="dxa"/>
          </w:tcPr>
          <w:p w:rsidR="00B23B94" w:rsidRDefault="003B2D3B">
            <w:pPr>
              <w:pStyle w:val="TableParagraph"/>
              <w:rPr>
                <w:sz w:val="28"/>
              </w:rPr>
            </w:pPr>
            <w:r>
              <w:rPr>
                <w:sz w:val="28"/>
              </w:rPr>
              <w:t>5</w:t>
            </w:r>
          </w:p>
        </w:tc>
        <w:tc>
          <w:tcPr>
            <w:tcW w:w="759" w:type="dxa"/>
          </w:tcPr>
          <w:p w:rsidR="00B23B94" w:rsidRDefault="003B2D3B">
            <w:pPr>
              <w:pStyle w:val="TableParagraph"/>
              <w:ind w:right="128"/>
              <w:jc w:val="right"/>
              <w:rPr>
                <w:sz w:val="28"/>
              </w:rPr>
            </w:pPr>
            <w:r>
              <w:rPr>
                <w:sz w:val="28"/>
              </w:rPr>
              <w:t>21,7</w:t>
            </w:r>
          </w:p>
        </w:tc>
      </w:tr>
      <w:tr w:rsidR="00B23B94">
        <w:trPr>
          <w:trHeight w:val="484"/>
        </w:trPr>
        <w:tc>
          <w:tcPr>
            <w:tcW w:w="3394" w:type="dxa"/>
          </w:tcPr>
          <w:p w:rsidR="00B23B94" w:rsidRDefault="003B2D3B">
            <w:pPr>
              <w:pStyle w:val="TableParagraph"/>
              <w:ind w:left="107"/>
              <w:jc w:val="left"/>
              <w:rPr>
                <w:sz w:val="28"/>
              </w:rPr>
            </w:pPr>
            <w:r>
              <w:rPr>
                <w:sz w:val="28"/>
              </w:rPr>
              <w:t>Всього</w:t>
            </w:r>
          </w:p>
        </w:tc>
        <w:tc>
          <w:tcPr>
            <w:tcW w:w="735" w:type="dxa"/>
          </w:tcPr>
          <w:p w:rsidR="00B23B94" w:rsidRDefault="003B2D3B">
            <w:pPr>
              <w:pStyle w:val="TableParagraph"/>
              <w:ind w:left="115" w:right="106"/>
              <w:rPr>
                <w:sz w:val="28"/>
              </w:rPr>
            </w:pPr>
            <w:r>
              <w:rPr>
                <w:sz w:val="28"/>
              </w:rPr>
              <w:t>19</w:t>
            </w:r>
          </w:p>
        </w:tc>
        <w:tc>
          <w:tcPr>
            <w:tcW w:w="879" w:type="dxa"/>
          </w:tcPr>
          <w:p w:rsidR="00B23B94" w:rsidRDefault="003B2D3B">
            <w:pPr>
              <w:pStyle w:val="TableParagraph"/>
              <w:ind w:left="101" w:right="94"/>
              <w:rPr>
                <w:sz w:val="28"/>
              </w:rPr>
            </w:pPr>
            <w:r>
              <w:rPr>
                <w:sz w:val="28"/>
              </w:rPr>
              <w:t>100,0</w:t>
            </w:r>
          </w:p>
        </w:tc>
        <w:tc>
          <w:tcPr>
            <w:tcW w:w="718" w:type="dxa"/>
          </w:tcPr>
          <w:p w:rsidR="00B23B94" w:rsidRDefault="003B2D3B">
            <w:pPr>
              <w:pStyle w:val="TableParagraph"/>
              <w:ind w:left="6"/>
              <w:rPr>
                <w:sz w:val="28"/>
              </w:rPr>
            </w:pPr>
            <w:r>
              <w:rPr>
                <w:sz w:val="28"/>
              </w:rPr>
              <w:t>8</w:t>
            </w:r>
          </w:p>
        </w:tc>
        <w:tc>
          <w:tcPr>
            <w:tcW w:w="762" w:type="dxa"/>
          </w:tcPr>
          <w:p w:rsidR="00B23B94" w:rsidRDefault="003B2D3B">
            <w:pPr>
              <w:pStyle w:val="TableParagraph"/>
              <w:ind w:left="113" w:right="109"/>
              <w:rPr>
                <w:sz w:val="28"/>
              </w:rPr>
            </w:pPr>
            <w:r>
              <w:rPr>
                <w:sz w:val="28"/>
              </w:rPr>
              <w:t>42,1</w:t>
            </w:r>
          </w:p>
        </w:tc>
        <w:tc>
          <w:tcPr>
            <w:tcW w:w="725" w:type="dxa"/>
          </w:tcPr>
          <w:p w:rsidR="00B23B94" w:rsidRDefault="003B2D3B">
            <w:pPr>
              <w:pStyle w:val="TableParagraph"/>
              <w:ind w:left="106" w:right="105"/>
              <w:rPr>
                <w:sz w:val="28"/>
              </w:rPr>
            </w:pPr>
            <w:r>
              <w:rPr>
                <w:sz w:val="28"/>
              </w:rPr>
              <w:t>23</w:t>
            </w:r>
          </w:p>
        </w:tc>
        <w:tc>
          <w:tcPr>
            <w:tcW w:w="879" w:type="dxa"/>
          </w:tcPr>
          <w:p w:rsidR="00B23B94" w:rsidRDefault="003B2D3B">
            <w:pPr>
              <w:pStyle w:val="TableParagraph"/>
              <w:ind w:left="100" w:right="96"/>
              <w:rPr>
                <w:sz w:val="28"/>
              </w:rPr>
            </w:pPr>
            <w:r>
              <w:rPr>
                <w:sz w:val="28"/>
              </w:rPr>
              <w:t>100,0</w:t>
            </w:r>
          </w:p>
        </w:tc>
        <w:tc>
          <w:tcPr>
            <w:tcW w:w="726" w:type="dxa"/>
          </w:tcPr>
          <w:p w:rsidR="00B23B94" w:rsidRDefault="003B2D3B">
            <w:pPr>
              <w:pStyle w:val="TableParagraph"/>
              <w:ind w:left="106" w:right="107"/>
              <w:rPr>
                <w:sz w:val="28"/>
              </w:rPr>
            </w:pPr>
            <w:r>
              <w:rPr>
                <w:sz w:val="28"/>
              </w:rPr>
              <w:t>10</w:t>
            </w:r>
          </w:p>
        </w:tc>
        <w:tc>
          <w:tcPr>
            <w:tcW w:w="759" w:type="dxa"/>
          </w:tcPr>
          <w:p w:rsidR="00B23B94" w:rsidRDefault="003B2D3B">
            <w:pPr>
              <w:pStyle w:val="TableParagraph"/>
              <w:ind w:right="128"/>
              <w:jc w:val="right"/>
              <w:rPr>
                <w:sz w:val="28"/>
              </w:rPr>
            </w:pPr>
            <w:r>
              <w:rPr>
                <w:sz w:val="28"/>
              </w:rPr>
              <w:t>43,4</w:t>
            </w:r>
          </w:p>
        </w:tc>
      </w:tr>
    </w:tbl>
    <w:p w:rsidR="00B23B94" w:rsidRDefault="00B23B94">
      <w:pPr>
        <w:jc w:val="right"/>
        <w:rPr>
          <w:sz w:val="28"/>
        </w:rPr>
        <w:sectPr w:rsidR="00B23B94">
          <w:headerReference w:type="default" r:id="rId11"/>
          <w:pgSz w:w="11910" w:h="16840"/>
          <w:pgMar w:top="1040" w:right="60" w:bottom="280" w:left="1160" w:header="719" w:footer="0" w:gutter="0"/>
          <w:pgNumType w:start="73"/>
          <w:cols w:space="720"/>
        </w:sectPr>
      </w:pPr>
    </w:p>
    <w:p w:rsidR="00B23B94" w:rsidRDefault="003B2D3B">
      <w:pPr>
        <w:pStyle w:val="a3"/>
        <w:spacing w:before="89" w:line="360" w:lineRule="auto"/>
        <w:ind w:left="542" w:right="790" w:firstLine="705"/>
      </w:pPr>
      <w:r>
        <w:lastRenderedPageBreak/>
        <w:t>Таким чином, частота етапних НСЕ після первинних втручань майже однакова не зважаючи на терміни самої операції і складає понад 40% в обох випадках.</w:t>
      </w:r>
    </w:p>
    <w:p w:rsidR="00B23B94" w:rsidRDefault="003B2D3B">
      <w:pPr>
        <w:pStyle w:val="a3"/>
        <w:spacing w:before="2" w:line="360" w:lineRule="auto"/>
        <w:ind w:left="542" w:right="786" w:firstLine="705"/>
      </w:pPr>
      <w:r>
        <w:t>Післяопераційні ускладнення, які виникли у пацієнтів первинно оперованих на 20-21 добу після відкритих НСЕ були: кишкова нориця – 4 (4,5%) пацієнт, арозивна кровотеча – 1 (1,1%) пацієнт.</w:t>
      </w:r>
    </w:p>
    <w:p w:rsidR="00B23B94" w:rsidRDefault="003B2D3B">
      <w:pPr>
        <w:pStyle w:val="a3"/>
        <w:spacing w:line="360" w:lineRule="auto"/>
        <w:ind w:left="542" w:right="784" w:firstLine="705"/>
      </w:pPr>
      <w:r>
        <w:t>Пацієнтам яким були виконані етапні НСЕ після попередніх оперативних втручань (24 пацієнти – 27,6%) виконували релапаротомію з НСЕ у 19 (21,8%) хворих, лівобічну люмботомію з НСЕ – у 5 (5,7%) хворих. (табл. 3.6).</w:t>
      </w:r>
    </w:p>
    <w:p w:rsidR="00B23B94" w:rsidRDefault="003B2D3B">
      <w:pPr>
        <w:pStyle w:val="a3"/>
        <w:spacing w:before="1" w:line="360" w:lineRule="auto"/>
        <w:ind w:left="542" w:right="786" w:firstLine="705"/>
      </w:pPr>
      <w:r>
        <w:t xml:space="preserve">Первинно дренування локальних парапанкреатичних ускладнень було ефективним у пацієнтів з рідинними скупченнями без тканинного компоненту і поширенням деструктивного процесу на </w:t>
      </w:r>
      <w:r>
        <w:rPr>
          <w:spacing w:val="2"/>
        </w:rPr>
        <w:t xml:space="preserve">1-2 </w:t>
      </w:r>
      <w:r>
        <w:t>ЗППН. В свою чергу, пацієнтам з розповсюдженням парапанкреатичних ускладнень на 3 і більше ЗППН в переважній більшості випадків первинно виконували відкриті НСЕ (21,8%). Етапні НСЕ у групі порівняння виконувалися у 46% пацієнтів, при цьому частіше дані операції були показані хворим з поширенням деструктивного процесу на 3 та більше</w:t>
      </w:r>
      <w:r>
        <w:rPr>
          <w:spacing w:val="-11"/>
        </w:rPr>
        <w:t xml:space="preserve"> </w:t>
      </w:r>
      <w:r>
        <w:t>ЗППН.</w:t>
      </w:r>
    </w:p>
    <w:p w:rsidR="00B23B94" w:rsidRDefault="003B2D3B">
      <w:pPr>
        <w:pStyle w:val="a3"/>
        <w:spacing w:before="1" w:line="360" w:lineRule="auto"/>
        <w:ind w:left="542" w:right="782" w:firstLine="707"/>
      </w:pPr>
      <w:r>
        <w:t>Загалом післяопераційні ускладнення після дренування під УЗ- контролем не спостерігалося; після відкритих НСЕ виникли у 9 (10,3%) хворих. Структура ускладнень при відкритих оперативних втручаннях у хворих з інфекційно-септичними ускладненнями деструктивного панкреатиту представлена в таблиці</w:t>
      </w:r>
      <w:r>
        <w:rPr>
          <w:spacing w:val="-5"/>
        </w:rPr>
        <w:t xml:space="preserve"> </w:t>
      </w:r>
      <w:r>
        <w:t>3.8.</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right="784"/>
        <w:jc w:val="right"/>
        <w:rPr>
          <w:i/>
          <w:sz w:val="28"/>
        </w:rPr>
      </w:pPr>
      <w:r>
        <w:rPr>
          <w:i/>
          <w:sz w:val="28"/>
        </w:rPr>
        <w:lastRenderedPageBreak/>
        <w:t>Таблиця 3.8</w:t>
      </w:r>
    </w:p>
    <w:p w:rsidR="00B23B94" w:rsidRDefault="003B2D3B">
      <w:pPr>
        <w:pStyle w:val="1"/>
        <w:spacing w:before="164"/>
        <w:ind w:left="591" w:right="769"/>
        <w:jc w:val="center"/>
      </w:pPr>
      <w:r>
        <w:t>Структура післяопераційних ускладнень після відкритих НСЕ</w:t>
      </w:r>
    </w:p>
    <w:p w:rsidR="00B23B94" w:rsidRDefault="00B23B94">
      <w:pPr>
        <w:pStyle w:val="a3"/>
        <w:ind w:left="0"/>
        <w:jc w:val="left"/>
        <w:rPr>
          <w:b/>
          <w:sz w:val="20"/>
        </w:rPr>
      </w:pPr>
    </w:p>
    <w:p w:rsidR="00B23B94" w:rsidRDefault="00B23B94">
      <w:pPr>
        <w:pStyle w:val="a3"/>
        <w:ind w:left="0"/>
        <w:jc w:val="left"/>
        <w:rPr>
          <w:b/>
          <w:sz w:val="20"/>
        </w:rPr>
      </w:pPr>
    </w:p>
    <w:p w:rsidR="00B23B94" w:rsidRDefault="00B23B94">
      <w:pPr>
        <w:pStyle w:val="a3"/>
        <w:spacing w:before="10"/>
        <w:ind w:left="0"/>
        <w:jc w:val="left"/>
        <w:rPr>
          <w:b/>
          <w:sz w:val="15"/>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2"/>
        <w:gridCol w:w="1277"/>
        <w:gridCol w:w="1134"/>
        <w:gridCol w:w="1277"/>
        <w:gridCol w:w="1129"/>
      </w:tblGrid>
      <w:tr w:rsidR="00B23B94">
        <w:trPr>
          <w:trHeight w:val="736"/>
        </w:trPr>
        <w:tc>
          <w:tcPr>
            <w:tcW w:w="4532" w:type="dxa"/>
            <w:vMerge w:val="restart"/>
          </w:tcPr>
          <w:p w:rsidR="00B23B94" w:rsidRDefault="00B23B94">
            <w:pPr>
              <w:pStyle w:val="TableParagraph"/>
              <w:jc w:val="left"/>
              <w:rPr>
                <w:sz w:val="28"/>
              </w:rPr>
            </w:pPr>
          </w:p>
        </w:tc>
        <w:tc>
          <w:tcPr>
            <w:tcW w:w="2411" w:type="dxa"/>
            <w:gridSpan w:val="2"/>
          </w:tcPr>
          <w:p w:rsidR="00B23B94" w:rsidRDefault="003B2D3B">
            <w:pPr>
              <w:pStyle w:val="TableParagraph"/>
              <w:spacing w:before="127"/>
              <w:ind w:left="568"/>
              <w:jc w:val="left"/>
              <w:rPr>
                <w:sz w:val="28"/>
              </w:rPr>
            </w:pPr>
            <w:r>
              <w:rPr>
                <w:sz w:val="28"/>
              </w:rPr>
              <w:t>12-14 доба</w:t>
            </w:r>
          </w:p>
        </w:tc>
        <w:tc>
          <w:tcPr>
            <w:tcW w:w="2406" w:type="dxa"/>
            <w:gridSpan w:val="2"/>
          </w:tcPr>
          <w:p w:rsidR="00B23B94" w:rsidRDefault="003B2D3B">
            <w:pPr>
              <w:pStyle w:val="TableParagraph"/>
              <w:spacing w:before="127"/>
              <w:ind w:left="565"/>
              <w:jc w:val="left"/>
              <w:rPr>
                <w:sz w:val="28"/>
              </w:rPr>
            </w:pPr>
            <w:r>
              <w:rPr>
                <w:sz w:val="28"/>
              </w:rPr>
              <w:t>20-21 доба</w:t>
            </w:r>
          </w:p>
        </w:tc>
      </w:tr>
      <w:tr w:rsidR="00B23B94">
        <w:trPr>
          <w:trHeight w:val="738"/>
        </w:trPr>
        <w:tc>
          <w:tcPr>
            <w:tcW w:w="4532" w:type="dxa"/>
            <w:vMerge/>
            <w:tcBorders>
              <w:top w:val="nil"/>
            </w:tcBorders>
          </w:tcPr>
          <w:p w:rsidR="00B23B94" w:rsidRDefault="00B23B94">
            <w:pPr>
              <w:rPr>
                <w:sz w:val="2"/>
                <w:szCs w:val="2"/>
              </w:rPr>
            </w:pPr>
          </w:p>
        </w:tc>
        <w:tc>
          <w:tcPr>
            <w:tcW w:w="1277" w:type="dxa"/>
          </w:tcPr>
          <w:p w:rsidR="00B23B94" w:rsidRDefault="003B2D3B">
            <w:pPr>
              <w:pStyle w:val="TableParagraph"/>
              <w:spacing w:before="129"/>
              <w:ind w:left="388" w:right="376"/>
              <w:rPr>
                <w:sz w:val="28"/>
              </w:rPr>
            </w:pPr>
            <w:r>
              <w:rPr>
                <w:sz w:val="28"/>
              </w:rPr>
              <w:t>абс.</w:t>
            </w:r>
          </w:p>
        </w:tc>
        <w:tc>
          <w:tcPr>
            <w:tcW w:w="1134" w:type="dxa"/>
          </w:tcPr>
          <w:p w:rsidR="00B23B94" w:rsidRDefault="003B2D3B">
            <w:pPr>
              <w:pStyle w:val="TableParagraph"/>
              <w:spacing w:before="129"/>
              <w:ind w:right="441"/>
              <w:jc w:val="right"/>
              <w:rPr>
                <w:sz w:val="28"/>
              </w:rPr>
            </w:pPr>
            <w:r>
              <w:rPr>
                <w:sz w:val="28"/>
              </w:rPr>
              <w:t>%</w:t>
            </w:r>
          </w:p>
        </w:tc>
        <w:tc>
          <w:tcPr>
            <w:tcW w:w="1277" w:type="dxa"/>
          </w:tcPr>
          <w:p w:rsidR="00B23B94" w:rsidRDefault="003B2D3B">
            <w:pPr>
              <w:pStyle w:val="TableParagraph"/>
              <w:spacing w:before="129"/>
              <w:ind w:left="387" w:right="377"/>
              <w:rPr>
                <w:sz w:val="28"/>
              </w:rPr>
            </w:pPr>
            <w:r>
              <w:rPr>
                <w:sz w:val="28"/>
              </w:rPr>
              <w:t>абс.</w:t>
            </w:r>
          </w:p>
        </w:tc>
        <w:tc>
          <w:tcPr>
            <w:tcW w:w="1129" w:type="dxa"/>
          </w:tcPr>
          <w:p w:rsidR="00B23B94" w:rsidRDefault="003B2D3B">
            <w:pPr>
              <w:pStyle w:val="TableParagraph"/>
              <w:spacing w:before="129"/>
              <w:ind w:left="443"/>
              <w:jc w:val="left"/>
              <w:rPr>
                <w:sz w:val="28"/>
              </w:rPr>
            </w:pPr>
            <w:r>
              <w:rPr>
                <w:sz w:val="28"/>
              </w:rPr>
              <w:t>%</w:t>
            </w:r>
          </w:p>
        </w:tc>
      </w:tr>
      <w:tr w:rsidR="00B23B94">
        <w:trPr>
          <w:trHeight w:val="736"/>
        </w:trPr>
        <w:tc>
          <w:tcPr>
            <w:tcW w:w="4532" w:type="dxa"/>
          </w:tcPr>
          <w:p w:rsidR="00B23B94" w:rsidRDefault="003B2D3B">
            <w:pPr>
              <w:pStyle w:val="TableParagraph"/>
              <w:spacing w:before="127"/>
              <w:ind w:left="107"/>
              <w:jc w:val="left"/>
              <w:rPr>
                <w:sz w:val="28"/>
              </w:rPr>
            </w:pPr>
            <w:r>
              <w:rPr>
                <w:sz w:val="28"/>
              </w:rPr>
              <w:t>Арозивна кровотеча</w:t>
            </w:r>
          </w:p>
        </w:tc>
        <w:tc>
          <w:tcPr>
            <w:tcW w:w="1277" w:type="dxa"/>
          </w:tcPr>
          <w:p w:rsidR="00B23B94" w:rsidRDefault="003B2D3B">
            <w:pPr>
              <w:pStyle w:val="TableParagraph"/>
              <w:spacing w:before="127"/>
              <w:ind w:left="10"/>
              <w:rPr>
                <w:sz w:val="28"/>
              </w:rPr>
            </w:pPr>
            <w:r>
              <w:rPr>
                <w:sz w:val="28"/>
              </w:rPr>
              <w:t>4</w:t>
            </w:r>
          </w:p>
        </w:tc>
        <w:tc>
          <w:tcPr>
            <w:tcW w:w="1134" w:type="dxa"/>
          </w:tcPr>
          <w:p w:rsidR="00B23B94" w:rsidRDefault="003B2D3B">
            <w:pPr>
              <w:pStyle w:val="TableParagraph"/>
              <w:spacing w:before="127"/>
              <w:ind w:right="381"/>
              <w:jc w:val="right"/>
              <w:rPr>
                <w:sz w:val="28"/>
              </w:rPr>
            </w:pPr>
            <w:r>
              <w:rPr>
                <w:sz w:val="28"/>
              </w:rPr>
              <w:t>4,6</w:t>
            </w:r>
          </w:p>
        </w:tc>
        <w:tc>
          <w:tcPr>
            <w:tcW w:w="1277" w:type="dxa"/>
          </w:tcPr>
          <w:p w:rsidR="00B23B94" w:rsidRDefault="003B2D3B">
            <w:pPr>
              <w:pStyle w:val="TableParagraph"/>
              <w:spacing w:before="127"/>
              <w:ind w:left="9"/>
              <w:rPr>
                <w:sz w:val="28"/>
              </w:rPr>
            </w:pPr>
            <w:r>
              <w:rPr>
                <w:sz w:val="28"/>
              </w:rPr>
              <w:t>1</w:t>
            </w:r>
          </w:p>
        </w:tc>
        <w:tc>
          <w:tcPr>
            <w:tcW w:w="1129" w:type="dxa"/>
          </w:tcPr>
          <w:p w:rsidR="00B23B94" w:rsidRDefault="003B2D3B">
            <w:pPr>
              <w:pStyle w:val="TableParagraph"/>
              <w:spacing w:before="127"/>
              <w:ind w:left="385"/>
              <w:jc w:val="left"/>
              <w:rPr>
                <w:sz w:val="28"/>
              </w:rPr>
            </w:pPr>
            <w:r>
              <w:rPr>
                <w:sz w:val="28"/>
              </w:rPr>
              <w:t>1,1</w:t>
            </w:r>
          </w:p>
        </w:tc>
      </w:tr>
      <w:tr w:rsidR="00B23B94">
        <w:trPr>
          <w:trHeight w:val="736"/>
        </w:trPr>
        <w:tc>
          <w:tcPr>
            <w:tcW w:w="4532" w:type="dxa"/>
          </w:tcPr>
          <w:p w:rsidR="00B23B94" w:rsidRDefault="003B2D3B">
            <w:pPr>
              <w:pStyle w:val="TableParagraph"/>
              <w:spacing w:before="127"/>
              <w:ind w:left="107"/>
              <w:jc w:val="left"/>
              <w:rPr>
                <w:sz w:val="28"/>
              </w:rPr>
            </w:pPr>
            <w:r>
              <w:rPr>
                <w:sz w:val="28"/>
              </w:rPr>
              <w:t>Ккишкова нориця</w:t>
            </w:r>
          </w:p>
        </w:tc>
        <w:tc>
          <w:tcPr>
            <w:tcW w:w="1277" w:type="dxa"/>
          </w:tcPr>
          <w:p w:rsidR="00B23B94" w:rsidRDefault="003B2D3B">
            <w:pPr>
              <w:pStyle w:val="TableParagraph"/>
              <w:spacing w:before="127"/>
              <w:ind w:left="7"/>
              <w:rPr>
                <w:sz w:val="28"/>
              </w:rPr>
            </w:pPr>
            <w:r>
              <w:rPr>
                <w:sz w:val="28"/>
              </w:rPr>
              <w:t>-</w:t>
            </w:r>
          </w:p>
        </w:tc>
        <w:tc>
          <w:tcPr>
            <w:tcW w:w="1134" w:type="dxa"/>
          </w:tcPr>
          <w:p w:rsidR="00B23B94" w:rsidRDefault="003B2D3B">
            <w:pPr>
              <w:pStyle w:val="TableParagraph"/>
              <w:spacing w:before="127"/>
              <w:ind w:left="2"/>
              <w:rPr>
                <w:sz w:val="28"/>
              </w:rPr>
            </w:pPr>
            <w:r>
              <w:rPr>
                <w:sz w:val="28"/>
              </w:rPr>
              <w:t>-</w:t>
            </w:r>
          </w:p>
        </w:tc>
        <w:tc>
          <w:tcPr>
            <w:tcW w:w="1277" w:type="dxa"/>
          </w:tcPr>
          <w:p w:rsidR="00B23B94" w:rsidRDefault="003B2D3B">
            <w:pPr>
              <w:pStyle w:val="TableParagraph"/>
              <w:spacing w:before="127"/>
              <w:ind w:left="9"/>
              <w:rPr>
                <w:sz w:val="28"/>
              </w:rPr>
            </w:pPr>
            <w:r>
              <w:rPr>
                <w:sz w:val="28"/>
              </w:rPr>
              <w:t>4</w:t>
            </w:r>
          </w:p>
        </w:tc>
        <w:tc>
          <w:tcPr>
            <w:tcW w:w="1129" w:type="dxa"/>
          </w:tcPr>
          <w:p w:rsidR="00B23B94" w:rsidRDefault="003B2D3B">
            <w:pPr>
              <w:pStyle w:val="TableParagraph"/>
              <w:spacing w:before="127"/>
              <w:ind w:left="385"/>
              <w:jc w:val="left"/>
              <w:rPr>
                <w:sz w:val="28"/>
              </w:rPr>
            </w:pPr>
            <w:r>
              <w:rPr>
                <w:sz w:val="28"/>
              </w:rPr>
              <w:t>4,5</w:t>
            </w:r>
          </w:p>
        </w:tc>
      </w:tr>
    </w:tbl>
    <w:p w:rsidR="00B23B94" w:rsidRDefault="00B23B94">
      <w:pPr>
        <w:pStyle w:val="a3"/>
        <w:ind w:left="0"/>
        <w:jc w:val="left"/>
        <w:rPr>
          <w:b/>
          <w:sz w:val="20"/>
        </w:rPr>
      </w:pPr>
    </w:p>
    <w:p w:rsidR="00B23B94" w:rsidRDefault="003B2D3B">
      <w:pPr>
        <w:pStyle w:val="a3"/>
        <w:spacing w:before="255" w:line="360" w:lineRule="auto"/>
        <w:ind w:left="542" w:right="782" w:firstLine="707"/>
      </w:pPr>
      <w:r>
        <w:t>Таким чином, після відкритих НСЕ які були виконані 12-14 добу виникали ускладнення у вигляді арозивних кровотеч. У оперованих пацієнтів на 20-21 добу переважно зустрічалися ускладнення у вигляді кишкових нориць. Це пов’язано з тим, що стінкою гнійника була поперечно-ободова кишка (1 пацієнт – 1,1%) або дванадцятипала кишка (3 пацієнта – 3,4%). Середній ліжко-день у хворих групи порівняння становив 33,4±3,2 діб. Післяопераційна летальність склала 39,1% (34 хворих).</w:t>
      </w:r>
    </w:p>
    <w:p w:rsidR="00B23B94" w:rsidRDefault="003B2D3B">
      <w:pPr>
        <w:pStyle w:val="a3"/>
        <w:spacing w:line="360" w:lineRule="auto"/>
        <w:ind w:left="542" w:right="785" w:firstLine="707"/>
      </w:pPr>
      <w:r>
        <w:t>Отже, на підставі проведеного аналізу можливо виділити наступні ключові ознаки, що сприяли негативним результатам лікування, а саме: використання стандартних маркерів тяжкості стану і органної дисфункції не дають чітких показань та не визначають оптимальних термінів до хірургічного лікування гнійно-септичних ускладнень деструктивного панкреатиту, про що свідчить висока питома вага ранніх первинних відкритих (49,4%) та повторних у даних пацієнтів (42,8%) НСЕ, з високим відсотком (10,3%) післяопераційних ускладнень, що призвело до летальних наслідків у 39,1% хворих. Відсутність декомпресійного ефекту від дренування рідинних парапанкреатичних скупчень під УЗД контролем потребувало призначення раннього МРТ органів черевної порожнини з метою ранньої діагностики секвестральних</w:t>
      </w:r>
      <w:r>
        <w:rPr>
          <w:spacing w:val="1"/>
        </w:rPr>
        <w:t xml:space="preserve"> </w:t>
      </w:r>
      <w:r>
        <w:t>мас.</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numPr>
          <w:ilvl w:val="1"/>
          <w:numId w:val="8"/>
        </w:numPr>
        <w:tabs>
          <w:tab w:val="left" w:pos="1831"/>
        </w:tabs>
        <w:spacing w:before="89" w:line="360" w:lineRule="auto"/>
        <w:ind w:left="542" w:right="787" w:firstLine="707"/>
        <w:jc w:val="both"/>
      </w:pPr>
      <w:bookmarkStart w:id="10" w:name="_TOC_250006"/>
      <w:bookmarkEnd w:id="10"/>
      <w:r>
        <w:lastRenderedPageBreak/>
        <w:t>Бактеріальний пасаж та антибіотикочутливість збудників гнійно-септичних ускладнень у пацієнтів з гострим тяжким панкреатитом.</w:t>
      </w:r>
    </w:p>
    <w:p w:rsidR="00B23B94" w:rsidRDefault="00B23B94">
      <w:pPr>
        <w:pStyle w:val="a3"/>
        <w:spacing w:before="1"/>
        <w:ind w:left="0"/>
        <w:jc w:val="left"/>
        <w:rPr>
          <w:b/>
          <w:sz w:val="42"/>
        </w:rPr>
      </w:pPr>
    </w:p>
    <w:p w:rsidR="00B23B94" w:rsidRDefault="003B2D3B">
      <w:pPr>
        <w:pStyle w:val="a3"/>
        <w:spacing w:line="360" w:lineRule="auto"/>
        <w:ind w:left="542" w:right="784" w:firstLine="707"/>
      </w:pPr>
      <w:r>
        <w:t>Аналіз бактеріального пасажу у хворих з гнійно-септичним ускладненнями гострого тяжкого панкреатиту проводився на основі 174 результатів дослідження біологічного матеріалу, 87 з яких відносилися до первинного пасажу, 87 – до повторного пасажу.</w:t>
      </w:r>
    </w:p>
    <w:p w:rsidR="00B23B94" w:rsidRDefault="003B2D3B">
      <w:pPr>
        <w:pStyle w:val="a3"/>
        <w:spacing w:line="360" w:lineRule="auto"/>
        <w:ind w:left="542" w:right="785" w:firstLine="707"/>
      </w:pPr>
      <w:r>
        <w:t>49 пацієнтам забір ексудату проводився після первинного дренування чи полідренування. При цьому, у 35 випадках (71,4%) аеробна бактеріальна флора не виявлялася. У 38 хворих вперше забір матеріалу на дослідження виконувався під час «відкритої» операції – ріст мікрофлори виявлено у 37 (97,4%) з них. Повторний посів виділень з дренажів на мікрофлору та чутливість до антибактеріальних препаратів виконували на 5-10 добу в залежності від клінічної картини перебігу захворювання. У порівнянні з первинним БП спостерігали суттєвий ріст мікроорганізмів на поживному середовищі. (табл. 3.9).</w:t>
      </w:r>
    </w:p>
    <w:p w:rsidR="00B23B94" w:rsidRDefault="003B2D3B">
      <w:pPr>
        <w:pStyle w:val="a3"/>
        <w:spacing w:before="1" w:line="360" w:lineRule="auto"/>
        <w:ind w:left="542" w:right="790" w:firstLine="707"/>
      </w:pPr>
      <w:r>
        <w:t>У пацієнтів з гострим тяжким панкреатитом спостерігався значний (49,0%) приріст бактеріальної флори після раннього дренування парапанкреатичних рідинних скупчень.</w:t>
      </w:r>
    </w:p>
    <w:p w:rsidR="00B23B94" w:rsidRDefault="003B2D3B">
      <w:pPr>
        <w:spacing w:before="1"/>
        <w:ind w:left="8509"/>
        <w:rPr>
          <w:i/>
          <w:sz w:val="28"/>
        </w:rPr>
      </w:pPr>
      <w:r>
        <w:rPr>
          <w:i/>
          <w:sz w:val="28"/>
        </w:rPr>
        <w:t>Таблиця 3.9</w:t>
      </w:r>
    </w:p>
    <w:p w:rsidR="00B23B94" w:rsidRDefault="003B2D3B">
      <w:pPr>
        <w:pStyle w:val="1"/>
        <w:spacing w:line="242" w:lineRule="auto"/>
        <w:ind w:left="2253" w:right="1048" w:hanging="731"/>
      </w:pPr>
      <w:r>
        <w:t>Результати первинного і повторного БП пацієнтів з ГСУ ГТП в залежності від методу хірургічного втручання.</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46"/>
        <w:gridCol w:w="999"/>
        <w:gridCol w:w="1003"/>
        <w:gridCol w:w="970"/>
        <w:gridCol w:w="1003"/>
        <w:gridCol w:w="970"/>
        <w:gridCol w:w="1005"/>
        <w:gridCol w:w="969"/>
        <w:gridCol w:w="1005"/>
      </w:tblGrid>
      <w:tr w:rsidR="00B23B94">
        <w:trPr>
          <w:trHeight w:val="481"/>
        </w:trPr>
        <w:tc>
          <w:tcPr>
            <w:tcW w:w="1646" w:type="dxa"/>
            <w:vMerge w:val="restart"/>
          </w:tcPr>
          <w:p w:rsidR="00B23B94" w:rsidRDefault="00B23B94">
            <w:pPr>
              <w:pStyle w:val="TableParagraph"/>
              <w:jc w:val="left"/>
              <w:rPr>
                <w:sz w:val="28"/>
              </w:rPr>
            </w:pPr>
          </w:p>
        </w:tc>
        <w:tc>
          <w:tcPr>
            <w:tcW w:w="3975" w:type="dxa"/>
            <w:gridSpan w:val="4"/>
          </w:tcPr>
          <w:p w:rsidR="00B23B94" w:rsidRDefault="003B2D3B">
            <w:pPr>
              <w:pStyle w:val="TableParagraph"/>
              <w:spacing w:line="317" w:lineRule="exact"/>
              <w:ind w:left="1097"/>
              <w:jc w:val="left"/>
              <w:rPr>
                <w:sz w:val="28"/>
              </w:rPr>
            </w:pPr>
            <w:r>
              <w:rPr>
                <w:sz w:val="28"/>
              </w:rPr>
              <w:t>Первинний БП</w:t>
            </w:r>
          </w:p>
        </w:tc>
        <w:tc>
          <w:tcPr>
            <w:tcW w:w="3949" w:type="dxa"/>
            <w:gridSpan w:val="4"/>
          </w:tcPr>
          <w:p w:rsidR="00B23B94" w:rsidRDefault="003B2D3B">
            <w:pPr>
              <w:pStyle w:val="TableParagraph"/>
              <w:spacing w:line="317" w:lineRule="exact"/>
              <w:ind w:left="1095"/>
              <w:jc w:val="left"/>
              <w:rPr>
                <w:sz w:val="28"/>
              </w:rPr>
            </w:pPr>
            <w:r>
              <w:rPr>
                <w:sz w:val="28"/>
              </w:rPr>
              <w:t>Повторний БП</w:t>
            </w:r>
          </w:p>
        </w:tc>
      </w:tr>
      <w:tr w:rsidR="00B23B94">
        <w:trPr>
          <w:trHeight w:val="967"/>
        </w:trPr>
        <w:tc>
          <w:tcPr>
            <w:tcW w:w="1646" w:type="dxa"/>
            <w:vMerge/>
            <w:tcBorders>
              <w:top w:val="nil"/>
            </w:tcBorders>
          </w:tcPr>
          <w:p w:rsidR="00B23B94" w:rsidRDefault="00B23B94">
            <w:pPr>
              <w:rPr>
                <w:sz w:val="2"/>
                <w:szCs w:val="2"/>
              </w:rPr>
            </w:pPr>
          </w:p>
        </w:tc>
        <w:tc>
          <w:tcPr>
            <w:tcW w:w="2002" w:type="dxa"/>
            <w:gridSpan w:val="2"/>
          </w:tcPr>
          <w:p w:rsidR="00B23B94" w:rsidRDefault="003B2D3B">
            <w:pPr>
              <w:pStyle w:val="TableParagraph"/>
              <w:spacing w:before="156" w:line="242" w:lineRule="auto"/>
              <w:ind w:left="288" w:right="261" w:firstLine="470"/>
              <w:jc w:val="left"/>
              <w:rPr>
                <w:sz w:val="28"/>
              </w:rPr>
            </w:pPr>
            <w:r>
              <w:rPr>
                <w:sz w:val="28"/>
              </w:rPr>
              <w:t>Ріст мікрофлори</w:t>
            </w:r>
          </w:p>
        </w:tc>
        <w:tc>
          <w:tcPr>
            <w:tcW w:w="1973" w:type="dxa"/>
            <w:gridSpan w:val="2"/>
          </w:tcPr>
          <w:p w:rsidR="00B23B94" w:rsidRDefault="003B2D3B">
            <w:pPr>
              <w:pStyle w:val="TableParagraph"/>
              <w:ind w:left="653" w:right="260" w:hanging="366"/>
              <w:jc w:val="left"/>
              <w:rPr>
                <w:sz w:val="28"/>
              </w:rPr>
            </w:pPr>
            <w:r>
              <w:rPr>
                <w:sz w:val="28"/>
              </w:rPr>
              <w:t>Відсутність росту</w:t>
            </w:r>
          </w:p>
          <w:p w:rsidR="00B23B94" w:rsidRDefault="003B2D3B">
            <w:pPr>
              <w:pStyle w:val="TableParagraph"/>
              <w:spacing w:line="306" w:lineRule="exact"/>
              <w:ind w:left="273"/>
              <w:jc w:val="left"/>
              <w:rPr>
                <w:sz w:val="28"/>
              </w:rPr>
            </w:pPr>
            <w:r>
              <w:rPr>
                <w:sz w:val="28"/>
              </w:rPr>
              <w:t>мікрофлори</w:t>
            </w:r>
          </w:p>
        </w:tc>
        <w:tc>
          <w:tcPr>
            <w:tcW w:w="1975" w:type="dxa"/>
            <w:gridSpan w:val="2"/>
          </w:tcPr>
          <w:p w:rsidR="00B23B94" w:rsidRDefault="003B2D3B">
            <w:pPr>
              <w:pStyle w:val="TableParagraph"/>
              <w:spacing w:before="156" w:line="242" w:lineRule="auto"/>
              <w:ind w:left="276" w:right="246" w:firstLine="471"/>
              <w:jc w:val="left"/>
              <w:rPr>
                <w:sz w:val="28"/>
              </w:rPr>
            </w:pPr>
            <w:r>
              <w:rPr>
                <w:sz w:val="28"/>
              </w:rPr>
              <w:t>Ріст мікрофлори</w:t>
            </w:r>
          </w:p>
        </w:tc>
        <w:tc>
          <w:tcPr>
            <w:tcW w:w="1974" w:type="dxa"/>
            <w:gridSpan w:val="2"/>
          </w:tcPr>
          <w:p w:rsidR="00B23B94" w:rsidRDefault="003B2D3B">
            <w:pPr>
              <w:pStyle w:val="TableParagraph"/>
              <w:ind w:left="656" w:right="260" w:hanging="368"/>
              <w:jc w:val="left"/>
              <w:rPr>
                <w:sz w:val="28"/>
              </w:rPr>
            </w:pPr>
            <w:r>
              <w:rPr>
                <w:sz w:val="28"/>
              </w:rPr>
              <w:t>Відсутність росту</w:t>
            </w:r>
          </w:p>
          <w:p w:rsidR="00B23B94" w:rsidRDefault="003B2D3B">
            <w:pPr>
              <w:pStyle w:val="TableParagraph"/>
              <w:spacing w:line="306" w:lineRule="exact"/>
              <w:ind w:left="277"/>
              <w:jc w:val="left"/>
              <w:rPr>
                <w:sz w:val="28"/>
              </w:rPr>
            </w:pPr>
            <w:r>
              <w:rPr>
                <w:sz w:val="28"/>
              </w:rPr>
              <w:t>мікрофлори</w:t>
            </w:r>
          </w:p>
        </w:tc>
      </w:tr>
      <w:tr w:rsidR="00B23B94">
        <w:trPr>
          <w:trHeight w:val="482"/>
        </w:trPr>
        <w:tc>
          <w:tcPr>
            <w:tcW w:w="1646" w:type="dxa"/>
            <w:vMerge/>
            <w:tcBorders>
              <w:top w:val="nil"/>
            </w:tcBorders>
          </w:tcPr>
          <w:p w:rsidR="00B23B94" w:rsidRDefault="00B23B94">
            <w:pPr>
              <w:rPr>
                <w:sz w:val="2"/>
                <w:szCs w:val="2"/>
              </w:rPr>
            </w:pPr>
          </w:p>
        </w:tc>
        <w:tc>
          <w:tcPr>
            <w:tcW w:w="999" w:type="dxa"/>
          </w:tcPr>
          <w:p w:rsidR="00B23B94" w:rsidRDefault="003B2D3B">
            <w:pPr>
              <w:pStyle w:val="TableParagraph"/>
              <w:spacing w:line="317" w:lineRule="exact"/>
              <w:ind w:left="250" w:right="237"/>
              <w:rPr>
                <w:sz w:val="28"/>
              </w:rPr>
            </w:pPr>
            <w:r>
              <w:rPr>
                <w:sz w:val="28"/>
              </w:rPr>
              <w:t>абс.</w:t>
            </w:r>
          </w:p>
        </w:tc>
        <w:tc>
          <w:tcPr>
            <w:tcW w:w="1003" w:type="dxa"/>
          </w:tcPr>
          <w:p w:rsidR="00B23B94" w:rsidRDefault="003B2D3B">
            <w:pPr>
              <w:pStyle w:val="TableParagraph"/>
              <w:spacing w:line="317" w:lineRule="exact"/>
              <w:ind w:left="9"/>
              <w:rPr>
                <w:sz w:val="28"/>
              </w:rPr>
            </w:pPr>
            <w:r>
              <w:rPr>
                <w:sz w:val="28"/>
              </w:rPr>
              <w:t>%</w:t>
            </w:r>
          </w:p>
        </w:tc>
        <w:tc>
          <w:tcPr>
            <w:tcW w:w="970" w:type="dxa"/>
          </w:tcPr>
          <w:p w:rsidR="00B23B94" w:rsidRDefault="003B2D3B">
            <w:pPr>
              <w:pStyle w:val="TableParagraph"/>
              <w:spacing w:line="317" w:lineRule="exact"/>
              <w:ind w:left="235" w:right="223"/>
              <w:rPr>
                <w:sz w:val="28"/>
              </w:rPr>
            </w:pPr>
            <w:r>
              <w:rPr>
                <w:sz w:val="28"/>
              </w:rPr>
              <w:t>абс.</w:t>
            </w:r>
          </w:p>
        </w:tc>
        <w:tc>
          <w:tcPr>
            <w:tcW w:w="1003" w:type="dxa"/>
          </w:tcPr>
          <w:p w:rsidR="00B23B94" w:rsidRDefault="003B2D3B">
            <w:pPr>
              <w:pStyle w:val="TableParagraph"/>
              <w:spacing w:line="317" w:lineRule="exact"/>
              <w:ind w:left="4"/>
              <w:rPr>
                <w:sz w:val="28"/>
              </w:rPr>
            </w:pPr>
            <w:r>
              <w:rPr>
                <w:sz w:val="28"/>
              </w:rPr>
              <w:t>%</w:t>
            </w:r>
          </w:p>
        </w:tc>
        <w:tc>
          <w:tcPr>
            <w:tcW w:w="970" w:type="dxa"/>
          </w:tcPr>
          <w:p w:rsidR="00B23B94" w:rsidRDefault="003B2D3B">
            <w:pPr>
              <w:pStyle w:val="TableParagraph"/>
              <w:spacing w:line="317" w:lineRule="exact"/>
              <w:ind w:left="235" w:right="222"/>
              <w:rPr>
                <w:sz w:val="28"/>
              </w:rPr>
            </w:pPr>
            <w:r>
              <w:rPr>
                <w:sz w:val="28"/>
              </w:rPr>
              <w:t>абс.</w:t>
            </w:r>
          </w:p>
        </w:tc>
        <w:tc>
          <w:tcPr>
            <w:tcW w:w="1005" w:type="dxa"/>
          </w:tcPr>
          <w:p w:rsidR="00B23B94" w:rsidRDefault="003B2D3B">
            <w:pPr>
              <w:pStyle w:val="TableParagraph"/>
              <w:spacing w:line="317" w:lineRule="exact"/>
              <w:ind w:left="13"/>
              <w:rPr>
                <w:sz w:val="28"/>
              </w:rPr>
            </w:pPr>
            <w:r>
              <w:rPr>
                <w:sz w:val="28"/>
              </w:rPr>
              <w:t>%</w:t>
            </w:r>
          </w:p>
        </w:tc>
        <w:tc>
          <w:tcPr>
            <w:tcW w:w="969" w:type="dxa"/>
          </w:tcPr>
          <w:p w:rsidR="00B23B94" w:rsidRDefault="003B2D3B">
            <w:pPr>
              <w:pStyle w:val="TableParagraph"/>
              <w:spacing w:line="317" w:lineRule="exact"/>
              <w:ind w:left="236" w:right="221"/>
              <w:rPr>
                <w:sz w:val="28"/>
              </w:rPr>
            </w:pPr>
            <w:r>
              <w:rPr>
                <w:sz w:val="28"/>
              </w:rPr>
              <w:t>абс.</w:t>
            </w:r>
          </w:p>
        </w:tc>
        <w:tc>
          <w:tcPr>
            <w:tcW w:w="1005" w:type="dxa"/>
          </w:tcPr>
          <w:p w:rsidR="00B23B94" w:rsidRDefault="003B2D3B">
            <w:pPr>
              <w:pStyle w:val="TableParagraph"/>
              <w:spacing w:line="317" w:lineRule="exact"/>
              <w:ind w:left="16"/>
              <w:rPr>
                <w:sz w:val="28"/>
              </w:rPr>
            </w:pPr>
            <w:r>
              <w:rPr>
                <w:sz w:val="28"/>
              </w:rPr>
              <w:t>%</w:t>
            </w:r>
          </w:p>
        </w:tc>
      </w:tr>
      <w:tr w:rsidR="00B23B94">
        <w:trPr>
          <w:trHeight w:val="966"/>
        </w:trPr>
        <w:tc>
          <w:tcPr>
            <w:tcW w:w="1646" w:type="dxa"/>
          </w:tcPr>
          <w:p w:rsidR="00B23B94" w:rsidRDefault="003B2D3B">
            <w:pPr>
              <w:pStyle w:val="TableParagraph"/>
              <w:ind w:left="290" w:right="78" w:hanging="183"/>
              <w:jc w:val="left"/>
              <w:rPr>
                <w:sz w:val="28"/>
              </w:rPr>
            </w:pPr>
            <w:r>
              <w:rPr>
                <w:sz w:val="28"/>
              </w:rPr>
              <w:t>Дренування під УЗД-</w:t>
            </w:r>
          </w:p>
          <w:p w:rsidR="00B23B94" w:rsidRDefault="003B2D3B">
            <w:pPr>
              <w:pStyle w:val="TableParagraph"/>
              <w:spacing w:line="306" w:lineRule="exact"/>
              <w:ind w:left="186"/>
              <w:jc w:val="left"/>
              <w:rPr>
                <w:sz w:val="28"/>
              </w:rPr>
            </w:pPr>
            <w:r>
              <w:rPr>
                <w:sz w:val="28"/>
              </w:rPr>
              <w:t>контролем</w:t>
            </w:r>
          </w:p>
        </w:tc>
        <w:tc>
          <w:tcPr>
            <w:tcW w:w="999" w:type="dxa"/>
          </w:tcPr>
          <w:p w:rsidR="00B23B94" w:rsidRDefault="003B2D3B">
            <w:pPr>
              <w:pStyle w:val="TableParagraph"/>
              <w:spacing w:before="238"/>
              <w:ind w:left="247" w:right="237"/>
              <w:rPr>
                <w:sz w:val="28"/>
              </w:rPr>
            </w:pPr>
            <w:r>
              <w:rPr>
                <w:sz w:val="28"/>
              </w:rPr>
              <w:t>14</w:t>
            </w:r>
          </w:p>
        </w:tc>
        <w:tc>
          <w:tcPr>
            <w:tcW w:w="1003" w:type="dxa"/>
          </w:tcPr>
          <w:p w:rsidR="00B23B94" w:rsidRDefault="003B2D3B">
            <w:pPr>
              <w:pStyle w:val="TableParagraph"/>
              <w:spacing w:before="238"/>
              <w:ind w:left="236" w:right="226"/>
              <w:rPr>
                <w:sz w:val="28"/>
              </w:rPr>
            </w:pPr>
            <w:r>
              <w:rPr>
                <w:sz w:val="28"/>
              </w:rPr>
              <w:t>28,6</w:t>
            </w:r>
          </w:p>
        </w:tc>
        <w:tc>
          <w:tcPr>
            <w:tcW w:w="970" w:type="dxa"/>
          </w:tcPr>
          <w:p w:rsidR="00B23B94" w:rsidRDefault="003B2D3B">
            <w:pPr>
              <w:pStyle w:val="TableParagraph"/>
              <w:spacing w:before="238"/>
              <w:ind w:left="234" w:right="223"/>
              <w:rPr>
                <w:sz w:val="28"/>
              </w:rPr>
            </w:pPr>
            <w:r>
              <w:rPr>
                <w:sz w:val="28"/>
              </w:rPr>
              <w:t>35</w:t>
            </w:r>
          </w:p>
        </w:tc>
        <w:tc>
          <w:tcPr>
            <w:tcW w:w="1003" w:type="dxa"/>
          </w:tcPr>
          <w:p w:rsidR="00B23B94" w:rsidRDefault="003B2D3B">
            <w:pPr>
              <w:pStyle w:val="TableParagraph"/>
              <w:spacing w:before="238"/>
              <w:ind w:right="246"/>
              <w:jc w:val="right"/>
              <w:rPr>
                <w:sz w:val="28"/>
              </w:rPr>
            </w:pPr>
            <w:r>
              <w:rPr>
                <w:sz w:val="28"/>
              </w:rPr>
              <w:t>71,4</w:t>
            </w:r>
          </w:p>
        </w:tc>
        <w:tc>
          <w:tcPr>
            <w:tcW w:w="970" w:type="dxa"/>
          </w:tcPr>
          <w:p w:rsidR="00B23B94" w:rsidRDefault="003B2D3B">
            <w:pPr>
              <w:pStyle w:val="TableParagraph"/>
              <w:spacing w:before="238"/>
              <w:ind w:left="233" w:right="223"/>
              <w:rPr>
                <w:sz w:val="28"/>
              </w:rPr>
            </w:pPr>
            <w:r>
              <w:rPr>
                <w:sz w:val="28"/>
              </w:rPr>
              <w:t>38</w:t>
            </w:r>
          </w:p>
        </w:tc>
        <w:tc>
          <w:tcPr>
            <w:tcW w:w="1005" w:type="dxa"/>
          </w:tcPr>
          <w:p w:rsidR="00B23B94" w:rsidRDefault="003B2D3B">
            <w:pPr>
              <w:pStyle w:val="TableParagraph"/>
              <w:spacing w:before="238"/>
              <w:ind w:left="236" w:right="226"/>
              <w:rPr>
                <w:sz w:val="28"/>
              </w:rPr>
            </w:pPr>
            <w:r>
              <w:rPr>
                <w:sz w:val="28"/>
              </w:rPr>
              <w:t>77,6</w:t>
            </w:r>
          </w:p>
        </w:tc>
        <w:tc>
          <w:tcPr>
            <w:tcW w:w="969" w:type="dxa"/>
          </w:tcPr>
          <w:p w:rsidR="00B23B94" w:rsidRDefault="003B2D3B">
            <w:pPr>
              <w:pStyle w:val="TableParagraph"/>
              <w:spacing w:before="238"/>
              <w:ind w:left="234" w:right="221"/>
              <w:rPr>
                <w:sz w:val="28"/>
              </w:rPr>
            </w:pPr>
            <w:r>
              <w:rPr>
                <w:sz w:val="28"/>
              </w:rPr>
              <w:t>11</w:t>
            </w:r>
          </w:p>
        </w:tc>
        <w:tc>
          <w:tcPr>
            <w:tcW w:w="1005" w:type="dxa"/>
          </w:tcPr>
          <w:p w:rsidR="00B23B94" w:rsidRDefault="003B2D3B">
            <w:pPr>
              <w:pStyle w:val="TableParagraph"/>
              <w:spacing w:before="238"/>
              <w:ind w:left="237" w:right="224"/>
              <w:rPr>
                <w:sz w:val="28"/>
              </w:rPr>
            </w:pPr>
            <w:r>
              <w:rPr>
                <w:sz w:val="28"/>
              </w:rPr>
              <w:t>22,4</w:t>
            </w:r>
          </w:p>
        </w:tc>
      </w:tr>
      <w:tr w:rsidR="00B23B94">
        <w:trPr>
          <w:trHeight w:val="482"/>
        </w:trPr>
        <w:tc>
          <w:tcPr>
            <w:tcW w:w="1646" w:type="dxa"/>
          </w:tcPr>
          <w:p w:rsidR="00B23B94" w:rsidRDefault="003B2D3B">
            <w:pPr>
              <w:pStyle w:val="TableParagraph"/>
              <w:spacing w:before="74"/>
              <w:ind w:left="542"/>
              <w:jc w:val="left"/>
              <w:rPr>
                <w:sz w:val="28"/>
              </w:rPr>
            </w:pPr>
            <w:r>
              <w:rPr>
                <w:sz w:val="28"/>
              </w:rPr>
              <w:t>НСЕ</w:t>
            </w:r>
          </w:p>
        </w:tc>
        <w:tc>
          <w:tcPr>
            <w:tcW w:w="999" w:type="dxa"/>
          </w:tcPr>
          <w:p w:rsidR="00B23B94" w:rsidRDefault="003B2D3B">
            <w:pPr>
              <w:pStyle w:val="TableParagraph"/>
              <w:spacing w:line="317" w:lineRule="exact"/>
              <w:ind w:left="247" w:right="237"/>
              <w:rPr>
                <w:sz w:val="28"/>
              </w:rPr>
            </w:pPr>
            <w:r>
              <w:rPr>
                <w:sz w:val="28"/>
              </w:rPr>
              <w:t>37</w:t>
            </w:r>
          </w:p>
        </w:tc>
        <w:tc>
          <w:tcPr>
            <w:tcW w:w="1003" w:type="dxa"/>
          </w:tcPr>
          <w:p w:rsidR="00B23B94" w:rsidRDefault="003B2D3B">
            <w:pPr>
              <w:pStyle w:val="TableParagraph"/>
              <w:spacing w:line="317" w:lineRule="exact"/>
              <w:ind w:left="236" w:right="226"/>
              <w:rPr>
                <w:sz w:val="28"/>
              </w:rPr>
            </w:pPr>
            <w:r>
              <w:rPr>
                <w:sz w:val="28"/>
              </w:rPr>
              <w:t>97,4</w:t>
            </w:r>
          </w:p>
        </w:tc>
        <w:tc>
          <w:tcPr>
            <w:tcW w:w="970" w:type="dxa"/>
          </w:tcPr>
          <w:p w:rsidR="00B23B94" w:rsidRDefault="003B2D3B">
            <w:pPr>
              <w:pStyle w:val="TableParagraph"/>
              <w:spacing w:line="317" w:lineRule="exact"/>
              <w:ind w:left="12"/>
              <w:rPr>
                <w:sz w:val="28"/>
              </w:rPr>
            </w:pPr>
            <w:r>
              <w:rPr>
                <w:sz w:val="28"/>
              </w:rPr>
              <w:t>1</w:t>
            </w:r>
          </w:p>
        </w:tc>
        <w:tc>
          <w:tcPr>
            <w:tcW w:w="1003" w:type="dxa"/>
          </w:tcPr>
          <w:p w:rsidR="00B23B94" w:rsidRDefault="003B2D3B">
            <w:pPr>
              <w:pStyle w:val="TableParagraph"/>
              <w:spacing w:line="317" w:lineRule="exact"/>
              <w:ind w:right="314"/>
              <w:jc w:val="right"/>
              <w:rPr>
                <w:sz w:val="28"/>
              </w:rPr>
            </w:pPr>
            <w:r>
              <w:rPr>
                <w:sz w:val="28"/>
              </w:rPr>
              <w:t>2,6</w:t>
            </w:r>
          </w:p>
        </w:tc>
        <w:tc>
          <w:tcPr>
            <w:tcW w:w="970" w:type="dxa"/>
          </w:tcPr>
          <w:p w:rsidR="00B23B94" w:rsidRDefault="003B2D3B">
            <w:pPr>
              <w:pStyle w:val="TableParagraph"/>
              <w:spacing w:line="317" w:lineRule="exact"/>
              <w:ind w:left="233" w:right="223"/>
              <w:rPr>
                <w:sz w:val="28"/>
              </w:rPr>
            </w:pPr>
            <w:r>
              <w:rPr>
                <w:sz w:val="28"/>
              </w:rPr>
              <w:t>37</w:t>
            </w:r>
          </w:p>
        </w:tc>
        <w:tc>
          <w:tcPr>
            <w:tcW w:w="1005" w:type="dxa"/>
          </w:tcPr>
          <w:p w:rsidR="00B23B94" w:rsidRDefault="003B2D3B">
            <w:pPr>
              <w:pStyle w:val="TableParagraph"/>
              <w:spacing w:line="317" w:lineRule="exact"/>
              <w:ind w:left="236" w:right="226"/>
              <w:rPr>
                <w:sz w:val="28"/>
              </w:rPr>
            </w:pPr>
            <w:r>
              <w:rPr>
                <w:sz w:val="28"/>
              </w:rPr>
              <w:t>97,4</w:t>
            </w:r>
          </w:p>
        </w:tc>
        <w:tc>
          <w:tcPr>
            <w:tcW w:w="969" w:type="dxa"/>
          </w:tcPr>
          <w:p w:rsidR="00B23B94" w:rsidRDefault="003B2D3B">
            <w:pPr>
              <w:pStyle w:val="TableParagraph"/>
              <w:spacing w:line="317" w:lineRule="exact"/>
              <w:ind w:left="14"/>
              <w:rPr>
                <w:sz w:val="28"/>
              </w:rPr>
            </w:pPr>
            <w:r>
              <w:rPr>
                <w:sz w:val="28"/>
              </w:rPr>
              <w:t>1</w:t>
            </w:r>
          </w:p>
        </w:tc>
        <w:tc>
          <w:tcPr>
            <w:tcW w:w="1005" w:type="dxa"/>
          </w:tcPr>
          <w:p w:rsidR="00B23B94" w:rsidRDefault="003B2D3B">
            <w:pPr>
              <w:pStyle w:val="TableParagraph"/>
              <w:spacing w:line="317" w:lineRule="exact"/>
              <w:ind w:left="237" w:right="223"/>
              <w:rPr>
                <w:sz w:val="28"/>
              </w:rPr>
            </w:pPr>
            <w:r>
              <w:rPr>
                <w:sz w:val="28"/>
              </w:rPr>
              <w:t>2,6</w:t>
            </w:r>
          </w:p>
        </w:tc>
      </w:tr>
    </w:tbl>
    <w:p w:rsidR="00B23B94" w:rsidRDefault="00B23B94">
      <w:pPr>
        <w:spacing w:line="317" w:lineRule="exact"/>
        <w:rPr>
          <w:sz w:val="28"/>
        </w:rPr>
        <w:sectPr w:rsidR="00B23B94">
          <w:pgSz w:w="11910" w:h="16840"/>
          <w:pgMar w:top="1040" w:right="60" w:bottom="280" w:left="1160" w:header="719" w:footer="0" w:gutter="0"/>
          <w:cols w:space="720"/>
        </w:sectPr>
      </w:pPr>
    </w:p>
    <w:p w:rsidR="00B23B94" w:rsidRDefault="003B2D3B">
      <w:pPr>
        <w:pStyle w:val="a3"/>
        <w:spacing w:before="89" w:line="362" w:lineRule="auto"/>
        <w:ind w:left="542" w:right="1048" w:firstLine="707"/>
        <w:jc w:val="left"/>
      </w:pPr>
      <w:r>
        <w:lastRenderedPageBreak/>
        <w:t>Видовий спектр збудників первинного і повторного бактеріальних пасажів представлено в таблиці 3.10.</w:t>
      </w:r>
    </w:p>
    <w:p w:rsidR="00B23B94" w:rsidRDefault="003B2D3B">
      <w:pPr>
        <w:spacing w:line="318" w:lineRule="exact"/>
        <w:ind w:left="8370"/>
        <w:rPr>
          <w:i/>
          <w:sz w:val="28"/>
        </w:rPr>
      </w:pPr>
      <w:r>
        <w:rPr>
          <w:i/>
          <w:sz w:val="28"/>
        </w:rPr>
        <w:t>Таблиця 3.10</w:t>
      </w:r>
    </w:p>
    <w:p w:rsidR="00B23B94" w:rsidRDefault="003B2D3B">
      <w:pPr>
        <w:pStyle w:val="1"/>
        <w:ind w:left="3170" w:right="963" w:hanging="1736"/>
      </w:pPr>
      <w:r>
        <w:t>Питома вага збудників первинного та повторного бактеріальних пасажів у хворих на ГТП з ГСУ.</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2"/>
        <w:gridCol w:w="1565"/>
        <w:gridCol w:w="1275"/>
        <w:gridCol w:w="1560"/>
        <w:gridCol w:w="1241"/>
      </w:tblGrid>
      <w:tr w:rsidR="00B23B94">
        <w:trPr>
          <w:trHeight w:val="482"/>
        </w:trPr>
        <w:tc>
          <w:tcPr>
            <w:tcW w:w="3932" w:type="dxa"/>
            <w:vMerge w:val="restart"/>
          </w:tcPr>
          <w:p w:rsidR="00B23B94" w:rsidRDefault="00B23B94">
            <w:pPr>
              <w:pStyle w:val="TableParagraph"/>
              <w:spacing w:before="10"/>
              <w:jc w:val="left"/>
              <w:rPr>
                <w:b/>
                <w:sz w:val="41"/>
              </w:rPr>
            </w:pPr>
          </w:p>
          <w:p w:rsidR="00B23B94" w:rsidRDefault="003B2D3B">
            <w:pPr>
              <w:pStyle w:val="TableParagraph"/>
              <w:spacing w:before="1"/>
              <w:ind w:left="1338" w:right="1328"/>
              <w:rPr>
                <w:b/>
                <w:sz w:val="28"/>
              </w:rPr>
            </w:pPr>
            <w:r>
              <w:rPr>
                <w:b/>
                <w:sz w:val="28"/>
              </w:rPr>
              <w:t>Збудники</w:t>
            </w:r>
          </w:p>
        </w:tc>
        <w:tc>
          <w:tcPr>
            <w:tcW w:w="5641" w:type="dxa"/>
            <w:gridSpan w:val="4"/>
          </w:tcPr>
          <w:p w:rsidR="00B23B94" w:rsidRDefault="003B2D3B">
            <w:pPr>
              <w:pStyle w:val="TableParagraph"/>
              <w:ind w:left="1802"/>
              <w:jc w:val="left"/>
              <w:rPr>
                <w:b/>
                <w:sz w:val="28"/>
              </w:rPr>
            </w:pPr>
            <w:r>
              <w:rPr>
                <w:b/>
                <w:sz w:val="28"/>
              </w:rPr>
              <w:t>Питома вага, %</w:t>
            </w:r>
          </w:p>
        </w:tc>
      </w:tr>
      <w:tr w:rsidR="00B23B94">
        <w:trPr>
          <w:trHeight w:val="481"/>
        </w:trPr>
        <w:tc>
          <w:tcPr>
            <w:tcW w:w="3932" w:type="dxa"/>
            <w:vMerge/>
            <w:tcBorders>
              <w:top w:val="nil"/>
            </w:tcBorders>
          </w:tcPr>
          <w:p w:rsidR="00B23B94" w:rsidRDefault="00B23B94">
            <w:pPr>
              <w:rPr>
                <w:sz w:val="2"/>
                <w:szCs w:val="2"/>
              </w:rPr>
            </w:pPr>
          </w:p>
        </w:tc>
        <w:tc>
          <w:tcPr>
            <w:tcW w:w="2840" w:type="dxa"/>
            <w:gridSpan w:val="2"/>
          </w:tcPr>
          <w:p w:rsidR="00B23B94" w:rsidRDefault="003B2D3B">
            <w:pPr>
              <w:pStyle w:val="TableParagraph"/>
              <w:ind w:left="453"/>
              <w:jc w:val="left"/>
              <w:rPr>
                <w:b/>
                <w:sz w:val="28"/>
              </w:rPr>
            </w:pPr>
            <w:r>
              <w:rPr>
                <w:b/>
                <w:sz w:val="28"/>
              </w:rPr>
              <w:t>Первинний БП</w:t>
            </w:r>
          </w:p>
        </w:tc>
        <w:tc>
          <w:tcPr>
            <w:tcW w:w="2801" w:type="dxa"/>
            <w:gridSpan w:val="2"/>
          </w:tcPr>
          <w:p w:rsidR="00B23B94" w:rsidRDefault="003B2D3B">
            <w:pPr>
              <w:pStyle w:val="TableParagraph"/>
              <w:ind w:left="450"/>
              <w:jc w:val="left"/>
              <w:rPr>
                <w:b/>
                <w:sz w:val="28"/>
              </w:rPr>
            </w:pPr>
            <w:r>
              <w:rPr>
                <w:b/>
                <w:sz w:val="28"/>
              </w:rPr>
              <w:t>Повторний БП</w:t>
            </w:r>
          </w:p>
        </w:tc>
      </w:tr>
      <w:tr w:rsidR="00B23B94">
        <w:trPr>
          <w:trHeight w:val="621"/>
        </w:trPr>
        <w:tc>
          <w:tcPr>
            <w:tcW w:w="3932" w:type="dxa"/>
            <w:vMerge/>
            <w:tcBorders>
              <w:top w:val="nil"/>
            </w:tcBorders>
          </w:tcPr>
          <w:p w:rsidR="00B23B94" w:rsidRDefault="00B23B94">
            <w:pPr>
              <w:rPr>
                <w:sz w:val="2"/>
                <w:szCs w:val="2"/>
              </w:rPr>
            </w:pPr>
          </w:p>
        </w:tc>
        <w:tc>
          <w:tcPr>
            <w:tcW w:w="1565" w:type="dxa"/>
          </w:tcPr>
          <w:p w:rsidR="00B23B94" w:rsidRDefault="003B2D3B">
            <w:pPr>
              <w:pStyle w:val="TableParagraph"/>
              <w:spacing w:line="207" w:lineRule="exact"/>
              <w:ind w:left="108" w:right="102"/>
              <w:rPr>
                <w:b/>
                <w:sz w:val="18"/>
              </w:rPr>
            </w:pPr>
            <w:r>
              <w:rPr>
                <w:b/>
                <w:sz w:val="18"/>
              </w:rPr>
              <w:t>Дренування/</w:t>
            </w:r>
          </w:p>
          <w:p w:rsidR="00B23B94" w:rsidRDefault="003B2D3B">
            <w:pPr>
              <w:pStyle w:val="TableParagraph"/>
              <w:spacing w:before="105"/>
              <w:ind w:left="110" w:right="102"/>
              <w:rPr>
                <w:b/>
                <w:sz w:val="18"/>
              </w:rPr>
            </w:pPr>
            <w:r>
              <w:rPr>
                <w:b/>
                <w:sz w:val="18"/>
              </w:rPr>
              <w:t>полідренування</w:t>
            </w:r>
          </w:p>
        </w:tc>
        <w:tc>
          <w:tcPr>
            <w:tcW w:w="1275" w:type="dxa"/>
          </w:tcPr>
          <w:p w:rsidR="00B23B94" w:rsidRDefault="003B2D3B">
            <w:pPr>
              <w:pStyle w:val="TableParagraph"/>
              <w:spacing w:line="207" w:lineRule="exact"/>
              <w:ind w:left="242" w:right="235"/>
              <w:rPr>
                <w:b/>
                <w:sz w:val="18"/>
              </w:rPr>
            </w:pPr>
            <w:r>
              <w:rPr>
                <w:b/>
                <w:sz w:val="18"/>
              </w:rPr>
              <w:t>Відкрита</w:t>
            </w:r>
          </w:p>
          <w:p w:rsidR="00B23B94" w:rsidRDefault="003B2D3B">
            <w:pPr>
              <w:pStyle w:val="TableParagraph"/>
              <w:spacing w:before="105"/>
              <w:ind w:left="236" w:right="235"/>
              <w:rPr>
                <w:b/>
                <w:sz w:val="18"/>
              </w:rPr>
            </w:pPr>
            <w:r>
              <w:rPr>
                <w:b/>
                <w:sz w:val="18"/>
              </w:rPr>
              <w:t>НСЕ</w:t>
            </w:r>
          </w:p>
        </w:tc>
        <w:tc>
          <w:tcPr>
            <w:tcW w:w="1560" w:type="dxa"/>
          </w:tcPr>
          <w:p w:rsidR="00B23B94" w:rsidRDefault="003B2D3B">
            <w:pPr>
              <w:pStyle w:val="TableParagraph"/>
              <w:spacing w:line="207" w:lineRule="exact"/>
              <w:ind w:left="106" w:right="100"/>
              <w:rPr>
                <w:b/>
                <w:sz w:val="18"/>
              </w:rPr>
            </w:pPr>
            <w:r>
              <w:rPr>
                <w:b/>
                <w:sz w:val="18"/>
              </w:rPr>
              <w:t>Дренування/</w:t>
            </w:r>
          </w:p>
          <w:p w:rsidR="00B23B94" w:rsidRDefault="003B2D3B">
            <w:pPr>
              <w:pStyle w:val="TableParagraph"/>
              <w:spacing w:before="105"/>
              <w:ind w:left="107" w:right="100"/>
              <w:rPr>
                <w:b/>
                <w:sz w:val="18"/>
              </w:rPr>
            </w:pPr>
            <w:r>
              <w:rPr>
                <w:b/>
                <w:sz w:val="18"/>
              </w:rPr>
              <w:t>полідренування</w:t>
            </w:r>
          </w:p>
        </w:tc>
        <w:tc>
          <w:tcPr>
            <w:tcW w:w="1241" w:type="dxa"/>
          </w:tcPr>
          <w:p w:rsidR="00B23B94" w:rsidRDefault="003B2D3B">
            <w:pPr>
              <w:pStyle w:val="TableParagraph"/>
              <w:spacing w:line="207" w:lineRule="exact"/>
              <w:ind w:left="225" w:right="217"/>
              <w:rPr>
                <w:b/>
                <w:sz w:val="18"/>
              </w:rPr>
            </w:pPr>
            <w:r>
              <w:rPr>
                <w:b/>
                <w:sz w:val="18"/>
              </w:rPr>
              <w:t>Відкрита</w:t>
            </w:r>
          </w:p>
          <w:p w:rsidR="00B23B94" w:rsidRDefault="003B2D3B">
            <w:pPr>
              <w:pStyle w:val="TableParagraph"/>
              <w:spacing w:before="105"/>
              <w:ind w:left="224" w:right="217"/>
              <w:rPr>
                <w:b/>
                <w:sz w:val="18"/>
              </w:rPr>
            </w:pPr>
            <w:r>
              <w:rPr>
                <w:b/>
                <w:sz w:val="18"/>
              </w:rPr>
              <w:t>НСЕ</w:t>
            </w:r>
          </w:p>
        </w:tc>
      </w:tr>
      <w:tr w:rsidR="00B23B94">
        <w:trPr>
          <w:trHeight w:val="484"/>
        </w:trPr>
        <w:tc>
          <w:tcPr>
            <w:tcW w:w="3932" w:type="dxa"/>
          </w:tcPr>
          <w:p w:rsidR="00B23B94" w:rsidRDefault="003B2D3B">
            <w:pPr>
              <w:pStyle w:val="TableParagraph"/>
              <w:spacing w:before="81"/>
              <w:ind w:left="107"/>
              <w:jc w:val="left"/>
              <w:rPr>
                <w:b/>
                <w:sz w:val="28"/>
              </w:rPr>
            </w:pPr>
            <w:r>
              <w:rPr>
                <w:b/>
                <w:sz w:val="28"/>
              </w:rPr>
              <w:t>S. aureus</w:t>
            </w:r>
          </w:p>
        </w:tc>
        <w:tc>
          <w:tcPr>
            <w:tcW w:w="1565" w:type="dxa"/>
          </w:tcPr>
          <w:p w:rsidR="00B23B94" w:rsidRDefault="003B2D3B">
            <w:pPr>
              <w:pStyle w:val="TableParagraph"/>
              <w:ind w:right="594"/>
              <w:jc w:val="right"/>
              <w:rPr>
                <w:sz w:val="28"/>
              </w:rPr>
            </w:pPr>
            <w:r>
              <w:rPr>
                <w:sz w:val="28"/>
              </w:rPr>
              <w:t>5,1</w:t>
            </w:r>
          </w:p>
        </w:tc>
        <w:tc>
          <w:tcPr>
            <w:tcW w:w="1275" w:type="dxa"/>
          </w:tcPr>
          <w:p w:rsidR="00B23B94" w:rsidRDefault="003B2D3B">
            <w:pPr>
              <w:pStyle w:val="TableParagraph"/>
              <w:ind w:left="242" w:right="235"/>
              <w:rPr>
                <w:sz w:val="28"/>
              </w:rPr>
            </w:pPr>
            <w:r>
              <w:rPr>
                <w:sz w:val="28"/>
              </w:rPr>
              <w:t>5,4</w:t>
            </w:r>
          </w:p>
        </w:tc>
        <w:tc>
          <w:tcPr>
            <w:tcW w:w="1560" w:type="dxa"/>
          </w:tcPr>
          <w:p w:rsidR="00B23B94" w:rsidRDefault="003B2D3B">
            <w:pPr>
              <w:pStyle w:val="TableParagraph"/>
              <w:ind w:right="523"/>
              <w:jc w:val="right"/>
              <w:rPr>
                <w:sz w:val="28"/>
              </w:rPr>
            </w:pPr>
            <w:r>
              <w:rPr>
                <w:sz w:val="28"/>
              </w:rPr>
              <w:t>16,3</w:t>
            </w:r>
          </w:p>
        </w:tc>
        <w:tc>
          <w:tcPr>
            <w:tcW w:w="1241" w:type="dxa"/>
          </w:tcPr>
          <w:p w:rsidR="00B23B94" w:rsidRDefault="003B2D3B">
            <w:pPr>
              <w:pStyle w:val="TableParagraph"/>
              <w:ind w:right="364"/>
              <w:jc w:val="right"/>
              <w:rPr>
                <w:sz w:val="28"/>
              </w:rPr>
            </w:pPr>
            <w:r>
              <w:rPr>
                <w:sz w:val="28"/>
              </w:rPr>
              <w:t>15,8</w:t>
            </w:r>
          </w:p>
        </w:tc>
      </w:tr>
      <w:tr w:rsidR="00B23B94">
        <w:trPr>
          <w:trHeight w:val="482"/>
        </w:trPr>
        <w:tc>
          <w:tcPr>
            <w:tcW w:w="3932" w:type="dxa"/>
          </w:tcPr>
          <w:p w:rsidR="00B23B94" w:rsidRDefault="003B2D3B">
            <w:pPr>
              <w:pStyle w:val="TableParagraph"/>
              <w:spacing w:before="79"/>
              <w:ind w:left="107"/>
              <w:jc w:val="left"/>
              <w:rPr>
                <w:b/>
                <w:sz w:val="28"/>
              </w:rPr>
            </w:pPr>
            <w:r>
              <w:rPr>
                <w:b/>
                <w:sz w:val="28"/>
              </w:rPr>
              <w:t>S.epidermidis</w:t>
            </w:r>
          </w:p>
        </w:tc>
        <w:tc>
          <w:tcPr>
            <w:tcW w:w="1565" w:type="dxa"/>
          </w:tcPr>
          <w:p w:rsidR="00B23B94" w:rsidRDefault="003B2D3B">
            <w:pPr>
              <w:pStyle w:val="TableParagraph"/>
              <w:ind w:right="525"/>
              <w:jc w:val="right"/>
              <w:rPr>
                <w:sz w:val="28"/>
              </w:rPr>
            </w:pPr>
            <w:r>
              <w:rPr>
                <w:sz w:val="28"/>
              </w:rPr>
              <w:t>24,5</w:t>
            </w:r>
          </w:p>
        </w:tc>
        <w:tc>
          <w:tcPr>
            <w:tcW w:w="1275" w:type="dxa"/>
          </w:tcPr>
          <w:p w:rsidR="00B23B94" w:rsidRDefault="003B2D3B">
            <w:pPr>
              <w:pStyle w:val="TableParagraph"/>
              <w:ind w:left="241" w:right="235"/>
              <w:rPr>
                <w:sz w:val="28"/>
              </w:rPr>
            </w:pPr>
            <w:r>
              <w:rPr>
                <w:sz w:val="28"/>
              </w:rPr>
              <w:t>21,1</w:t>
            </w:r>
          </w:p>
        </w:tc>
        <w:tc>
          <w:tcPr>
            <w:tcW w:w="1560" w:type="dxa"/>
          </w:tcPr>
          <w:p w:rsidR="00B23B94" w:rsidRDefault="003B2D3B">
            <w:pPr>
              <w:pStyle w:val="TableParagraph"/>
              <w:ind w:right="523"/>
              <w:jc w:val="right"/>
              <w:rPr>
                <w:sz w:val="28"/>
              </w:rPr>
            </w:pPr>
            <w:r>
              <w:rPr>
                <w:sz w:val="28"/>
              </w:rPr>
              <w:t>14,3</w:t>
            </w:r>
          </w:p>
        </w:tc>
        <w:tc>
          <w:tcPr>
            <w:tcW w:w="1241" w:type="dxa"/>
          </w:tcPr>
          <w:p w:rsidR="00B23B94" w:rsidRDefault="003B2D3B">
            <w:pPr>
              <w:pStyle w:val="TableParagraph"/>
              <w:ind w:right="364"/>
              <w:jc w:val="right"/>
              <w:rPr>
                <w:sz w:val="28"/>
              </w:rPr>
            </w:pPr>
            <w:r>
              <w:rPr>
                <w:sz w:val="28"/>
              </w:rPr>
              <w:t>10,5</w:t>
            </w:r>
          </w:p>
        </w:tc>
      </w:tr>
      <w:tr w:rsidR="00B23B94">
        <w:trPr>
          <w:trHeight w:val="481"/>
        </w:trPr>
        <w:tc>
          <w:tcPr>
            <w:tcW w:w="3932" w:type="dxa"/>
          </w:tcPr>
          <w:p w:rsidR="00B23B94" w:rsidRDefault="003B2D3B">
            <w:pPr>
              <w:pStyle w:val="TableParagraph"/>
              <w:spacing w:before="81"/>
              <w:ind w:left="107"/>
              <w:jc w:val="left"/>
              <w:rPr>
                <w:b/>
                <w:sz w:val="28"/>
              </w:rPr>
            </w:pPr>
            <w:r>
              <w:rPr>
                <w:b/>
                <w:sz w:val="28"/>
              </w:rPr>
              <w:t>Streptococcus spp.</w:t>
            </w:r>
          </w:p>
        </w:tc>
        <w:tc>
          <w:tcPr>
            <w:tcW w:w="1565" w:type="dxa"/>
          </w:tcPr>
          <w:p w:rsidR="00B23B94" w:rsidRDefault="003B2D3B">
            <w:pPr>
              <w:pStyle w:val="TableParagraph"/>
              <w:ind w:right="525"/>
              <w:jc w:val="right"/>
              <w:rPr>
                <w:sz w:val="28"/>
              </w:rPr>
            </w:pPr>
            <w:r>
              <w:rPr>
                <w:sz w:val="28"/>
              </w:rPr>
              <w:t>14,3</w:t>
            </w:r>
          </w:p>
        </w:tc>
        <w:tc>
          <w:tcPr>
            <w:tcW w:w="1275" w:type="dxa"/>
          </w:tcPr>
          <w:p w:rsidR="00B23B94" w:rsidRDefault="003B2D3B">
            <w:pPr>
              <w:pStyle w:val="TableParagraph"/>
              <w:ind w:left="241" w:right="235"/>
              <w:rPr>
                <w:sz w:val="28"/>
              </w:rPr>
            </w:pPr>
            <w:r>
              <w:rPr>
                <w:sz w:val="28"/>
              </w:rPr>
              <w:t>15,8</w:t>
            </w:r>
          </w:p>
        </w:tc>
        <w:tc>
          <w:tcPr>
            <w:tcW w:w="1560" w:type="dxa"/>
          </w:tcPr>
          <w:p w:rsidR="00B23B94" w:rsidRDefault="003B2D3B">
            <w:pPr>
              <w:pStyle w:val="TableParagraph"/>
              <w:ind w:right="591"/>
              <w:jc w:val="right"/>
              <w:rPr>
                <w:sz w:val="28"/>
              </w:rPr>
            </w:pPr>
            <w:r>
              <w:rPr>
                <w:sz w:val="28"/>
              </w:rPr>
              <w:t>8,2</w:t>
            </w:r>
          </w:p>
        </w:tc>
        <w:tc>
          <w:tcPr>
            <w:tcW w:w="1241" w:type="dxa"/>
          </w:tcPr>
          <w:p w:rsidR="00B23B94" w:rsidRDefault="003B2D3B">
            <w:pPr>
              <w:pStyle w:val="TableParagraph"/>
              <w:ind w:right="433"/>
              <w:jc w:val="right"/>
              <w:rPr>
                <w:sz w:val="28"/>
              </w:rPr>
            </w:pPr>
            <w:r>
              <w:rPr>
                <w:sz w:val="28"/>
              </w:rPr>
              <w:t>7,9</w:t>
            </w:r>
          </w:p>
        </w:tc>
      </w:tr>
      <w:tr w:rsidR="00B23B94">
        <w:trPr>
          <w:trHeight w:val="484"/>
        </w:trPr>
        <w:tc>
          <w:tcPr>
            <w:tcW w:w="3932" w:type="dxa"/>
          </w:tcPr>
          <w:p w:rsidR="00B23B94" w:rsidRDefault="003B2D3B">
            <w:pPr>
              <w:pStyle w:val="TableParagraph"/>
              <w:spacing w:before="81"/>
              <w:ind w:left="107"/>
              <w:jc w:val="left"/>
              <w:rPr>
                <w:b/>
                <w:sz w:val="28"/>
              </w:rPr>
            </w:pPr>
            <w:r>
              <w:rPr>
                <w:b/>
                <w:sz w:val="28"/>
              </w:rPr>
              <w:t>Enterococcus spp.</w:t>
            </w:r>
          </w:p>
        </w:tc>
        <w:tc>
          <w:tcPr>
            <w:tcW w:w="1565" w:type="dxa"/>
          </w:tcPr>
          <w:p w:rsidR="00B23B94" w:rsidRDefault="003B2D3B">
            <w:pPr>
              <w:pStyle w:val="TableParagraph"/>
              <w:spacing w:before="2"/>
              <w:ind w:right="525"/>
              <w:jc w:val="right"/>
              <w:rPr>
                <w:sz w:val="28"/>
              </w:rPr>
            </w:pPr>
            <w:r>
              <w:rPr>
                <w:sz w:val="28"/>
              </w:rPr>
              <w:t>14,3</w:t>
            </w:r>
          </w:p>
        </w:tc>
        <w:tc>
          <w:tcPr>
            <w:tcW w:w="1275" w:type="dxa"/>
          </w:tcPr>
          <w:p w:rsidR="00B23B94" w:rsidRDefault="003B2D3B">
            <w:pPr>
              <w:pStyle w:val="TableParagraph"/>
              <w:spacing w:before="2"/>
              <w:ind w:left="241" w:right="235"/>
              <w:rPr>
                <w:sz w:val="28"/>
              </w:rPr>
            </w:pPr>
            <w:r>
              <w:rPr>
                <w:sz w:val="28"/>
              </w:rPr>
              <w:t>18,4</w:t>
            </w:r>
          </w:p>
        </w:tc>
        <w:tc>
          <w:tcPr>
            <w:tcW w:w="1560" w:type="dxa"/>
          </w:tcPr>
          <w:p w:rsidR="00B23B94" w:rsidRDefault="003B2D3B">
            <w:pPr>
              <w:pStyle w:val="TableParagraph"/>
              <w:spacing w:before="2"/>
              <w:ind w:right="591"/>
              <w:jc w:val="right"/>
              <w:rPr>
                <w:sz w:val="28"/>
              </w:rPr>
            </w:pPr>
            <w:r>
              <w:rPr>
                <w:sz w:val="28"/>
              </w:rPr>
              <w:t>6,1</w:t>
            </w:r>
          </w:p>
        </w:tc>
        <w:tc>
          <w:tcPr>
            <w:tcW w:w="1241" w:type="dxa"/>
          </w:tcPr>
          <w:p w:rsidR="00B23B94" w:rsidRDefault="003B2D3B">
            <w:pPr>
              <w:pStyle w:val="TableParagraph"/>
              <w:spacing w:before="2"/>
              <w:ind w:right="364"/>
              <w:jc w:val="right"/>
              <w:rPr>
                <w:sz w:val="28"/>
              </w:rPr>
            </w:pPr>
            <w:r>
              <w:rPr>
                <w:sz w:val="28"/>
              </w:rPr>
              <w:t>10,5</w:t>
            </w:r>
          </w:p>
        </w:tc>
      </w:tr>
      <w:tr w:rsidR="00B23B94">
        <w:trPr>
          <w:trHeight w:val="481"/>
        </w:trPr>
        <w:tc>
          <w:tcPr>
            <w:tcW w:w="3932" w:type="dxa"/>
          </w:tcPr>
          <w:p w:rsidR="00B23B94" w:rsidRDefault="003B2D3B">
            <w:pPr>
              <w:pStyle w:val="TableParagraph"/>
              <w:spacing w:before="81"/>
              <w:ind w:left="107"/>
              <w:jc w:val="left"/>
              <w:rPr>
                <w:b/>
                <w:sz w:val="28"/>
              </w:rPr>
            </w:pPr>
            <w:r>
              <w:rPr>
                <w:b/>
                <w:sz w:val="28"/>
              </w:rPr>
              <w:t>E. coli</w:t>
            </w:r>
          </w:p>
        </w:tc>
        <w:tc>
          <w:tcPr>
            <w:tcW w:w="1565" w:type="dxa"/>
          </w:tcPr>
          <w:p w:rsidR="00B23B94" w:rsidRDefault="003B2D3B">
            <w:pPr>
              <w:pStyle w:val="TableParagraph"/>
              <w:ind w:right="525"/>
              <w:jc w:val="right"/>
              <w:rPr>
                <w:sz w:val="28"/>
              </w:rPr>
            </w:pPr>
            <w:r>
              <w:rPr>
                <w:sz w:val="28"/>
              </w:rPr>
              <w:t>41,8</w:t>
            </w:r>
          </w:p>
        </w:tc>
        <w:tc>
          <w:tcPr>
            <w:tcW w:w="1275" w:type="dxa"/>
          </w:tcPr>
          <w:p w:rsidR="00B23B94" w:rsidRDefault="003B2D3B">
            <w:pPr>
              <w:pStyle w:val="TableParagraph"/>
              <w:ind w:left="241" w:right="235"/>
              <w:rPr>
                <w:sz w:val="28"/>
              </w:rPr>
            </w:pPr>
            <w:r>
              <w:rPr>
                <w:sz w:val="28"/>
              </w:rPr>
              <w:t>39,3</w:t>
            </w:r>
          </w:p>
        </w:tc>
        <w:tc>
          <w:tcPr>
            <w:tcW w:w="1560" w:type="dxa"/>
          </w:tcPr>
          <w:p w:rsidR="00B23B94" w:rsidRDefault="003B2D3B">
            <w:pPr>
              <w:pStyle w:val="TableParagraph"/>
              <w:ind w:right="523"/>
              <w:jc w:val="right"/>
              <w:rPr>
                <w:sz w:val="28"/>
              </w:rPr>
            </w:pPr>
            <w:r>
              <w:rPr>
                <w:sz w:val="28"/>
              </w:rPr>
              <w:t>22,4</w:t>
            </w:r>
          </w:p>
        </w:tc>
        <w:tc>
          <w:tcPr>
            <w:tcW w:w="1241" w:type="dxa"/>
          </w:tcPr>
          <w:p w:rsidR="00B23B94" w:rsidRDefault="003B2D3B">
            <w:pPr>
              <w:pStyle w:val="TableParagraph"/>
              <w:ind w:right="364"/>
              <w:jc w:val="right"/>
              <w:rPr>
                <w:sz w:val="28"/>
              </w:rPr>
            </w:pPr>
            <w:r>
              <w:rPr>
                <w:sz w:val="28"/>
              </w:rPr>
              <w:t>21,1</w:t>
            </w:r>
          </w:p>
        </w:tc>
      </w:tr>
      <w:tr w:rsidR="00B23B94">
        <w:trPr>
          <w:trHeight w:val="484"/>
        </w:trPr>
        <w:tc>
          <w:tcPr>
            <w:tcW w:w="3932" w:type="dxa"/>
          </w:tcPr>
          <w:p w:rsidR="00B23B94" w:rsidRDefault="003B2D3B">
            <w:pPr>
              <w:pStyle w:val="TableParagraph"/>
              <w:spacing w:before="81"/>
              <w:ind w:left="107"/>
              <w:jc w:val="left"/>
              <w:rPr>
                <w:b/>
                <w:sz w:val="28"/>
              </w:rPr>
            </w:pPr>
            <w:r>
              <w:rPr>
                <w:b/>
                <w:sz w:val="28"/>
              </w:rPr>
              <w:t>Klebsiella ssp.</w:t>
            </w:r>
          </w:p>
        </w:tc>
        <w:tc>
          <w:tcPr>
            <w:tcW w:w="1565" w:type="dxa"/>
          </w:tcPr>
          <w:p w:rsidR="00B23B94" w:rsidRDefault="003B2D3B">
            <w:pPr>
              <w:pStyle w:val="TableParagraph"/>
              <w:ind w:left="10"/>
              <w:rPr>
                <w:sz w:val="28"/>
              </w:rPr>
            </w:pPr>
            <w:r>
              <w:rPr>
                <w:sz w:val="28"/>
              </w:rPr>
              <w:t>0</w:t>
            </w:r>
          </w:p>
        </w:tc>
        <w:tc>
          <w:tcPr>
            <w:tcW w:w="1275" w:type="dxa"/>
          </w:tcPr>
          <w:p w:rsidR="00B23B94" w:rsidRDefault="003B2D3B">
            <w:pPr>
              <w:pStyle w:val="TableParagraph"/>
              <w:ind w:left="7"/>
              <w:rPr>
                <w:sz w:val="28"/>
              </w:rPr>
            </w:pPr>
            <w:r>
              <w:rPr>
                <w:sz w:val="28"/>
              </w:rPr>
              <w:t>0</w:t>
            </w:r>
          </w:p>
        </w:tc>
        <w:tc>
          <w:tcPr>
            <w:tcW w:w="1560" w:type="dxa"/>
          </w:tcPr>
          <w:p w:rsidR="00B23B94" w:rsidRDefault="003B2D3B">
            <w:pPr>
              <w:pStyle w:val="TableParagraph"/>
              <w:ind w:right="523"/>
              <w:jc w:val="right"/>
              <w:rPr>
                <w:sz w:val="28"/>
              </w:rPr>
            </w:pPr>
            <w:r>
              <w:rPr>
                <w:sz w:val="28"/>
              </w:rPr>
              <w:t>10,2</w:t>
            </w:r>
          </w:p>
        </w:tc>
        <w:tc>
          <w:tcPr>
            <w:tcW w:w="1241" w:type="dxa"/>
          </w:tcPr>
          <w:p w:rsidR="00B23B94" w:rsidRDefault="003B2D3B">
            <w:pPr>
              <w:pStyle w:val="TableParagraph"/>
              <w:ind w:right="433"/>
              <w:jc w:val="right"/>
              <w:rPr>
                <w:sz w:val="28"/>
              </w:rPr>
            </w:pPr>
            <w:r>
              <w:rPr>
                <w:sz w:val="28"/>
              </w:rPr>
              <w:t>7,9</w:t>
            </w:r>
          </w:p>
        </w:tc>
      </w:tr>
      <w:tr w:rsidR="00B23B94">
        <w:trPr>
          <w:trHeight w:val="481"/>
        </w:trPr>
        <w:tc>
          <w:tcPr>
            <w:tcW w:w="3932" w:type="dxa"/>
          </w:tcPr>
          <w:p w:rsidR="00B23B94" w:rsidRDefault="003B2D3B">
            <w:pPr>
              <w:pStyle w:val="TableParagraph"/>
              <w:spacing w:before="79"/>
              <w:ind w:left="107"/>
              <w:jc w:val="left"/>
              <w:rPr>
                <w:b/>
                <w:sz w:val="28"/>
              </w:rPr>
            </w:pPr>
            <w:r>
              <w:rPr>
                <w:b/>
                <w:sz w:val="28"/>
              </w:rPr>
              <w:t>Enterobacter spp.</w:t>
            </w:r>
          </w:p>
        </w:tc>
        <w:tc>
          <w:tcPr>
            <w:tcW w:w="1565" w:type="dxa"/>
          </w:tcPr>
          <w:p w:rsidR="00B23B94" w:rsidRDefault="003B2D3B">
            <w:pPr>
              <w:pStyle w:val="TableParagraph"/>
              <w:ind w:left="10"/>
              <w:rPr>
                <w:sz w:val="28"/>
              </w:rPr>
            </w:pPr>
            <w:r>
              <w:rPr>
                <w:sz w:val="28"/>
              </w:rPr>
              <w:t>0</w:t>
            </w:r>
          </w:p>
        </w:tc>
        <w:tc>
          <w:tcPr>
            <w:tcW w:w="1275" w:type="dxa"/>
          </w:tcPr>
          <w:p w:rsidR="00B23B94" w:rsidRDefault="003B2D3B">
            <w:pPr>
              <w:pStyle w:val="TableParagraph"/>
              <w:ind w:left="7"/>
              <w:rPr>
                <w:sz w:val="28"/>
              </w:rPr>
            </w:pPr>
            <w:r>
              <w:rPr>
                <w:sz w:val="28"/>
              </w:rPr>
              <w:t>0</w:t>
            </w:r>
          </w:p>
        </w:tc>
        <w:tc>
          <w:tcPr>
            <w:tcW w:w="1560" w:type="dxa"/>
          </w:tcPr>
          <w:p w:rsidR="00B23B94" w:rsidRDefault="003B2D3B">
            <w:pPr>
              <w:pStyle w:val="TableParagraph"/>
              <w:ind w:right="591"/>
              <w:jc w:val="right"/>
              <w:rPr>
                <w:sz w:val="28"/>
              </w:rPr>
            </w:pPr>
            <w:r>
              <w:rPr>
                <w:sz w:val="28"/>
              </w:rPr>
              <w:t>4,1</w:t>
            </w:r>
          </w:p>
        </w:tc>
        <w:tc>
          <w:tcPr>
            <w:tcW w:w="1241" w:type="dxa"/>
          </w:tcPr>
          <w:p w:rsidR="00B23B94" w:rsidRDefault="003B2D3B">
            <w:pPr>
              <w:pStyle w:val="TableParagraph"/>
              <w:ind w:right="433"/>
              <w:jc w:val="right"/>
              <w:rPr>
                <w:sz w:val="28"/>
              </w:rPr>
            </w:pPr>
            <w:r>
              <w:rPr>
                <w:sz w:val="28"/>
              </w:rPr>
              <w:t>5,3</w:t>
            </w:r>
          </w:p>
        </w:tc>
      </w:tr>
      <w:tr w:rsidR="00B23B94">
        <w:trPr>
          <w:trHeight w:val="482"/>
        </w:trPr>
        <w:tc>
          <w:tcPr>
            <w:tcW w:w="3932" w:type="dxa"/>
          </w:tcPr>
          <w:p w:rsidR="00B23B94" w:rsidRDefault="003B2D3B">
            <w:pPr>
              <w:pStyle w:val="TableParagraph"/>
              <w:spacing w:before="81"/>
              <w:ind w:left="107"/>
              <w:jc w:val="left"/>
              <w:rPr>
                <w:b/>
                <w:sz w:val="28"/>
              </w:rPr>
            </w:pPr>
            <w:r>
              <w:rPr>
                <w:b/>
                <w:sz w:val="28"/>
              </w:rPr>
              <w:t>Proteus spp.</w:t>
            </w:r>
          </w:p>
        </w:tc>
        <w:tc>
          <w:tcPr>
            <w:tcW w:w="1565" w:type="dxa"/>
          </w:tcPr>
          <w:p w:rsidR="00B23B94" w:rsidRDefault="003B2D3B">
            <w:pPr>
              <w:pStyle w:val="TableParagraph"/>
              <w:ind w:left="10"/>
              <w:rPr>
                <w:sz w:val="28"/>
              </w:rPr>
            </w:pPr>
            <w:r>
              <w:rPr>
                <w:sz w:val="28"/>
              </w:rPr>
              <w:t>0</w:t>
            </w:r>
          </w:p>
        </w:tc>
        <w:tc>
          <w:tcPr>
            <w:tcW w:w="1275" w:type="dxa"/>
          </w:tcPr>
          <w:p w:rsidR="00B23B94" w:rsidRDefault="003B2D3B">
            <w:pPr>
              <w:pStyle w:val="TableParagraph"/>
              <w:ind w:left="7"/>
              <w:rPr>
                <w:sz w:val="28"/>
              </w:rPr>
            </w:pPr>
            <w:r>
              <w:rPr>
                <w:sz w:val="28"/>
              </w:rPr>
              <w:t>0</w:t>
            </w:r>
          </w:p>
        </w:tc>
        <w:tc>
          <w:tcPr>
            <w:tcW w:w="1560" w:type="dxa"/>
          </w:tcPr>
          <w:p w:rsidR="00B23B94" w:rsidRDefault="003B2D3B">
            <w:pPr>
              <w:pStyle w:val="TableParagraph"/>
              <w:ind w:right="591"/>
              <w:jc w:val="right"/>
              <w:rPr>
                <w:sz w:val="28"/>
              </w:rPr>
            </w:pPr>
            <w:r>
              <w:rPr>
                <w:sz w:val="28"/>
              </w:rPr>
              <w:t>4,1</w:t>
            </w:r>
          </w:p>
        </w:tc>
        <w:tc>
          <w:tcPr>
            <w:tcW w:w="1241" w:type="dxa"/>
          </w:tcPr>
          <w:p w:rsidR="00B23B94" w:rsidRDefault="003B2D3B">
            <w:pPr>
              <w:pStyle w:val="TableParagraph"/>
              <w:ind w:right="433"/>
              <w:jc w:val="right"/>
              <w:rPr>
                <w:sz w:val="28"/>
              </w:rPr>
            </w:pPr>
            <w:r>
              <w:rPr>
                <w:sz w:val="28"/>
              </w:rPr>
              <w:t>7,9</w:t>
            </w:r>
          </w:p>
        </w:tc>
      </w:tr>
      <w:tr w:rsidR="00B23B94">
        <w:trPr>
          <w:trHeight w:val="484"/>
        </w:trPr>
        <w:tc>
          <w:tcPr>
            <w:tcW w:w="3932" w:type="dxa"/>
          </w:tcPr>
          <w:p w:rsidR="00B23B94" w:rsidRDefault="003B2D3B">
            <w:pPr>
              <w:pStyle w:val="TableParagraph"/>
              <w:spacing w:before="2"/>
              <w:ind w:left="107"/>
              <w:jc w:val="left"/>
              <w:rPr>
                <w:b/>
                <w:sz w:val="28"/>
              </w:rPr>
            </w:pPr>
            <w:r>
              <w:rPr>
                <w:b/>
                <w:sz w:val="28"/>
              </w:rPr>
              <w:t>Pseudomonas aeruginosae</w:t>
            </w:r>
          </w:p>
        </w:tc>
        <w:tc>
          <w:tcPr>
            <w:tcW w:w="1565" w:type="dxa"/>
          </w:tcPr>
          <w:p w:rsidR="00B23B94" w:rsidRDefault="003B2D3B">
            <w:pPr>
              <w:pStyle w:val="TableParagraph"/>
              <w:spacing w:before="2"/>
              <w:ind w:left="10"/>
              <w:rPr>
                <w:sz w:val="28"/>
              </w:rPr>
            </w:pPr>
            <w:r>
              <w:rPr>
                <w:sz w:val="28"/>
              </w:rPr>
              <w:t>0</w:t>
            </w:r>
          </w:p>
        </w:tc>
        <w:tc>
          <w:tcPr>
            <w:tcW w:w="1275" w:type="dxa"/>
          </w:tcPr>
          <w:p w:rsidR="00B23B94" w:rsidRDefault="003B2D3B">
            <w:pPr>
              <w:pStyle w:val="TableParagraph"/>
              <w:spacing w:before="2"/>
              <w:ind w:left="7"/>
              <w:rPr>
                <w:sz w:val="28"/>
              </w:rPr>
            </w:pPr>
            <w:r>
              <w:rPr>
                <w:sz w:val="28"/>
              </w:rPr>
              <w:t>0</w:t>
            </w:r>
          </w:p>
        </w:tc>
        <w:tc>
          <w:tcPr>
            <w:tcW w:w="1560" w:type="dxa"/>
          </w:tcPr>
          <w:p w:rsidR="00B23B94" w:rsidRDefault="003B2D3B">
            <w:pPr>
              <w:pStyle w:val="TableParagraph"/>
              <w:spacing w:before="2"/>
              <w:ind w:right="591"/>
              <w:jc w:val="right"/>
              <w:rPr>
                <w:sz w:val="28"/>
              </w:rPr>
            </w:pPr>
            <w:r>
              <w:rPr>
                <w:sz w:val="28"/>
              </w:rPr>
              <w:t>8,2</w:t>
            </w:r>
          </w:p>
        </w:tc>
        <w:tc>
          <w:tcPr>
            <w:tcW w:w="1241" w:type="dxa"/>
          </w:tcPr>
          <w:p w:rsidR="00B23B94" w:rsidRDefault="003B2D3B">
            <w:pPr>
              <w:pStyle w:val="TableParagraph"/>
              <w:spacing w:before="2"/>
              <w:ind w:right="433"/>
              <w:jc w:val="right"/>
              <w:rPr>
                <w:sz w:val="28"/>
              </w:rPr>
            </w:pPr>
            <w:r>
              <w:rPr>
                <w:sz w:val="28"/>
              </w:rPr>
              <w:t>5,3</w:t>
            </w:r>
          </w:p>
        </w:tc>
      </w:tr>
      <w:tr w:rsidR="00B23B94">
        <w:trPr>
          <w:trHeight w:val="482"/>
        </w:trPr>
        <w:tc>
          <w:tcPr>
            <w:tcW w:w="3932" w:type="dxa"/>
          </w:tcPr>
          <w:p w:rsidR="00B23B94" w:rsidRDefault="003B2D3B">
            <w:pPr>
              <w:pStyle w:val="TableParagraph"/>
              <w:spacing w:before="82"/>
              <w:ind w:left="107"/>
              <w:jc w:val="left"/>
              <w:rPr>
                <w:b/>
                <w:sz w:val="28"/>
              </w:rPr>
            </w:pPr>
            <w:r>
              <w:rPr>
                <w:b/>
                <w:sz w:val="28"/>
              </w:rPr>
              <w:t>Citrobacter spp.</w:t>
            </w:r>
          </w:p>
        </w:tc>
        <w:tc>
          <w:tcPr>
            <w:tcW w:w="1565" w:type="dxa"/>
          </w:tcPr>
          <w:p w:rsidR="00B23B94" w:rsidRDefault="003B2D3B">
            <w:pPr>
              <w:pStyle w:val="TableParagraph"/>
              <w:ind w:left="10"/>
              <w:rPr>
                <w:sz w:val="28"/>
              </w:rPr>
            </w:pPr>
            <w:r>
              <w:rPr>
                <w:sz w:val="28"/>
              </w:rPr>
              <w:t>0</w:t>
            </w:r>
          </w:p>
        </w:tc>
        <w:tc>
          <w:tcPr>
            <w:tcW w:w="1275" w:type="dxa"/>
          </w:tcPr>
          <w:p w:rsidR="00B23B94" w:rsidRDefault="003B2D3B">
            <w:pPr>
              <w:pStyle w:val="TableParagraph"/>
              <w:ind w:left="7"/>
              <w:rPr>
                <w:sz w:val="28"/>
              </w:rPr>
            </w:pPr>
            <w:r>
              <w:rPr>
                <w:sz w:val="28"/>
              </w:rPr>
              <w:t>0</w:t>
            </w:r>
          </w:p>
        </w:tc>
        <w:tc>
          <w:tcPr>
            <w:tcW w:w="1560" w:type="dxa"/>
          </w:tcPr>
          <w:p w:rsidR="00B23B94" w:rsidRDefault="003B2D3B">
            <w:pPr>
              <w:pStyle w:val="TableParagraph"/>
              <w:ind w:right="591"/>
              <w:jc w:val="right"/>
              <w:rPr>
                <w:sz w:val="28"/>
              </w:rPr>
            </w:pPr>
            <w:r>
              <w:rPr>
                <w:sz w:val="28"/>
              </w:rPr>
              <w:t>2,1</w:t>
            </w:r>
          </w:p>
        </w:tc>
        <w:tc>
          <w:tcPr>
            <w:tcW w:w="1241" w:type="dxa"/>
          </w:tcPr>
          <w:p w:rsidR="00B23B94" w:rsidRDefault="003B2D3B">
            <w:pPr>
              <w:pStyle w:val="TableParagraph"/>
              <w:ind w:right="433"/>
              <w:jc w:val="right"/>
              <w:rPr>
                <w:sz w:val="28"/>
              </w:rPr>
            </w:pPr>
            <w:r>
              <w:rPr>
                <w:sz w:val="28"/>
              </w:rPr>
              <w:t>2,6</w:t>
            </w:r>
          </w:p>
        </w:tc>
      </w:tr>
      <w:tr w:rsidR="00B23B94">
        <w:trPr>
          <w:trHeight w:val="484"/>
        </w:trPr>
        <w:tc>
          <w:tcPr>
            <w:tcW w:w="3932" w:type="dxa"/>
          </w:tcPr>
          <w:p w:rsidR="00B23B94" w:rsidRDefault="003B2D3B">
            <w:pPr>
              <w:pStyle w:val="TableParagraph"/>
              <w:ind w:left="107"/>
              <w:jc w:val="left"/>
              <w:rPr>
                <w:b/>
                <w:sz w:val="28"/>
              </w:rPr>
            </w:pPr>
            <w:r>
              <w:rPr>
                <w:b/>
                <w:sz w:val="28"/>
              </w:rPr>
              <w:t>Acinetobacter spp.</w:t>
            </w:r>
          </w:p>
        </w:tc>
        <w:tc>
          <w:tcPr>
            <w:tcW w:w="1565" w:type="dxa"/>
          </w:tcPr>
          <w:p w:rsidR="00B23B94" w:rsidRDefault="003B2D3B">
            <w:pPr>
              <w:pStyle w:val="TableParagraph"/>
              <w:ind w:left="10"/>
              <w:rPr>
                <w:sz w:val="28"/>
              </w:rPr>
            </w:pPr>
            <w:r>
              <w:rPr>
                <w:sz w:val="28"/>
              </w:rPr>
              <w:t>0</w:t>
            </w:r>
          </w:p>
        </w:tc>
        <w:tc>
          <w:tcPr>
            <w:tcW w:w="1275" w:type="dxa"/>
          </w:tcPr>
          <w:p w:rsidR="00B23B94" w:rsidRDefault="003B2D3B">
            <w:pPr>
              <w:pStyle w:val="TableParagraph"/>
              <w:ind w:left="7"/>
              <w:rPr>
                <w:sz w:val="28"/>
              </w:rPr>
            </w:pPr>
            <w:r>
              <w:rPr>
                <w:sz w:val="28"/>
              </w:rPr>
              <w:t>0</w:t>
            </w:r>
          </w:p>
        </w:tc>
        <w:tc>
          <w:tcPr>
            <w:tcW w:w="1560" w:type="dxa"/>
          </w:tcPr>
          <w:p w:rsidR="00B23B94" w:rsidRDefault="003B2D3B">
            <w:pPr>
              <w:pStyle w:val="TableParagraph"/>
              <w:ind w:right="591"/>
              <w:jc w:val="right"/>
              <w:rPr>
                <w:sz w:val="28"/>
              </w:rPr>
            </w:pPr>
            <w:r>
              <w:rPr>
                <w:sz w:val="28"/>
              </w:rPr>
              <w:t>4,1</w:t>
            </w:r>
          </w:p>
        </w:tc>
        <w:tc>
          <w:tcPr>
            <w:tcW w:w="1241" w:type="dxa"/>
          </w:tcPr>
          <w:p w:rsidR="00B23B94" w:rsidRDefault="003B2D3B">
            <w:pPr>
              <w:pStyle w:val="TableParagraph"/>
              <w:ind w:right="433"/>
              <w:jc w:val="right"/>
              <w:rPr>
                <w:sz w:val="28"/>
              </w:rPr>
            </w:pPr>
            <w:r>
              <w:rPr>
                <w:sz w:val="28"/>
              </w:rPr>
              <w:t>5,3</w:t>
            </w:r>
          </w:p>
        </w:tc>
      </w:tr>
    </w:tbl>
    <w:p w:rsidR="00B23B94" w:rsidRDefault="003B2D3B">
      <w:pPr>
        <w:pStyle w:val="a3"/>
        <w:spacing w:line="360" w:lineRule="auto"/>
        <w:ind w:left="542" w:right="782" w:firstLine="707"/>
      </w:pPr>
      <w:r>
        <w:t xml:space="preserve">В первинному пасажі переважала грам-позитивна флора (58,2%), яка була представлена S.epidermidis (23,0%), S. аureus (5,3%), Streptococcus spp. (14,9%), Enterococcus spp.  (16,1%). Грам-негативна флора була </w:t>
      </w:r>
      <w:r>
        <w:rPr>
          <w:spacing w:val="7"/>
        </w:rPr>
        <w:t xml:space="preserve"> </w:t>
      </w:r>
      <w:r>
        <w:t>представлена</w:t>
      </w:r>
    </w:p>
    <w:p w:rsidR="00B23B94" w:rsidRDefault="003B2D3B">
      <w:pPr>
        <w:pStyle w:val="a3"/>
        <w:spacing w:line="360" w:lineRule="auto"/>
        <w:ind w:left="542" w:right="780"/>
      </w:pPr>
      <w:r>
        <w:t>E. сoli (41,8%). У повторному бактеріальному пасажі спостерігали діаметрально протилежну картину, а саме переважання грам-негативної мікрофлори (55,2%). Найчастіше висівалися E. coli та Klebsiella ssp. (21,8% та 9,2% відповідно). Окрім того у повторному бактеріальному пасажі було виявлено наступні внутрішньолікарняні грам-негативні штами: Enterobacter spp. (4,6%), Proteus spp. (5,7%), Pseudomonas aeruginosae (6,9%), Citrobacter spp.   (2,3%),   Acinetobacter   spp.   (4,6%).   Серед   грам-позитивної   флори</w:t>
      </w:r>
      <w:r>
        <w:rPr>
          <w:spacing w:val="47"/>
        </w:rPr>
        <w:t xml:space="preserve"> </w:t>
      </w:r>
      <w:r>
        <w:t>у</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84"/>
      </w:pPr>
      <w:r>
        <w:lastRenderedPageBreak/>
        <w:t>результатах посіву найчастіше отримували S. аureus (16,1%), а також S.epidermidis (12,6%), Streptococcus spp. (8,2%), Enterococcus spp. (6,1%).</w:t>
      </w:r>
    </w:p>
    <w:p w:rsidR="00B23B94" w:rsidRDefault="003B2D3B">
      <w:pPr>
        <w:pStyle w:val="a3"/>
        <w:spacing w:line="360" w:lineRule="auto"/>
        <w:ind w:left="542" w:right="785" w:firstLine="707"/>
      </w:pPr>
      <w:r>
        <w:t>Таким чином, у повторному бактеріальному пасажі відмічали збільшення кількості видів збудників ГСУ за рахунок внутрішньолікарняних штамів. Звертає увагу значний приріст госпітальних штамів (32,7%), а також збільшення частоти виявлення S. аureus майже у 3 рази в порівнянні з результатами первинного БП.</w:t>
      </w:r>
    </w:p>
    <w:p w:rsidR="00B23B94" w:rsidRDefault="003B2D3B">
      <w:pPr>
        <w:pStyle w:val="a3"/>
        <w:spacing w:line="360" w:lineRule="auto"/>
        <w:ind w:left="542" w:right="787" w:firstLine="707"/>
      </w:pPr>
      <w:r>
        <w:t>Визначали концентрацію мікробних тіл (табл. 3.11). Так у первинному бактеріальному пасажі переважали культури з малою концентрацією мікроорганізмів (70,4%), а питома вага посівів з високою концентрацією останніх (&gt;10</w:t>
      </w:r>
      <w:r>
        <w:rPr>
          <w:vertAlign w:val="superscript"/>
        </w:rPr>
        <w:t>5</w:t>
      </w:r>
      <w:r>
        <w:t xml:space="preserve"> КУО/мл) становила всього 7,3%. Інша ситуація була у повторному бактеріальному пасажі: більшість культур (66,4%) мали високу концентрацію мікроорганізмів.</w:t>
      </w:r>
    </w:p>
    <w:p w:rsidR="00B23B94" w:rsidRDefault="003B2D3B">
      <w:pPr>
        <w:spacing w:line="320" w:lineRule="exact"/>
        <w:ind w:left="8352" w:right="769"/>
        <w:jc w:val="center"/>
        <w:rPr>
          <w:i/>
          <w:sz w:val="28"/>
        </w:rPr>
      </w:pPr>
      <w:r>
        <w:rPr>
          <w:i/>
          <w:sz w:val="28"/>
        </w:rPr>
        <w:t>Таблиця 3.11</w:t>
      </w:r>
    </w:p>
    <w:p w:rsidR="00B23B94" w:rsidRDefault="003B2D3B">
      <w:pPr>
        <w:pStyle w:val="1"/>
        <w:ind w:left="762" w:right="304"/>
        <w:jc w:val="center"/>
      </w:pPr>
      <w:r>
        <w:t>Концентрація мікроорганізмів в ексудаті хворих на ГТП з ГСУ.</w:t>
      </w:r>
    </w:p>
    <w:p w:rsidR="00B23B94" w:rsidRDefault="00B23B94">
      <w:pPr>
        <w:pStyle w:val="a3"/>
        <w:spacing w:before="11"/>
        <w:ind w:left="0"/>
        <w:jc w:val="left"/>
        <w:rPr>
          <w:b/>
          <w:sz w:val="13"/>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3438"/>
        <w:gridCol w:w="3193"/>
      </w:tblGrid>
      <w:tr w:rsidR="00B23B94">
        <w:trPr>
          <w:trHeight w:val="897"/>
        </w:trPr>
        <w:tc>
          <w:tcPr>
            <w:tcW w:w="2943" w:type="dxa"/>
          </w:tcPr>
          <w:p w:rsidR="00B23B94" w:rsidRDefault="003B2D3B">
            <w:pPr>
              <w:pStyle w:val="TableParagraph"/>
              <w:spacing w:before="2"/>
              <w:ind w:left="647"/>
              <w:jc w:val="left"/>
              <w:rPr>
                <w:b/>
                <w:sz w:val="26"/>
              </w:rPr>
            </w:pPr>
            <w:r>
              <w:rPr>
                <w:b/>
                <w:sz w:val="26"/>
              </w:rPr>
              <w:t>Концентрація</w:t>
            </w:r>
          </w:p>
          <w:p w:rsidR="00B23B94" w:rsidRDefault="003B2D3B">
            <w:pPr>
              <w:pStyle w:val="TableParagraph"/>
              <w:spacing w:before="149"/>
              <w:ind w:left="513"/>
              <w:jc w:val="left"/>
              <w:rPr>
                <w:b/>
                <w:sz w:val="26"/>
              </w:rPr>
            </w:pPr>
            <w:r>
              <w:rPr>
                <w:b/>
                <w:sz w:val="26"/>
              </w:rPr>
              <w:t>мікроорганізмів</w:t>
            </w:r>
          </w:p>
        </w:tc>
        <w:tc>
          <w:tcPr>
            <w:tcW w:w="3438" w:type="dxa"/>
          </w:tcPr>
          <w:p w:rsidR="00B23B94" w:rsidRDefault="003B2D3B">
            <w:pPr>
              <w:pStyle w:val="TableParagraph"/>
              <w:spacing w:before="2"/>
              <w:ind w:left="122" w:right="115"/>
              <w:rPr>
                <w:b/>
                <w:sz w:val="26"/>
              </w:rPr>
            </w:pPr>
            <w:r>
              <w:rPr>
                <w:b/>
                <w:sz w:val="26"/>
              </w:rPr>
              <w:t>Первинний бактеріальний</w:t>
            </w:r>
          </w:p>
          <w:p w:rsidR="00B23B94" w:rsidRDefault="003B2D3B">
            <w:pPr>
              <w:pStyle w:val="TableParagraph"/>
              <w:spacing w:before="149"/>
              <w:ind w:left="122" w:right="113"/>
              <w:rPr>
                <w:b/>
                <w:sz w:val="26"/>
              </w:rPr>
            </w:pPr>
            <w:r>
              <w:rPr>
                <w:b/>
                <w:sz w:val="26"/>
              </w:rPr>
              <w:t>пасаж, %</w:t>
            </w:r>
          </w:p>
        </w:tc>
        <w:tc>
          <w:tcPr>
            <w:tcW w:w="3193" w:type="dxa"/>
          </w:tcPr>
          <w:p w:rsidR="00B23B94" w:rsidRDefault="003B2D3B">
            <w:pPr>
              <w:pStyle w:val="TableParagraph"/>
              <w:spacing w:before="2"/>
              <w:ind w:left="122" w:right="117"/>
              <w:rPr>
                <w:b/>
                <w:sz w:val="26"/>
              </w:rPr>
            </w:pPr>
            <w:r>
              <w:rPr>
                <w:b/>
                <w:sz w:val="26"/>
              </w:rPr>
              <w:t>Повторний</w:t>
            </w:r>
          </w:p>
          <w:p w:rsidR="00B23B94" w:rsidRDefault="003B2D3B">
            <w:pPr>
              <w:pStyle w:val="TableParagraph"/>
              <w:spacing w:before="149"/>
              <w:ind w:left="122" w:right="119"/>
              <w:rPr>
                <w:b/>
                <w:sz w:val="26"/>
              </w:rPr>
            </w:pPr>
            <w:r>
              <w:rPr>
                <w:b/>
                <w:sz w:val="26"/>
              </w:rPr>
              <w:t>бактеріальний пасаж, %</w:t>
            </w:r>
          </w:p>
        </w:tc>
      </w:tr>
      <w:tr w:rsidR="00B23B94">
        <w:trPr>
          <w:trHeight w:val="482"/>
        </w:trPr>
        <w:tc>
          <w:tcPr>
            <w:tcW w:w="2943" w:type="dxa"/>
          </w:tcPr>
          <w:p w:rsidR="00B23B94" w:rsidRDefault="003B2D3B">
            <w:pPr>
              <w:pStyle w:val="TableParagraph"/>
              <w:ind w:left="107"/>
              <w:jc w:val="left"/>
              <w:rPr>
                <w:sz w:val="28"/>
              </w:rPr>
            </w:pPr>
            <w:r>
              <w:rPr>
                <w:sz w:val="28"/>
              </w:rPr>
              <w:t>&lt;10</w:t>
            </w:r>
            <w:r>
              <w:rPr>
                <w:sz w:val="28"/>
                <w:vertAlign w:val="superscript"/>
              </w:rPr>
              <w:t>3</w:t>
            </w:r>
            <w:r>
              <w:rPr>
                <w:sz w:val="28"/>
              </w:rPr>
              <w:t xml:space="preserve"> КУО/мл</w:t>
            </w:r>
          </w:p>
        </w:tc>
        <w:tc>
          <w:tcPr>
            <w:tcW w:w="3438" w:type="dxa"/>
          </w:tcPr>
          <w:p w:rsidR="00B23B94" w:rsidRDefault="003B2D3B">
            <w:pPr>
              <w:pStyle w:val="TableParagraph"/>
              <w:ind w:left="122" w:right="113"/>
              <w:rPr>
                <w:sz w:val="28"/>
              </w:rPr>
            </w:pPr>
            <w:r>
              <w:rPr>
                <w:sz w:val="28"/>
              </w:rPr>
              <w:t>70,4</w:t>
            </w:r>
          </w:p>
        </w:tc>
        <w:tc>
          <w:tcPr>
            <w:tcW w:w="3193" w:type="dxa"/>
          </w:tcPr>
          <w:p w:rsidR="00B23B94" w:rsidRDefault="003B2D3B">
            <w:pPr>
              <w:pStyle w:val="TableParagraph"/>
              <w:ind w:left="122" w:right="113"/>
              <w:rPr>
                <w:sz w:val="28"/>
              </w:rPr>
            </w:pPr>
            <w:r>
              <w:rPr>
                <w:sz w:val="28"/>
              </w:rPr>
              <w:t>5,2</w:t>
            </w:r>
          </w:p>
        </w:tc>
      </w:tr>
      <w:tr w:rsidR="00B23B94">
        <w:trPr>
          <w:trHeight w:val="484"/>
        </w:trPr>
        <w:tc>
          <w:tcPr>
            <w:tcW w:w="2943" w:type="dxa"/>
          </w:tcPr>
          <w:p w:rsidR="00B23B94" w:rsidRDefault="003B2D3B">
            <w:pPr>
              <w:pStyle w:val="TableParagraph"/>
              <w:ind w:left="107"/>
              <w:jc w:val="left"/>
              <w:rPr>
                <w:sz w:val="28"/>
              </w:rPr>
            </w:pPr>
            <w:r>
              <w:rPr>
                <w:sz w:val="28"/>
              </w:rPr>
              <w:t>10</w:t>
            </w:r>
            <w:r>
              <w:rPr>
                <w:sz w:val="28"/>
                <w:vertAlign w:val="superscript"/>
              </w:rPr>
              <w:t>3-</w:t>
            </w:r>
            <w:r>
              <w:rPr>
                <w:sz w:val="28"/>
              </w:rPr>
              <w:t>10</w:t>
            </w:r>
            <w:r>
              <w:rPr>
                <w:sz w:val="28"/>
                <w:vertAlign w:val="superscript"/>
              </w:rPr>
              <w:t>5</w:t>
            </w:r>
            <w:r>
              <w:rPr>
                <w:sz w:val="28"/>
              </w:rPr>
              <w:t xml:space="preserve"> КУО/мл</w:t>
            </w:r>
          </w:p>
        </w:tc>
        <w:tc>
          <w:tcPr>
            <w:tcW w:w="3438" w:type="dxa"/>
          </w:tcPr>
          <w:p w:rsidR="00B23B94" w:rsidRDefault="003B2D3B">
            <w:pPr>
              <w:pStyle w:val="TableParagraph"/>
              <w:ind w:left="122" w:right="113"/>
              <w:rPr>
                <w:sz w:val="28"/>
              </w:rPr>
            </w:pPr>
            <w:r>
              <w:rPr>
                <w:sz w:val="28"/>
              </w:rPr>
              <w:t>22,3</w:t>
            </w:r>
          </w:p>
        </w:tc>
        <w:tc>
          <w:tcPr>
            <w:tcW w:w="3193" w:type="dxa"/>
          </w:tcPr>
          <w:p w:rsidR="00B23B94" w:rsidRDefault="003B2D3B">
            <w:pPr>
              <w:pStyle w:val="TableParagraph"/>
              <w:ind w:left="122" w:right="114"/>
              <w:rPr>
                <w:sz w:val="28"/>
              </w:rPr>
            </w:pPr>
            <w:r>
              <w:rPr>
                <w:sz w:val="28"/>
              </w:rPr>
              <w:t>28,4</w:t>
            </w:r>
          </w:p>
        </w:tc>
      </w:tr>
      <w:tr w:rsidR="00B23B94">
        <w:trPr>
          <w:trHeight w:val="482"/>
        </w:trPr>
        <w:tc>
          <w:tcPr>
            <w:tcW w:w="2943" w:type="dxa"/>
          </w:tcPr>
          <w:p w:rsidR="00B23B94" w:rsidRDefault="003B2D3B">
            <w:pPr>
              <w:pStyle w:val="TableParagraph"/>
              <w:ind w:left="107"/>
              <w:jc w:val="left"/>
              <w:rPr>
                <w:sz w:val="28"/>
              </w:rPr>
            </w:pPr>
            <w:r>
              <w:rPr>
                <w:sz w:val="28"/>
              </w:rPr>
              <w:t>&gt;10</w:t>
            </w:r>
            <w:r>
              <w:rPr>
                <w:sz w:val="28"/>
                <w:vertAlign w:val="superscript"/>
              </w:rPr>
              <w:t>5</w:t>
            </w:r>
            <w:r>
              <w:rPr>
                <w:sz w:val="28"/>
              </w:rPr>
              <w:t xml:space="preserve"> КУО/мл</w:t>
            </w:r>
          </w:p>
        </w:tc>
        <w:tc>
          <w:tcPr>
            <w:tcW w:w="3438" w:type="dxa"/>
          </w:tcPr>
          <w:p w:rsidR="00B23B94" w:rsidRDefault="003B2D3B">
            <w:pPr>
              <w:pStyle w:val="TableParagraph"/>
              <w:ind w:left="122" w:right="112"/>
              <w:rPr>
                <w:sz w:val="28"/>
              </w:rPr>
            </w:pPr>
            <w:r>
              <w:rPr>
                <w:sz w:val="28"/>
              </w:rPr>
              <w:t>7,3</w:t>
            </w:r>
          </w:p>
        </w:tc>
        <w:tc>
          <w:tcPr>
            <w:tcW w:w="3193" w:type="dxa"/>
          </w:tcPr>
          <w:p w:rsidR="00B23B94" w:rsidRDefault="003B2D3B">
            <w:pPr>
              <w:pStyle w:val="TableParagraph"/>
              <w:ind w:left="122" w:right="114"/>
              <w:rPr>
                <w:sz w:val="28"/>
              </w:rPr>
            </w:pPr>
            <w:r>
              <w:rPr>
                <w:sz w:val="28"/>
              </w:rPr>
              <w:t>66,4</w:t>
            </w:r>
          </w:p>
        </w:tc>
      </w:tr>
      <w:tr w:rsidR="00B23B94">
        <w:trPr>
          <w:trHeight w:val="484"/>
        </w:trPr>
        <w:tc>
          <w:tcPr>
            <w:tcW w:w="2943" w:type="dxa"/>
          </w:tcPr>
          <w:p w:rsidR="00B23B94" w:rsidRDefault="003B2D3B">
            <w:pPr>
              <w:pStyle w:val="TableParagraph"/>
              <w:ind w:left="107"/>
              <w:jc w:val="left"/>
              <w:rPr>
                <w:sz w:val="28"/>
              </w:rPr>
            </w:pPr>
            <w:r>
              <w:rPr>
                <w:sz w:val="28"/>
              </w:rPr>
              <w:t>Всього</w:t>
            </w:r>
          </w:p>
        </w:tc>
        <w:tc>
          <w:tcPr>
            <w:tcW w:w="3438" w:type="dxa"/>
          </w:tcPr>
          <w:p w:rsidR="00B23B94" w:rsidRDefault="003B2D3B">
            <w:pPr>
              <w:pStyle w:val="TableParagraph"/>
              <w:ind w:left="122" w:right="115"/>
              <w:rPr>
                <w:sz w:val="28"/>
              </w:rPr>
            </w:pPr>
            <w:r>
              <w:rPr>
                <w:sz w:val="28"/>
              </w:rPr>
              <w:t>100,0</w:t>
            </w:r>
          </w:p>
        </w:tc>
        <w:tc>
          <w:tcPr>
            <w:tcW w:w="3193" w:type="dxa"/>
          </w:tcPr>
          <w:p w:rsidR="00B23B94" w:rsidRDefault="003B2D3B">
            <w:pPr>
              <w:pStyle w:val="TableParagraph"/>
              <w:ind w:left="122" w:right="116"/>
              <w:rPr>
                <w:sz w:val="28"/>
              </w:rPr>
            </w:pPr>
            <w:r>
              <w:rPr>
                <w:sz w:val="28"/>
              </w:rPr>
              <w:t>100,0</w:t>
            </w:r>
          </w:p>
        </w:tc>
      </w:tr>
    </w:tbl>
    <w:p w:rsidR="00B23B94" w:rsidRDefault="00B23B94">
      <w:pPr>
        <w:pStyle w:val="a3"/>
        <w:spacing w:before="11"/>
        <w:ind w:left="0"/>
        <w:jc w:val="left"/>
        <w:rPr>
          <w:b/>
          <w:sz w:val="41"/>
        </w:rPr>
      </w:pPr>
    </w:p>
    <w:p w:rsidR="00B23B94" w:rsidRDefault="003B2D3B">
      <w:pPr>
        <w:pStyle w:val="a3"/>
        <w:spacing w:line="360" w:lineRule="auto"/>
        <w:ind w:left="542" w:right="784" w:firstLine="707"/>
      </w:pPr>
      <w:r>
        <w:t>Результати чутливості мікроорганізмів первинного бактеріального пасажу відображені в таблиці 3.12. Найбільш чутливими збудники ГСУ були до представників груп глікопептидів (ванкоміцин – 95,2%), оксазолідінонів (лінезолід – 91,1%), а також гліцилциклінів (тігециклін – 85,7%) та цефалоспоринів (цефепім – 83,3%). Найнижча чутливість відмічалася до пеніцилінів (ампіцилін – 28,5%) та вторхінолонів (левофлосацин – 19,0%).</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370"/>
        <w:rPr>
          <w:i/>
          <w:sz w:val="28"/>
        </w:rPr>
      </w:pPr>
      <w:r>
        <w:rPr>
          <w:i/>
          <w:sz w:val="28"/>
        </w:rPr>
        <w:lastRenderedPageBreak/>
        <w:t>Таблиця 3.12</w:t>
      </w:r>
    </w:p>
    <w:p w:rsidR="00B23B94" w:rsidRDefault="003B2D3B">
      <w:pPr>
        <w:pStyle w:val="1"/>
        <w:spacing w:before="164" w:line="360" w:lineRule="auto"/>
        <w:ind w:left="2308" w:right="984" w:hanging="1561"/>
      </w:pPr>
      <w:r>
        <w:t>Чутливість до антибактеріальних препаратів мікрофлори первинного бактеріального пасажу хворих на ГТП з ГСУ.</w:t>
      </w: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2950"/>
      </w:tblGrid>
      <w:tr w:rsidR="00B23B94">
        <w:trPr>
          <w:trHeight w:val="484"/>
        </w:trPr>
        <w:tc>
          <w:tcPr>
            <w:tcW w:w="6693" w:type="dxa"/>
          </w:tcPr>
          <w:p w:rsidR="00B23B94" w:rsidRDefault="003B2D3B">
            <w:pPr>
              <w:pStyle w:val="TableParagraph"/>
              <w:ind w:left="177"/>
              <w:jc w:val="left"/>
              <w:rPr>
                <w:b/>
                <w:sz w:val="28"/>
              </w:rPr>
            </w:pPr>
            <w:r>
              <w:rPr>
                <w:b/>
                <w:sz w:val="28"/>
              </w:rPr>
              <w:t>Антибіотик</w:t>
            </w:r>
          </w:p>
        </w:tc>
        <w:tc>
          <w:tcPr>
            <w:tcW w:w="2950" w:type="dxa"/>
          </w:tcPr>
          <w:p w:rsidR="00B23B94" w:rsidRDefault="003B2D3B">
            <w:pPr>
              <w:pStyle w:val="TableParagraph"/>
              <w:ind w:left="522" w:right="517"/>
              <w:rPr>
                <w:b/>
                <w:sz w:val="28"/>
              </w:rPr>
            </w:pPr>
            <w:r>
              <w:rPr>
                <w:b/>
                <w:sz w:val="28"/>
              </w:rPr>
              <w:t>Чутливість, %</w:t>
            </w:r>
          </w:p>
        </w:tc>
      </w:tr>
      <w:tr w:rsidR="00B23B94">
        <w:trPr>
          <w:trHeight w:val="482"/>
        </w:trPr>
        <w:tc>
          <w:tcPr>
            <w:tcW w:w="6693" w:type="dxa"/>
          </w:tcPr>
          <w:p w:rsidR="00B23B94" w:rsidRDefault="003B2D3B">
            <w:pPr>
              <w:pStyle w:val="TableParagraph"/>
              <w:ind w:left="107"/>
              <w:jc w:val="left"/>
              <w:rPr>
                <w:sz w:val="28"/>
              </w:rPr>
            </w:pPr>
            <w:r>
              <w:rPr>
                <w:sz w:val="28"/>
              </w:rPr>
              <w:t>Ампіцилін</w:t>
            </w:r>
          </w:p>
        </w:tc>
        <w:tc>
          <w:tcPr>
            <w:tcW w:w="2950" w:type="dxa"/>
          </w:tcPr>
          <w:p w:rsidR="00B23B94" w:rsidRDefault="003B2D3B">
            <w:pPr>
              <w:pStyle w:val="TableParagraph"/>
              <w:ind w:left="522" w:right="516"/>
              <w:rPr>
                <w:sz w:val="28"/>
              </w:rPr>
            </w:pPr>
            <w:r>
              <w:rPr>
                <w:sz w:val="28"/>
              </w:rPr>
              <w:t>28,5</w:t>
            </w:r>
          </w:p>
        </w:tc>
      </w:tr>
      <w:tr w:rsidR="00B23B94">
        <w:trPr>
          <w:trHeight w:val="481"/>
        </w:trPr>
        <w:tc>
          <w:tcPr>
            <w:tcW w:w="6693" w:type="dxa"/>
          </w:tcPr>
          <w:p w:rsidR="00B23B94" w:rsidRDefault="003B2D3B">
            <w:pPr>
              <w:pStyle w:val="TableParagraph"/>
              <w:ind w:left="107"/>
              <w:jc w:val="left"/>
              <w:rPr>
                <w:sz w:val="28"/>
              </w:rPr>
            </w:pPr>
            <w:r>
              <w:rPr>
                <w:sz w:val="28"/>
              </w:rPr>
              <w:t>Цефуроксім</w:t>
            </w:r>
          </w:p>
        </w:tc>
        <w:tc>
          <w:tcPr>
            <w:tcW w:w="2950" w:type="dxa"/>
          </w:tcPr>
          <w:p w:rsidR="00B23B94" w:rsidRDefault="003B2D3B">
            <w:pPr>
              <w:pStyle w:val="TableParagraph"/>
              <w:ind w:left="522" w:right="516"/>
              <w:rPr>
                <w:sz w:val="28"/>
              </w:rPr>
            </w:pPr>
            <w:r>
              <w:rPr>
                <w:sz w:val="28"/>
              </w:rPr>
              <w:t>38,1</w:t>
            </w:r>
          </w:p>
        </w:tc>
      </w:tr>
      <w:tr w:rsidR="00B23B94">
        <w:trPr>
          <w:trHeight w:val="484"/>
        </w:trPr>
        <w:tc>
          <w:tcPr>
            <w:tcW w:w="6693" w:type="dxa"/>
          </w:tcPr>
          <w:p w:rsidR="00B23B94" w:rsidRDefault="003B2D3B">
            <w:pPr>
              <w:pStyle w:val="TableParagraph"/>
              <w:spacing w:before="2"/>
              <w:ind w:left="107"/>
              <w:jc w:val="left"/>
              <w:rPr>
                <w:sz w:val="28"/>
              </w:rPr>
            </w:pPr>
            <w:r>
              <w:rPr>
                <w:sz w:val="28"/>
              </w:rPr>
              <w:t>Цефоперазон</w:t>
            </w:r>
          </w:p>
        </w:tc>
        <w:tc>
          <w:tcPr>
            <w:tcW w:w="2950" w:type="dxa"/>
          </w:tcPr>
          <w:p w:rsidR="00B23B94" w:rsidRDefault="003B2D3B">
            <w:pPr>
              <w:pStyle w:val="TableParagraph"/>
              <w:spacing w:before="2"/>
              <w:ind w:left="522" w:right="516"/>
              <w:rPr>
                <w:sz w:val="28"/>
              </w:rPr>
            </w:pPr>
            <w:r>
              <w:rPr>
                <w:sz w:val="28"/>
              </w:rPr>
              <w:t>66,6</w:t>
            </w:r>
          </w:p>
        </w:tc>
      </w:tr>
      <w:tr w:rsidR="00B23B94">
        <w:trPr>
          <w:trHeight w:val="482"/>
        </w:trPr>
        <w:tc>
          <w:tcPr>
            <w:tcW w:w="6693" w:type="dxa"/>
          </w:tcPr>
          <w:p w:rsidR="00B23B94" w:rsidRDefault="003B2D3B">
            <w:pPr>
              <w:pStyle w:val="TableParagraph"/>
              <w:ind w:left="107"/>
              <w:jc w:val="left"/>
              <w:rPr>
                <w:sz w:val="28"/>
              </w:rPr>
            </w:pPr>
            <w:r>
              <w:rPr>
                <w:sz w:val="28"/>
              </w:rPr>
              <w:t>Цефокситін</w:t>
            </w:r>
          </w:p>
        </w:tc>
        <w:tc>
          <w:tcPr>
            <w:tcW w:w="2950" w:type="dxa"/>
          </w:tcPr>
          <w:p w:rsidR="00B23B94" w:rsidRDefault="003B2D3B">
            <w:pPr>
              <w:pStyle w:val="TableParagraph"/>
              <w:ind w:left="522" w:right="516"/>
              <w:rPr>
                <w:sz w:val="28"/>
              </w:rPr>
            </w:pPr>
            <w:r>
              <w:rPr>
                <w:sz w:val="28"/>
              </w:rPr>
              <w:t>71,4</w:t>
            </w:r>
          </w:p>
        </w:tc>
      </w:tr>
      <w:tr w:rsidR="00B23B94">
        <w:trPr>
          <w:trHeight w:val="484"/>
        </w:trPr>
        <w:tc>
          <w:tcPr>
            <w:tcW w:w="6693" w:type="dxa"/>
          </w:tcPr>
          <w:p w:rsidR="00B23B94" w:rsidRDefault="003B2D3B">
            <w:pPr>
              <w:pStyle w:val="TableParagraph"/>
              <w:ind w:left="107"/>
              <w:jc w:val="left"/>
              <w:rPr>
                <w:sz w:val="28"/>
              </w:rPr>
            </w:pPr>
            <w:r>
              <w:rPr>
                <w:sz w:val="28"/>
              </w:rPr>
              <w:t>Цефтазідім</w:t>
            </w:r>
          </w:p>
        </w:tc>
        <w:tc>
          <w:tcPr>
            <w:tcW w:w="2950" w:type="dxa"/>
          </w:tcPr>
          <w:p w:rsidR="00B23B94" w:rsidRDefault="003B2D3B">
            <w:pPr>
              <w:pStyle w:val="TableParagraph"/>
              <w:ind w:left="522" w:right="516"/>
              <w:rPr>
                <w:sz w:val="28"/>
              </w:rPr>
            </w:pPr>
            <w:r>
              <w:rPr>
                <w:sz w:val="28"/>
              </w:rPr>
              <w:t>52,3</w:t>
            </w:r>
          </w:p>
        </w:tc>
      </w:tr>
      <w:tr w:rsidR="00B23B94">
        <w:trPr>
          <w:trHeight w:val="482"/>
        </w:trPr>
        <w:tc>
          <w:tcPr>
            <w:tcW w:w="6693" w:type="dxa"/>
          </w:tcPr>
          <w:p w:rsidR="00B23B94" w:rsidRDefault="003B2D3B">
            <w:pPr>
              <w:pStyle w:val="TableParagraph"/>
              <w:ind w:left="107"/>
              <w:jc w:val="left"/>
              <w:rPr>
                <w:sz w:val="28"/>
              </w:rPr>
            </w:pPr>
            <w:r>
              <w:rPr>
                <w:sz w:val="28"/>
              </w:rPr>
              <w:t>Цефотаксім</w:t>
            </w:r>
          </w:p>
        </w:tc>
        <w:tc>
          <w:tcPr>
            <w:tcW w:w="2950" w:type="dxa"/>
          </w:tcPr>
          <w:p w:rsidR="00B23B94" w:rsidRDefault="003B2D3B">
            <w:pPr>
              <w:pStyle w:val="TableParagraph"/>
              <w:ind w:left="522" w:right="516"/>
              <w:rPr>
                <w:sz w:val="28"/>
              </w:rPr>
            </w:pPr>
            <w:r>
              <w:rPr>
                <w:sz w:val="28"/>
              </w:rPr>
              <w:t>66,6</w:t>
            </w:r>
          </w:p>
        </w:tc>
      </w:tr>
      <w:tr w:rsidR="00B23B94">
        <w:trPr>
          <w:trHeight w:val="482"/>
        </w:trPr>
        <w:tc>
          <w:tcPr>
            <w:tcW w:w="6693" w:type="dxa"/>
          </w:tcPr>
          <w:p w:rsidR="00B23B94" w:rsidRDefault="003B2D3B">
            <w:pPr>
              <w:pStyle w:val="TableParagraph"/>
              <w:ind w:left="107"/>
              <w:jc w:val="left"/>
              <w:rPr>
                <w:sz w:val="28"/>
              </w:rPr>
            </w:pPr>
            <w:r>
              <w:rPr>
                <w:sz w:val="28"/>
              </w:rPr>
              <w:t>Цефтріаксон</w:t>
            </w:r>
          </w:p>
        </w:tc>
        <w:tc>
          <w:tcPr>
            <w:tcW w:w="2950" w:type="dxa"/>
          </w:tcPr>
          <w:p w:rsidR="00B23B94" w:rsidRDefault="003B2D3B">
            <w:pPr>
              <w:pStyle w:val="TableParagraph"/>
              <w:ind w:left="522" w:right="516"/>
              <w:rPr>
                <w:sz w:val="28"/>
              </w:rPr>
            </w:pPr>
            <w:r>
              <w:rPr>
                <w:sz w:val="28"/>
              </w:rPr>
              <w:t>61,9</w:t>
            </w:r>
          </w:p>
        </w:tc>
      </w:tr>
      <w:tr w:rsidR="00B23B94">
        <w:trPr>
          <w:trHeight w:val="484"/>
        </w:trPr>
        <w:tc>
          <w:tcPr>
            <w:tcW w:w="6693" w:type="dxa"/>
          </w:tcPr>
          <w:p w:rsidR="00B23B94" w:rsidRDefault="003B2D3B">
            <w:pPr>
              <w:pStyle w:val="TableParagraph"/>
              <w:spacing w:before="2"/>
              <w:ind w:left="107"/>
              <w:jc w:val="left"/>
              <w:rPr>
                <w:sz w:val="28"/>
              </w:rPr>
            </w:pPr>
            <w:r>
              <w:rPr>
                <w:sz w:val="28"/>
              </w:rPr>
              <w:t>Цефепім</w:t>
            </w:r>
          </w:p>
        </w:tc>
        <w:tc>
          <w:tcPr>
            <w:tcW w:w="2950" w:type="dxa"/>
          </w:tcPr>
          <w:p w:rsidR="00B23B94" w:rsidRDefault="003B2D3B">
            <w:pPr>
              <w:pStyle w:val="TableParagraph"/>
              <w:spacing w:before="2"/>
              <w:ind w:left="522" w:right="516"/>
              <w:rPr>
                <w:sz w:val="28"/>
              </w:rPr>
            </w:pPr>
            <w:r>
              <w:rPr>
                <w:sz w:val="28"/>
              </w:rPr>
              <w:t>83,3</w:t>
            </w:r>
          </w:p>
        </w:tc>
      </w:tr>
      <w:tr w:rsidR="00B23B94">
        <w:trPr>
          <w:trHeight w:val="482"/>
        </w:trPr>
        <w:tc>
          <w:tcPr>
            <w:tcW w:w="6693" w:type="dxa"/>
          </w:tcPr>
          <w:p w:rsidR="00B23B94" w:rsidRDefault="003B2D3B">
            <w:pPr>
              <w:pStyle w:val="TableParagraph"/>
              <w:ind w:left="107"/>
              <w:jc w:val="left"/>
              <w:rPr>
                <w:sz w:val="28"/>
              </w:rPr>
            </w:pPr>
            <w:r>
              <w:rPr>
                <w:sz w:val="28"/>
              </w:rPr>
              <w:t>Ампіцилін-сульбактам</w:t>
            </w:r>
          </w:p>
        </w:tc>
        <w:tc>
          <w:tcPr>
            <w:tcW w:w="2950" w:type="dxa"/>
          </w:tcPr>
          <w:p w:rsidR="00B23B94" w:rsidRDefault="003B2D3B">
            <w:pPr>
              <w:pStyle w:val="TableParagraph"/>
              <w:ind w:left="522" w:right="516"/>
              <w:rPr>
                <w:sz w:val="28"/>
              </w:rPr>
            </w:pPr>
            <w:r>
              <w:rPr>
                <w:sz w:val="28"/>
              </w:rPr>
              <w:t>48,3</w:t>
            </w:r>
          </w:p>
        </w:tc>
      </w:tr>
      <w:tr w:rsidR="00B23B94">
        <w:trPr>
          <w:trHeight w:val="484"/>
        </w:trPr>
        <w:tc>
          <w:tcPr>
            <w:tcW w:w="6693" w:type="dxa"/>
          </w:tcPr>
          <w:p w:rsidR="00B23B94" w:rsidRDefault="003B2D3B">
            <w:pPr>
              <w:pStyle w:val="TableParagraph"/>
              <w:ind w:left="107"/>
              <w:jc w:val="left"/>
              <w:rPr>
                <w:sz w:val="28"/>
              </w:rPr>
            </w:pPr>
            <w:r>
              <w:rPr>
                <w:sz w:val="28"/>
              </w:rPr>
              <w:t>Амоксицилін-клавуланат</w:t>
            </w:r>
          </w:p>
        </w:tc>
        <w:tc>
          <w:tcPr>
            <w:tcW w:w="2950" w:type="dxa"/>
          </w:tcPr>
          <w:p w:rsidR="00B23B94" w:rsidRDefault="003B2D3B">
            <w:pPr>
              <w:pStyle w:val="TableParagraph"/>
              <w:ind w:left="522" w:right="516"/>
              <w:rPr>
                <w:sz w:val="28"/>
              </w:rPr>
            </w:pPr>
            <w:r>
              <w:rPr>
                <w:sz w:val="28"/>
              </w:rPr>
              <w:t>52,3</w:t>
            </w:r>
          </w:p>
        </w:tc>
      </w:tr>
      <w:tr w:rsidR="00B23B94">
        <w:trPr>
          <w:trHeight w:val="481"/>
        </w:trPr>
        <w:tc>
          <w:tcPr>
            <w:tcW w:w="6693" w:type="dxa"/>
          </w:tcPr>
          <w:p w:rsidR="00B23B94" w:rsidRDefault="003B2D3B">
            <w:pPr>
              <w:pStyle w:val="TableParagraph"/>
              <w:ind w:left="107"/>
              <w:jc w:val="left"/>
              <w:rPr>
                <w:sz w:val="28"/>
              </w:rPr>
            </w:pPr>
            <w:r>
              <w:rPr>
                <w:sz w:val="28"/>
              </w:rPr>
              <w:t>Піперацилін-тазобактам</w:t>
            </w:r>
          </w:p>
        </w:tc>
        <w:tc>
          <w:tcPr>
            <w:tcW w:w="2950" w:type="dxa"/>
          </w:tcPr>
          <w:p w:rsidR="00B23B94" w:rsidRDefault="003B2D3B">
            <w:pPr>
              <w:pStyle w:val="TableParagraph"/>
              <w:ind w:left="522" w:right="516"/>
              <w:rPr>
                <w:sz w:val="28"/>
              </w:rPr>
            </w:pPr>
            <w:r>
              <w:rPr>
                <w:sz w:val="28"/>
              </w:rPr>
              <w:t>61,9</w:t>
            </w:r>
          </w:p>
        </w:tc>
      </w:tr>
      <w:tr w:rsidR="00B23B94">
        <w:trPr>
          <w:trHeight w:val="481"/>
        </w:trPr>
        <w:tc>
          <w:tcPr>
            <w:tcW w:w="6693" w:type="dxa"/>
          </w:tcPr>
          <w:p w:rsidR="00B23B94" w:rsidRDefault="003B2D3B">
            <w:pPr>
              <w:pStyle w:val="TableParagraph"/>
              <w:ind w:left="107"/>
              <w:jc w:val="left"/>
              <w:rPr>
                <w:sz w:val="28"/>
              </w:rPr>
            </w:pPr>
            <w:r>
              <w:rPr>
                <w:sz w:val="28"/>
              </w:rPr>
              <w:t>Цефоперазон-сульбактам</w:t>
            </w:r>
          </w:p>
        </w:tc>
        <w:tc>
          <w:tcPr>
            <w:tcW w:w="2950" w:type="dxa"/>
          </w:tcPr>
          <w:p w:rsidR="00B23B94" w:rsidRDefault="003B2D3B">
            <w:pPr>
              <w:pStyle w:val="TableParagraph"/>
              <w:ind w:left="522" w:right="516"/>
              <w:rPr>
                <w:sz w:val="28"/>
              </w:rPr>
            </w:pPr>
            <w:r>
              <w:rPr>
                <w:sz w:val="28"/>
              </w:rPr>
              <w:t>61,9</w:t>
            </w:r>
          </w:p>
        </w:tc>
      </w:tr>
      <w:tr w:rsidR="00B23B94">
        <w:trPr>
          <w:trHeight w:val="484"/>
        </w:trPr>
        <w:tc>
          <w:tcPr>
            <w:tcW w:w="6693" w:type="dxa"/>
          </w:tcPr>
          <w:p w:rsidR="00B23B94" w:rsidRDefault="003B2D3B">
            <w:pPr>
              <w:pStyle w:val="TableParagraph"/>
              <w:spacing w:before="2"/>
              <w:ind w:left="107"/>
              <w:jc w:val="left"/>
              <w:rPr>
                <w:sz w:val="28"/>
              </w:rPr>
            </w:pPr>
            <w:r>
              <w:rPr>
                <w:sz w:val="28"/>
              </w:rPr>
              <w:t>Іміпенем</w:t>
            </w:r>
          </w:p>
        </w:tc>
        <w:tc>
          <w:tcPr>
            <w:tcW w:w="2950" w:type="dxa"/>
          </w:tcPr>
          <w:p w:rsidR="00B23B94" w:rsidRDefault="003B2D3B">
            <w:pPr>
              <w:pStyle w:val="TableParagraph"/>
              <w:spacing w:before="2"/>
              <w:ind w:left="522" w:right="516"/>
              <w:rPr>
                <w:sz w:val="28"/>
              </w:rPr>
            </w:pPr>
            <w:r>
              <w:rPr>
                <w:sz w:val="28"/>
              </w:rPr>
              <w:t>61,2</w:t>
            </w:r>
          </w:p>
        </w:tc>
      </w:tr>
      <w:tr w:rsidR="00B23B94">
        <w:trPr>
          <w:trHeight w:val="482"/>
        </w:trPr>
        <w:tc>
          <w:tcPr>
            <w:tcW w:w="6693" w:type="dxa"/>
          </w:tcPr>
          <w:p w:rsidR="00B23B94" w:rsidRDefault="003B2D3B">
            <w:pPr>
              <w:pStyle w:val="TableParagraph"/>
              <w:ind w:left="107"/>
              <w:jc w:val="left"/>
              <w:rPr>
                <w:sz w:val="28"/>
              </w:rPr>
            </w:pPr>
            <w:r>
              <w:rPr>
                <w:sz w:val="28"/>
              </w:rPr>
              <w:t>Меропенем</w:t>
            </w:r>
          </w:p>
        </w:tc>
        <w:tc>
          <w:tcPr>
            <w:tcW w:w="2950" w:type="dxa"/>
          </w:tcPr>
          <w:p w:rsidR="00B23B94" w:rsidRDefault="003B2D3B">
            <w:pPr>
              <w:pStyle w:val="TableParagraph"/>
              <w:ind w:left="522" w:right="516"/>
              <w:rPr>
                <w:sz w:val="28"/>
              </w:rPr>
            </w:pPr>
            <w:r>
              <w:rPr>
                <w:sz w:val="28"/>
              </w:rPr>
              <w:t>67,1</w:t>
            </w:r>
          </w:p>
        </w:tc>
      </w:tr>
      <w:tr w:rsidR="00B23B94">
        <w:trPr>
          <w:trHeight w:val="484"/>
        </w:trPr>
        <w:tc>
          <w:tcPr>
            <w:tcW w:w="6693" w:type="dxa"/>
          </w:tcPr>
          <w:p w:rsidR="00B23B94" w:rsidRDefault="003B2D3B">
            <w:pPr>
              <w:pStyle w:val="TableParagraph"/>
              <w:ind w:left="107"/>
              <w:jc w:val="left"/>
              <w:rPr>
                <w:sz w:val="28"/>
              </w:rPr>
            </w:pPr>
            <w:r>
              <w:rPr>
                <w:sz w:val="28"/>
              </w:rPr>
              <w:t>Ципрофлоксацин</w:t>
            </w:r>
          </w:p>
        </w:tc>
        <w:tc>
          <w:tcPr>
            <w:tcW w:w="2950" w:type="dxa"/>
          </w:tcPr>
          <w:p w:rsidR="00B23B94" w:rsidRDefault="003B2D3B">
            <w:pPr>
              <w:pStyle w:val="TableParagraph"/>
              <w:ind w:left="522" w:right="516"/>
              <w:rPr>
                <w:sz w:val="28"/>
              </w:rPr>
            </w:pPr>
            <w:r>
              <w:rPr>
                <w:sz w:val="28"/>
              </w:rPr>
              <w:t>57,1</w:t>
            </w:r>
          </w:p>
        </w:tc>
      </w:tr>
      <w:tr w:rsidR="00B23B94">
        <w:trPr>
          <w:trHeight w:val="482"/>
        </w:trPr>
        <w:tc>
          <w:tcPr>
            <w:tcW w:w="6693" w:type="dxa"/>
          </w:tcPr>
          <w:p w:rsidR="00B23B94" w:rsidRDefault="003B2D3B">
            <w:pPr>
              <w:pStyle w:val="TableParagraph"/>
              <w:ind w:left="107"/>
              <w:jc w:val="left"/>
              <w:rPr>
                <w:sz w:val="28"/>
              </w:rPr>
            </w:pPr>
            <w:r>
              <w:rPr>
                <w:sz w:val="28"/>
              </w:rPr>
              <w:t>Левофлоксацин</w:t>
            </w:r>
          </w:p>
        </w:tc>
        <w:tc>
          <w:tcPr>
            <w:tcW w:w="2950" w:type="dxa"/>
          </w:tcPr>
          <w:p w:rsidR="00B23B94" w:rsidRDefault="003B2D3B">
            <w:pPr>
              <w:pStyle w:val="TableParagraph"/>
              <w:ind w:left="522" w:right="516"/>
              <w:rPr>
                <w:sz w:val="28"/>
              </w:rPr>
            </w:pPr>
            <w:r>
              <w:rPr>
                <w:sz w:val="28"/>
              </w:rPr>
              <w:t>19,0</w:t>
            </w:r>
          </w:p>
        </w:tc>
      </w:tr>
      <w:tr w:rsidR="00B23B94">
        <w:trPr>
          <w:trHeight w:val="481"/>
        </w:trPr>
        <w:tc>
          <w:tcPr>
            <w:tcW w:w="6693" w:type="dxa"/>
          </w:tcPr>
          <w:p w:rsidR="00B23B94" w:rsidRDefault="003B2D3B">
            <w:pPr>
              <w:pStyle w:val="TableParagraph"/>
              <w:ind w:left="107"/>
              <w:jc w:val="left"/>
              <w:rPr>
                <w:sz w:val="28"/>
              </w:rPr>
            </w:pPr>
            <w:r>
              <w:rPr>
                <w:sz w:val="28"/>
              </w:rPr>
              <w:t>Гентаміцин</w:t>
            </w:r>
          </w:p>
        </w:tc>
        <w:tc>
          <w:tcPr>
            <w:tcW w:w="2950" w:type="dxa"/>
          </w:tcPr>
          <w:p w:rsidR="00B23B94" w:rsidRDefault="003B2D3B">
            <w:pPr>
              <w:pStyle w:val="TableParagraph"/>
              <w:ind w:left="522" w:right="516"/>
              <w:rPr>
                <w:sz w:val="28"/>
              </w:rPr>
            </w:pPr>
            <w:r>
              <w:rPr>
                <w:sz w:val="28"/>
              </w:rPr>
              <w:t>66,6</w:t>
            </w:r>
          </w:p>
        </w:tc>
      </w:tr>
      <w:tr w:rsidR="00B23B94">
        <w:trPr>
          <w:trHeight w:val="484"/>
        </w:trPr>
        <w:tc>
          <w:tcPr>
            <w:tcW w:w="6693" w:type="dxa"/>
          </w:tcPr>
          <w:p w:rsidR="00B23B94" w:rsidRDefault="003B2D3B">
            <w:pPr>
              <w:pStyle w:val="TableParagraph"/>
              <w:spacing w:before="2"/>
              <w:ind w:left="107"/>
              <w:jc w:val="left"/>
              <w:rPr>
                <w:sz w:val="28"/>
              </w:rPr>
            </w:pPr>
            <w:r>
              <w:rPr>
                <w:sz w:val="28"/>
              </w:rPr>
              <w:t>Амікацин</w:t>
            </w:r>
          </w:p>
        </w:tc>
        <w:tc>
          <w:tcPr>
            <w:tcW w:w="2950" w:type="dxa"/>
          </w:tcPr>
          <w:p w:rsidR="00B23B94" w:rsidRDefault="003B2D3B">
            <w:pPr>
              <w:pStyle w:val="TableParagraph"/>
              <w:spacing w:before="2"/>
              <w:ind w:left="522" w:right="516"/>
              <w:rPr>
                <w:sz w:val="28"/>
              </w:rPr>
            </w:pPr>
            <w:r>
              <w:rPr>
                <w:sz w:val="28"/>
              </w:rPr>
              <w:t>42,8</w:t>
            </w:r>
          </w:p>
        </w:tc>
      </w:tr>
      <w:tr w:rsidR="00B23B94">
        <w:trPr>
          <w:trHeight w:val="481"/>
        </w:trPr>
        <w:tc>
          <w:tcPr>
            <w:tcW w:w="6693" w:type="dxa"/>
          </w:tcPr>
          <w:p w:rsidR="00B23B94" w:rsidRDefault="003B2D3B">
            <w:pPr>
              <w:pStyle w:val="TableParagraph"/>
              <w:ind w:left="107"/>
              <w:jc w:val="left"/>
              <w:rPr>
                <w:sz w:val="28"/>
              </w:rPr>
            </w:pPr>
            <w:r>
              <w:rPr>
                <w:sz w:val="28"/>
              </w:rPr>
              <w:t>Тобраміцин</w:t>
            </w:r>
          </w:p>
        </w:tc>
        <w:tc>
          <w:tcPr>
            <w:tcW w:w="2950" w:type="dxa"/>
          </w:tcPr>
          <w:p w:rsidR="00B23B94" w:rsidRDefault="003B2D3B">
            <w:pPr>
              <w:pStyle w:val="TableParagraph"/>
              <w:ind w:left="522" w:right="516"/>
              <w:rPr>
                <w:sz w:val="28"/>
              </w:rPr>
            </w:pPr>
            <w:r>
              <w:rPr>
                <w:sz w:val="28"/>
              </w:rPr>
              <w:t>57,1</w:t>
            </w:r>
          </w:p>
        </w:tc>
      </w:tr>
      <w:tr w:rsidR="00B23B94">
        <w:trPr>
          <w:trHeight w:val="484"/>
        </w:trPr>
        <w:tc>
          <w:tcPr>
            <w:tcW w:w="6693" w:type="dxa"/>
          </w:tcPr>
          <w:p w:rsidR="00B23B94" w:rsidRDefault="003B2D3B">
            <w:pPr>
              <w:pStyle w:val="TableParagraph"/>
              <w:ind w:left="107"/>
              <w:jc w:val="left"/>
              <w:rPr>
                <w:sz w:val="28"/>
              </w:rPr>
            </w:pPr>
            <w:r>
              <w:rPr>
                <w:sz w:val="28"/>
              </w:rPr>
              <w:t>Ерітроміцин</w:t>
            </w:r>
          </w:p>
        </w:tc>
        <w:tc>
          <w:tcPr>
            <w:tcW w:w="2950" w:type="dxa"/>
          </w:tcPr>
          <w:p w:rsidR="00B23B94" w:rsidRDefault="003B2D3B">
            <w:pPr>
              <w:pStyle w:val="TableParagraph"/>
              <w:ind w:left="522" w:right="516"/>
              <w:rPr>
                <w:sz w:val="28"/>
              </w:rPr>
            </w:pPr>
            <w:r>
              <w:rPr>
                <w:sz w:val="28"/>
              </w:rPr>
              <w:t>47,6</w:t>
            </w:r>
          </w:p>
        </w:tc>
      </w:tr>
      <w:tr w:rsidR="00B23B94">
        <w:trPr>
          <w:trHeight w:val="482"/>
        </w:trPr>
        <w:tc>
          <w:tcPr>
            <w:tcW w:w="6693" w:type="dxa"/>
          </w:tcPr>
          <w:p w:rsidR="00B23B94" w:rsidRDefault="003B2D3B">
            <w:pPr>
              <w:pStyle w:val="TableParagraph"/>
              <w:ind w:left="107"/>
              <w:jc w:val="left"/>
              <w:rPr>
                <w:sz w:val="28"/>
              </w:rPr>
            </w:pPr>
            <w:r>
              <w:rPr>
                <w:sz w:val="28"/>
              </w:rPr>
              <w:t>Ванкоміцин</w:t>
            </w:r>
          </w:p>
        </w:tc>
        <w:tc>
          <w:tcPr>
            <w:tcW w:w="2950" w:type="dxa"/>
          </w:tcPr>
          <w:p w:rsidR="00B23B94" w:rsidRDefault="003B2D3B">
            <w:pPr>
              <w:pStyle w:val="TableParagraph"/>
              <w:ind w:left="522" w:right="516"/>
              <w:rPr>
                <w:sz w:val="28"/>
              </w:rPr>
            </w:pPr>
            <w:r>
              <w:rPr>
                <w:sz w:val="28"/>
              </w:rPr>
              <w:t>95,2</w:t>
            </w:r>
          </w:p>
        </w:tc>
      </w:tr>
      <w:tr w:rsidR="00B23B94">
        <w:trPr>
          <w:trHeight w:val="481"/>
        </w:trPr>
        <w:tc>
          <w:tcPr>
            <w:tcW w:w="6693" w:type="dxa"/>
          </w:tcPr>
          <w:p w:rsidR="00B23B94" w:rsidRDefault="003B2D3B">
            <w:pPr>
              <w:pStyle w:val="TableParagraph"/>
              <w:ind w:left="107"/>
              <w:jc w:val="left"/>
              <w:rPr>
                <w:sz w:val="28"/>
              </w:rPr>
            </w:pPr>
            <w:r>
              <w:rPr>
                <w:sz w:val="28"/>
              </w:rPr>
              <w:t>Лінезолід</w:t>
            </w:r>
          </w:p>
        </w:tc>
        <w:tc>
          <w:tcPr>
            <w:tcW w:w="2950" w:type="dxa"/>
          </w:tcPr>
          <w:p w:rsidR="00B23B94" w:rsidRDefault="003B2D3B">
            <w:pPr>
              <w:pStyle w:val="TableParagraph"/>
              <w:ind w:left="522" w:right="516"/>
              <w:rPr>
                <w:sz w:val="28"/>
              </w:rPr>
            </w:pPr>
            <w:r>
              <w:rPr>
                <w:sz w:val="28"/>
              </w:rPr>
              <w:t>91,1</w:t>
            </w:r>
          </w:p>
        </w:tc>
      </w:tr>
      <w:tr w:rsidR="00B23B94">
        <w:trPr>
          <w:trHeight w:val="484"/>
        </w:trPr>
        <w:tc>
          <w:tcPr>
            <w:tcW w:w="6693" w:type="dxa"/>
          </w:tcPr>
          <w:p w:rsidR="00B23B94" w:rsidRDefault="003B2D3B">
            <w:pPr>
              <w:pStyle w:val="TableParagraph"/>
              <w:spacing w:before="2"/>
              <w:ind w:left="107"/>
              <w:jc w:val="left"/>
              <w:rPr>
                <w:sz w:val="28"/>
              </w:rPr>
            </w:pPr>
            <w:r>
              <w:rPr>
                <w:sz w:val="28"/>
              </w:rPr>
              <w:t>Тігециклін</w:t>
            </w:r>
          </w:p>
        </w:tc>
        <w:tc>
          <w:tcPr>
            <w:tcW w:w="2950" w:type="dxa"/>
          </w:tcPr>
          <w:p w:rsidR="00B23B94" w:rsidRDefault="003B2D3B">
            <w:pPr>
              <w:pStyle w:val="TableParagraph"/>
              <w:spacing w:before="2"/>
              <w:ind w:left="522" w:right="516"/>
              <w:rPr>
                <w:sz w:val="28"/>
              </w:rPr>
            </w:pPr>
            <w:r>
              <w:rPr>
                <w:sz w:val="28"/>
              </w:rPr>
              <w:t>85,7</w:t>
            </w:r>
          </w:p>
        </w:tc>
      </w:tr>
      <w:tr w:rsidR="00B23B94">
        <w:trPr>
          <w:trHeight w:val="481"/>
        </w:trPr>
        <w:tc>
          <w:tcPr>
            <w:tcW w:w="6693" w:type="dxa"/>
          </w:tcPr>
          <w:p w:rsidR="00B23B94" w:rsidRDefault="003B2D3B">
            <w:pPr>
              <w:pStyle w:val="TableParagraph"/>
              <w:ind w:left="107"/>
              <w:jc w:val="left"/>
              <w:rPr>
                <w:sz w:val="28"/>
              </w:rPr>
            </w:pPr>
            <w:r>
              <w:rPr>
                <w:sz w:val="28"/>
              </w:rPr>
              <w:t>Рифампіцин</w:t>
            </w:r>
          </w:p>
        </w:tc>
        <w:tc>
          <w:tcPr>
            <w:tcW w:w="2950" w:type="dxa"/>
          </w:tcPr>
          <w:p w:rsidR="00B23B94" w:rsidRDefault="003B2D3B">
            <w:pPr>
              <w:pStyle w:val="TableParagraph"/>
              <w:ind w:left="522" w:right="516"/>
              <w:rPr>
                <w:sz w:val="28"/>
              </w:rPr>
            </w:pPr>
            <w:r>
              <w:rPr>
                <w:sz w:val="28"/>
              </w:rPr>
              <w:t>52,3</w:t>
            </w:r>
          </w:p>
        </w:tc>
      </w:tr>
    </w:tbl>
    <w:p w:rsidR="00B23B94" w:rsidRDefault="00B23B94">
      <w:pPr>
        <w:rPr>
          <w:sz w:val="28"/>
        </w:rPr>
        <w:sectPr w:rsidR="00B23B94">
          <w:pgSz w:w="11910" w:h="16840"/>
          <w:pgMar w:top="1040" w:right="60" w:bottom="280" w:left="1160" w:header="719" w:footer="0" w:gutter="0"/>
          <w:cols w:space="720"/>
        </w:sectPr>
      </w:pPr>
    </w:p>
    <w:p w:rsidR="00B23B94" w:rsidRDefault="003B2D3B">
      <w:pPr>
        <w:pStyle w:val="a3"/>
        <w:tabs>
          <w:tab w:val="left" w:pos="2912"/>
          <w:tab w:val="left" w:pos="5173"/>
          <w:tab w:val="left" w:pos="6887"/>
          <w:tab w:val="left" w:pos="9037"/>
        </w:tabs>
        <w:spacing w:before="89" w:line="362" w:lineRule="auto"/>
        <w:ind w:left="542" w:right="789" w:firstLine="707"/>
        <w:jc w:val="left"/>
      </w:pPr>
      <w:r>
        <w:lastRenderedPageBreak/>
        <w:t>Чутливість</w:t>
      </w:r>
      <w:r>
        <w:tab/>
        <w:t>мікроорганізмів</w:t>
      </w:r>
      <w:r>
        <w:tab/>
        <w:t>повторного</w:t>
      </w:r>
      <w:r>
        <w:tab/>
        <w:t>бактеріального</w:t>
      </w:r>
      <w:r>
        <w:tab/>
      </w:r>
      <w:r>
        <w:rPr>
          <w:spacing w:val="-4"/>
        </w:rPr>
        <w:t xml:space="preserve">пасажу </w:t>
      </w:r>
      <w:r>
        <w:t>показано в таблиці</w:t>
      </w:r>
      <w:r>
        <w:rPr>
          <w:spacing w:val="-3"/>
        </w:rPr>
        <w:t xml:space="preserve"> </w:t>
      </w:r>
      <w:r>
        <w:t>3.13.</w:t>
      </w:r>
    </w:p>
    <w:p w:rsidR="00B23B94" w:rsidRDefault="003B2D3B">
      <w:pPr>
        <w:spacing w:line="318" w:lineRule="exact"/>
        <w:ind w:left="8370"/>
        <w:rPr>
          <w:i/>
          <w:sz w:val="28"/>
        </w:rPr>
      </w:pPr>
      <w:r>
        <w:rPr>
          <w:i/>
          <w:sz w:val="28"/>
        </w:rPr>
        <w:t>Таблиця 3.13</w:t>
      </w:r>
    </w:p>
    <w:p w:rsidR="00B23B94" w:rsidRDefault="003B2D3B">
      <w:pPr>
        <w:pStyle w:val="1"/>
        <w:spacing w:line="360" w:lineRule="auto"/>
        <w:ind w:left="2308" w:right="999" w:hanging="1547"/>
      </w:pPr>
      <w:r>
        <w:t>Чутливість до антибактеріальних препаратів мікрофлори повторного бактеріального пасажу хворих на ГТП з ГСУ.</w:t>
      </w: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2950"/>
      </w:tblGrid>
      <w:tr w:rsidR="00B23B94">
        <w:trPr>
          <w:trHeight w:val="299"/>
        </w:trPr>
        <w:tc>
          <w:tcPr>
            <w:tcW w:w="6693" w:type="dxa"/>
          </w:tcPr>
          <w:p w:rsidR="00B23B94" w:rsidRDefault="003B2D3B">
            <w:pPr>
              <w:pStyle w:val="TableParagraph"/>
              <w:spacing w:before="23" w:line="257" w:lineRule="exact"/>
              <w:ind w:left="167"/>
              <w:jc w:val="left"/>
              <w:rPr>
                <w:b/>
                <w:sz w:val="24"/>
              </w:rPr>
            </w:pPr>
            <w:r>
              <w:rPr>
                <w:b/>
                <w:sz w:val="24"/>
              </w:rPr>
              <w:t>Антибіотик</w:t>
            </w:r>
          </w:p>
        </w:tc>
        <w:tc>
          <w:tcPr>
            <w:tcW w:w="2950" w:type="dxa"/>
          </w:tcPr>
          <w:p w:rsidR="00B23B94" w:rsidRDefault="003B2D3B">
            <w:pPr>
              <w:pStyle w:val="TableParagraph"/>
              <w:spacing w:before="23" w:line="257" w:lineRule="exact"/>
              <w:ind w:left="522" w:right="517"/>
              <w:rPr>
                <w:b/>
                <w:sz w:val="24"/>
              </w:rPr>
            </w:pPr>
            <w:r>
              <w:rPr>
                <w:b/>
                <w:sz w:val="24"/>
              </w:rPr>
              <w:t>Чутливість, %</w:t>
            </w:r>
          </w:p>
        </w:tc>
      </w:tr>
      <w:tr w:rsidR="00B23B94">
        <w:trPr>
          <w:trHeight w:val="482"/>
        </w:trPr>
        <w:tc>
          <w:tcPr>
            <w:tcW w:w="6693" w:type="dxa"/>
          </w:tcPr>
          <w:p w:rsidR="00B23B94" w:rsidRDefault="003B2D3B">
            <w:pPr>
              <w:pStyle w:val="TableParagraph"/>
              <w:ind w:left="107"/>
              <w:jc w:val="left"/>
              <w:rPr>
                <w:sz w:val="28"/>
              </w:rPr>
            </w:pPr>
            <w:r>
              <w:rPr>
                <w:sz w:val="28"/>
              </w:rPr>
              <w:t>Ампіцилін</w:t>
            </w:r>
          </w:p>
        </w:tc>
        <w:tc>
          <w:tcPr>
            <w:tcW w:w="2950" w:type="dxa"/>
          </w:tcPr>
          <w:p w:rsidR="00B23B94" w:rsidRDefault="003B2D3B">
            <w:pPr>
              <w:pStyle w:val="TableParagraph"/>
              <w:ind w:left="522" w:right="516"/>
              <w:rPr>
                <w:sz w:val="28"/>
              </w:rPr>
            </w:pPr>
            <w:r>
              <w:rPr>
                <w:sz w:val="28"/>
              </w:rPr>
              <w:t>36,4</w:t>
            </w:r>
          </w:p>
        </w:tc>
      </w:tr>
      <w:tr w:rsidR="00B23B94">
        <w:trPr>
          <w:trHeight w:val="484"/>
        </w:trPr>
        <w:tc>
          <w:tcPr>
            <w:tcW w:w="6693" w:type="dxa"/>
          </w:tcPr>
          <w:p w:rsidR="00B23B94" w:rsidRDefault="003B2D3B">
            <w:pPr>
              <w:pStyle w:val="TableParagraph"/>
              <w:ind w:left="107"/>
              <w:jc w:val="left"/>
              <w:rPr>
                <w:sz w:val="28"/>
              </w:rPr>
            </w:pPr>
            <w:r>
              <w:rPr>
                <w:sz w:val="28"/>
              </w:rPr>
              <w:t>Цефуроксім</w:t>
            </w:r>
          </w:p>
        </w:tc>
        <w:tc>
          <w:tcPr>
            <w:tcW w:w="2950" w:type="dxa"/>
          </w:tcPr>
          <w:p w:rsidR="00B23B94" w:rsidRDefault="003B2D3B">
            <w:pPr>
              <w:pStyle w:val="TableParagraph"/>
              <w:ind w:left="522" w:right="515"/>
              <w:rPr>
                <w:sz w:val="28"/>
              </w:rPr>
            </w:pPr>
            <w:r>
              <w:rPr>
                <w:sz w:val="28"/>
              </w:rPr>
              <w:t>27,2</w:t>
            </w:r>
          </w:p>
        </w:tc>
      </w:tr>
      <w:tr w:rsidR="00B23B94">
        <w:trPr>
          <w:trHeight w:val="481"/>
        </w:trPr>
        <w:tc>
          <w:tcPr>
            <w:tcW w:w="6693" w:type="dxa"/>
          </w:tcPr>
          <w:p w:rsidR="00B23B94" w:rsidRDefault="003B2D3B">
            <w:pPr>
              <w:pStyle w:val="TableParagraph"/>
              <w:ind w:left="107"/>
              <w:jc w:val="left"/>
              <w:rPr>
                <w:sz w:val="28"/>
              </w:rPr>
            </w:pPr>
            <w:r>
              <w:rPr>
                <w:sz w:val="28"/>
              </w:rPr>
              <w:t>Цефоперазон</w:t>
            </w:r>
          </w:p>
        </w:tc>
        <w:tc>
          <w:tcPr>
            <w:tcW w:w="2950" w:type="dxa"/>
          </w:tcPr>
          <w:p w:rsidR="00B23B94" w:rsidRDefault="003B2D3B">
            <w:pPr>
              <w:pStyle w:val="TableParagraph"/>
              <w:ind w:left="522" w:right="516"/>
              <w:rPr>
                <w:sz w:val="28"/>
              </w:rPr>
            </w:pPr>
            <w:r>
              <w:rPr>
                <w:sz w:val="28"/>
              </w:rPr>
              <w:t>43,5</w:t>
            </w:r>
          </w:p>
        </w:tc>
      </w:tr>
      <w:tr w:rsidR="00B23B94">
        <w:trPr>
          <w:trHeight w:val="482"/>
        </w:trPr>
        <w:tc>
          <w:tcPr>
            <w:tcW w:w="6693" w:type="dxa"/>
          </w:tcPr>
          <w:p w:rsidR="00B23B94" w:rsidRDefault="003B2D3B">
            <w:pPr>
              <w:pStyle w:val="TableParagraph"/>
              <w:ind w:left="107"/>
              <w:jc w:val="left"/>
              <w:rPr>
                <w:sz w:val="28"/>
              </w:rPr>
            </w:pPr>
            <w:r>
              <w:rPr>
                <w:sz w:val="28"/>
              </w:rPr>
              <w:t>Цефокситін</w:t>
            </w:r>
          </w:p>
        </w:tc>
        <w:tc>
          <w:tcPr>
            <w:tcW w:w="2950" w:type="dxa"/>
          </w:tcPr>
          <w:p w:rsidR="00B23B94" w:rsidRDefault="003B2D3B">
            <w:pPr>
              <w:pStyle w:val="TableParagraph"/>
              <w:ind w:left="522" w:right="516"/>
              <w:rPr>
                <w:sz w:val="28"/>
              </w:rPr>
            </w:pPr>
            <w:r>
              <w:rPr>
                <w:sz w:val="28"/>
              </w:rPr>
              <w:t>51,4</w:t>
            </w:r>
          </w:p>
        </w:tc>
      </w:tr>
      <w:tr w:rsidR="00B23B94">
        <w:trPr>
          <w:trHeight w:val="484"/>
        </w:trPr>
        <w:tc>
          <w:tcPr>
            <w:tcW w:w="6693" w:type="dxa"/>
          </w:tcPr>
          <w:p w:rsidR="00B23B94" w:rsidRDefault="003B2D3B">
            <w:pPr>
              <w:pStyle w:val="TableParagraph"/>
              <w:spacing w:before="2"/>
              <w:ind w:left="107"/>
              <w:jc w:val="left"/>
              <w:rPr>
                <w:sz w:val="28"/>
              </w:rPr>
            </w:pPr>
            <w:r>
              <w:rPr>
                <w:sz w:val="28"/>
              </w:rPr>
              <w:t>Цефтазідім</w:t>
            </w:r>
          </w:p>
        </w:tc>
        <w:tc>
          <w:tcPr>
            <w:tcW w:w="2950" w:type="dxa"/>
          </w:tcPr>
          <w:p w:rsidR="00B23B94" w:rsidRDefault="003B2D3B">
            <w:pPr>
              <w:pStyle w:val="TableParagraph"/>
              <w:spacing w:before="2"/>
              <w:ind w:left="522" w:right="516"/>
              <w:rPr>
                <w:sz w:val="28"/>
              </w:rPr>
            </w:pPr>
            <w:r>
              <w:rPr>
                <w:sz w:val="28"/>
              </w:rPr>
              <w:t>38,3</w:t>
            </w:r>
          </w:p>
        </w:tc>
      </w:tr>
      <w:tr w:rsidR="00B23B94">
        <w:trPr>
          <w:trHeight w:val="481"/>
        </w:trPr>
        <w:tc>
          <w:tcPr>
            <w:tcW w:w="6693" w:type="dxa"/>
          </w:tcPr>
          <w:p w:rsidR="00B23B94" w:rsidRDefault="003B2D3B">
            <w:pPr>
              <w:pStyle w:val="TableParagraph"/>
              <w:ind w:left="107"/>
              <w:jc w:val="left"/>
              <w:rPr>
                <w:sz w:val="28"/>
              </w:rPr>
            </w:pPr>
            <w:r>
              <w:rPr>
                <w:sz w:val="28"/>
              </w:rPr>
              <w:t>Цефотаксім</w:t>
            </w:r>
          </w:p>
        </w:tc>
        <w:tc>
          <w:tcPr>
            <w:tcW w:w="2950" w:type="dxa"/>
          </w:tcPr>
          <w:p w:rsidR="00B23B94" w:rsidRDefault="003B2D3B">
            <w:pPr>
              <w:pStyle w:val="TableParagraph"/>
              <w:ind w:left="522" w:right="516"/>
              <w:rPr>
                <w:sz w:val="28"/>
              </w:rPr>
            </w:pPr>
            <w:r>
              <w:rPr>
                <w:sz w:val="28"/>
              </w:rPr>
              <w:t>51,6</w:t>
            </w:r>
          </w:p>
        </w:tc>
      </w:tr>
      <w:tr w:rsidR="00B23B94">
        <w:trPr>
          <w:trHeight w:val="484"/>
        </w:trPr>
        <w:tc>
          <w:tcPr>
            <w:tcW w:w="6693" w:type="dxa"/>
          </w:tcPr>
          <w:p w:rsidR="00B23B94" w:rsidRDefault="003B2D3B">
            <w:pPr>
              <w:pStyle w:val="TableParagraph"/>
              <w:ind w:left="107"/>
              <w:jc w:val="left"/>
              <w:rPr>
                <w:sz w:val="28"/>
              </w:rPr>
            </w:pPr>
            <w:r>
              <w:rPr>
                <w:sz w:val="28"/>
              </w:rPr>
              <w:t>Цефтріаксон</w:t>
            </w:r>
          </w:p>
        </w:tc>
        <w:tc>
          <w:tcPr>
            <w:tcW w:w="2950" w:type="dxa"/>
          </w:tcPr>
          <w:p w:rsidR="00B23B94" w:rsidRDefault="003B2D3B">
            <w:pPr>
              <w:pStyle w:val="TableParagraph"/>
              <w:ind w:left="522" w:right="516"/>
              <w:rPr>
                <w:sz w:val="28"/>
              </w:rPr>
            </w:pPr>
            <w:r>
              <w:rPr>
                <w:sz w:val="28"/>
              </w:rPr>
              <w:t>42,0</w:t>
            </w:r>
          </w:p>
        </w:tc>
      </w:tr>
      <w:tr w:rsidR="00B23B94">
        <w:trPr>
          <w:trHeight w:val="482"/>
        </w:trPr>
        <w:tc>
          <w:tcPr>
            <w:tcW w:w="6693" w:type="dxa"/>
          </w:tcPr>
          <w:p w:rsidR="00B23B94" w:rsidRDefault="003B2D3B">
            <w:pPr>
              <w:pStyle w:val="TableParagraph"/>
              <w:ind w:left="107"/>
              <w:jc w:val="left"/>
              <w:rPr>
                <w:sz w:val="28"/>
              </w:rPr>
            </w:pPr>
            <w:r>
              <w:rPr>
                <w:sz w:val="28"/>
              </w:rPr>
              <w:t>Цефепім</w:t>
            </w:r>
          </w:p>
        </w:tc>
        <w:tc>
          <w:tcPr>
            <w:tcW w:w="2950" w:type="dxa"/>
          </w:tcPr>
          <w:p w:rsidR="00B23B94" w:rsidRDefault="003B2D3B">
            <w:pPr>
              <w:pStyle w:val="TableParagraph"/>
              <w:ind w:left="522" w:right="516"/>
              <w:rPr>
                <w:sz w:val="28"/>
              </w:rPr>
            </w:pPr>
            <w:r>
              <w:rPr>
                <w:sz w:val="28"/>
              </w:rPr>
              <w:t>57,5</w:t>
            </w:r>
          </w:p>
        </w:tc>
      </w:tr>
      <w:tr w:rsidR="00B23B94">
        <w:trPr>
          <w:trHeight w:val="481"/>
        </w:trPr>
        <w:tc>
          <w:tcPr>
            <w:tcW w:w="6693" w:type="dxa"/>
          </w:tcPr>
          <w:p w:rsidR="00B23B94" w:rsidRDefault="003B2D3B">
            <w:pPr>
              <w:pStyle w:val="TableParagraph"/>
              <w:ind w:left="107"/>
              <w:jc w:val="left"/>
              <w:rPr>
                <w:sz w:val="28"/>
              </w:rPr>
            </w:pPr>
            <w:r>
              <w:rPr>
                <w:sz w:val="28"/>
              </w:rPr>
              <w:t>Ампіцилін-сульбактам</w:t>
            </w:r>
          </w:p>
        </w:tc>
        <w:tc>
          <w:tcPr>
            <w:tcW w:w="2950" w:type="dxa"/>
          </w:tcPr>
          <w:p w:rsidR="00B23B94" w:rsidRDefault="003B2D3B">
            <w:pPr>
              <w:pStyle w:val="TableParagraph"/>
              <w:ind w:left="522" w:right="516"/>
              <w:rPr>
                <w:sz w:val="28"/>
              </w:rPr>
            </w:pPr>
            <w:r>
              <w:rPr>
                <w:sz w:val="28"/>
              </w:rPr>
              <w:t>51,3</w:t>
            </w:r>
          </w:p>
        </w:tc>
      </w:tr>
      <w:tr w:rsidR="00B23B94">
        <w:trPr>
          <w:trHeight w:val="484"/>
        </w:trPr>
        <w:tc>
          <w:tcPr>
            <w:tcW w:w="6693" w:type="dxa"/>
          </w:tcPr>
          <w:p w:rsidR="00B23B94" w:rsidRDefault="003B2D3B">
            <w:pPr>
              <w:pStyle w:val="TableParagraph"/>
              <w:spacing w:before="2"/>
              <w:ind w:left="107"/>
              <w:jc w:val="left"/>
              <w:rPr>
                <w:sz w:val="28"/>
              </w:rPr>
            </w:pPr>
            <w:r>
              <w:rPr>
                <w:sz w:val="28"/>
              </w:rPr>
              <w:t>Амоксицилін-клавуланат</w:t>
            </w:r>
          </w:p>
        </w:tc>
        <w:tc>
          <w:tcPr>
            <w:tcW w:w="2950" w:type="dxa"/>
          </w:tcPr>
          <w:p w:rsidR="00B23B94" w:rsidRDefault="003B2D3B">
            <w:pPr>
              <w:pStyle w:val="TableParagraph"/>
              <w:spacing w:before="2"/>
              <w:ind w:left="522" w:right="516"/>
              <w:rPr>
                <w:sz w:val="28"/>
              </w:rPr>
            </w:pPr>
            <w:r>
              <w:rPr>
                <w:sz w:val="28"/>
              </w:rPr>
              <w:t>38,4</w:t>
            </w:r>
          </w:p>
        </w:tc>
      </w:tr>
      <w:tr w:rsidR="00B23B94">
        <w:trPr>
          <w:trHeight w:val="482"/>
        </w:trPr>
        <w:tc>
          <w:tcPr>
            <w:tcW w:w="6693" w:type="dxa"/>
          </w:tcPr>
          <w:p w:rsidR="00B23B94" w:rsidRDefault="003B2D3B">
            <w:pPr>
              <w:pStyle w:val="TableParagraph"/>
              <w:ind w:left="107"/>
              <w:jc w:val="left"/>
              <w:rPr>
                <w:sz w:val="28"/>
              </w:rPr>
            </w:pPr>
            <w:r>
              <w:rPr>
                <w:sz w:val="28"/>
              </w:rPr>
              <w:t>Піперацилін-тазобактам</w:t>
            </w:r>
          </w:p>
        </w:tc>
        <w:tc>
          <w:tcPr>
            <w:tcW w:w="2950" w:type="dxa"/>
          </w:tcPr>
          <w:p w:rsidR="00B23B94" w:rsidRDefault="003B2D3B">
            <w:pPr>
              <w:pStyle w:val="TableParagraph"/>
              <w:ind w:left="522" w:right="516"/>
              <w:rPr>
                <w:sz w:val="28"/>
              </w:rPr>
            </w:pPr>
            <w:r>
              <w:rPr>
                <w:sz w:val="28"/>
              </w:rPr>
              <w:t>40,2</w:t>
            </w:r>
          </w:p>
        </w:tc>
      </w:tr>
      <w:tr w:rsidR="00B23B94">
        <w:trPr>
          <w:trHeight w:val="484"/>
        </w:trPr>
        <w:tc>
          <w:tcPr>
            <w:tcW w:w="6693" w:type="dxa"/>
          </w:tcPr>
          <w:p w:rsidR="00B23B94" w:rsidRDefault="003B2D3B">
            <w:pPr>
              <w:pStyle w:val="TableParagraph"/>
              <w:ind w:left="107"/>
              <w:jc w:val="left"/>
              <w:rPr>
                <w:sz w:val="28"/>
              </w:rPr>
            </w:pPr>
            <w:r>
              <w:rPr>
                <w:sz w:val="28"/>
              </w:rPr>
              <w:t>Цефоперазон-сульбактам</w:t>
            </w:r>
          </w:p>
        </w:tc>
        <w:tc>
          <w:tcPr>
            <w:tcW w:w="2950" w:type="dxa"/>
          </w:tcPr>
          <w:p w:rsidR="00B23B94" w:rsidRDefault="003B2D3B">
            <w:pPr>
              <w:pStyle w:val="TableParagraph"/>
              <w:ind w:left="522" w:right="516"/>
              <w:rPr>
                <w:sz w:val="28"/>
              </w:rPr>
            </w:pPr>
            <w:r>
              <w:rPr>
                <w:sz w:val="28"/>
              </w:rPr>
              <w:t>73,3</w:t>
            </w:r>
          </w:p>
        </w:tc>
      </w:tr>
      <w:tr w:rsidR="00B23B94">
        <w:trPr>
          <w:trHeight w:val="482"/>
        </w:trPr>
        <w:tc>
          <w:tcPr>
            <w:tcW w:w="6693" w:type="dxa"/>
          </w:tcPr>
          <w:p w:rsidR="00B23B94" w:rsidRDefault="003B2D3B">
            <w:pPr>
              <w:pStyle w:val="TableParagraph"/>
              <w:ind w:left="107"/>
              <w:jc w:val="left"/>
              <w:rPr>
                <w:sz w:val="28"/>
              </w:rPr>
            </w:pPr>
            <w:r>
              <w:rPr>
                <w:sz w:val="28"/>
              </w:rPr>
              <w:t>Іміпенем</w:t>
            </w:r>
          </w:p>
        </w:tc>
        <w:tc>
          <w:tcPr>
            <w:tcW w:w="2950" w:type="dxa"/>
          </w:tcPr>
          <w:p w:rsidR="00B23B94" w:rsidRDefault="003B2D3B">
            <w:pPr>
              <w:pStyle w:val="TableParagraph"/>
              <w:ind w:left="522" w:right="515"/>
              <w:rPr>
                <w:sz w:val="28"/>
              </w:rPr>
            </w:pPr>
            <w:r>
              <w:rPr>
                <w:sz w:val="28"/>
              </w:rPr>
              <w:t>42,1</w:t>
            </w:r>
          </w:p>
        </w:tc>
      </w:tr>
      <w:tr w:rsidR="00B23B94">
        <w:trPr>
          <w:trHeight w:val="481"/>
        </w:trPr>
        <w:tc>
          <w:tcPr>
            <w:tcW w:w="6693" w:type="dxa"/>
          </w:tcPr>
          <w:p w:rsidR="00B23B94" w:rsidRDefault="003B2D3B">
            <w:pPr>
              <w:pStyle w:val="TableParagraph"/>
              <w:ind w:left="107"/>
              <w:jc w:val="left"/>
              <w:rPr>
                <w:sz w:val="28"/>
              </w:rPr>
            </w:pPr>
            <w:r>
              <w:rPr>
                <w:sz w:val="28"/>
              </w:rPr>
              <w:t>Меропенем</w:t>
            </w:r>
          </w:p>
        </w:tc>
        <w:tc>
          <w:tcPr>
            <w:tcW w:w="2950" w:type="dxa"/>
          </w:tcPr>
          <w:p w:rsidR="00B23B94" w:rsidRDefault="003B2D3B">
            <w:pPr>
              <w:pStyle w:val="TableParagraph"/>
              <w:ind w:left="522" w:right="516"/>
              <w:rPr>
                <w:sz w:val="28"/>
              </w:rPr>
            </w:pPr>
            <w:r>
              <w:rPr>
                <w:sz w:val="28"/>
              </w:rPr>
              <w:t>51,7</w:t>
            </w:r>
          </w:p>
        </w:tc>
      </w:tr>
      <w:tr w:rsidR="00B23B94">
        <w:trPr>
          <w:trHeight w:val="484"/>
        </w:trPr>
        <w:tc>
          <w:tcPr>
            <w:tcW w:w="6693" w:type="dxa"/>
          </w:tcPr>
          <w:p w:rsidR="00B23B94" w:rsidRDefault="003B2D3B">
            <w:pPr>
              <w:pStyle w:val="TableParagraph"/>
              <w:spacing w:before="2"/>
              <w:ind w:left="107"/>
              <w:jc w:val="left"/>
              <w:rPr>
                <w:sz w:val="28"/>
              </w:rPr>
            </w:pPr>
            <w:r>
              <w:rPr>
                <w:sz w:val="28"/>
              </w:rPr>
              <w:t>Ципрофлоксацин</w:t>
            </w:r>
          </w:p>
        </w:tc>
        <w:tc>
          <w:tcPr>
            <w:tcW w:w="2950" w:type="dxa"/>
          </w:tcPr>
          <w:p w:rsidR="00B23B94" w:rsidRDefault="003B2D3B">
            <w:pPr>
              <w:pStyle w:val="TableParagraph"/>
              <w:spacing w:before="2"/>
              <w:ind w:left="522" w:right="516"/>
              <w:rPr>
                <w:sz w:val="28"/>
              </w:rPr>
            </w:pPr>
            <w:r>
              <w:rPr>
                <w:sz w:val="28"/>
              </w:rPr>
              <w:t>26,6</w:t>
            </w:r>
          </w:p>
        </w:tc>
      </w:tr>
      <w:tr w:rsidR="00B23B94">
        <w:trPr>
          <w:trHeight w:val="481"/>
        </w:trPr>
        <w:tc>
          <w:tcPr>
            <w:tcW w:w="6693" w:type="dxa"/>
          </w:tcPr>
          <w:p w:rsidR="00B23B94" w:rsidRDefault="003B2D3B">
            <w:pPr>
              <w:pStyle w:val="TableParagraph"/>
              <w:ind w:left="107"/>
              <w:jc w:val="left"/>
              <w:rPr>
                <w:sz w:val="28"/>
              </w:rPr>
            </w:pPr>
            <w:r>
              <w:rPr>
                <w:sz w:val="28"/>
              </w:rPr>
              <w:t>Левофлоксацин</w:t>
            </w:r>
          </w:p>
        </w:tc>
        <w:tc>
          <w:tcPr>
            <w:tcW w:w="2950" w:type="dxa"/>
          </w:tcPr>
          <w:p w:rsidR="00B23B94" w:rsidRDefault="003B2D3B">
            <w:pPr>
              <w:pStyle w:val="TableParagraph"/>
              <w:ind w:left="522" w:right="516"/>
              <w:rPr>
                <w:sz w:val="28"/>
              </w:rPr>
            </w:pPr>
            <w:r>
              <w:rPr>
                <w:sz w:val="28"/>
              </w:rPr>
              <w:t>42,9</w:t>
            </w:r>
          </w:p>
        </w:tc>
      </w:tr>
      <w:tr w:rsidR="00B23B94">
        <w:trPr>
          <w:trHeight w:val="484"/>
        </w:trPr>
        <w:tc>
          <w:tcPr>
            <w:tcW w:w="6693" w:type="dxa"/>
          </w:tcPr>
          <w:p w:rsidR="00B23B94" w:rsidRDefault="003B2D3B">
            <w:pPr>
              <w:pStyle w:val="TableParagraph"/>
              <w:ind w:left="107"/>
              <w:jc w:val="left"/>
              <w:rPr>
                <w:sz w:val="28"/>
              </w:rPr>
            </w:pPr>
            <w:r>
              <w:rPr>
                <w:sz w:val="28"/>
              </w:rPr>
              <w:t>Гентаміцин</w:t>
            </w:r>
          </w:p>
        </w:tc>
        <w:tc>
          <w:tcPr>
            <w:tcW w:w="2950" w:type="dxa"/>
          </w:tcPr>
          <w:p w:rsidR="00B23B94" w:rsidRDefault="003B2D3B">
            <w:pPr>
              <w:pStyle w:val="TableParagraph"/>
              <w:ind w:left="522" w:right="515"/>
              <w:rPr>
                <w:sz w:val="28"/>
              </w:rPr>
            </w:pPr>
            <w:r>
              <w:rPr>
                <w:sz w:val="28"/>
              </w:rPr>
              <w:t>56,8</w:t>
            </w:r>
          </w:p>
        </w:tc>
      </w:tr>
      <w:tr w:rsidR="00B23B94">
        <w:trPr>
          <w:trHeight w:val="481"/>
        </w:trPr>
        <w:tc>
          <w:tcPr>
            <w:tcW w:w="6693" w:type="dxa"/>
          </w:tcPr>
          <w:p w:rsidR="00B23B94" w:rsidRDefault="003B2D3B">
            <w:pPr>
              <w:pStyle w:val="TableParagraph"/>
              <w:ind w:left="107"/>
              <w:jc w:val="left"/>
              <w:rPr>
                <w:sz w:val="28"/>
              </w:rPr>
            </w:pPr>
            <w:r>
              <w:rPr>
                <w:sz w:val="28"/>
              </w:rPr>
              <w:t>Амікацин</w:t>
            </w:r>
          </w:p>
        </w:tc>
        <w:tc>
          <w:tcPr>
            <w:tcW w:w="2950" w:type="dxa"/>
          </w:tcPr>
          <w:p w:rsidR="00B23B94" w:rsidRDefault="003B2D3B">
            <w:pPr>
              <w:pStyle w:val="TableParagraph"/>
              <w:ind w:left="522" w:right="516"/>
              <w:rPr>
                <w:sz w:val="28"/>
              </w:rPr>
            </w:pPr>
            <w:r>
              <w:rPr>
                <w:sz w:val="28"/>
              </w:rPr>
              <w:t>38,2</w:t>
            </w:r>
          </w:p>
        </w:tc>
      </w:tr>
      <w:tr w:rsidR="00B23B94">
        <w:trPr>
          <w:trHeight w:val="482"/>
        </w:trPr>
        <w:tc>
          <w:tcPr>
            <w:tcW w:w="6693" w:type="dxa"/>
          </w:tcPr>
          <w:p w:rsidR="00B23B94" w:rsidRDefault="003B2D3B">
            <w:pPr>
              <w:pStyle w:val="TableParagraph"/>
              <w:ind w:left="107"/>
              <w:jc w:val="left"/>
              <w:rPr>
                <w:sz w:val="28"/>
              </w:rPr>
            </w:pPr>
            <w:r>
              <w:rPr>
                <w:sz w:val="28"/>
              </w:rPr>
              <w:t>Тобраміцин</w:t>
            </w:r>
          </w:p>
        </w:tc>
        <w:tc>
          <w:tcPr>
            <w:tcW w:w="2950" w:type="dxa"/>
          </w:tcPr>
          <w:p w:rsidR="00B23B94" w:rsidRDefault="003B2D3B">
            <w:pPr>
              <w:pStyle w:val="TableParagraph"/>
              <w:ind w:left="522" w:right="516"/>
              <w:rPr>
                <w:sz w:val="28"/>
              </w:rPr>
            </w:pPr>
            <w:r>
              <w:rPr>
                <w:sz w:val="28"/>
              </w:rPr>
              <w:t>38,9</w:t>
            </w:r>
          </w:p>
        </w:tc>
      </w:tr>
      <w:tr w:rsidR="00B23B94">
        <w:trPr>
          <w:trHeight w:val="484"/>
        </w:trPr>
        <w:tc>
          <w:tcPr>
            <w:tcW w:w="6693" w:type="dxa"/>
          </w:tcPr>
          <w:p w:rsidR="00B23B94" w:rsidRDefault="003B2D3B">
            <w:pPr>
              <w:pStyle w:val="TableParagraph"/>
              <w:spacing w:before="2"/>
              <w:ind w:left="107"/>
              <w:jc w:val="left"/>
              <w:rPr>
                <w:sz w:val="28"/>
              </w:rPr>
            </w:pPr>
            <w:r>
              <w:rPr>
                <w:sz w:val="28"/>
              </w:rPr>
              <w:t>Ерітроміцин</w:t>
            </w:r>
          </w:p>
        </w:tc>
        <w:tc>
          <w:tcPr>
            <w:tcW w:w="2950" w:type="dxa"/>
          </w:tcPr>
          <w:p w:rsidR="00B23B94" w:rsidRDefault="003B2D3B">
            <w:pPr>
              <w:pStyle w:val="TableParagraph"/>
              <w:spacing w:before="2"/>
              <w:ind w:left="522" w:right="516"/>
              <w:rPr>
                <w:sz w:val="28"/>
              </w:rPr>
            </w:pPr>
            <w:r>
              <w:rPr>
                <w:sz w:val="28"/>
              </w:rPr>
              <w:t>33,9</w:t>
            </w:r>
          </w:p>
        </w:tc>
      </w:tr>
      <w:tr w:rsidR="00B23B94">
        <w:trPr>
          <w:trHeight w:val="482"/>
        </w:trPr>
        <w:tc>
          <w:tcPr>
            <w:tcW w:w="6693" w:type="dxa"/>
          </w:tcPr>
          <w:p w:rsidR="00B23B94" w:rsidRDefault="003B2D3B">
            <w:pPr>
              <w:pStyle w:val="TableParagraph"/>
              <w:ind w:left="107"/>
              <w:jc w:val="left"/>
              <w:rPr>
                <w:sz w:val="28"/>
              </w:rPr>
            </w:pPr>
            <w:r>
              <w:rPr>
                <w:sz w:val="28"/>
              </w:rPr>
              <w:t>Ванкоміцин</w:t>
            </w:r>
          </w:p>
        </w:tc>
        <w:tc>
          <w:tcPr>
            <w:tcW w:w="2950" w:type="dxa"/>
          </w:tcPr>
          <w:p w:rsidR="00B23B94" w:rsidRDefault="003B2D3B">
            <w:pPr>
              <w:pStyle w:val="TableParagraph"/>
              <w:ind w:left="522" w:right="516"/>
              <w:rPr>
                <w:sz w:val="28"/>
              </w:rPr>
            </w:pPr>
            <w:r>
              <w:rPr>
                <w:sz w:val="28"/>
              </w:rPr>
              <w:t>82,1</w:t>
            </w:r>
          </w:p>
        </w:tc>
      </w:tr>
      <w:tr w:rsidR="00B23B94">
        <w:trPr>
          <w:trHeight w:val="484"/>
        </w:trPr>
        <w:tc>
          <w:tcPr>
            <w:tcW w:w="6693" w:type="dxa"/>
          </w:tcPr>
          <w:p w:rsidR="00B23B94" w:rsidRDefault="003B2D3B">
            <w:pPr>
              <w:pStyle w:val="TableParagraph"/>
              <w:ind w:left="107"/>
              <w:jc w:val="left"/>
              <w:rPr>
                <w:sz w:val="28"/>
              </w:rPr>
            </w:pPr>
            <w:r>
              <w:rPr>
                <w:sz w:val="28"/>
              </w:rPr>
              <w:t>Лінезолід</w:t>
            </w:r>
          </w:p>
        </w:tc>
        <w:tc>
          <w:tcPr>
            <w:tcW w:w="2950" w:type="dxa"/>
          </w:tcPr>
          <w:p w:rsidR="00B23B94" w:rsidRDefault="003B2D3B">
            <w:pPr>
              <w:pStyle w:val="TableParagraph"/>
              <w:ind w:left="522" w:right="515"/>
              <w:rPr>
                <w:sz w:val="28"/>
              </w:rPr>
            </w:pPr>
            <w:r>
              <w:rPr>
                <w:sz w:val="28"/>
              </w:rPr>
              <w:t>61,2</w:t>
            </w:r>
          </w:p>
        </w:tc>
      </w:tr>
      <w:tr w:rsidR="00B23B94">
        <w:trPr>
          <w:trHeight w:val="481"/>
        </w:trPr>
        <w:tc>
          <w:tcPr>
            <w:tcW w:w="6693" w:type="dxa"/>
          </w:tcPr>
          <w:p w:rsidR="00B23B94" w:rsidRDefault="003B2D3B">
            <w:pPr>
              <w:pStyle w:val="TableParagraph"/>
              <w:ind w:left="107"/>
              <w:jc w:val="left"/>
              <w:rPr>
                <w:sz w:val="28"/>
              </w:rPr>
            </w:pPr>
            <w:r>
              <w:rPr>
                <w:sz w:val="28"/>
              </w:rPr>
              <w:t>Тігециклін</w:t>
            </w:r>
          </w:p>
        </w:tc>
        <w:tc>
          <w:tcPr>
            <w:tcW w:w="2950" w:type="dxa"/>
          </w:tcPr>
          <w:p w:rsidR="00B23B94" w:rsidRDefault="003B2D3B">
            <w:pPr>
              <w:pStyle w:val="TableParagraph"/>
              <w:ind w:left="522" w:right="516"/>
              <w:rPr>
                <w:sz w:val="28"/>
              </w:rPr>
            </w:pPr>
            <w:r>
              <w:rPr>
                <w:sz w:val="28"/>
              </w:rPr>
              <w:t>65,2</w:t>
            </w:r>
          </w:p>
        </w:tc>
      </w:tr>
      <w:tr w:rsidR="00B23B94">
        <w:trPr>
          <w:trHeight w:val="484"/>
        </w:trPr>
        <w:tc>
          <w:tcPr>
            <w:tcW w:w="6693" w:type="dxa"/>
          </w:tcPr>
          <w:p w:rsidR="00B23B94" w:rsidRDefault="003B2D3B">
            <w:pPr>
              <w:pStyle w:val="TableParagraph"/>
              <w:ind w:left="107"/>
              <w:jc w:val="left"/>
              <w:rPr>
                <w:sz w:val="28"/>
              </w:rPr>
            </w:pPr>
            <w:r>
              <w:rPr>
                <w:sz w:val="28"/>
              </w:rPr>
              <w:t>Рифампіцин</w:t>
            </w:r>
          </w:p>
        </w:tc>
        <w:tc>
          <w:tcPr>
            <w:tcW w:w="2950" w:type="dxa"/>
          </w:tcPr>
          <w:p w:rsidR="00B23B94" w:rsidRDefault="003B2D3B">
            <w:pPr>
              <w:pStyle w:val="TableParagraph"/>
              <w:ind w:left="522" w:right="516"/>
              <w:rPr>
                <w:sz w:val="28"/>
              </w:rPr>
            </w:pPr>
            <w:r>
              <w:rPr>
                <w:sz w:val="28"/>
              </w:rPr>
              <w:t>43,1</w:t>
            </w:r>
          </w:p>
        </w:tc>
      </w:tr>
    </w:tbl>
    <w:p w:rsidR="00B23B94" w:rsidRDefault="00B23B94">
      <w:pPr>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6" w:firstLine="707"/>
      </w:pPr>
      <w:r>
        <w:lastRenderedPageBreak/>
        <w:t>Звертає увагу підвищення резистентності мікрофлори до більшості антибактеріальних препаратів, що скоріше за все пов’язано з превалюванням грам-негативної та мультирезистентної госпітальної флори. Як і у первинному БП, зберігається висока чутливість до ванкоміцину – 82,1%, і до цефоперазону/сульбактаму – 73,3%. Проте відмічено зниження чутливості до антибактеріальних препаратів резерву: до меропенему – з 67,1% до 51,7%, а також до тігецикліну з 85,7% до 65,2%. Найнижча чутливість була до ципрофлоксацину та цефуроксіму (26,6% і 27,2% відповідно).</w:t>
      </w:r>
    </w:p>
    <w:p w:rsidR="00B23B94" w:rsidRDefault="003B2D3B">
      <w:pPr>
        <w:pStyle w:val="a3"/>
        <w:spacing w:before="1" w:line="360" w:lineRule="auto"/>
        <w:ind w:left="542" w:right="784" w:firstLine="707"/>
      </w:pPr>
      <w:r>
        <w:t>Таким чином, рутинне первинне дренування/полідренування обмежених рідинних скупчень під контролем УЗД призводить до раннього інфікування та збільшення питомої ваги госпітальних штамів (32,7%), а також приріст більше ніж у 3 рази питомої ваги S.aureus. Раннє емпіричне призначення антибактеріальних препаратів резерву призводить до підвищення стійкості госпітальних штамів, про що свідчить зниження чутливості до меропенему та тігецикліну майже на 20% за результатами первинного і повторного бактеріальних</w:t>
      </w:r>
      <w:r>
        <w:rPr>
          <w:spacing w:val="-5"/>
        </w:rPr>
        <w:t xml:space="preserve"> </w:t>
      </w:r>
      <w:r>
        <w:t>досліджень.</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spacing w:before="89"/>
        <w:ind w:left="762" w:right="300"/>
        <w:jc w:val="center"/>
      </w:pPr>
      <w:r>
        <w:lastRenderedPageBreak/>
        <w:t>Розділ ІV</w:t>
      </w:r>
    </w:p>
    <w:p w:rsidR="00B23B94" w:rsidRDefault="003B2D3B">
      <w:pPr>
        <w:spacing w:before="164" w:line="360" w:lineRule="auto"/>
        <w:ind w:left="1982" w:right="1520"/>
        <w:jc w:val="center"/>
        <w:rPr>
          <w:b/>
          <w:sz w:val="28"/>
        </w:rPr>
      </w:pPr>
      <w:r>
        <w:rPr>
          <w:b/>
          <w:sz w:val="28"/>
        </w:rPr>
        <w:t>ШЛЯХИ ПОЛІПШЕННЯ РЕЗУЛЬТАТІВ ЛІКУВАННЯ ІНФЕКЦІЙНО-СЕПТИЧНИХ УСКЛАДНЕНЬ ДЕСТРУКТИВНОГО ПАНКРЕАТИТУ</w:t>
      </w:r>
    </w:p>
    <w:p w:rsidR="00B23B94" w:rsidRDefault="00B23B94">
      <w:pPr>
        <w:pStyle w:val="a3"/>
        <w:ind w:left="0"/>
        <w:jc w:val="left"/>
        <w:rPr>
          <w:b/>
          <w:sz w:val="42"/>
        </w:rPr>
      </w:pPr>
    </w:p>
    <w:p w:rsidR="00B23B94" w:rsidRDefault="003B2D3B">
      <w:pPr>
        <w:pStyle w:val="1"/>
        <w:numPr>
          <w:ilvl w:val="1"/>
          <w:numId w:val="5"/>
        </w:numPr>
        <w:tabs>
          <w:tab w:val="left" w:pos="1694"/>
        </w:tabs>
        <w:spacing w:before="0" w:line="360" w:lineRule="auto"/>
        <w:ind w:right="786" w:firstLine="705"/>
        <w:jc w:val="both"/>
      </w:pPr>
      <w:bookmarkStart w:id="11" w:name="_TOC_250005"/>
      <w:r>
        <w:t>Прогностичне значення прокальцитоніну, С-реактивного білку</w:t>
      </w:r>
      <w:r>
        <w:rPr>
          <w:position w:val="2"/>
        </w:rPr>
        <w:t xml:space="preserve"> та синдрому lowT</w:t>
      </w:r>
      <w:r>
        <w:rPr>
          <w:sz w:val="18"/>
        </w:rPr>
        <w:t xml:space="preserve">3 </w:t>
      </w:r>
      <w:r>
        <w:rPr>
          <w:position w:val="2"/>
        </w:rPr>
        <w:t>при інфекційно-септичних ускладненнях</w:t>
      </w:r>
      <w:r>
        <w:t xml:space="preserve"> деструктивного</w:t>
      </w:r>
      <w:r>
        <w:rPr>
          <w:spacing w:val="-1"/>
        </w:rPr>
        <w:t xml:space="preserve"> </w:t>
      </w:r>
      <w:bookmarkEnd w:id="11"/>
      <w:r>
        <w:t>панкреатиту</w:t>
      </w:r>
    </w:p>
    <w:p w:rsidR="00B23B94" w:rsidRDefault="003B2D3B">
      <w:pPr>
        <w:pStyle w:val="a3"/>
        <w:spacing w:line="360" w:lineRule="auto"/>
        <w:ind w:left="542" w:right="785" w:firstLine="707"/>
      </w:pPr>
      <w:r>
        <w:t>Частині пацієнтів основної групи (підгрупа 2а, n=17) окрім стандартних методів обстеження додатково проводилося визначення гормонів щитоподібної залози, прокальцитоніну, С-реактивного білку.</w:t>
      </w:r>
    </w:p>
    <w:p w:rsidR="00B23B94" w:rsidRDefault="003B2D3B">
      <w:pPr>
        <w:pStyle w:val="a3"/>
        <w:spacing w:line="360" w:lineRule="auto"/>
        <w:ind w:left="542" w:right="784" w:firstLine="707"/>
      </w:pPr>
      <w:r>
        <w:t>За даними УЗД при госпіталізації, неоднорідність підшлункової залози з інфільтрацією навколо визначалася у всіх пацієнтів, обмежені рідинні скупчення (ОРС) не визначалися. Поширеність інфільтрату на 1 ЗППН виявлено у 3 (17,6%) хворих, 2 ЗППН у 6 (35,3%), 3-4 ЗППН – 4</w:t>
      </w:r>
      <w:r>
        <w:rPr>
          <w:spacing w:val="-4"/>
        </w:rPr>
        <w:t xml:space="preserve"> </w:t>
      </w:r>
      <w:r>
        <w:t>(23,5%)</w:t>
      </w:r>
    </w:p>
    <w:p w:rsidR="00B23B94" w:rsidRDefault="003B2D3B">
      <w:pPr>
        <w:pStyle w:val="a3"/>
        <w:ind w:left="542"/>
      </w:pPr>
      <w:r>
        <w:t>хворих, 5 та більше – 4 (23,5%) хворих (табл. 4.1).</w:t>
      </w:r>
    </w:p>
    <w:p w:rsidR="00B23B94" w:rsidRDefault="003B2D3B">
      <w:pPr>
        <w:pStyle w:val="a3"/>
        <w:spacing w:before="160" w:line="360" w:lineRule="auto"/>
        <w:ind w:left="542" w:right="792" w:firstLine="707"/>
      </w:pPr>
      <w:r>
        <w:t>Реактивний гідроторакс на першу добу від госпіталізації діагностовано у 3 пацієнтів (17,6%). При цьому лівобічний гідроторакс виявлено у 11,8%, правобічний – 5,8% (табл. 4.3).</w:t>
      </w:r>
    </w:p>
    <w:p w:rsidR="00B23B94" w:rsidRDefault="003B2D3B">
      <w:pPr>
        <w:pStyle w:val="a3"/>
        <w:spacing w:before="1" w:line="360" w:lineRule="auto"/>
        <w:ind w:left="542" w:right="784" w:firstLine="707"/>
      </w:pPr>
      <w:r>
        <w:t>Тяжкість стану за шкалою BISAP при госпіталізації у пацієнтів 2а підгрупи становило 3,1±0,30 бали (від 2 до 5 балів). Кількість балів за шкалою Marshall 2 і більше, в одній чи декількох систем із трьох спостерігалося у 11 (64,7%) пацієнтів (табл. 4.4). Всі пацієнти отримували консервативну терапію з подальшою переоцінкою стану в динаміці згідно рекомендацій «Working group IPA/APA acute pancreatitis guidelines»</w:t>
      </w:r>
      <w:r>
        <w:rPr>
          <w:spacing w:val="-20"/>
        </w:rPr>
        <w:t xml:space="preserve"> </w:t>
      </w:r>
      <w:r>
        <w:t>(2012р).</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509"/>
        <w:rPr>
          <w:i/>
          <w:sz w:val="28"/>
        </w:rPr>
      </w:pPr>
      <w:r>
        <w:rPr>
          <w:i/>
          <w:sz w:val="28"/>
        </w:rPr>
        <w:lastRenderedPageBreak/>
        <w:t>Таблиця 4.1</w:t>
      </w:r>
    </w:p>
    <w:p w:rsidR="00B23B94" w:rsidRDefault="003B2D3B">
      <w:pPr>
        <w:pStyle w:val="1"/>
        <w:spacing w:before="164" w:line="360" w:lineRule="auto"/>
        <w:ind w:left="1886" w:right="1811" w:hanging="308"/>
      </w:pPr>
      <w:r>
        <w:rPr>
          <w:noProof/>
          <w:lang w:eastAsia="uk-UA"/>
        </w:rPr>
        <mc:AlternateContent>
          <mc:Choice Requires="wps">
            <w:drawing>
              <wp:anchor distT="0" distB="0" distL="114300" distR="114300" simplePos="0" relativeHeight="483707904" behindDoc="1" locked="0" layoutInCell="1" allowOverlap="1">
                <wp:simplePos x="0" y="0"/>
                <wp:positionH relativeFrom="page">
                  <wp:posOffset>1015365</wp:posOffset>
                </wp:positionH>
                <wp:positionV relativeFrom="paragraph">
                  <wp:posOffset>1030605</wp:posOffset>
                </wp:positionV>
                <wp:extent cx="1643380" cy="1123315"/>
                <wp:effectExtent l="0" t="0" r="0" b="0"/>
                <wp:wrapNone/>
                <wp:docPr id="1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3380" cy="112331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19608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81.15pt" to="209.35pt,16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" strokeweight=".48pt">
                <w10:wrap anchorx="page"/>
              </v:line>
            </w:pict>
          </mc:Fallback>
        </mc:AlternateContent>
      </w:r>
      <w:r>
        <w:t>Поширеність локальних парапанкреатичних ускладнень у пацієнтів з ГТП основної групи (підгрупа 2а, n=17)</w:t>
      </w:r>
    </w:p>
    <w:p w:rsidR="00B23B94" w:rsidRDefault="00B23B94">
      <w:pPr>
        <w:pStyle w:val="a3"/>
        <w:ind w:left="0"/>
        <w:jc w:val="left"/>
        <w:rPr>
          <w:b/>
          <w:sz w:val="20"/>
        </w:rPr>
      </w:pPr>
    </w:p>
    <w:p w:rsidR="00B23B94" w:rsidRDefault="00B23B94">
      <w:pPr>
        <w:pStyle w:val="a3"/>
        <w:spacing w:before="9"/>
        <w:ind w:left="0"/>
        <w:jc w:val="left"/>
        <w:rPr>
          <w:b/>
          <w:sz w:val="21"/>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00"/>
        <w:gridCol w:w="703"/>
        <w:gridCol w:w="708"/>
        <w:gridCol w:w="705"/>
        <w:gridCol w:w="705"/>
        <w:gridCol w:w="705"/>
        <w:gridCol w:w="708"/>
        <w:gridCol w:w="703"/>
        <w:gridCol w:w="705"/>
        <w:gridCol w:w="691"/>
        <w:gridCol w:w="707"/>
      </w:tblGrid>
      <w:tr w:rsidR="00B23B94">
        <w:trPr>
          <w:trHeight w:val="839"/>
        </w:trPr>
        <w:tc>
          <w:tcPr>
            <w:tcW w:w="2600" w:type="dxa"/>
            <w:vMerge w:val="restart"/>
          </w:tcPr>
          <w:p w:rsidR="00B23B94" w:rsidRDefault="003B2D3B">
            <w:pPr>
              <w:pStyle w:val="TableParagraph"/>
              <w:spacing w:before="2"/>
              <w:ind w:left="1365"/>
              <w:jc w:val="left"/>
              <w:rPr>
                <w:sz w:val="28"/>
              </w:rPr>
            </w:pPr>
            <w:r>
              <w:rPr>
                <w:sz w:val="28"/>
              </w:rPr>
              <w:t>Доба*</w:t>
            </w:r>
          </w:p>
          <w:p w:rsidR="00B23B94" w:rsidRDefault="00B23B94">
            <w:pPr>
              <w:pStyle w:val="TableParagraph"/>
              <w:jc w:val="left"/>
              <w:rPr>
                <w:b/>
                <w:sz w:val="30"/>
              </w:rPr>
            </w:pPr>
          </w:p>
          <w:p w:rsidR="00B23B94" w:rsidRDefault="00B23B94">
            <w:pPr>
              <w:pStyle w:val="TableParagraph"/>
              <w:spacing w:before="2"/>
              <w:jc w:val="left"/>
              <w:rPr>
                <w:b/>
                <w:sz w:val="40"/>
              </w:rPr>
            </w:pPr>
          </w:p>
          <w:p w:rsidR="00B23B94" w:rsidRDefault="003B2D3B">
            <w:pPr>
              <w:pStyle w:val="TableParagraph"/>
              <w:spacing w:before="1" w:line="322" w:lineRule="exact"/>
              <w:ind w:left="107" w:right="1716"/>
              <w:jc w:val="left"/>
              <w:rPr>
                <w:sz w:val="28"/>
              </w:rPr>
            </w:pPr>
            <w:r>
              <w:rPr>
                <w:sz w:val="28"/>
              </w:rPr>
              <w:t>к-сть ЗППН</w:t>
            </w:r>
          </w:p>
        </w:tc>
        <w:tc>
          <w:tcPr>
            <w:tcW w:w="1411" w:type="dxa"/>
            <w:gridSpan w:val="2"/>
          </w:tcPr>
          <w:p w:rsidR="00B23B94" w:rsidRDefault="003B2D3B">
            <w:pPr>
              <w:pStyle w:val="TableParagraph"/>
              <w:spacing w:before="180"/>
              <w:ind w:left="5"/>
              <w:rPr>
                <w:sz w:val="28"/>
              </w:rPr>
            </w:pPr>
            <w:r>
              <w:rPr>
                <w:sz w:val="28"/>
              </w:rPr>
              <w:t>1</w:t>
            </w:r>
          </w:p>
        </w:tc>
        <w:tc>
          <w:tcPr>
            <w:tcW w:w="1410" w:type="dxa"/>
            <w:gridSpan w:val="2"/>
          </w:tcPr>
          <w:p w:rsidR="00B23B94" w:rsidRDefault="003B2D3B">
            <w:pPr>
              <w:pStyle w:val="TableParagraph"/>
              <w:spacing w:before="180"/>
              <w:ind w:left="12"/>
              <w:rPr>
                <w:sz w:val="28"/>
              </w:rPr>
            </w:pPr>
            <w:r>
              <w:rPr>
                <w:sz w:val="28"/>
              </w:rPr>
              <w:t>2</w:t>
            </w:r>
          </w:p>
        </w:tc>
        <w:tc>
          <w:tcPr>
            <w:tcW w:w="1413" w:type="dxa"/>
            <w:gridSpan w:val="2"/>
          </w:tcPr>
          <w:p w:rsidR="00B23B94" w:rsidRDefault="003B2D3B">
            <w:pPr>
              <w:pStyle w:val="TableParagraph"/>
              <w:spacing w:before="180"/>
              <w:ind w:left="500" w:right="488"/>
              <w:rPr>
                <w:sz w:val="28"/>
              </w:rPr>
            </w:pPr>
            <w:r>
              <w:rPr>
                <w:sz w:val="28"/>
              </w:rPr>
              <w:t>6-7</w:t>
            </w:r>
          </w:p>
        </w:tc>
        <w:tc>
          <w:tcPr>
            <w:tcW w:w="1408" w:type="dxa"/>
            <w:gridSpan w:val="2"/>
          </w:tcPr>
          <w:p w:rsidR="00B23B94" w:rsidRDefault="003B2D3B">
            <w:pPr>
              <w:pStyle w:val="TableParagraph"/>
              <w:spacing w:before="180"/>
              <w:ind w:left="379"/>
              <w:jc w:val="left"/>
              <w:rPr>
                <w:sz w:val="28"/>
              </w:rPr>
            </w:pPr>
            <w:r>
              <w:rPr>
                <w:sz w:val="28"/>
              </w:rPr>
              <w:t>12-14</w:t>
            </w:r>
          </w:p>
        </w:tc>
        <w:tc>
          <w:tcPr>
            <w:tcW w:w="1398" w:type="dxa"/>
            <w:gridSpan w:val="2"/>
          </w:tcPr>
          <w:p w:rsidR="00B23B94" w:rsidRDefault="003B2D3B">
            <w:pPr>
              <w:pStyle w:val="TableParagraph"/>
              <w:spacing w:before="180"/>
              <w:ind w:left="375"/>
              <w:jc w:val="left"/>
              <w:rPr>
                <w:sz w:val="28"/>
              </w:rPr>
            </w:pPr>
            <w:r>
              <w:rPr>
                <w:sz w:val="28"/>
              </w:rPr>
              <w:t>20-21</w:t>
            </w:r>
          </w:p>
        </w:tc>
      </w:tr>
      <w:tr w:rsidR="00B23B94">
        <w:trPr>
          <w:trHeight w:val="921"/>
        </w:trPr>
        <w:tc>
          <w:tcPr>
            <w:tcW w:w="2600" w:type="dxa"/>
            <w:vMerge/>
            <w:tcBorders>
              <w:top w:val="nil"/>
            </w:tcBorders>
          </w:tcPr>
          <w:p w:rsidR="00B23B94" w:rsidRDefault="00B23B94">
            <w:pPr>
              <w:rPr>
                <w:sz w:val="2"/>
                <w:szCs w:val="2"/>
              </w:rPr>
            </w:pPr>
          </w:p>
        </w:tc>
        <w:tc>
          <w:tcPr>
            <w:tcW w:w="703" w:type="dxa"/>
          </w:tcPr>
          <w:p w:rsidR="00B23B94" w:rsidRDefault="003B2D3B">
            <w:pPr>
              <w:pStyle w:val="TableParagraph"/>
              <w:spacing w:before="220"/>
              <w:ind w:left="91" w:right="82"/>
              <w:rPr>
                <w:sz w:val="28"/>
              </w:rPr>
            </w:pPr>
            <w:r>
              <w:rPr>
                <w:sz w:val="28"/>
              </w:rPr>
              <w:t>абс.</w:t>
            </w:r>
          </w:p>
        </w:tc>
        <w:tc>
          <w:tcPr>
            <w:tcW w:w="708" w:type="dxa"/>
          </w:tcPr>
          <w:p w:rsidR="00B23B94" w:rsidRDefault="003B2D3B">
            <w:pPr>
              <w:pStyle w:val="TableParagraph"/>
              <w:spacing w:before="220"/>
              <w:ind w:left="10"/>
              <w:rPr>
                <w:sz w:val="28"/>
              </w:rPr>
            </w:pPr>
            <w:r>
              <w:rPr>
                <w:sz w:val="28"/>
              </w:rPr>
              <w:t>%</w:t>
            </w:r>
          </w:p>
        </w:tc>
        <w:tc>
          <w:tcPr>
            <w:tcW w:w="705" w:type="dxa"/>
          </w:tcPr>
          <w:p w:rsidR="00B23B94" w:rsidRDefault="003B2D3B">
            <w:pPr>
              <w:pStyle w:val="TableParagraph"/>
              <w:spacing w:before="220"/>
              <w:ind w:left="86" w:right="73"/>
              <w:rPr>
                <w:sz w:val="28"/>
              </w:rPr>
            </w:pPr>
            <w:r>
              <w:rPr>
                <w:sz w:val="28"/>
              </w:rPr>
              <w:t>абс.</w:t>
            </w:r>
          </w:p>
        </w:tc>
        <w:tc>
          <w:tcPr>
            <w:tcW w:w="705" w:type="dxa"/>
          </w:tcPr>
          <w:p w:rsidR="00B23B94" w:rsidRDefault="003B2D3B">
            <w:pPr>
              <w:pStyle w:val="TableParagraph"/>
              <w:spacing w:before="220"/>
              <w:ind w:left="10"/>
              <w:rPr>
                <w:sz w:val="28"/>
              </w:rPr>
            </w:pPr>
            <w:r>
              <w:rPr>
                <w:sz w:val="28"/>
              </w:rPr>
              <w:t>%</w:t>
            </w:r>
          </w:p>
        </w:tc>
        <w:tc>
          <w:tcPr>
            <w:tcW w:w="705" w:type="dxa"/>
          </w:tcPr>
          <w:p w:rsidR="00B23B94" w:rsidRDefault="003B2D3B">
            <w:pPr>
              <w:pStyle w:val="TableParagraph"/>
              <w:spacing w:before="220"/>
              <w:ind w:left="83" w:right="73"/>
              <w:rPr>
                <w:sz w:val="28"/>
              </w:rPr>
            </w:pPr>
            <w:r>
              <w:rPr>
                <w:sz w:val="28"/>
              </w:rPr>
              <w:t>абс.</w:t>
            </w:r>
          </w:p>
        </w:tc>
        <w:tc>
          <w:tcPr>
            <w:tcW w:w="708" w:type="dxa"/>
          </w:tcPr>
          <w:p w:rsidR="00B23B94" w:rsidRDefault="003B2D3B">
            <w:pPr>
              <w:pStyle w:val="TableParagraph"/>
              <w:spacing w:before="220"/>
              <w:ind w:left="11"/>
              <w:rPr>
                <w:sz w:val="28"/>
              </w:rPr>
            </w:pPr>
            <w:r>
              <w:rPr>
                <w:sz w:val="28"/>
              </w:rPr>
              <w:t>%</w:t>
            </w:r>
          </w:p>
        </w:tc>
        <w:tc>
          <w:tcPr>
            <w:tcW w:w="703" w:type="dxa"/>
          </w:tcPr>
          <w:p w:rsidR="00B23B94" w:rsidRDefault="003B2D3B">
            <w:pPr>
              <w:pStyle w:val="TableParagraph"/>
              <w:spacing w:before="220"/>
              <w:ind w:left="95" w:right="80"/>
              <w:rPr>
                <w:sz w:val="28"/>
              </w:rPr>
            </w:pPr>
            <w:r>
              <w:rPr>
                <w:sz w:val="28"/>
              </w:rPr>
              <w:t>абс.</w:t>
            </w:r>
          </w:p>
        </w:tc>
        <w:tc>
          <w:tcPr>
            <w:tcW w:w="705" w:type="dxa"/>
          </w:tcPr>
          <w:p w:rsidR="00B23B94" w:rsidRDefault="003B2D3B">
            <w:pPr>
              <w:pStyle w:val="TableParagraph"/>
              <w:spacing w:before="220"/>
              <w:ind w:left="14"/>
              <w:rPr>
                <w:sz w:val="28"/>
              </w:rPr>
            </w:pPr>
            <w:r>
              <w:rPr>
                <w:sz w:val="28"/>
              </w:rPr>
              <w:t>%</w:t>
            </w:r>
          </w:p>
        </w:tc>
        <w:tc>
          <w:tcPr>
            <w:tcW w:w="691" w:type="dxa"/>
          </w:tcPr>
          <w:p w:rsidR="00B23B94" w:rsidRDefault="003B2D3B">
            <w:pPr>
              <w:pStyle w:val="TableParagraph"/>
              <w:spacing w:before="220"/>
              <w:ind w:left="87" w:right="68"/>
              <w:rPr>
                <w:sz w:val="28"/>
              </w:rPr>
            </w:pPr>
            <w:r>
              <w:rPr>
                <w:sz w:val="28"/>
              </w:rPr>
              <w:t>абс.</w:t>
            </w:r>
          </w:p>
        </w:tc>
        <w:tc>
          <w:tcPr>
            <w:tcW w:w="707" w:type="dxa"/>
          </w:tcPr>
          <w:p w:rsidR="00B23B94" w:rsidRDefault="003B2D3B">
            <w:pPr>
              <w:pStyle w:val="TableParagraph"/>
              <w:spacing w:before="220"/>
              <w:ind w:left="15"/>
              <w:rPr>
                <w:sz w:val="28"/>
              </w:rPr>
            </w:pPr>
            <w:r>
              <w:rPr>
                <w:sz w:val="28"/>
              </w:rPr>
              <w:t>%</w:t>
            </w:r>
          </w:p>
        </w:tc>
      </w:tr>
      <w:tr w:rsidR="00B23B94">
        <w:trPr>
          <w:trHeight w:val="835"/>
        </w:trPr>
        <w:tc>
          <w:tcPr>
            <w:tcW w:w="2600" w:type="dxa"/>
          </w:tcPr>
          <w:p w:rsidR="00B23B94" w:rsidRDefault="003B2D3B">
            <w:pPr>
              <w:pStyle w:val="TableParagraph"/>
              <w:spacing w:before="175"/>
              <w:ind w:left="7"/>
              <w:rPr>
                <w:sz w:val="28"/>
              </w:rPr>
            </w:pPr>
            <w:r>
              <w:rPr>
                <w:sz w:val="28"/>
              </w:rPr>
              <w:t>1</w:t>
            </w:r>
          </w:p>
        </w:tc>
        <w:tc>
          <w:tcPr>
            <w:tcW w:w="703" w:type="dxa"/>
          </w:tcPr>
          <w:p w:rsidR="00B23B94" w:rsidRDefault="003B2D3B">
            <w:pPr>
              <w:pStyle w:val="TableParagraph"/>
              <w:spacing w:before="175"/>
              <w:ind w:left="8"/>
              <w:rPr>
                <w:sz w:val="28"/>
              </w:rPr>
            </w:pPr>
            <w:r>
              <w:rPr>
                <w:sz w:val="28"/>
              </w:rPr>
              <w:t>3</w:t>
            </w:r>
          </w:p>
        </w:tc>
        <w:tc>
          <w:tcPr>
            <w:tcW w:w="708" w:type="dxa"/>
          </w:tcPr>
          <w:p w:rsidR="00B23B94" w:rsidRDefault="003B2D3B">
            <w:pPr>
              <w:pStyle w:val="TableParagraph"/>
              <w:spacing w:before="175"/>
              <w:ind w:left="79" w:right="72"/>
              <w:rPr>
                <w:sz w:val="28"/>
              </w:rPr>
            </w:pPr>
            <w:r>
              <w:rPr>
                <w:sz w:val="28"/>
              </w:rPr>
              <w:t>17,6</w:t>
            </w:r>
          </w:p>
        </w:tc>
        <w:tc>
          <w:tcPr>
            <w:tcW w:w="705" w:type="dxa"/>
          </w:tcPr>
          <w:p w:rsidR="00B23B94" w:rsidRDefault="003B2D3B">
            <w:pPr>
              <w:pStyle w:val="TableParagraph"/>
              <w:spacing w:before="175"/>
              <w:ind w:left="12"/>
              <w:rPr>
                <w:sz w:val="28"/>
              </w:rPr>
            </w:pPr>
            <w:r>
              <w:rPr>
                <w:sz w:val="28"/>
              </w:rPr>
              <w:t>3</w:t>
            </w:r>
          </w:p>
        </w:tc>
        <w:tc>
          <w:tcPr>
            <w:tcW w:w="705" w:type="dxa"/>
          </w:tcPr>
          <w:p w:rsidR="00B23B94" w:rsidRDefault="003B2D3B">
            <w:pPr>
              <w:pStyle w:val="TableParagraph"/>
              <w:spacing w:before="175"/>
              <w:ind w:left="85" w:right="73"/>
              <w:rPr>
                <w:sz w:val="28"/>
              </w:rPr>
            </w:pPr>
            <w:r>
              <w:rPr>
                <w:sz w:val="28"/>
              </w:rPr>
              <w:t>17,6</w:t>
            </w:r>
          </w:p>
        </w:tc>
        <w:tc>
          <w:tcPr>
            <w:tcW w:w="705" w:type="dxa"/>
          </w:tcPr>
          <w:p w:rsidR="00B23B94" w:rsidRDefault="003B2D3B">
            <w:pPr>
              <w:pStyle w:val="TableParagraph"/>
              <w:spacing w:before="175"/>
              <w:ind w:left="9"/>
              <w:rPr>
                <w:sz w:val="28"/>
              </w:rPr>
            </w:pPr>
            <w:r>
              <w:rPr>
                <w:sz w:val="28"/>
              </w:rPr>
              <w:t>2</w:t>
            </w:r>
          </w:p>
        </w:tc>
        <w:tc>
          <w:tcPr>
            <w:tcW w:w="708" w:type="dxa"/>
          </w:tcPr>
          <w:p w:rsidR="00B23B94" w:rsidRDefault="003B2D3B">
            <w:pPr>
              <w:pStyle w:val="TableParagraph"/>
              <w:spacing w:before="175"/>
              <w:ind w:left="80" w:right="72"/>
              <w:rPr>
                <w:sz w:val="28"/>
              </w:rPr>
            </w:pPr>
            <w:r>
              <w:rPr>
                <w:sz w:val="28"/>
              </w:rPr>
              <w:t>11,8</w:t>
            </w:r>
          </w:p>
        </w:tc>
        <w:tc>
          <w:tcPr>
            <w:tcW w:w="703" w:type="dxa"/>
          </w:tcPr>
          <w:p w:rsidR="00B23B94" w:rsidRDefault="003B2D3B">
            <w:pPr>
              <w:pStyle w:val="TableParagraph"/>
              <w:spacing w:before="175"/>
              <w:ind w:left="14"/>
              <w:rPr>
                <w:sz w:val="28"/>
              </w:rPr>
            </w:pPr>
            <w:r>
              <w:rPr>
                <w:sz w:val="28"/>
              </w:rPr>
              <w:t>3</w:t>
            </w:r>
          </w:p>
        </w:tc>
        <w:tc>
          <w:tcPr>
            <w:tcW w:w="705" w:type="dxa"/>
          </w:tcPr>
          <w:p w:rsidR="00B23B94" w:rsidRDefault="003B2D3B">
            <w:pPr>
              <w:pStyle w:val="TableParagraph"/>
              <w:spacing w:before="175"/>
              <w:ind w:left="88" w:right="72"/>
              <w:rPr>
                <w:sz w:val="28"/>
              </w:rPr>
            </w:pPr>
            <w:r>
              <w:rPr>
                <w:sz w:val="28"/>
              </w:rPr>
              <w:t>17,6</w:t>
            </w:r>
          </w:p>
        </w:tc>
        <w:tc>
          <w:tcPr>
            <w:tcW w:w="691" w:type="dxa"/>
          </w:tcPr>
          <w:p w:rsidR="00B23B94" w:rsidRDefault="003B2D3B">
            <w:pPr>
              <w:pStyle w:val="TableParagraph"/>
              <w:spacing w:before="175"/>
              <w:ind w:left="18"/>
              <w:rPr>
                <w:sz w:val="28"/>
              </w:rPr>
            </w:pPr>
            <w:r>
              <w:rPr>
                <w:sz w:val="28"/>
              </w:rPr>
              <w:t>3</w:t>
            </w:r>
          </w:p>
        </w:tc>
        <w:tc>
          <w:tcPr>
            <w:tcW w:w="707" w:type="dxa"/>
          </w:tcPr>
          <w:p w:rsidR="00B23B94" w:rsidRDefault="003B2D3B">
            <w:pPr>
              <w:pStyle w:val="TableParagraph"/>
              <w:spacing w:before="175"/>
              <w:ind w:left="84" w:right="68"/>
              <w:rPr>
                <w:sz w:val="28"/>
              </w:rPr>
            </w:pPr>
            <w:r>
              <w:rPr>
                <w:sz w:val="28"/>
              </w:rPr>
              <w:t>17,6</w:t>
            </w:r>
          </w:p>
        </w:tc>
      </w:tr>
      <w:tr w:rsidR="00B23B94">
        <w:trPr>
          <w:trHeight w:val="839"/>
        </w:trPr>
        <w:tc>
          <w:tcPr>
            <w:tcW w:w="2600" w:type="dxa"/>
          </w:tcPr>
          <w:p w:rsidR="00B23B94" w:rsidRDefault="003B2D3B">
            <w:pPr>
              <w:pStyle w:val="TableParagraph"/>
              <w:spacing w:before="180"/>
              <w:ind w:left="7"/>
              <w:rPr>
                <w:sz w:val="28"/>
              </w:rPr>
            </w:pPr>
            <w:r>
              <w:rPr>
                <w:sz w:val="28"/>
              </w:rPr>
              <w:t>2</w:t>
            </w:r>
          </w:p>
        </w:tc>
        <w:tc>
          <w:tcPr>
            <w:tcW w:w="703" w:type="dxa"/>
          </w:tcPr>
          <w:p w:rsidR="00B23B94" w:rsidRDefault="003B2D3B">
            <w:pPr>
              <w:pStyle w:val="TableParagraph"/>
              <w:spacing w:before="180"/>
              <w:ind w:left="8"/>
              <w:rPr>
                <w:sz w:val="28"/>
              </w:rPr>
            </w:pPr>
            <w:r>
              <w:rPr>
                <w:sz w:val="28"/>
              </w:rPr>
              <w:t>6</w:t>
            </w:r>
          </w:p>
        </w:tc>
        <w:tc>
          <w:tcPr>
            <w:tcW w:w="708" w:type="dxa"/>
          </w:tcPr>
          <w:p w:rsidR="00B23B94" w:rsidRDefault="003B2D3B">
            <w:pPr>
              <w:pStyle w:val="TableParagraph"/>
              <w:spacing w:before="180"/>
              <w:ind w:left="79" w:right="72"/>
              <w:rPr>
                <w:sz w:val="28"/>
              </w:rPr>
            </w:pPr>
            <w:r>
              <w:rPr>
                <w:sz w:val="28"/>
              </w:rPr>
              <w:t>35,3</w:t>
            </w:r>
          </w:p>
        </w:tc>
        <w:tc>
          <w:tcPr>
            <w:tcW w:w="705" w:type="dxa"/>
          </w:tcPr>
          <w:p w:rsidR="00B23B94" w:rsidRDefault="003B2D3B">
            <w:pPr>
              <w:pStyle w:val="TableParagraph"/>
              <w:spacing w:before="180"/>
              <w:ind w:left="12"/>
              <w:rPr>
                <w:sz w:val="28"/>
              </w:rPr>
            </w:pPr>
            <w:r>
              <w:rPr>
                <w:sz w:val="28"/>
              </w:rPr>
              <w:t>6</w:t>
            </w:r>
          </w:p>
        </w:tc>
        <w:tc>
          <w:tcPr>
            <w:tcW w:w="705" w:type="dxa"/>
          </w:tcPr>
          <w:p w:rsidR="00B23B94" w:rsidRDefault="003B2D3B">
            <w:pPr>
              <w:pStyle w:val="TableParagraph"/>
              <w:spacing w:before="180"/>
              <w:ind w:left="85" w:right="73"/>
              <w:rPr>
                <w:sz w:val="28"/>
              </w:rPr>
            </w:pPr>
            <w:r>
              <w:rPr>
                <w:sz w:val="28"/>
              </w:rPr>
              <w:t>35,3</w:t>
            </w:r>
          </w:p>
        </w:tc>
        <w:tc>
          <w:tcPr>
            <w:tcW w:w="705" w:type="dxa"/>
          </w:tcPr>
          <w:p w:rsidR="00B23B94" w:rsidRDefault="003B2D3B">
            <w:pPr>
              <w:pStyle w:val="TableParagraph"/>
              <w:spacing w:before="180"/>
              <w:ind w:left="9"/>
              <w:rPr>
                <w:sz w:val="28"/>
              </w:rPr>
            </w:pPr>
            <w:r>
              <w:rPr>
                <w:sz w:val="28"/>
              </w:rPr>
              <w:t>8</w:t>
            </w:r>
          </w:p>
        </w:tc>
        <w:tc>
          <w:tcPr>
            <w:tcW w:w="708" w:type="dxa"/>
          </w:tcPr>
          <w:p w:rsidR="00B23B94" w:rsidRDefault="003B2D3B">
            <w:pPr>
              <w:pStyle w:val="TableParagraph"/>
              <w:spacing w:before="180"/>
              <w:ind w:left="80" w:right="72"/>
              <w:rPr>
                <w:sz w:val="28"/>
              </w:rPr>
            </w:pPr>
            <w:r>
              <w:rPr>
                <w:sz w:val="28"/>
              </w:rPr>
              <w:t>47,1</w:t>
            </w:r>
          </w:p>
        </w:tc>
        <w:tc>
          <w:tcPr>
            <w:tcW w:w="703" w:type="dxa"/>
          </w:tcPr>
          <w:p w:rsidR="00B23B94" w:rsidRDefault="003B2D3B">
            <w:pPr>
              <w:pStyle w:val="TableParagraph"/>
              <w:spacing w:before="180"/>
              <w:ind w:left="14"/>
              <w:rPr>
                <w:sz w:val="28"/>
              </w:rPr>
            </w:pPr>
            <w:r>
              <w:rPr>
                <w:sz w:val="28"/>
              </w:rPr>
              <w:t>7</w:t>
            </w:r>
          </w:p>
        </w:tc>
        <w:tc>
          <w:tcPr>
            <w:tcW w:w="705" w:type="dxa"/>
          </w:tcPr>
          <w:p w:rsidR="00B23B94" w:rsidRDefault="003B2D3B">
            <w:pPr>
              <w:pStyle w:val="TableParagraph"/>
              <w:spacing w:before="180"/>
              <w:ind w:left="88" w:right="72"/>
              <w:rPr>
                <w:sz w:val="28"/>
              </w:rPr>
            </w:pPr>
            <w:r>
              <w:rPr>
                <w:sz w:val="28"/>
              </w:rPr>
              <w:t>41,2</w:t>
            </w:r>
          </w:p>
        </w:tc>
        <w:tc>
          <w:tcPr>
            <w:tcW w:w="691" w:type="dxa"/>
          </w:tcPr>
          <w:p w:rsidR="00B23B94" w:rsidRDefault="003B2D3B">
            <w:pPr>
              <w:pStyle w:val="TableParagraph"/>
              <w:spacing w:before="180"/>
              <w:ind w:left="18"/>
              <w:rPr>
                <w:sz w:val="28"/>
              </w:rPr>
            </w:pPr>
            <w:r>
              <w:rPr>
                <w:sz w:val="28"/>
              </w:rPr>
              <w:t>7</w:t>
            </w:r>
          </w:p>
        </w:tc>
        <w:tc>
          <w:tcPr>
            <w:tcW w:w="707" w:type="dxa"/>
          </w:tcPr>
          <w:p w:rsidR="00B23B94" w:rsidRDefault="003B2D3B">
            <w:pPr>
              <w:pStyle w:val="TableParagraph"/>
              <w:spacing w:before="180"/>
              <w:ind w:left="84" w:right="68"/>
              <w:rPr>
                <w:sz w:val="28"/>
              </w:rPr>
            </w:pPr>
            <w:r>
              <w:rPr>
                <w:sz w:val="28"/>
              </w:rPr>
              <w:t>41,2</w:t>
            </w:r>
          </w:p>
        </w:tc>
      </w:tr>
      <w:tr w:rsidR="00B23B94">
        <w:trPr>
          <w:trHeight w:val="839"/>
        </w:trPr>
        <w:tc>
          <w:tcPr>
            <w:tcW w:w="2600" w:type="dxa"/>
          </w:tcPr>
          <w:p w:rsidR="00B23B94" w:rsidRDefault="003B2D3B">
            <w:pPr>
              <w:pStyle w:val="TableParagraph"/>
              <w:spacing w:before="177"/>
              <w:ind w:left="600" w:right="593"/>
              <w:rPr>
                <w:sz w:val="28"/>
              </w:rPr>
            </w:pPr>
            <w:r>
              <w:rPr>
                <w:sz w:val="28"/>
              </w:rPr>
              <w:t>3-4</w:t>
            </w:r>
          </w:p>
        </w:tc>
        <w:tc>
          <w:tcPr>
            <w:tcW w:w="703" w:type="dxa"/>
          </w:tcPr>
          <w:p w:rsidR="00B23B94" w:rsidRDefault="003B2D3B">
            <w:pPr>
              <w:pStyle w:val="TableParagraph"/>
              <w:spacing w:before="177"/>
              <w:ind w:left="8"/>
              <w:rPr>
                <w:sz w:val="28"/>
              </w:rPr>
            </w:pPr>
            <w:r>
              <w:rPr>
                <w:sz w:val="28"/>
              </w:rPr>
              <w:t>4</w:t>
            </w:r>
          </w:p>
        </w:tc>
        <w:tc>
          <w:tcPr>
            <w:tcW w:w="708" w:type="dxa"/>
          </w:tcPr>
          <w:p w:rsidR="00B23B94" w:rsidRDefault="003B2D3B">
            <w:pPr>
              <w:pStyle w:val="TableParagraph"/>
              <w:spacing w:before="177"/>
              <w:ind w:left="79" w:right="72"/>
              <w:rPr>
                <w:sz w:val="28"/>
              </w:rPr>
            </w:pPr>
            <w:r>
              <w:rPr>
                <w:sz w:val="28"/>
              </w:rPr>
              <w:t>23,5</w:t>
            </w:r>
          </w:p>
        </w:tc>
        <w:tc>
          <w:tcPr>
            <w:tcW w:w="705" w:type="dxa"/>
          </w:tcPr>
          <w:p w:rsidR="00B23B94" w:rsidRDefault="003B2D3B">
            <w:pPr>
              <w:pStyle w:val="TableParagraph"/>
              <w:spacing w:before="177"/>
              <w:ind w:left="12"/>
              <w:rPr>
                <w:sz w:val="28"/>
              </w:rPr>
            </w:pPr>
            <w:r>
              <w:rPr>
                <w:sz w:val="28"/>
              </w:rPr>
              <w:t>4</w:t>
            </w:r>
          </w:p>
        </w:tc>
        <w:tc>
          <w:tcPr>
            <w:tcW w:w="705" w:type="dxa"/>
          </w:tcPr>
          <w:p w:rsidR="00B23B94" w:rsidRDefault="003B2D3B">
            <w:pPr>
              <w:pStyle w:val="TableParagraph"/>
              <w:spacing w:before="177"/>
              <w:ind w:left="85" w:right="73"/>
              <w:rPr>
                <w:sz w:val="28"/>
              </w:rPr>
            </w:pPr>
            <w:r>
              <w:rPr>
                <w:sz w:val="28"/>
              </w:rPr>
              <w:t>23,5</w:t>
            </w:r>
          </w:p>
        </w:tc>
        <w:tc>
          <w:tcPr>
            <w:tcW w:w="705" w:type="dxa"/>
          </w:tcPr>
          <w:p w:rsidR="00B23B94" w:rsidRDefault="003B2D3B">
            <w:pPr>
              <w:pStyle w:val="TableParagraph"/>
              <w:spacing w:before="177"/>
              <w:ind w:left="9"/>
              <w:rPr>
                <w:sz w:val="28"/>
              </w:rPr>
            </w:pPr>
            <w:r>
              <w:rPr>
                <w:sz w:val="28"/>
              </w:rPr>
              <w:t>4</w:t>
            </w:r>
          </w:p>
        </w:tc>
        <w:tc>
          <w:tcPr>
            <w:tcW w:w="708" w:type="dxa"/>
          </w:tcPr>
          <w:p w:rsidR="00B23B94" w:rsidRDefault="003B2D3B">
            <w:pPr>
              <w:pStyle w:val="TableParagraph"/>
              <w:spacing w:before="177"/>
              <w:ind w:left="80" w:right="72"/>
              <w:rPr>
                <w:sz w:val="28"/>
              </w:rPr>
            </w:pPr>
            <w:r>
              <w:rPr>
                <w:sz w:val="28"/>
              </w:rPr>
              <w:t>23,5</w:t>
            </w:r>
          </w:p>
        </w:tc>
        <w:tc>
          <w:tcPr>
            <w:tcW w:w="703" w:type="dxa"/>
          </w:tcPr>
          <w:p w:rsidR="00B23B94" w:rsidRDefault="003B2D3B">
            <w:pPr>
              <w:pStyle w:val="TableParagraph"/>
              <w:spacing w:before="177"/>
              <w:ind w:left="14"/>
              <w:rPr>
                <w:sz w:val="28"/>
              </w:rPr>
            </w:pPr>
            <w:r>
              <w:rPr>
                <w:sz w:val="28"/>
              </w:rPr>
              <w:t>5</w:t>
            </w:r>
          </w:p>
        </w:tc>
        <w:tc>
          <w:tcPr>
            <w:tcW w:w="705" w:type="dxa"/>
          </w:tcPr>
          <w:p w:rsidR="00B23B94" w:rsidRDefault="003B2D3B">
            <w:pPr>
              <w:pStyle w:val="TableParagraph"/>
              <w:spacing w:before="177"/>
              <w:ind w:left="88" w:right="72"/>
              <w:rPr>
                <w:sz w:val="28"/>
              </w:rPr>
            </w:pPr>
            <w:r>
              <w:rPr>
                <w:sz w:val="28"/>
              </w:rPr>
              <w:t>29,4</w:t>
            </w:r>
          </w:p>
        </w:tc>
        <w:tc>
          <w:tcPr>
            <w:tcW w:w="691" w:type="dxa"/>
          </w:tcPr>
          <w:p w:rsidR="00B23B94" w:rsidRDefault="003B2D3B">
            <w:pPr>
              <w:pStyle w:val="TableParagraph"/>
              <w:spacing w:before="177"/>
              <w:ind w:left="18"/>
              <w:rPr>
                <w:sz w:val="28"/>
              </w:rPr>
            </w:pPr>
            <w:r>
              <w:rPr>
                <w:sz w:val="28"/>
              </w:rPr>
              <w:t>4</w:t>
            </w:r>
          </w:p>
        </w:tc>
        <w:tc>
          <w:tcPr>
            <w:tcW w:w="707" w:type="dxa"/>
          </w:tcPr>
          <w:p w:rsidR="00B23B94" w:rsidRDefault="003B2D3B">
            <w:pPr>
              <w:pStyle w:val="TableParagraph"/>
              <w:spacing w:before="177"/>
              <w:ind w:left="84" w:right="68"/>
              <w:rPr>
                <w:sz w:val="28"/>
              </w:rPr>
            </w:pPr>
            <w:r>
              <w:rPr>
                <w:sz w:val="28"/>
              </w:rPr>
              <w:t>23,5</w:t>
            </w:r>
          </w:p>
        </w:tc>
      </w:tr>
      <w:tr w:rsidR="00B23B94">
        <w:trPr>
          <w:trHeight w:val="839"/>
        </w:trPr>
        <w:tc>
          <w:tcPr>
            <w:tcW w:w="2600" w:type="dxa"/>
          </w:tcPr>
          <w:p w:rsidR="00B23B94" w:rsidRDefault="003B2D3B">
            <w:pPr>
              <w:pStyle w:val="TableParagraph"/>
              <w:spacing w:before="177"/>
              <w:ind w:left="599" w:right="593"/>
              <w:rPr>
                <w:sz w:val="28"/>
              </w:rPr>
            </w:pPr>
            <w:r>
              <w:rPr>
                <w:sz w:val="28"/>
              </w:rPr>
              <w:t>більше 5</w:t>
            </w:r>
          </w:p>
        </w:tc>
        <w:tc>
          <w:tcPr>
            <w:tcW w:w="703" w:type="dxa"/>
          </w:tcPr>
          <w:p w:rsidR="00B23B94" w:rsidRDefault="003B2D3B">
            <w:pPr>
              <w:pStyle w:val="TableParagraph"/>
              <w:spacing w:before="177"/>
              <w:ind w:left="8"/>
              <w:rPr>
                <w:sz w:val="28"/>
              </w:rPr>
            </w:pPr>
            <w:r>
              <w:rPr>
                <w:sz w:val="28"/>
              </w:rPr>
              <w:t>4</w:t>
            </w:r>
          </w:p>
        </w:tc>
        <w:tc>
          <w:tcPr>
            <w:tcW w:w="708" w:type="dxa"/>
          </w:tcPr>
          <w:p w:rsidR="00B23B94" w:rsidRDefault="003B2D3B">
            <w:pPr>
              <w:pStyle w:val="TableParagraph"/>
              <w:spacing w:before="177"/>
              <w:ind w:left="79" w:right="72"/>
              <w:rPr>
                <w:sz w:val="28"/>
              </w:rPr>
            </w:pPr>
            <w:r>
              <w:rPr>
                <w:sz w:val="28"/>
              </w:rPr>
              <w:t>23,5</w:t>
            </w:r>
          </w:p>
        </w:tc>
        <w:tc>
          <w:tcPr>
            <w:tcW w:w="705" w:type="dxa"/>
          </w:tcPr>
          <w:p w:rsidR="00B23B94" w:rsidRDefault="003B2D3B">
            <w:pPr>
              <w:pStyle w:val="TableParagraph"/>
              <w:spacing w:before="177"/>
              <w:ind w:left="12"/>
              <w:rPr>
                <w:sz w:val="28"/>
              </w:rPr>
            </w:pPr>
            <w:r>
              <w:rPr>
                <w:sz w:val="28"/>
              </w:rPr>
              <w:t>4</w:t>
            </w:r>
          </w:p>
        </w:tc>
        <w:tc>
          <w:tcPr>
            <w:tcW w:w="705" w:type="dxa"/>
          </w:tcPr>
          <w:p w:rsidR="00B23B94" w:rsidRDefault="003B2D3B">
            <w:pPr>
              <w:pStyle w:val="TableParagraph"/>
              <w:spacing w:before="177"/>
              <w:ind w:left="85" w:right="73"/>
              <w:rPr>
                <w:sz w:val="28"/>
              </w:rPr>
            </w:pPr>
            <w:r>
              <w:rPr>
                <w:sz w:val="28"/>
              </w:rPr>
              <w:t>23,5</w:t>
            </w:r>
          </w:p>
        </w:tc>
        <w:tc>
          <w:tcPr>
            <w:tcW w:w="705" w:type="dxa"/>
          </w:tcPr>
          <w:p w:rsidR="00B23B94" w:rsidRDefault="003B2D3B">
            <w:pPr>
              <w:pStyle w:val="TableParagraph"/>
              <w:spacing w:before="177"/>
              <w:ind w:left="9"/>
              <w:rPr>
                <w:sz w:val="28"/>
              </w:rPr>
            </w:pPr>
            <w:r>
              <w:rPr>
                <w:sz w:val="28"/>
              </w:rPr>
              <w:t>3</w:t>
            </w:r>
          </w:p>
        </w:tc>
        <w:tc>
          <w:tcPr>
            <w:tcW w:w="708" w:type="dxa"/>
          </w:tcPr>
          <w:p w:rsidR="00B23B94" w:rsidRDefault="003B2D3B">
            <w:pPr>
              <w:pStyle w:val="TableParagraph"/>
              <w:spacing w:before="177"/>
              <w:ind w:left="80" w:right="72"/>
              <w:rPr>
                <w:sz w:val="28"/>
              </w:rPr>
            </w:pPr>
            <w:r>
              <w:rPr>
                <w:sz w:val="28"/>
              </w:rPr>
              <w:t>17,6</w:t>
            </w:r>
          </w:p>
        </w:tc>
        <w:tc>
          <w:tcPr>
            <w:tcW w:w="703" w:type="dxa"/>
          </w:tcPr>
          <w:p w:rsidR="00B23B94" w:rsidRDefault="003B2D3B">
            <w:pPr>
              <w:pStyle w:val="TableParagraph"/>
              <w:spacing w:before="177"/>
              <w:ind w:left="14"/>
              <w:rPr>
                <w:sz w:val="28"/>
              </w:rPr>
            </w:pPr>
            <w:r>
              <w:rPr>
                <w:sz w:val="28"/>
              </w:rPr>
              <w:t>2</w:t>
            </w:r>
          </w:p>
        </w:tc>
        <w:tc>
          <w:tcPr>
            <w:tcW w:w="705" w:type="dxa"/>
          </w:tcPr>
          <w:p w:rsidR="00B23B94" w:rsidRDefault="003B2D3B">
            <w:pPr>
              <w:pStyle w:val="TableParagraph"/>
              <w:spacing w:before="177"/>
              <w:ind w:left="88" w:right="72"/>
              <w:rPr>
                <w:sz w:val="28"/>
              </w:rPr>
            </w:pPr>
            <w:r>
              <w:rPr>
                <w:sz w:val="28"/>
              </w:rPr>
              <w:t>11,8</w:t>
            </w:r>
          </w:p>
        </w:tc>
        <w:tc>
          <w:tcPr>
            <w:tcW w:w="691" w:type="dxa"/>
          </w:tcPr>
          <w:p w:rsidR="00B23B94" w:rsidRDefault="003B2D3B">
            <w:pPr>
              <w:pStyle w:val="TableParagraph"/>
              <w:spacing w:before="177"/>
              <w:ind w:left="18"/>
              <w:rPr>
                <w:sz w:val="28"/>
              </w:rPr>
            </w:pPr>
            <w:r>
              <w:rPr>
                <w:sz w:val="28"/>
              </w:rPr>
              <w:t>2</w:t>
            </w:r>
          </w:p>
        </w:tc>
        <w:tc>
          <w:tcPr>
            <w:tcW w:w="707" w:type="dxa"/>
          </w:tcPr>
          <w:p w:rsidR="00B23B94" w:rsidRDefault="003B2D3B">
            <w:pPr>
              <w:pStyle w:val="TableParagraph"/>
              <w:spacing w:before="177"/>
              <w:ind w:left="84" w:right="68"/>
              <w:rPr>
                <w:sz w:val="28"/>
              </w:rPr>
            </w:pPr>
            <w:r>
              <w:rPr>
                <w:sz w:val="28"/>
              </w:rPr>
              <w:t>11,8</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0"/>
        <w:ind w:left="0"/>
        <w:jc w:val="left"/>
        <w:rPr>
          <w:i/>
          <w:sz w:val="25"/>
        </w:rPr>
      </w:pPr>
    </w:p>
    <w:p w:rsidR="00B23B94" w:rsidRDefault="003B2D3B">
      <w:pPr>
        <w:pStyle w:val="a3"/>
        <w:spacing w:before="1" w:line="360" w:lineRule="auto"/>
        <w:ind w:left="542" w:right="786" w:firstLine="707"/>
      </w:pPr>
      <w:r>
        <w:t>За даними інструментальних методів діагностики в динаміці через 48 годин змін в характері та поширеності локальних парапанкреатичних ускладнень гострого тяжкого панкреатиту не спостерігалося. Правобічний гідроторакс зберігався у 1 (5,9%) пацієнта, лівобічний – у 2 (11,8%). Поширеності процесу на обидві плевральні порожнини не визначалося.</w:t>
      </w:r>
    </w:p>
    <w:p w:rsidR="00B23B94" w:rsidRDefault="003B2D3B">
      <w:pPr>
        <w:pStyle w:val="a3"/>
        <w:spacing w:line="360" w:lineRule="auto"/>
        <w:ind w:left="542" w:right="788" w:firstLine="707"/>
      </w:pPr>
      <w:r>
        <w:t>Тяжкість стану за шкалою BISAP через 48 годин після госпіталізації становив 2,9±0,29 бали (від 2 до 4 балів). На фоні інфузійної терапії, яку хворі отримували при госпіталізації, регрес органної недостатності через 2 доби відмічено у 3 (17,6%) хворих, тоді як резистентною до консервативної терапії органна недостатність залишалася у 8 (47,1%)</w:t>
      </w:r>
      <w:r>
        <w:rPr>
          <w:spacing w:val="-9"/>
        </w:rPr>
        <w:t xml:space="preserve"> </w:t>
      </w:r>
      <w:r>
        <w:t>хворих.</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509"/>
        <w:rPr>
          <w:i/>
          <w:sz w:val="28"/>
        </w:rPr>
      </w:pPr>
      <w:r>
        <w:rPr>
          <w:i/>
          <w:sz w:val="28"/>
        </w:rPr>
        <w:lastRenderedPageBreak/>
        <w:t>Таблиця 4.2</w:t>
      </w:r>
    </w:p>
    <w:p w:rsidR="00B23B94" w:rsidRDefault="003B2D3B">
      <w:pPr>
        <w:pStyle w:val="1"/>
        <w:spacing w:before="164" w:line="360" w:lineRule="auto"/>
        <w:ind w:left="2659" w:right="1249" w:hanging="937"/>
      </w:pPr>
      <w:r>
        <w:t>Характеристика локальних парапанкреатичних ускладнень у пацієнтів основної групи (підгрупа 2а, n=17)</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4"/>
        <w:gridCol w:w="1337"/>
        <w:gridCol w:w="1334"/>
        <w:gridCol w:w="1334"/>
        <w:gridCol w:w="1335"/>
        <w:gridCol w:w="1337"/>
        <w:gridCol w:w="1335"/>
      </w:tblGrid>
      <w:tr w:rsidR="00B23B94">
        <w:trPr>
          <w:trHeight w:val="484"/>
        </w:trPr>
        <w:tc>
          <w:tcPr>
            <w:tcW w:w="1334" w:type="dxa"/>
            <w:vMerge w:val="restart"/>
          </w:tcPr>
          <w:p w:rsidR="00B23B94" w:rsidRDefault="00B23B94">
            <w:pPr>
              <w:pStyle w:val="TableParagraph"/>
              <w:jc w:val="left"/>
              <w:rPr>
                <w:b/>
                <w:sz w:val="30"/>
              </w:rPr>
            </w:pPr>
          </w:p>
          <w:p w:rsidR="00B23B94" w:rsidRDefault="003B2D3B">
            <w:pPr>
              <w:pStyle w:val="TableParagraph"/>
              <w:spacing w:before="228"/>
              <w:ind w:left="297"/>
              <w:jc w:val="left"/>
              <w:rPr>
                <w:sz w:val="28"/>
              </w:rPr>
            </w:pPr>
            <w:r>
              <w:rPr>
                <w:sz w:val="28"/>
              </w:rPr>
              <w:t>Доба*</w:t>
            </w:r>
          </w:p>
        </w:tc>
        <w:tc>
          <w:tcPr>
            <w:tcW w:w="8012" w:type="dxa"/>
            <w:gridSpan w:val="6"/>
          </w:tcPr>
          <w:p w:rsidR="00B23B94" w:rsidRDefault="003B2D3B">
            <w:pPr>
              <w:pStyle w:val="TableParagraph"/>
              <w:ind w:left="2248" w:right="2240"/>
              <w:rPr>
                <w:sz w:val="28"/>
              </w:rPr>
            </w:pPr>
            <w:r>
              <w:rPr>
                <w:sz w:val="28"/>
              </w:rPr>
              <w:t>Тип локального ускладнення</w:t>
            </w:r>
          </w:p>
        </w:tc>
      </w:tr>
      <w:tr w:rsidR="00B23B94">
        <w:trPr>
          <w:trHeight w:val="642"/>
        </w:trPr>
        <w:tc>
          <w:tcPr>
            <w:tcW w:w="1334" w:type="dxa"/>
            <w:vMerge/>
            <w:tcBorders>
              <w:top w:val="nil"/>
            </w:tcBorders>
          </w:tcPr>
          <w:p w:rsidR="00B23B94" w:rsidRDefault="00B23B94">
            <w:pPr>
              <w:rPr>
                <w:sz w:val="2"/>
                <w:szCs w:val="2"/>
              </w:rPr>
            </w:pPr>
          </w:p>
        </w:tc>
        <w:tc>
          <w:tcPr>
            <w:tcW w:w="2671" w:type="dxa"/>
            <w:gridSpan w:val="2"/>
          </w:tcPr>
          <w:p w:rsidR="00B23B94" w:rsidRDefault="003B2D3B">
            <w:pPr>
              <w:pStyle w:val="TableParagraph"/>
              <w:spacing w:before="160"/>
              <w:ind w:left="694"/>
              <w:jc w:val="left"/>
              <w:rPr>
                <w:sz w:val="28"/>
              </w:rPr>
            </w:pPr>
            <w:r>
              <w:rPr>
                <w:sz w:val="28"/>
              </w:rPr>
              <w:t>Інфільтрат</w:t>
            </w:r>
          </w:p>
        </w:tc>
        <w:tc>
          <w:tcPr>
            <w:tcW w:w="2669" w:type="dxa"/>
            <w:gridSpan w:val="2"/>
          </w:tcPr>
          <w:p w:rsidR="00B23B94" w:rsidRDefault="003B2D3B">
            <w:pPr>
              <w:pStyle w:val="TableParagraph"/>
              <w:spacing w:before="160"/>
              <w:ind w:left="226"/>
              <w:jc w:val="left"/>
              <w:rPr>
                <w:sz w:val="28"/>
              </w:rPr>
            </w:pPr>
            <w:r>
              <w:rPr>
                <w:sz w:val="28"/>
              </w:rPr>
              <w:t>Рідинні скупчення</w:t>
            </w:r>
          </w:p>
        </w:tc>
        <w:tc>
          <w:tcPr>
            <w:tcW w:w="2672" w:type="dxa"/>
            <w:gridSpan w:val="2"/>
          </w:tcPr>
          <w:p w:rsidR="00B23B94" w:rsidRDefault="003B2D3B">
            <w:pPr>
              <w:pStyle w:val="TableParagraph"/>
              <w:spacing w:before="4" w:line="322" w:lineRule="exact"/>
              <w:ind w:left="745" w:right="86" w:hanging="634"/>
              <w:jc w:val="left"/>
              <w:rPr>
                <w:sz w:val="28"/>
              </w:rPr>
            </w:pPr>
            <w:r>
              <w:rPr>
                <w:sz w:val="28"/>
              </w:rPr>
              <w:t>Рідинні скупчення + секвестри</w:t>
            </w:r>
          </w:p>
        </w:tc>
      </w:tr>
      <w:tr w:rsidR="00B23B94">
        <w:trPr>
          <w:trHeight w:val="477"/>
        </w:trPr>
        <w:tc>
          <w:tcPr>
            <w:tcW w:w="1334" w:type="dxa"/>
            <w:vMerge/>
            <w:tcBorders>
              <w:top w:val="nil"/>
            </w:tcBorders>
          </w:tcPr>
          <w:p w:rsidR="00B23B94" w:rsidRDefault="00B23B94">
            <w:pPr>
              <w:rPr>
                <w:sz w:val="2"/>
                <w:szCs w:val="2"/>
              </w:rPr>
            </w:pPr>
          </w:p>
        </w:tc>
        <w:tc>
          <w:tcPr>
            <w:tcW w:w="1337" w:type="dxa"/>
          </w:tcPr>
          <w:p w:rsidR="00B23B94" w:rsidRDefault="003B2D3B">
            <w:pPr>
              <w:pStyle w:val="TableParagraph"/>
              <w:spacing w:line="317" w:lineRule="exact"/>
              <w:ind w:left="417" w:right="406"/>
              <w:rPr>
                <w:sz w:val="28"/>
              </w:rPr>
            </w:pPr>
            <w:r>
              <w:rPr>
                <w:sz w:val="28"/>
              </w:rPr>
              <w:t>абс.</w:t>
            </w:r>
          </w:p>
        </w:tc>
        <w:tc>
          <w:tcPr>
            <w:tcW w:w="1334" w:type="dxa"/>
          </w:tcPr>
          <w:p w:rsidR="00B23B94" w:rsidRDefault="003B2D3B">
            <w:pPr>
              <w:pStyle w:val="TableParagraph"/>
              <w:spacing w:line="317" w:lineRule="exact"/>
              <w:ind w:left="5"/>
              <w:rPr>
                <w:sz w:val="28"/>
              </w:rPr>
            </w:pPr>
            <w:r>
              <w:rPr>
                <w:sz w:val="28"/>
              </w:rPr>
              <w:t>%</w:t>
            </w:r>
          </w:p>
        </w:tc>
        <w:tc>
          <w:tcPr>
            <w:tcW w:w="1334" w:type="dxa"/>
          </w:tcPr>
          <w:p w:rsidR="00B23B94" w:rsidRDefault="003B2D3B">
            <w:pPr>
              <w:pStyle w:val="TableParagraph"/>
              <w:spacing w:line="317" w:lineRule="exact"/>
              <w:ind w:left="329" w:right="314"/>
              <w:rPr>
                <w:sz w:val="28"/>
              </w:rPr>
            </w:pPr>
            <w:r>
              <w:rPr>
                <w:sz w:val="28"/>
              </w:rPr>
              <w:t>абс.</w:t>
            </w:r>
          </w:p>
        </w:tc>
        <w:tc>
          <w:tcPr>
            <w:tcW w:w="1335" w:type="dxa"/>
          </w:tcPr>
          <w:p w:rsidR="00B23B94" w:rsidRDefault="003B2D3B">
            <w:pPr>
              <w:pStyle w:val="TableParagraph"/>
              <w:spacing w:line="317" w:lineRule="exact"/>
              <w:ind w:left="11"/>
              <w:rPr>
                <w:sz w:val="28"/>
              </w:rPr>
            </w:pPr>
            <w:r>
              <w:rPr>
                <w:sz w:val="28"/>
              </w:rPr>
              <w:t>%</w:t>
            </w:r>
          </w:p>
        </w:tc>
        <w:tc>
          <w:tcPr>
            <w:tcW w:w="1337" w:type="dxa"/>
          </w:tcPr>
          <w:p w:rsidR="00B23B94" w:rsidRDefault="003B2D3B">
            <w:pPr>
              <w:pStyle w:val="TableParagraph"/>
              <w:spacing w:line="317" w:lineRule="exact"/>
              <w:ind w:left="418" w:right="405"/>
              <w:rPr>
                <w:sz w:val="28"/>
              </w:rPr>
            </w:pPr>
            <w:r>
              <w:rPr>
                <w:sz w:val="28"/>
              </w:rPr>
              <w:t>абс.</w:t>
            </w:r>
          </w:p>
        </w:tc>
        <w:tc>
          <w:tcPr>
            <w:tcW w:w="1335" w:type="dxa"/>
          </w:tcPr>
          <w:p w:rsidR="00B23B94" w:rsidRDefault="003B2D3B">
            <w:pPr>
              <w:pStyle w:val="TableParagraph"/>
              <w:spacing w:line="317" w:lineRule="exact"/>
              <w:ind w:left="7"/>
              <w:rPr>
                <w:sz w:val="28"/>
              </w:rPr>
            </w:pPr>
            <w:r>
              <w:rPr>
                <w:sz w:val="28"/>
              </w:rPr>
              <w:t>%</w:t>
            </w:r>
          </w:p>
        </w:tc>
      </w:tr>
      <w:tr w:rsidR="00B23B94">
        <w:trPr>
          <w:trHeight w:val="484"/>
        </w:trPr>
        <w:tc>
          <w:tcPr>
            <w:tcW w:w="1334" w:type="dxa"/>
          </w:tcPr>
          <w:p w:rsidR="00B23B94" w:rsidRDefault="003B2D3B">
            <w:pPr>
              <w:pStyle w:val="TableParagraph"/>
              <w:spacing w:before="2"/>
              <w:ind w:left="107"/>
              <w:jc w:val="left"/>
              <w:rPr>
                <w:sz w:val="28"/>
              </w:rPr>
            </w:pPr>
            <w:r>
              <w:rPr>
                <w:sz w:val="28"/>
              </w:rPr>
              <w:t>1</w:t>
            </w:r>
          </w:p>
        </w:tc>
        <w:tc>
          <w:tcPr>
            <w:tcW w:w="1337" w:type="dxa"/>
          </w:tcPr>
          <w:p w:rsidR="00B23B94" w:rsidRDefault="003B2D3B">
            <w:pPr>
              <w:pStyle w:val="TableParagraph"/>
              <w:spacing w:before="2"/>
              <w:ind w:left="414" w:right="406"/>
              <w:rPr>
                <w:sz w:val="28"/>
              </w:rPr>
            </w:pPr>
            <w:r>
              <w:rPr>
                <w:sz w:val="28"/>
              </w:rPr>
              <w:t>17</w:t>
            </w:r>
          </w:p>
        </w:tc>
        <w:tc>
          <w:tcPr>
            <w:tcW w:w="1334" w:type="dxa"/>
          </w:tcPr>
          <w:p w:rsidR="00B23B94" w:rsidRDefault="003B2D3B">
            <w:pPr>
              <w:pStyle w:val="TableParagraph"/>
              <w:spacing w:before="2"/>
              <w:ind w:left="329" w:right="324"/>
              <w:rPr>
                <w:sz w:val="28"/>
              </w:rPr>
            </w:pPr>
            <w:r>
              <w:rPr>
                <w:sz w:val="28"/>
              </w:rPr>
              <w:t>100,0</w:t>
            </w:r>
          </w:p>
        </w:tc>
        <w:tc>
          <w:tcPr>
            <w:tcW w:w="1334" w:type="dxa"/>
          </w:tcPr>
          <w:p w:rsidR="00B23B94" w:rsidRDefault="003B2D3B">
            <w:pPr>
              <w:pStyle w:val="TableParagraph"/>
              <w:spacing w:before="2"/>
              <w:ind w:left="10"/>
              <w:rPr>
                <w:sz w:val="28"/>
              </w:rPr>
            </w:pPr>
            <w:r>
              <w:rPr>
                <w:sz w:val="28"/>
              </w:rPr>
              <w:t>-</w:t>
            </w:r>
          </w:p>
        </w:tc>
        <w:tc>
          <w:tcPr>
            <w:tcW w:w="1335" w:type="dxa"/>
          </w:tcPr>
          <w:p w:rsidR="00B23B94" w:rsidRDefault="003B2D3B">
            <w:pPr>
              <w:pStyle w:val="TableParagraph"/>
              <w:spacing w:before="2"/>
              <w:ind w:left="10"/>
              <w:rPr>
                <w:sz w:val="28"/>
              </w:rPr>
            </w:pPr>
            <w:r>
              <w:rPr>
                <w:sz w:val="28"/>
              </w:rPr>
              <w:t>-</w:t>
            </w:r>
          </w:p>
        </w:tc>
        <w:tc>
          <w:tcPr>
            <w:tcW w:w="1337" w:type="dxa"/>
          </w:tcPr>
          <w:p w:rsidR="00B23B94" w:rsidRDefault="003B2D3B">
            <w:pPr>
              <w:pStyle w:val="TableParagraph"/>
              <w:spacing w:before="2"/>
              <w:ind w:left="8"/>
              <w:rPr>
                <w:sz w:val="28"/>
              </w:rPr>
            </w:pPr>
            <w:r>
              <w:rPr>
                <w:sz w:val="28"/>
              </w:rPr>
              <w:t>-</w:t>
            </w:r>
          </w:p>
        </w:tc>
        <w:tc>
          <w:tcPr>
            <w:tcW w:w="1335" w:type="dxa"/>
          </w:tcPr>
          <w:p w:rsidR="00B23B94" w:rsidRDefault="003B2D3B">
            <w:pPr>
              <w:pStyle w:val="TableParagraph"/>
              <w:spacing w:before="2"/>
              <w:ind w:left="5"/>
              <w:rPr>
                <w:sz w:val="28"/>
              </w:rPr>
            </w:pPr>
            <w:r>
              <w:rPr>
                <w:sz w:val="28"/>
              </w:rPr>
              <w:t>-</w:t>
            </w:r>
          </w:p>
        </w:tc>
      </w:tr>
      <w:tr w:rsidR="00B23B94">
        <w:trPr>
          <w:trHeight w:val="482"/>
        </w:trPr>
        <w:tc>
          <w:tcPr>
            <w:tcW w:w="1334" w:type="dxa"/>
          </w:tcPr>
          <w:p w:rsidR="00B23B94" w:rsidRDefault="003B2D3B">
            <w:pPr>
              <w:pStyle w:val="TableParagraph"/>
              <w:ind w:left="107"/>
              <w:jc w:val="left"/>
              <w:rPr>
                <w:sz w:val="28"/>
              </w:rPr>
            </w:pPr>
            <w:r>
              <w:rPr>
                <w:sz w:val="28"/>
              </w:rPr>
              <w:t>2</w:t>
            </w:r>
          </w:p>
        </w:tc>
        <w:tc>
          <w:tcPr>
            <w:tcW w:w="1337" w:type="dxa"/>
          </w:tcPr>
          <w:p w:rsidR="00B23B94" w:rsidRDefault="003B2D3B">
            <w:pPr>
              <w:pStyle w:val="TableParagraph"/>
              <w:ind w:left="414" w:right="406"/>
              <w:rPr>
                <w:sz w:val="28"/>
              </w:rPr>
            </w:pPr>
            <w:r>
              <w:rPr>
                <w:sz w:val="28"/>
              </w:rPr>
              <w:t>17</w:t>
            </w:r>
          </w:p>
        </w:tc>
        <w:tc>
          <w:tcPr>
            <w:tcW w:w="1334" w:type="dxa"/>
          </w:tcPr>
          <w:p w:rsidR="00B23B94" w:rsidRDefault="003B2D3B">
            <w:pPr>
              <w:pStyle w:val="TableParagraph"/>
              <w:ind w:left="329" w:right="324"/>
              <w:rPr>
                <w:sz w:val="28"/>
              </w:rPr>
            </w:pPr>
            <w:r>
              <w:rPr>
                <w:sz w:val="28"/>
              </w:rPr>
              <w:t>100,0</w:t>
            </w:r>
          </w:p>
        </w:tc>
        <w:tc>
          <w:tcPr>
            <w:tcW w:w="1334" w:type="dxa"/>
          </w:tcPr>
          <w:p w:rsidR="00B23B94" w:rsidRDefault="003B2D3B">
            <w:pPr>
              <w:pStyle w:val="TableParagraph"/>
              <w:ind w:left="10"/>
              <w:rPr>
                <w:sz w:val="28"/>
              </w:rPr>
            </w:pPr>
            <w:r>
              <w:rPr>
                <w:sz w:val="28"/>
              </w:rPr>
              <w:t>-</w:t>
            </w:r>
          </w:p>
        </w:tc>
        <w:tc>
          <w:tcPr>
            <w:tcW w:w="1335" w:type="dxa"/>
          </w:tcPr>
          <w:p w:rsidR="00B23B94" w:rsidRDefault="003B2D3B">
            <w:pPr>
              <w:pStyle w:val="TableParagraph"/>
              <w:ind w:left="10"/>
              <w:rPr>
                <w:sz w:val="28"/>
              </w:rPr>
            </w:pPr>
            <w:r>
              <w:rPr>
                <w:sz w:val="28"/>
              </w:rPr>
              <w:t>-</w:t>
            </w:r>
          </w:p>
        </w:tc>
        <w:tc>
          <w:tcPr>
            <w:tcW w:w="1337" w:type="dxa"/>
          </w:tcPr>
          <w:p w:rsidR="00B23B94" w:rsidRDefault="003B2D3B">
            <w:pPr>
              <w:pStyle w:val="TableParagraph"/>
              <w:ind w:left="8"/>
              <w:rPr>
                <w:sz w:val="28"/>
              </w:rPr>
            </w:pPr>
            <w:r>
              <w:rPr>
                <w:sz w:val="28"/>
              </w:rPr>
              <w:t>-</w:t>
            </w:r>
          </w:p>
        </w:tc>
        <w:tc>
          <w:tcPr>
            <w:tcW w:w="1335" w:type="dxa"/>
          </w:tcPr>
          <w:p w:rsidR="00B23B94" w:rsidRDefault="003B2D3B">
            <w:pPr>
              <w:pStyle w:val="TableParagraph"/>
              <w:ind w:left="5"/>
              <w:rPr>
                <w:sz w:val="28"/>
              </w:rPr>
            </w:pPr>
            <w:r>
              <w:rPr>
                <w:sz w:val="28"/>
              </w:rPr>
              <w:t>-</w:t>
            </w:r>
          </w:p>
        </w:tc>
      </w:tr>
      <w:tr w:rsidR="00B23B94">
        <w:trPr>
          <w:trHeight w:val="484"/>
        </w:trPr>
        <w:tc>
          <w:tcPr>
            <w:tcW w:w="1334" w:type="dxa"/>
          </w:tcPr>
          <w:p w:rsidR="00B23B94" w:rsidRDefault="003B2D3B">
            <w:pPr>
              <w:pStyle w:val="TableParagraph"/>
              <w:ind w:left="107"/>
              <w:jc w:val="left"/>
              <w:rPr>
                <w:sz w:val="28"/>
              </w:rPr>
            </w:pPr>
            <w:r>
              <w:rPr>
                <w:sz w:val="28"/>
              </w:rPr>
              <w:t>6-7</w:t>
            </w:r>
          </w:p>
        </w:tc>
        <w:tc>
          <w:tcPr>
            <w:tcW w:w="1337" w:type="dxa"/>
          </w:tcPr>
          <w:p w:rsidR="00B23B94" w:rsidRDefault="003B2D3B">
            <w:pPr>
              <w:pStyle w:val="TableParagraph"/>
              <w:ind w:left="414" w:right="406"/>
              <w:rPr>
                <w:sz w:val="28"/>
              </w:rPr>
            </w:pPr>
            <w:r>
              <w:rPr>
                <w:sz w:val="28"/>
              </w:rPr>
              <w:t>10</w:t>
            </w:r>
          </w:p>
        </w:tc>
        <w:tc>
          <w:tcPr>
            <w:tcW w:w="1334" w:type="dxa"/>
          </w:tcPr>
          <w:p w:rsidR="00B23B94" w:rsidRDefault="003B2D3B">
            <w:pPr>
              <w:pStyle w:val="TableParagraph"/>
              <w:ind w:left="329" w:right="322"/>
              <w:rPr>
                <w:sz w:val="28"/>
              </w:rPr>
            </w:pPr>
            <w:r>
              <w:rPr>
                <w:sz w:val="28"/>
              </w:rPr>
              <w:t>58,8</w:t>
            </w:r>
          </w:p>
        </w:tc>
        <w:tc>
          <w:tcPr>
            <w:tcW w:w="1334" w:type="dxa"/>
          </w:tcPr>
          <w:p w:rsidR="00B23B94" w:rsidRDefault="003B2D3B">
            <w:pPr>
              <w:pStyle w:val="TableParagraph"/>
              <w:ind w:left="14"/>
              <w:rPr>
                <w:sz w:val="28"/>
              </w:rPr>
            </w:pPr>
            <w:r>
              <w:rPr>
                <w:sz w:val="28"/>
              </w:rPr>
              <w:t>7</w:t>
            </w:r>
          </w:p>
        </w:tc>
        <w:tc>
          <w:tcPr>
            <w:tcW w:w="1335" w:type="dxa"/>
          </w:tcPr>
          <w:p w:rsidR="00B23B94" w:rsidRDefault="003B2D3B">
            <w:pPr>
              <w:pStyle w:val="TableParagraph"/>
              <w:ind w:left="401" w:right="388"/>
              <w:rPr>
                <w:sz w:val="28"/>
              </w:rPr>
            </w:pPr>
            <w:r>
              <w:rPr>
                <w:sz w:val="28"/>
              </w:rPr>
              <w:t>41,2</w:t>
            </w:r>
          </w:p>
        </w:tc>
        <w:tc>
          <w:tcPr>
            <w:tcW w:w="1337" w:type="dxa"/>
          </w:tcPr>
          <w:p w:rsidR="00B23B94" w:rsidRDefault="003B2D3B">
            <w:pPr>
              <w:pStyle w:val="TableParagraph"/>
              <w:ind w:left="8"/>
              <w:rPr>
                <w:sz w:val="28"/>
              </w:rPr>
            </w:pPr>
            <w:r>
              <w:rPr>
                <w:sz w:val="28"/>
              </w:rPr>
              <w:t>-</w:t>
            </w:r>
          </w:p>
        </w:tc>
        <w:tc>
          <w:tcPr>
            <w:tcW w:w="1335" w:type="dxa"/>
          </w:tcPr>
          <w:p w:rsidR="00B23B94" w:rsidRDefault="003B2D3B">
            <w:pPr>
              <w:pStyle w:val="TableParagraph"/>
              <w:ind w:left="5"/>
              <w:rPr>
                <w:sz w:val="28"/>
              </w:rPr>
            </w:pPr>
            <w:r>
              <w:rPr>
                <w:sz w:val="28"/>
              </w:rPr>
              <w:t>-</w:t>
            </w:r>
          </w:p>
        </w:tc>
      </w:tr>
      <w:tr w:rsidR="00B23B94">
        <w:trPr>
          <w:trHeight w:val="482"/>
        </w:trPr>
        <w:tc>
          <w:tcPr>
            <w:tcW w:w="1334" w:type="dxa"/>
          </w:tcPr>
          <w:p w:rsidR="00B23B94" w:rsidRDefault="003B2D3B">
            <w:pPr>
              <w:pStyle w:val="TableParagraph"/>
              <w:ind w:left="107"/>
              <w:jc w:val="left"/>
              <w:rPr>
                <w:sz w:val="28"/>
              </w:rPr>
            </w:pPr>
            <w:r>
              <w:rPr>
                <w:sz w:val="28"/>
              </w:rPr>
              <w:t>12-14</w:t>
            </w:r>
          </w:p>
        </w:tc>
        <w:tc>
          <w:tcPr>
            <w:tcW w:w="1337" w:type="dxa"/>
          </w:tcPr>
          <w:p w:rsidR="00B23B94" w:rsidRDefault="003B2D3B">
            <w:pPr>
              <w:pStyle w:val="TableParagraph"/>
              <w:ind w:left="10"/>
              <w:rPr>
                <w:sz w:val="28"/>
              </w:rPr>
            </w:pPr>
            <w:r>
              <w:rPr>
                <w:sz w:val="28"/>
              </w:rPr>
              <w:t>2</w:t>
            </w:r>
          </w:p>
        </w:tc>
        <w:tc>
          <w:tcPr>
            <w:tcW w:w="1334" w:type="dxa"/>
          </w:tcPr>
          <w:p w:rsidR="00B23B94" w:rsidRDefault="003B2D3B">
            <w:pPr>
              <w:pStyle w:val="TableParagraph"/>
              <w:ind w:left="329" w:right="322"/>
              <w:rPr>
                <w:sz w:val="28"/>
              </w:rPr>
            </w:pPr>
            <w:r>
              <w:rPr>
                <w:sz w:val="28"/>
              </w:rPr>
              <w:t>11,8</w:t>
            </w:r>
          </w:p>
        </w:tc>
        <w:tc>
          <w:tcPr>
            <w:tcW w:w="1334" w:type="dxa"/>
          </w:tcPr>
          <w:p w:rsidR="00B23B94" w:rsidRDefault="003B2D3B">
            <w:pPr>
              <w:pStyle w:val="TableParagraph"/>
              <w:ind w:left="14"/>
              <w:rPr>
                <w:sz w:val="28"/>
              </w:rPr>
            </w:pPr>
            <w:r>
              <w:rPr>
                <w:sz w:val="28"/>
              </w:rPr>
              <w:t>6</w:t>
            </w:r>
          </w:p>
        </w:tc>
        <w:tc>
          <w:tcPr>
            <w:tcW w:w="1335" w:type="dxa"/>
          </w:tcPr>
          <w:p w:rsidR="00B23B94" w:rsidRDefault="003B2D3B">
            <w:pPr>
              <w:pStyle w:val="TableParagraph"/>
              <w:ind w:left="401" w:right="388"/>
              <w:rPr>
                <w:sz w:val="28"/>
              </w:rPr>
            </w:pPr>
            <w:r>
              <w:rPr>
                <w:sz w:val="28"/>
              </w:rPr>
              <w:t>35,3</w:t>
            </w:r>
          </w:p>
        </w:tc>
        <w:tc>
          <w:tcPr>
            <w:tcW w:w="1337" w:type="dxa"/>
          </w:tcPr>
          <w:p w:rsidR="00B23B94" w:rsidRDefault="003B2D3B">
            <w:pPr>
              <w:pStyle w:val="TableParagraph"/>
              <w:ind w:left="12"/>
              <w:rPr>
                <w:sz w:val="28"/>
              </w:rPr>
            </w:pPr>
            <w:r>
              <w:rPr>
                <w:sz w:val="28"/>
              </w:rPr>
              <w:t>9</w:t>
            </w:r>
          </w:p>
        </w:tc>
        <w:tc>
          <w:tcPr>
            <w:tcW w:w="1335" w:type="dxa"/>
          </w:tcPr>
          <w:p w:rsidR="00B23B94" w:rsidRDefault="003B2D3B">
            <w:pPr>
              <w:pStyle w:val="TableParagraph"/>
              <w:ind w:left="399" w:right="391"/>
              <w:rPr>
                <w:sz w:val="28"/>
              </w:rPr>
            </w:pPr>
            <w:r>
              <w:rPr>
                <w:sz w:val="28"/>
              </w:rPr>
              <w:t>23,5</w:t>
            </w:r>
          </w:p>
        </w:tc>
      </w:tr>
      <w:tr w:rsidR="00B23B94">
        <w:trPr>
          <w:trHeight w:val="484"/>
        </w:trPr>
        <w:tc>
          <w:tcPr>
            <w:tcW w:w="1334" w:type="dxa"/>
          </w:tcPr>
          <w:p w:rsidR="00B23B94" w:rsidRDefault="003B2D3B">
            <w:pPr>
              <w:pStyle w:val="TableParagraph"/>
              <w:ind w:left="107"/>
              <w:jc w:val="left"/>
              <w:rPr>
                <w:sz w:val="28"/>
              </w:rPr>
            </w:pPr>
            <w:r>
              <w:rPr>
                <w:sz w:val="28"/>
              </w:rPr>
              <w:t>20-21</w:t>
            </w:r>
          </w:p>
        </w:tc>
        <w:tc>
          <w:tcPr>
            <w:tcW w:w="1337" w:type="dxa"/>
          </w:tcPr>
          <w:p w:rsidR="00B23B94" w:rsidRDefault="003B2D3B">
            <w:pPr>
              <w:pStyle w:val="TableParagraph"/>
              <w:ind w:left="6"/>
              <w:rPr>
                <w:sz w:val="28"/>
              </w:rPr>
            </w:pPr>
            <w:r>
              <w:rPr>
                <w:sz w:val="28"/>
              </w:rPr>
              <w:t>-</w:t>
            </w:r>
          </w:p>
        </w:tc>
        <w:tc>
          <w:tcPr>
            <w:tcW w:w="1334" w:type="dxa"/>
          </w:tcPr>
          <w:p w:rsidR="00B23B94" w:rsidRDefault="003B2D3B">
            <w:pPr>
              <w:pStyle w:val="TableParagraph"/>
              <w:ind w:left="4"/>
              <w:rPr>
                <w:sz w:val="28"/>
              </w:rPr>
            </w:pPr>
            <w:r>
              <w:rPr>
                <w:sz w:val="28"/>
              </w:rPr>
              <w:t>-</w:t>
            </w:r>
          </w:p>
        </w:tc>
        <w:tc>
          <w:tcPr>
            <w:tcW w:w="1334" w:type="dxa"/>
          </w:tcPr>
          <w:p w:rsidR="00B23B94" w:rsidRDefault="003B2D3B">
            <w:pPr>
              <w:pStyle w:val="TableParagraph"/>
              <w:ind w:left="14"/>
              <w:rPr>
                <w:sz w:val="28"/>
              </w:rPr>
            </w:pPr>
            <w:r>
              <w:rPr>
                <w:sz w:val="28"/>
              </w:rPr>
              <w:t>4</w:t>
            </w:r>
          </w:p>
        </w:tc>
        <w:tc>
          <w:tcPr>
            <w:tcW w:w="1335" w:type="dxa"/>
          </w:tcPr>
          <w:p w:rsidR="00B23B94" w:rsidRDefault="003B2D3B">
            <w:pPr>
              <w:pStyle w:val="TableParagraph"/>
              <w:ind w:left="401" w:right="388"/>
              <w:rPr>
                <w:sz w:val="28"/>
              </w:rPr>
            </w:pPr>
            <w:r>
              <w:rPr>
                <w:sz w:val="28"/>
              </w:rPr>
              <w:t>23,5</w:t>
            </w:r>
          </w:p>
        </w:tc>
        <w:tc>
          <w:tcPr>
            <w:tcW w:w="1337" w:type="dxa"/>
          </w:tcPr>
          <w:p w:rsidR="00B23B94" w:rsidRDefault="003B2D3B">
            <w:pPr>
              <w:pStyle w:val="TableParagraph"/>
              <w:ind w:left="416" w:right="406"/>
              <w:rPr>
                <w:sz w:val="28"/>
              </w:rPr>
            </w:pPr>
            <w:r>
              <w:rPr>
                <w:sz w:val="28"/>
              </w:rPr>
              <w:t>13</w:t>
            </w:r>
          </w:p>
        </w:tc>
        <w:tc>
          <w:tcPr>
            <w:tcW w:w="1335" w:type="dxa"/>
          </w:tcPr>
          <w:p w:rsidR="00B23B94" w:rsidRDefault="003B2D3B">
            <w:pPr>
              <w:pStyle w:val="TableParagraph"/>
              <w:ind w:left="399" w:right="391"/>
              <w:rPr>
                <w:sz w:val="28"/>
              </w:rPr>
            </w:pPr>
            <w:r>
              <w:rPr>
                <w:sz w:val="28"/>
              </w:rPr>
              <w:t>76,5</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0"/>
        <w:ind w:left="0"/>
        <w:jc w:val="left"/>
        <w:rPr>
          <w:i/>
          <w:sz w:val="25"/>
        </w:rPr>
      </w:pPr>
    </w:p>
    <w:p w:rsidR="00B23B94" w:rsidRDefault="003B2D3B">
      <w:pPr>
        <w:pStyle w:val="a3"/>
        <w:spacing w:line="360" w:lineRule="auto"/>
        <w:ind w:left="542" w:right="783" w:firstLine="707"/>
      </w:pPr>
      <w:r>
        <w:t>На 6-7 добу від початку захворювання, за даними візуальних методів обстеження, поширення парапанкреатичних локальних ускладнень на 1 ЗППН</w:t>
      </w:r>
      <w:r>
        <w:rPr>
          <w:spacing w:val="16"/>
        </w:rPr>
        <w:t xml:space="preserve"> </w:t>
      </w:r>
      <w:r>
        <w:t>виявлено</w:t>
      </w:r>
      <w:r>
        <w:rPr>
          <w:spacing w:val="17"/>
        </w:rPr>
        <w:t xml:space="preserve"> </w:t>
      </w:r>
      <w:r>
        <w:t>у</w:t>
      </w:r>
      <w:r>
        <w:rPr>
          <w:spacing w:val="14"/>
        </w:rPr>
        <w:t xml:space="preserve"> </w:t>
      </w:r>
      <w:r>
        <w:t>2</w:t>
      </w:r>
      <w:r>
        <w:rPr>
          <w:spacing w:val="18"/>
        </w:rPr>
        <w:t xml:space="preserve"> </w:t>
      </w:r>
      <w:r>
        <w:t>(11,8%)</w:t>
      </w:r>
      <w:r>
        <w:rPr>
          <w:spacing w:val="14"/>
        </w:rPr>
        <w:t xml:space="preserve"> </w:t>
      </w:r>
      <w:r>
        <w:t>пацієнтів,</w:t>
      </w:r>
      <w:r>
        <w:rPr>
          <w:spacing w:val="14"/>
        </w:rPr>
        <w:t xml:space="preserve"> </w:t>
      </w:r>
      <w:r>
        <w:t>на</w:t>
      </w:r>
      <w:r>
        <w:rPr>
          <w:spacing w:val="15"/>
        </w:rPr>
        <w:t xml:space="preserve"> </w:t>
      </w:r>
      <w:r>
        <w:t>2</w:t>
      </w:r>
      <w:r>
        <w:rPr>
          <w:spacing w:val="24"/>
        </w:rPr>
        <w:t xml:space="preserve"> </w:t>
      </w:r>
      <w:r>
        <w:t>ЗППН</w:t>
      </w:r>
      <w:r>
        <w:rPr>
          <w:spacing w:val="17"/>
        </w:rPr>
        <w:t xml:space="preserve"> </w:t>
      </w:r>
      <w:r>
        <w:t>–</w:t>
      </w:r>
      <w:r>
        <w:rPr>
          <w:spacing w:val="16"/>
        </w:rPr>
        <w:t xml:space="preserve"> </w:t>
      </w:r>
      <w:r>
        <w:t>8</w:t>
      </w:r>
      <w:r>
        <w:rPr>
          <w:spacing w:val="18"/>
        </w:rPr>
        <w:t xml:space="preserve"> </w:t>
      </w:r>
      <w:r>
        <w:t>(47,1%),</w:t>
      </w:r>
      <w:r>
        <w:rPr>
          <w:spacing w:val="16"/>
        </w:rPr>
        <w:t xml:space="preserve"> </w:t>
      </w:r>
      <w:r>
        <w:t>3-4</w:t>
      </w:r>
      <w:r>
        <w:rPr>
          <w:spacing w:val="16"/>
        </w:rPr>
        <w:t xml:space="preserve"> </w:t>
      </w:r>
      <w:r>
        <w:t>ЗППН</w:t>
      </w:r>
      <w:r>
        <w:rPr>
          <w:spacing w:val="17"/>
        </w:rPr>
        <w:t xml:space="preserve"> </w:t>
      </w:r>
      <w:r>
        <w:t>–</w:t>
      </w:r>
      <w:r>
        <w:rPr>
          <w:spacing w:val="16"/>
        </w:rPr>
        <w:t xml:space="preserve"> </w:t>
      </w:r>
      <w:r>
        <w:t>4</w:t>
      </w:r>
    </w:p>
    <w:p w:rsidR="00B23B94" w:rsidRDefault="003B2D3B">
      <w:pPr>
        <w:pStyle w:val="a3"/>
        <w:spacing w:before="1"/>
        <w:ind w:left="542"/>
      </w:pPr>
      <w:r>
        <w:t>(23,5%),</w:t>
      </w:r>
      <w:r>
        <w:rPr>
          <w:spacing w:val="12"/>
        </w:rPr>
        <w:t xml:space="preserve"> </w:t>
      </w:r>
      <w:r>
        <w:t>5</w:t>
      </w:r>
      <w:r>
        <w:rPr>
          <w:spacing w:val="15"/>
        </w:rPr>
        <w:t xml:space="preserve"> </w:t>
      </w:r>
      <w:r>
        <w:t>та</w:t>
      </w:r>
      <w:r>
        <w:rPr>
          <w:spacing w:val="12"/>
        </w:rPr>
        <w:t xml:space="preserve"> </w:t>
      </w:r>
      <w:r>
        <w:t>більше</w:t>
      </w:r>
      <w:r>
        <w:rPr>
          <w:spacing w:val="17"/>
        </w:rPr>
        <w:t xml:space="preserve"> </w:t>
      </w:r>
      <w:r>
        <w:t>–</w:t>
      </w:r>
      <w:r>
        <w:rPr>
          <w:spacing w:val="15"/>
        </w:rPr>
        <w:t xml:space="preserve"> </w:t>
      </w:r>
      <w:r>
        <w:t>4</w:t>
      </w:r>
      <w:r>
        <w:rPr>
          <w:spacing w:val="14"/>
        </w:rPr>
        <w:t xml:space="preserve"> </w:t>
      </w:r>
      <w:r>
        <w:t>(23,5%).</w:t>
      </w:r>
      <w:r>
        <w:rPr>
          <w:spacing w:val="13"/>
        </w:rPr>
        <w:t xml:space="preserve"> </w:t>
      </w:r>
      <w:r>
        <w:t>Інфільтрація</w:t>
      </w:r>
      <w:r>
        <w:rPr>
          <w:spacing w:val="13"/>
        </w:rPr>
        <w:t xml:space="preserve"> </w:t>
      </w:r>
      <w:r>
        <w:t>парапанкреатичної</w:t>
      </w:r>
      <w:r>
        <w:rPr>
          <w:spacing w:val="15"/>
        </w:rPr>
        <w:t xml:space="preserve"> </w:t>
      </w:r>
      <w:r>
        <w:t>клітковини</w:t>
      </w:r>
    </w:p>
    <w:p w:rsidR="00B23B94" w:rsidRDefault="003B2D3B">
      <w:pPr>
        <w:pStyle w:val="a3"/>
        <w:spacing w:before="161" w:line="360" w:lineRule="auto"/>
        <w:ind w:left="542" w:right="786"/>
      </w:pPr>
      <w:r>
        <w:t>визначалася у 10 (58,8%) хворих, рідинні скупчення виявлено у 7 (41,2%) пацієнтів. Ознак секвестрації не спостерігалося в жодному з випадків. Правобічний гідроторакс виявлено у 1 (5,9%) пацієнта, лівобічний – у 1 (5,9%), двобічний спостерігався у 1 (5,9%) хворого.</w:t>
      </w:r>
    </w:p>
    <w:p w:rsidR="00B23B94" w:rsidRDefault="003B2D3B">
      <w:pPr>
        <w:pStyle w:val="a3"/>
        <w:spacing w:line="360" w:lineRule="auto"/>
        <w:ind w:left="542" w:right="788" w:firstLine="707"/>
      </w:pPr>
      <w:r>
        <w:t>Тяжкість стану за шкалою BISAP на 6-7 добу оцінено в 2,5±0,26 бали (від 2 до 4 балів). Органна недостатність зберігалася у 3 (17,6%) хворих (визначалося 2 і більше балів за шкалою Marshall в одній чи декількох систем із трьох).</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509"/>
        <w:rPr>
          <w:i/>
          <w:sz w:val="28"/>
        </w:rPr>
      </w:pPr>
      <w:r>
        <w:rPr>
          <w:i/>
          <w:sz w:val="28"/>
        </w:rPr>
        <w:lastRenderedPageBreak/>
        <w:t>Таблиця 4.3</w:t>
      </w:r>
    </w:p>
    <w:p w:rsidR="00B23B94" w:rsidRDefault="003B2D3B">
      <w:pPr>
        <w:pStyle w:val="1"/>
        <w:spacing w:before="164" w:line="360" w:lineRule="auto"/>
        <w:ind w:left="4032" w:right="1284" w:hanging="2274"/>
      </w:pPr>
      <w:r>
        <w:rPr>
          <w:noProof/>
          <w:lang w:eastAsia="uk-UA"/>
        </w:rPr>
        <mc:AlternateContent>
          <mc:Choice Requires="wps">
            <w:drawing>
              <wp:anchor distT="0" distB="0" distL="114300" distR="114300" simplePos="0" relativeHeight="483708416" behindDoc="1" locked="0" layoutInCell="1" allowOverlap="1">
                <wp:simplePos x="0" y="0"/>
                <wp:positionH relativeFrom="page">
                  <wp:posOffset>1015365</wp:posOffset>
                </wp:positionH>
                <wp:positionV relativeFrom="paragraph">
                  <wp:posOffset>722630</wp:posOffset>
                </wp:positionV>
                <wp:extent cx="1414780" cy="932815"/>
                <wp:effectExtent l="0" t="0" r="0" b="0"/>
                <wp:wrapNone/>
                <wp:docPr id="1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4780" cy="93281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1960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56.9pt" to="191.35pt,1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" strokeweight=".48pt">
                <w10:wrap anchorx="page"/>
              </v:line>
            </w:pict>
          </mc:Fallback>
        </mc:AlternateContent>
      </w:r>
      <w:r>
        <w:t>Частота виявлення гідротораксу у пацієнтів основної групи (підгрупа 2а, n=17)</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7"/>
        <w:gridCol w:w="691"/>
        <w:gridCol w:w="720"/>
        <w:gridCol w:w="732"/>
        <w:gridCol w:w="708"/>
        <w:gridCol w:w="734"/>
        <w:gridCol w:w="706"/>
        <w:gridCol w:w="734"/>
        <w:gridCol w:w="705"/>
        <w:gridCol w:w="737"/>
        <w:gridCol w:w="705"/>
      </w:tblGrid>
      <w:tr w:rsidR="00B23B94">
        <w:trPr>
          <w:trHeight w:val="976"/>
        </w:trPr>
        <w:tc>
          <w:tcPr>
            <w:tcW w:w="2237" w:type="dxa"/>
            <w:vMerge w:val="restart"/>
          </w:tcPr>
          <w:p w:rsidR="00B23B94" w:rsidRDefault="003B2D3B">
            <w:pPr>
              <w:pStyle w:val="TableParagraph"/>
              <w:ind w:left="1391"/>
              <w:jc w:val="left"/>
              <w:rPr>
                <w:sz w:val="28"/>
              </w:rPr>
            </w:pPr>
            <w:r>
              <w:rPr>
                <w:sz w:val="28"/>
              </w:rPr>
              <w:t>Доба*</w:t>
            </w:r>
          </w:p>
          <w:p w:rsidR="00B23B94" w:rsidRDefault="00B23B94">
            <w:pPr>
              <w:pStyle w:val="TableParagraph"/>
              <w:jc w:val="left"/>
              <w:rPr>
                <w:b/>
                <w:sz w:val="30"/>
              </w:rPr>
            </w:pPr>
          </w:p>
          <w:p w:rsidR="00B23B94" w:rsidRDefault="00B23B94">
            <w:pPr>
              <w:pStyle w:val="TableParagraph"/>
              <w:spacing w:before="3"/>
              <w:jc w:val="left"/>
              <w:rPr>
                <w:b/>
                <w:sz w:val="26"/>
              </w:rPr>
            </w:pPr>
          </w:p>
          <w:p w:rsidR="00B23B94" w:rsidRDefault="003B2D3B">
            <w:pPr>
              <w:pStyle w:val="TableParagraph"/>
              <w:ind w:left="107"/>
              <w:jc w:val="left"/>
              <w:rPr>
                <w:sz w:val="26"/>
              </w:rPr>
            </w:pPr>
            <w:r>
              <w:rPr>
                <w:sz w:val="26"/>
              </w:rPr>
              <w:t>Гідроторакс</w:t>
            </w:r>
          </w:p>
        </w:tc>
        <w:tc>
          <w:tcPr>
            <w:tcW w:w="1411" w:type="dxa"/>
            <w:gridSpan w:val="2"/>
          </w:tcPr>
          <w:p w:rsidR="00B23B94" w:rsidRDefault="003B2D3B">
            <w:pPr>
              <w:pStyle w:val="TableParagraph"/>
              <w:spacing w:before="247"/>
              <w:ind w:left="6"/>
              <w:rPr>
                <w:sz w:val="28"/>
              </w:rPr>
            </w:pPr>
            <w:r>
              <w:rPr>
                <w:sz w:val="28"/>
              </w:rPr>
              <w:t>1</w:t>
            </w:r>
          </w:p>
        </w:tc>
        <w:tc>
          <w:tcPr>
            <w:tcW w:w="1440" w:type="dxa"/>
            <w:gridSpan w:val="2"/>
          </w:tcPr>
          <w:p w:rsidR="00B23B94" w:rsidRDefault="003B2D3B">
            <w:pPr>
              <w:pStyle w:val="TableParagraph"/>
              <w:spacing w:before="247"/>
              <w:ind w:left="7"/>
              <w:rPr>
                <w:sz w:val="28"/>
              </w:rPr>
            </w:pPr>
            <w:r>
              <w:rPr>
                <w:sz w:val="28"/>
              </w:rPr>
              <w:t>2</w:t>
            </w:r>
          </w:p>
        </w:tc>
        <w:tc>
          <w:tcPr>
            <w:tcW w:w="1440" w:type="dxa"/>
            <w:gridSpan w:val="2"/>
          </w:tcPr>
          <w:p w:rsidR="00B23B94" w:rsidRDefault="003B2D3B">
            <w:pPr>
              <w:pStyle w:val="TableParagraph"/>
              <w:spacing w:before="247"/>
              <w:ind w:left="511" w:right="504"/>
              <w:rPr>
                <w:sz w:val="28"/>
              </w:rPr>
            </w:pPr>
            <w:r>
              <w:rPr>
                <w:sz w:val="28"/>
              </w:rPr>
              <w:t>6-7</w:t>
            </w:r>
          </w:p>
        </w:tc>
        <w:tc>
          <w:tcPr>
            <w:tcW w:w="1439" w:type="dxa"/>
            <w:gridSpan w:val="2"/>
          </w:tcPr>
          <w:p w:rsidR="00B23B94" w:rsidRDefault="003B2D3B">
            <w:pPr>
              <w:pStyle w:val="TableParagraph"/>
              <w:spacing w:before="247"/>
              <w:ind w:left="394"/>
              <w:jc w:val="left"/>
              <w:rPr>
                <w:sz w:val="28"/>
              </w:rPr>
            </w:pPr>
            <w:r>
              <w:rPr>
                <w:sz w:val="28"/>
              </w:rPr>
              <w:t>12-14</w:t>
            </w:r>
          </w:p>
        </w:tc>
        <w:tc>
          <w:tcPr>
            <w:tcW w:w="1442" w:type="dxa"/>
            <w:gridSpan w:val="2"/>
          </w:tcPr>
          <w:p w:rsidR="00B23B94" w:rsidRDefault="003B2D3B">
            <w:pPr>
              <w:pStyle w:val="TableParagraph"/>
              <w:spacing w:before="247"/>
              <w:ind w:left="395"/>
              <w:jc w:val="left"/>
              <w:rPr>
                <w:sz w:val="28"/>
              </w:rPr>
            </w:pPr>
            <w:r>
              <w:rPr>
                <w:sz w:val="28"/>
              </w:rPr>
              <w:t>20-21</w:t>
            </w:r>
          </w:p>
        </w:tc>
      </w:tr>
      <w:tr w:rsidR="00B23B94">
        <w:trPr>
          <w:trHeight w:val="481"/>
        </w:trPr>
        <w:tc>
          <w:tcPr>
            <w:tcW w:w="2237" w:type="dxa"/>
            <w:vMerge/>
            <w:tcBorders>
              <w:top w:val="nil"/>
            </w:tcBorders>
          </w:tcPr>
          <w:p w:rsidR="00B23B94" w:rsidRDefault="00B23B94">
            <w:pPr>
              <w:rPr>
                <w:sz w:val="2"/>
                <w:szCs w:val="2"/>
              </w:rPr>
            </w:pPr>
          </w:p>
        </w:tc>
        <w:tc>
          <w:tcPr>
            <w:tcW w:w="691" w:type="dxa"/>
          </w:tcPr>
          <w:p w:rsidR="00B23B94" w:rsidRDefault="003B2D3B">
            <w:pPr>
              <w:pStyle w:val="TableParagraph"/>
              <w:ind w:left="86" w:right="74"/>
              <w:rPr>
                <w:sz w:val="28"/>
              </w:rPr>
            </w:pPr>
            <w:r>
              <w:rPr>
                <w:sz w:val="28"/>
              </w:rPr>
              <w:t>абс.</w:t>
            </w:r>
          </w:p>
        </w:tc>
        <w:tc>
          <w:tcPr>
            <w:tcW w:w="720" w:type="dxa"/>
          </w:tcPr>
          <w:p w:rsidR="00B23B94" w:rsidRDefault="003B2D3B">
            <w:pPr>
              <w:pStyle w:val="TableParagraph"/>
              <w:ind w:left="9"/>
              <w:rPr>
                <w:sz w:val="28"/>
              </w:rPr>
            </w:pPr>
            <w:r>
              <w:rPr>
                <w:sz w:val="28"/>
              </w:rPr>
              <w:t>%</w:t>
            </w:r>
          </w:p>
        </w:tc>
        <w:tc>
          <w:tcPr>
            <w:tcW w:w="732" w:type="dxa"/>
          </w:tcPr>
          <w:p w:rsidR="00B23B94" w:rsidRDefault="003B2D3B">
            <w:pPr>
              <w:pStyle w:val="TableParagraph"/>
              <w:ind w:left="115" w:right="105"/>
              <w:rPr>
                <w:sz w:val="28"/>
              </w:rPr>
            </w:pPr>
            <w:r>
              <w:rPr>
                <w:sz w:val="28"/>
              </w:rPr>
              <w:t>абс.</w:t>
            </w:r>
          </w:p>
        </w:tc>
        <w:tc>
          <w:tcPr>
            <w:tcW w:w="708" w:type="dxa"/>
          </w:tcPr>
          <w:p w:rsidR="00B23B94" w:rsidRDefault="003B2D3B">
            <w:pPr>
              <w:pStyle w:val="TableParagraph"/>
              <w:ind w:left="235"/>
              <w:jc w:val="left"/>
              <w:rPr>
                <w:sz w:val="28"/>
              </w:rPr>
            </w:pPr>
            <w:r>
              <w:rPr>
                <w:sz w:val="28"/>
              </w:rPr>
              <w:t>%</w:t>
            </w:r>
          </w:p>
        </w:tc>
        <w:tc>
          <w:tcPr>
            <w:tcW w:w="734" w:type="dxa"/>
          </w:tcPr>
          <w:p w:rsidR="00B23B94" w:rsidRDefault="003B2D3B">
            <w:pPr>
              <w:pStyle w:val="TableParagraph"/>
              <w:ind w:left="113" w:right="104"/>
              <w:rPr>
                <w:sz w:val="28"/>
              </w:rPr>
            </w:pPr>
            <w:r>
              <w:rPr>
                <w:sz w:val="28"/>
              </w:rPr>
              <w:t>абс.</w:t>
            </w:r>
          </w:p>
        </w:tc>
        <w:tc>
          <w:tcPr>
            <w:tcW w:w="706" w:type="dxa"/>
          </w:tcPr>
          <w:p w:rsidR="00B23B94" w:rsidRDefault="003B2D3B">
            <w:pPr>
              <w:pStyle w:val="TableParagraph"/>
              <w:ind w:left="236"/>
              <w:jc w:val="left"/>
              <w:rPr>
                <w:sz w:val="28"/>
              </w:rPr>
            </w:pPr>
            <w:r>
              <w:rPr>
                <w:sz w:val="28"/>
              </w:rPr>
              <w:t>%</w:t>
            </w:r>
          </w:p>
        </w:tc>
        <w:tc>
          <w:tcPr>
            <w:tcW w:w="734" w:type="dxa"/>
          </w:tcPr>
          <w:p w:rsidR="00B23B94" w:rsidRDefault="003B2D3B">
            <w:pPr>
              <w:pStyle w:val="TableParagraph"/>
              <w:ind w:left="116" w:right="101"/>
              <w:rPr>
                <w:sz w:val="28"/>
              </w:rPr>
            </w:pPr>
            <w:r>
              <w:rPr>
                <w:sz w:val="28"/>
              </w:rPr>
              <w:t>абс.</w:t>
            </w:r>
          </w:p>
        </w:tc>
        <w:tc>
          <w:tcPr>
            <w:tcW w:w="705" w:type="dxa"/>
          </w:tcPr>
          <w:p w:rsidR="00B23B94" w:rsidRDefault="003B2D3B">
            <w:pPr>
              <w:pStyle w:val="TableParagraph"/>
              <w:ind w:left="236"/>
              <w:jc w:val="left"/>
              <w:rPr>
                <w:sz w:val="28"/>
              </w:rPr>
            </w:pPr>
            <w:r>
              <w:rPr>
                <w:sz w:val="28"/>
              </w:rPr>
              <w:t>%</w:t>
            </w:r>
          </w:p>
        </w:tc>
        <w:tc>
          <w:tcPr>
            <w:tcW w:w="737" w:type="dxa"/>
          </w:tcPr>
          <w:p w:rsidR="00B23B94" w:rsidRDefault="003B2D3B">
            <w:pPr>
              <w:pStyle w:val="TableParagraph"/>
              <w:ind w:left="120" w:right="106"/>
              <w:rPr>
                <w:sz w:val="28"/>
              </w:rPr>
            </w:pPr>
            <w:r>
              <w:rPr>
                <w:sz w:val="28"/>
              </w:rPr>
              <w:t>абс.</w:t>
            </w:r>
          </w:p>
        </w:tc>
        <w:tc>
          <w:tcPr>
            <w:tcW w:w="705" w:type="dxa"/>
          </w:tcPr>
          <w:p w:rsidR="00B23B94" w:rsidRDefault="003B2D3B">
            <w:pPr>
              <w:pStyle w:val="TableParagraph"/>
              <w:ind w:left="235"/>
              <w:jc w:val="left"/>
              <w:rPr>
                <w:sz w:val="28"/>
              </w:rPr>
            </w:pPr>
            <w:r>
              <w:rPr>
                <w:sz w:val="28"/>
              </w:rPr>
              <w:t>%</w:t>
            </w:r>
          </w:p>
        </w:tc>
      </w:tr>
      <w:tr w:rsidR="00B23B94">
        <w:trPr>
          <w:trHeight w:val="484"/>
        </w:trPr>
        <w:tc>
          <w:tcPr>
            <w:tcW w:w="2237" w:type="dxa"/>
          </w:tcPr>
          <w:p w:rsidR="00B23B94" w:rsidRDefault="003B2D3B">
            <w:pPr>
              <w:pStyle w:val="TableParagraph"/>
              <w:spacing w:before="2"/>
              <w:ind w:left="107"/>
              <w:jc w:val="left"/>
              <w:rPr>
                <w:sz w:val="28"/>
              </w:rPr>
            </w:pPr>
            <w:r>
              <w:rPr>
                <w:sz w:val="28"/>
              </w:rPr>
              <w:t>Правобічний</w:t>
            </w:r>
          </w:p>
        </w:tc>
        <w:tc>
          <w:tcPr>
            <w:tcW w:w="691" w:type="dxa"/>
          </w:tcPr>
          <w:p w:rsidR="00B23B94" w:rsidRDefault="003B2D3B">
            <w:pPr>
              <w:pStyle w:val="TableParagraph"/>
              <w:spacing w:before="2"/>
              <w:ind w:left="11"/>
              <w:rPr>
                <w:sz w:val="28"/>
              </w:rPr>
            </w:pPr>
            <w:r>
              <w:rPr>
                <w:sz w:val="28"/>
              </w:rPr>
              <w:t>1</w:t>
            </w:r>
          </w:p>
        </w:tc>
        <w:tc>
          <w:tcPr>
            <w:tcW w:w="720" w:type="dxa"/>
          </w:tcPr>
          <w:p w:rsidR="00B23B94" w:rsidRDefault="003B2D3B">
            <w:pPr>
              <w:pStyle w:val="TableParagraph"/>
              <w:spacing w:before="2"/>
              <w:ind w:left="95" w:right="83"/>
              <w:rPr>
                <w:sz w:val="28"/>
              </w:rPr>
            </w:pPr>
            <w:r>
              <w:rPr>
                <w:sz w:val="28"/>
              </w:rPr>
              <w:t>5,9</w:t>
            </w:r>
          </w:p>
        </w:tc>
        <w:tc>
          <w:tcPr>
            <w:tcW w:w="732" w:type="dxa"/>
          </w:tcPr>
          <w:p w:rsidR="00B23B94" w:rsidRDefault="003B2D3B">
            <w:pPr>
              <w:pStyle w:val="TableParagraph"/>
              <w:spacing w:before="2"/>
              <w:ind w:left="10"/>
              <w:rPr>
                <w:sz w:val="28"/>
              </w:rPr>
            </w:pPr>
            <w:r>
              <w:rPr>
                <w:sz w:val="28"/>
              </w:rPr>
              <w:t>1</w:t>
            </w:r>
          </w:p>
        </w:tc>
        <w:tc>
          <w:tcPr>
            <w:tcW w:w="708" w:type="dxa"/>
          </w:tcPr>
          <w:p w:rsidR="00B23B94" w:rsidRDefault="003B2D3B">
            <w:pPr>
              <w:pStyle w:val="TableParagraph"/>
              <w:spacing w:before="2"/>
              <w:ind w:left="178"/>
              <w:jc w:val="left"/>
              <w:rPr>
                <w:sz w:val="28"/>
              </w:rPr>
            </w:pPr>
            <w:r>
              <w:rPr>
                <w:sz w:val="28"/>
              </w:rPr>
              <w:t>5,9</w:t>
            </w:r>
          </w:p>
        </w:tc>
        <w:tc>
          <w:tcPr>
            <w:tcW w:w="734" w:type="dxa"/>
          </w:tcPr>
          <w:p w:rsidR="00B23B94" w:rsidRDefault="003B2D3B">
            <w:pPr>
              <w:pStyle w:val="TableParagraph"/>
              <w:spacing w:before="2"/>
              <w:ind w:left="8"/>
              <w:rPr>
                <w:sz w:val="28"/>
              </w:rPr>
            </w:pPr>
            <w:r>
              <w:rPr>
                <w:sz w:val="28"/>
              </w:rPr>
              <w:t>1</w:t>
            </w:r>
          </w:p>
        </w:tc>
        <w:tc>
          <w:tcPr>
            <w:tcW w:w="706" w:type="dxa"/>
          </w:tcPr>
          <w:p w:rsidR="00B23B94" w:rsidRDefault="003B2D3B">
            <w:pPr>
              <w:pStyle w:val="TableParagraph"/>
              <w:spacing w:before="2"/>
              <w:ind w:left="178"/>
              <w:jc w:val="left"/>
              <w:rPr>
                <w:sz w:val="28"/>
              </w:rPr>
            </w:pPr>
            <w:r>
              <w:rPr>
                <w:sz w:val="28"/>
              </w:rPr>
              <w:t>5,9</w:t>
            </w:r>
          </w:p>
        </w:tc>
        <w:tc>
          <w:tcPr>
            <w:tcW w:w="734" w:type="dxa"/>
          </w:tcPr>
          <w:p w:rsidR="00B23B94" w:rsidRDefault="003B2D3B">
            <w:pPr>
              <w:pStyle w:val="TableParagraph"/>
              <w:spacing w:before="2"/>
              <w:ind w:left="14"/>
              <w:rPr>
                <w:sz w:val="28"/>
              </w:rPr>
            </w:pPr>
            <w:r>
              <w:rPr>
                <w:sz w:val="28"/>
              </w:rPr>
              <w:t>1</w:t>
            </w:r>
          </w:p>
        </w:tc>
        <w:tc>
          <w:tcPr>
            <w:tcW w:w="705" w:type="dxa"/>
          </w:tcPr>
          <w:p w:rsidR="00B23B94" w:rsidRDefault="003B2D3B">
            <w:pPr>
              <w:pStyle w:val="TableParagraph"/>
              <w:spacing w:before="2"/>
              <w:ind w:left="179"/>
              <w:jc w:val="left"/>
              <w:rPr>
                <w:sz w:val="28"/>
              </w:rPr>
            </w:pPr>
            <w:r>
              <w:rPr>
                <w:sz w:val="28"/>
              </w:rPr>
              <w:t>5,9</w:t>
            </w:r>
          </w:p>
        </w:tc>
        <w:tc>
          <w:tcPr>
            <w:tcW w:w="737" w:type="dxa"/>
          </w:tcPr>
          <w:p w:rsidR="00B23B94" w:rsidRDefault="003B2D3B">
            <w:pPr>
              <w:pStyle w:val="TableParagraph"/>
              <w:spacing w:before="2"/>
              <w:ind w:left="13"/>
              <w:rPr>
                <w:sz w:val="28"/>
              </w:rPr>
            </w:pPr>
            <w:r>
              <w:rPr>
                <w:sz w:val="28"/>
              </w:rPr>
              <w:t>1</w:t>
            </w:r>
          </w:p>
        </w:tc>
        <w:tc>
          <w:tcPr>
            <w:tcW w:w="705" w:type="dxa"/>
          </w:tcPr>
          <w:p w:rsidR="00B23B94" w:rsidRDefault="003B2D3B">
            <w:pPr>
              <w:pStyle w:val="TableParagraph"/>
              <w:spacing w:before="2"/>
              <w:ind w:left="177"/>
              <w:jc w:val="left"/>
              <w:rPr>
                <w:sz w:val="28"/>
              </w:rPr>
            </w:pPr>
            <w:r>
              <w:rPr>
                <w:sz w:val="28"/>
              </w:rPr>
              <w:t>5,9</w:t>
            </w:r>
          </w:p>
        </w:tc>
      </w:tr>
      <w:tr w:rsidR="00B23B94">
        <w:trPr>
          <w:trHeight w:val="482"/>
        </w:trPr>
        <w:tc>
          <w:tcPr>
            <w:tcW w:w="2237" w:type="dxa"/>
          </w:tcPr>
          <w:p w:rsidR="00B23B94" w:rsidRDefault="003B2D3B">
            <w:pPr>
              <w:pStyle w:val="TableParagraph"/>
              <w:ind w:left="107"/>
              <w:jc w:val="left"/>
              <w:rPr>
                <w:sz w:val="28"/>
              </w:rPr>
            </w:pPr>
            <w:r>
              <w:rPr>
                <w:sz w:val="28"/>
              </w:rPr>
              <w:t>Лівобічний</w:t>
            </w:r>
          </w:p>
        </w:tc>
        <w:tc>
          <w:tcPr>
            <w:tcW w:w="691" w:type="dxa"/>
          </w:tcPr>
          <w:p w:rsidR="00B23B94" w:rsidRDefault="003B2D3B">
            <w:pPr>
              <w:pStyle w:val="TableParagraph"/>
              <w:ind w:left="11"/>
              <w:rPr>
                <w:sz w:val="28"/>
              </w:rPr>
            </w:pPr>
            <w:r>
              <w:rPr>
                <w:sz w:val="28"/>
              </w:rPr>
              <w:t>2</w:t>
            </w:r>
          </w:p>
        </w:tc>
        <w:tc>
          <w:tcPr>
            <w:tcW w:w="720" w:type="dxa"/>
          </w:tcPr>
          <w:p w:rsidR="00B23B94" w:rsidRDefault="003B2D3B">
            <w:pPr>
              <w:pStyle w:val="TableParagraph"/>
              <w:ind w:left="95" w:right="84"/>
              <w:rPr>
                <w:sz w:val="28"/>
              </w:rPr>
            </w:pPr>
            <w:r>
              <w:rPr>
                <w:sz w:val="28"/>
              </w:rPr>
              <w:t>11,8</w:t>
            </w:r>
          </w:p>
        </w:tc>
        <w:tc>
          <w:tcPr>
            <w:tcW w:w="732" w:type="dxa"/>
          </w:tcPr>
          <w:p w:rsidR="00B23B94" w:rsidRDefault="003B2D3B">
            <w:pPr>
              <w:pStyle w:val="TableParagraph"/>
              <w:ind w:left="10"/>
              <w:rPr>
                <w:sz w:val="28"/>
              </w:rPr>
            </w:pPr>
            <w:r>
              <w:rPr>
                <w:sz w:val="28"/>
              </w:rPr>
              <w:t>2</w:t>
            </w:r>
          </w:p>
        </w:tc>
        <w:tc>
          <w:tcPr>
            <w:tcW w:w="708" w:type="dxa"/>
          </w:tcPr>
          <w:p w:rsidR="00B23B94" w:rsidRDefault="003B2D3B">
            <w:pPr>
              <w:pStyle w:val="TableParagraph"/>
              <w:ind w:left="108"/>
              <w:jc w:val="left"/>
              <w:rPr>
                <w:sz w:val="28"/>
              </w:rPr>
            </w:pPr>
            <w:r>
              <w:rPr>
                <w:sz w:val="28"/>
              </w:rPr>
              <w:t>11,8</w:t>
            </w:r>
          </w:p>
        </w:tc>
        <w:tc>
          <w:tcPr>
            <w:tcW w:w="734" w:type="dxa"/>
          </w:tcPr>
          <w:p w:rsidR="00B23B94" w:rsidRDefault="003B2D3B">
            <w:pPr>
              <w:pStyle w:val="TableParagraph"/>
              <w:ind w:left="8"/>
              <w:rPr>
                <w:sz w:val="28"/>
              </w:rPr>
            </w:pPr>
            <w:r>
              <w:rPr>
                <w:sz w:val="28"/>
              </w:rPr>
              <w:t>1</w:t>
            </w:r>
          </w:p>
        </w:tc>
        <w:tc>
          <w:tcPr>
            <w:tcW w:w="706" w:type="dxa"/>
          </w:tcPr>
          <w:p w:rsidR="00B23B94" w:rsidRDefault="003B2D3B">
            <w:pPr>
              <w:pStyle w:val="TableParagraph"/>
              <w:ind w:left="178"/>
              <w:jc w:val="left"/>
              <w:rPr>
                <w:sz w:val="28"/>
              </w:rPr>
            </w:pPr>
            <w:r>
              <w:rPr>
                <w:sz w:val="28"/>
              </w:rPr>
              <w:t>5,9</w:t>
            </w:r>
          </w:p>
        </w:tc>
        <w:tc>
          <w:tcPr>
            <w:tcW w:w="734" w:type="dxa"/>
          </w:tcPr>
          <w:p w:rsidR="00B23B94" w:rsidRDefault="003B2D3B">
            <w:pPr>
              <w:pStyle w:val="TableParagraph"/>
              <w:ind w:left="14"/>
              <w:rPr>
                <w:sz w:val="28"/>
              </w:rPr>
            </w:pPr>
            <w:r>
              <w:rPr>
                <w:sz w:val="28"/>
              </w:rPr>
              <w:t>2</w:t>
            </w:r>
          </w:p>
        </w:tc>
        <w:tc>
          <w:tcPr>
            <w:tcW w:w="705" w:type="dxa"/>
          </w:tcPr>
          <w:p w:rsidR="00B23B94" w:rsidRDefault="003B2D3B">
            <w:pPr>
              <w:pStyle w:val="TableParagraph"/>
              <w:ind w:left="109"/>
              <w:jc w:val="left"/>
              <w:rPr>
                <w:sz w:val="28"/>
              </w:rPr>
            </w:pPr>
            <w:r>
              <w:rPr>
                <w:sz w:val="28"/>
              </w:rPr>
              <w:t>11,8</w:t>
            </w:r>
          </w:p>
        </w:tc>
        <w:tc>
          <w:tcPr>
            <w:tcW w:w="737" w:type="dxa"/>
          </w:tcPr>
          <w:p w:rsidR="00B23B94" w:rsidRDefault="003B2D3B">
            <w:pPr>
              <w:pStyle w:val="TableParagraph"/>
              <w:ind w:left="13"/>
              <w:rPr>
                <w:sz w:val="28"/>
              </w:rPr>
            </w:pPr>
            <w:r>
              <w:rPr>
                <w:sz w:val="28"/>
              </w:rPr>
              <w:t>1</w:t>
            </w:r>
          </w:p>
        </w:tc>
        <w:tc>
          <w:tcPr>
            <w:tcW w:w="705" w:type="dxa"/>
          </w:tcPr>
          <w:p w:rsidR="00B23B94" w:rsidRDefault="003B2D3B">
            <w:pPr>
              <w:pStyle w:val="TableParagraph"/>
              <w:ind w:left="177"/>
              <w:jc w:val="left"/>
              <w:rPr>
                <w:sz w:val="28"/>
              </w:rPr>
            </w:pPr>
            <w:r>
              <w:rPr>
                <w:sz w:val="28"/>
              </w:rPr>
              <w:t>5,9</w:t>
            </w:r>
          </w:p>
        </w:tc>
      </w:tr>
      <w:tr w:rsidR="00B23B94">
        <w:trPr>
          <w:trHeight w:val="484"/>
        </w:trPr>
        <w:tc>
          <w:tcPr>
            <w:tcW w:w="2237" w:type="dxa"/>
          </w:tcPr>
          <w:p w:rsidR="00B23B94" w:rsidRDefault="003B2D3B">
            <w:pPr>
              <w:pStyle w:val="TableParagraph"/>
              <w:ind w:left="107"/>
              <w:jc w:val="left"/>
              <w:rPr>
                <w:sz w:val="28"/>
              </w:rPr>
            </w:pPr>
            <w:r>
              <w:rPr>
                <w:sz w:val="28"/>
              </w:rPr>
              <w:t>Двобічний</w:t>
            </w:r>
          </w:p>
        </w:tc>
        <w:tc>
          <w:tcPr>
            <w:tcW w:w="691" w:type="dxa"/>
          </w:tcPr>
          <w:p w:rsidR="00B23B94" w:rsidRDefault="003B2D3B">
            <w:pPr>
              <w:pStyle w:val="TableParagraph"/>
              <w:ind w:left="7"/>
              <w:rPr>
                <w:sz w:val="28"/>
              </w:rPr>
            </w:pPr>
            <w:r>
              <w:rPr>
                <w:sz w:val="28"/>
              </w:rPr>
              <w:t>-</w:t>
            </w:r>
          </w:p>
        </w:tc>
        <w:tc>
          <w:tcPr>
            <w:tcW w:w="720" w:type="dxa"/>
          </w:tcPr>
          <w:p w:rsidR="00B23B94" w:rsidRDefault="003B2D3B">
            <w:pPr>
              <w:pStyle w:val="TableParagraph"/>
              <w:ind w:left="8"/>
              <w:rPr>
                <w:sz w:val="28"/>
              </w:rPr>
            </w:pPr>
            <w:r>
              <w:rPr>
                <w:sz w:val="28"/>
              </w:rPr>
              <w:t>-</w:t>
            </w:r>
          </w:p>
        </w:tc>
        <w:tc>
          <w:tcPr>
            <w:tcW w:w="732" w:type="dxa"/>
          </w:tcPr>
          <w:p w:rsidR="00B23B94" w:rsidRDefault="003B2D3B">
            <w:pPr>
              <w:pStyle w:val="TableParagraph"/>
              <w:ind w:left="6"/>
              <w:rPr>
                <w:sz w:val="28"/>
              </w:rPr>
            </w:pPr>
            <w:r>
              <w:rPr>
                <w:sz w:val="28"/>
              </w:rPr>
              <w:t>-</w:t>
            </w:r>
          </w:p>
        </w:tc>
        <w:tc>
          <w:tcPr>
            <w:tcW w:w="708" w:type="dxa"/>
          </w:tcPr>
          <w:p w:rsidR="00B23B94" w:rsidRDefault="003B2D3B">
            <w:pPr>
              <w:pStyle w:val="TableParagraph"/>
              <w:ind w:left="6"/>
              <w:rPr>
                <w:sz w:val="28"/>
              </w:rPr>
            </w:pPr>
            <w:r>
              <w:rPr>
                <w:sz w:val="28"/>
              </w:rPr>
              <w:t>-</w:t>
            </w:r>
          </w:p>
        </w:tc>
        <w:tc>
          <w:tcPr>
            <w:tcW w:w="734" w:type="dxa"/>
          </w:tcPr>
          <w:p w:rsidR="00B23B94" w:rsidRDefault="003B2D3B">
            <w:pPr>
              <w:pStyle w:val="TableParagraph"/>
              <w:ind w:left="8"/>
              <w:rPr>
                <w:sz w:val="28"/>
              </w:rPr>
            </w:pPr>
            <w:r>
              <w:rPr>
                <w:sz w:val="28"/>
              </w:rPr>
              <w:t>1</w:t>
            </w:r>
          </w:p>
        </w:tc>
        <w:tc>
          <w:tcPr>
            <w:tcW w:w="706" w:type="dxa"/>
          </w:tcPr>
          <w:p w:rsidR="00B23B94" w:rsidRDefault="003B2D3B">
            <w:pPr>
              <w:pStyle w:val="TableParagraph"/>
              <w:ind w:left="178"/>
              <w:jc w:val="left"/>
              <w:rPr>
                <w:sz w:val="28"/>
              </w:rPr>
            </w:pPr>
            <w:r>
              <w:rPr>
                <w:sz w:val="28"/>
              </w:rPr>
              <w:t>5,9</w:t>
            </w:r>
          </w:p>
        </w:tc>
        <w:tc>
          <w:tcPr>
            <w:tcW w:w="734" w:type="dxa"/>
          </w:tcPr>
          <w:p w:rsidR="00B23B94" w:rsidRDefault="003B2D3B">
            <w:pPr>
              <w:pStyle w:val="TableParagraph"/>
              <w:ind w:left="14"/>
              <w:rPr>
                <w:sz w:val="28"/>
              </w:rPr>
            </w:pPr>
            <w:r>
              <w:rPr>
                <w:sz w:val="28"/>
              </w:rPr>
              <w:t>1</w:t>
            </w:r>
          </w:p>
        </w:tc>
        <w:tc>
          <w:tcPr>
            <w:tcW w:w="705" w:type="dxa"/>
          </w:tcPr>
          <w:p w:rsidR="00B23B94" w:rsidRDefault="003B2D3B">
            <w:pPr>
              <w:pStyle w:val="TableParagraph"/>
              <w:ind w:left="179"/>
              <w:jc w:val="left"/>
              <w:rPr>
                <w:sz w:val="28"/>
              </w:rPr>
            </w:pPr>
            <w:r>
              <w:rPr>
                <w:sz w:val="28"/>
              </w:rPr>
              <w:t>5,9</w:t>
            </w:r>
          </w:p>
        </w:tc>
        <w:tc>
          <w:tcPr>
            <w:tcW w:w="737" w:type="dxa"/>
          </w:tcPr>
          <w:p w:rsidR="00B23B94" w:rsidRDefault="003B2D3B">
            <w:pPr>
              <w:pStyle w:val="TableParagraph"/>
              <w:ind w:left="9"/>
              <w:rPr>
                <w:sz w:val="28"/>
              </w:rPr>
            </w:pPr>
            <w:r>
              <w:rPr>
                <w:sz w:val="28"/>
              </w:rPr>
              <w:t>-</w:t>
            </w:r>
          </w:p>
        </w:tc>
        <w:tc>
          <w:tcPr>
            <w:tcW w:w="705" w:type="dxa"/>
          </w:tcPr>
          <w:p w:rsidR="00B23B94" w:rsidRDefault="003B2D3B">
            <w:pPr>
              <w:pStyle w:val="TableParagraph"/>
              <w:ind w:left="8"/>
              <w:rPr>
                <w:sz w:val="28"/>
              </w:rPr>
            </w:pPr>
            <w:r>
              <w:rPr>
                <w:sz w:val="28"/>
              </w:rPr>
              <w:t>-</w:t>
            </w:r>
          </w:p>
        </w:tc>
      </w:tr>
      <w:tr w:rsidR="00B23B94">
        <w:trPr>
          <w:trHeight w:val="482"/>
        </w:trPr>
        <w:tc>
          <w:tcPr>
            <w:tcW w:w="2237" w:type="dxa"/>
          </w:tcPr>
          <w:p w:rsidR="00B23B94" w:rsidRDefault="003B2D3B">
            <w:pPr>
              <w:pStyle w:val="TableParagraph"/>
              <w:ind w:left="107"/>
              <w:jc w:val="left"/>
              <w:rPr>
                <w:sz w:val="28"/>
              </w:rPr>
            </w:pPr>
            <w:r>
              <w:rPr>
                <w:sz w:val="28"/>
              </w:rPr>
              <w:t>Всього</w:t>
            </w:r>
          </w:p>
        </w:tc>
        <w:tc>
          <w:tcPr>
            <w:tcW w:w="691" w:type="dxa"/>
          </w:tcPr>
          <w:p w:rsidR="00B23B94" w:rsidRDefault="003B2D3B">
            <w:pPr>
              <w:pStyle w:val="TableParagraph"/>
              <w:ind w:left="11"/>
              <w:rPr>
                <w:sz w:val="28"/>
              </w:rPr>
            </w:pPr>
            <w:r>
              <w:rPr>
                <w:sz w:val="28"/>
              </w:rPr>
              <w:t>3</w:t>
            </w:r>
          </w:p>
        </w:tc>
        <w:tc>
          <w:tcPr>
            <w:tcW w:w="720" w:type="dxa"/>
          </w:tcPr>
          <w:p w:rsidR="00B23B94" w:rsidRDefault="003B2D3B">
            <w:pPr>
              <w:pStyle w:val="TableParagraph"/>
              <w:ind w:left="95" w:right="84"/>
              <w:rPr>
                <w:sz w:val="28"/>
              </w:rPr>
            </w:pPr>
            <w:r>
              <w:rPr>
                <w:sz w:val="28"/>
              </w:rPr>
              <w:t>17,6</w:t>
            </w:r>
          </w:p>
        </w:tc>
        <w:tc>
          <w:tcPr>
            <w:tcW w:w="732" w:type="dxa"/>
          </w:tcPr>
          <w:p w:rsidR="00B23B94" w:rsidRDefault="003B2D3B">
            <w:pPr>
              <w:pStyle w:val="TableParagraph"/>
              <w:ind w:left="10"/>
              <w:rPr>
                <w:sz w:val="28"/>
              </w:rPr>
            </w:pPr>
            <w:r>
              <w:rPr>
                <w:sz w:val="28"/>
              </w:rPr>
              <w:t>3</w:t>
            </w:r>
          </w:p>
        </w:tc>
        <w:tc>
          <w:tcPr>
            <w:tcW w:w="708" w:type="dxa"/>
          </w:tcPr>
          <w:p w:rsidR="00B23B94" w:rsidRDefault="003B2D3B">
            <w:pPr>
              <w:pStyle w:val="TableParagraph"/>
              <w:ind w:left="108"/>
              <w:jc w:val="left"/>
              <w:rPr>
                <w:sz w:val="28"/>
              </w:rPr>
            </w:pPr>
            <w:r>
              <w:rPr>
                <w:sz w:val="28"/>
              </w:rPr>
              <w:t>17,6</w:t>
            </w:r>
          </w:p>
        </w:tc>
        <w:tc>
          <w:tcPr>
            <w:tcW w:w="734" w:type="dxa"/>
          </w:tcPr>
          <w:p w:rsidR="00B23B94" w:rsidRDefault="003B2D3B">
            <w:pPr>
              <w:pStyle w:val="TableParagraph"/>
              <w:ind w:left="8"/>
              <w:rPr>
                <w:sz w:val="28"/>
              </w:rPr>
            </w:pPr>
            <w:r>
              <w:rPr>
                <w:sz w:val="28"/>
              </w:rPr>
              <w:t>3</w:t>
            </w:r>
          </w:p>
        </w:tc>
        <w:tc>
          <w:tcPr>
            <w:tcW w:w="706" w:type="dxa"/>
          </w:tcPr>
          <w:p w:rsidR="00B23B94" w:rsidRDefault="003B2D3B">
            <w:pPr>
              <w:pStyle w:val="TableParagraph"/>
              <w:ind w:left="109"/>
              <w:jc w:val="left"/>
              <w:rPr>
                <w:sz w:val="28"/>
              </w:rPr>
            </w:pPr>
            <w:r>
              <w:rPr>
                <w:sz w:val="28"/>
              </w:rPr>
              <w:t>17,6</w:t>
            </w:r>
          </w:p>
        </w:tc>
        <w:tc>
          <w:tcPr>
            <w:tcW w:w="734" w:type="dxa"/>
          </w:tcPr>
          <w:p w:rsidR="00B23B94" w:rsidRDefault="003B2D3B">
            <w:pPr>
              <w:pStyle w:val="TableParagraph"/>
              <w:ind w:left="14"/>
              <w:rPr>
                <w:sz w:val="28"/>
              </w:rPr>
            </w:pPr>
            <w:r>
              <w:rPr>
                <w:sz w:val="28"/>
              </w:rPr>
              <w:t>4</w:t>
            </w:r>
          </w:p>
        </w:tc>
        <w:tc>
          <w:tcPr>
            <w:tcW w:w="705" w:type="dxa"/>
          </w:tcPr>
          <w:p w:rsidR="00B23B94" w:rsidRDefault="003B2D3B">
            <w:pPr>
              <w:pStyle w:val="TableParagraph"/>
              <w:ind w:left="109"/>
              <w:jc w:val="left"/>
              <w:rPr>
                <w:sz w:val="28"/>
              </w:rPr>
            </w:pPr>
            <w:r>
              <w:rPr>
                <w:sz w:val="28"/>
              </w:rPr>
              <w:t>23,5</w:t>
            </w:r>
          </w:p>
        </w:tc>
        <w:tc>
          <w:tcPr>
            <w:tcW w:w="737" w:type="dxa"/>
          </w:tcPr>
          <w:p w:rsidR="00B23B94" w:rsidRDefault="003B2D3B">
            <w:pPr>
              <w:pStyle w:val="TableParagraph"/>
              <w:ind w:left="13"/>
              <w:rPr>
                <w:sz w:val="28"/>
              </w:rPr>
            </w:pPr>
            <w:r>
              <w:rPr>
                <w:sz w:val="28"/>
              </w:rPr>
              <w:t>2</w:t>
            </w:r>
          </w:p>
        </w:tc>
        <w:tc>
          <w:tcPr>
            <w:tcW w:w="705" w:type="dxa"/>
          </w:tcPr>
          <w:p w:rsidR="00B23B94" w:rsidRDefault="003B2D3B">
            <w:pPr>
              <w:pStyle w:val="TableParagraph"/>
              <w:ind w:left="108"/>
              <w:jc w:val="left"/>
              <w:rPr>
                <w:sz w:val="28"/>
              </w:rPr>
            </w:pPr>
            <w:r>
              <w:rPr>
                <w:sz w:val="28"/>
              </w:rPr>
              <w:t>11,8</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
        <w:ind w:left="0"/>
        <w:jc w:val="left"/>
        <w:rPr>
          <w:i/>
          <w:sz w:val="26"/>
        </w:rPr>
      </w:pPr>
    </w:p>
    <w:p w:rsidR="00B23B94" w:rsidRDefault="003B2D3B">
      <w:pPr>
        <w:pStyle w:val="a3"/>
        <w:spacing w:line="360" w:lineRule="auto"/>
        <w:ind w:left="542" w:right="784" w:firstLine="707"/>
      </w:pPr>
      <w:r>
        <w:t>За даними комп’ютерної томографії з внутрішньовенним контрастуванням на 12-14 добу інфільтрація парапанкреатичної клітковини зберігалася у 2 (11,8%) пацієнтів, рідинні скупчення виявлено у 6 (35,3%) хворих, наявність тканинного компоненту (секвестрів) встановлено у 9 (52,9%) з них. Поширеність парапанкреатичних локальних ускладнень на одну ЗППН діагностовано у 3 (17,6%) пацієнтів, на 2 ЗППН – у 7 (41,2%),</w:t>
      </w:r>
      <w:r>
        <w:rPr>
          <w:spacing w:val="49"/>
        </w:rPr>
        <w:t xml:space="preserve"> </w:t>
      </w:r>
      <w:r>
        <w:t>3-4</w:t>
      </w:r>
    </w:p>
    <w:p w:rsidR="00B23B94" w:rsidRDefault="003B2D3B">
      <w:pPr>
        <w:pStyle w:val="a3"/>
        <w:spacing w:line="360" w:lineRule="auto"/>
        <w:ind w:left="542" w:right="785"/>
      </w:pPr>
      <w:r>
        <w:t>ЗППН – у 5 (29,4%), 5 та більше – у 2 (11,8%) пацієнтів з гострим тяжким панкреатитом. Гідроторакс виявлено у 4 хворих (23,5%). З них двобічний процес спостерігався у 1 (5,9%) хворого, правобічний – у 1 (5,9%),</w:t>
      </w:r>
      <w:r>
        <w:rPr>
          <w:spacing w:val="-23"/>
        </w:rPr>
        <w:t xml:space="preserve"> </w:t>
      </w:r>
      <w:r>
        <w:t>лівобічний</w:t>
      </w:r>
    </w:p>
    <w:p w:rsidR="00B23B94" w:rsidRDefault="003B2D3B">
      <w:pPr>
        <w:pStyle w:val="a3"/>
        <w:ind w:left="542"/>
      </w:pPr>
      <w:r>
        <w:t>– у 2 (11,8%) пацієнтів з гострим тяжким панкреатитом.</w:t>
      </w:r>
    </w:p>
    <w:p w:rsidR="00B23B94" w:rsidRDefault="003B2D3B">
      <w:pPr>
        <w:pStyle w:val="a3"/>
        <w:spacing w:before="161" w:line="360" w:lineRule="auto"/>
        <w:ind w:left="542" w:right="785" w:firstLine="707"/>
      </w:pPr>
      <w:r>
        <w:t>Тяжкість стану за шкалою BISAP через на 12-14 добу оцінено в 2,7±0,28 бали (від 2 до 5 балів). Ознаки органної дисфункції виявлено у 7 (41,2%) хворих. При цьому персистуюча органна дисфункція зберігалася у 3 (17,6%) хворих. Друга хвиля ПОД розвинулася у 4 (23,5%) пацієнтів, що була пов’язана з розвитком інфекційно-септичних ускладнень. (табл.</w:t>
      </w:r>
      <w:r>
        <w:rPr>
          <w:spacing w:val="-6"/>
        </w:rPr>
        <w:t xml:space="preserve"> </w:t>
      </w:r>
      <w:r>
        <w:t>4.4)</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509"/>
        <w:rPr>
          <w:i/>
          <w:sz w:val="28"/>
        </w:rPr>
      </w:pPr>
      <w:r>
        <w:rPr>
          <w:i/>
          <w:sz w:val="28"/>
        </w:rPr>
        <w:lastRenderedPageBreak/>
        <w:t>Таблиця 4.4</w:t>
      </w:r>
    </w:p>
    <w:p w:rsidR="00B23B94" w:rsidRDefault="003B2D3B">
      <w:pPr>
        <w:pStyle w:val="1"/>
        <w:spacing w:before="164" w:line="360" w:lineRule="auto"/>
        <w:ind w:left="4752" w:right="1680" w:hanging="2600"/>
      </w:pPr>
      <w:r>
        <w:t>Динаміка тяжкості хворих у пацієнтів основної групи (підгрупа 2а)</w:t>
      </w:r>
    </w:p>
    <w:p w:rsidR="00B23B94" w:rsidRDefault="00B23B94">
      <w:pPr>
        <w:pStyle w:val="a3"/>
        <w:ind w:left="0"/>
        <w:jc w:val="left"/>
        <w:rPr>
          <w:b/>
          <w:sz w:val="20"/>
        </w:rPr>
      </w:pPr>
    </w:p>
    <w:p w:rsidR="00B23B94" w:rsidRDefault="00B23B94">
      <w:pPr>
        <w:pStyle w:val="a3"/>
        <w:spacing w:before="9"/>
        <w:ind w:left="0"/>
        <w:jc w:val="left"/>
        <w:rPr>
          <w:b/>
          <w:sz w:val="21"/>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1"/>
        <w:gridCol w:w="1210"/>
        <w:gridCol w:w="1210"/>
        <w:gridCol w:w="1213"/>
        <w:gridCol w:w="1210"/>
        <w:gridCol w:w="1210"/>
      </w:tblGrid>
      <w:tr w:rsidR="00B23B94">
        <w:trPr>
          <w:trHeight w:val="484"/>
        </w:trPr>
        <w:tc>
          <w:tcPr>
            <w:tcW w:w="3521" w:type="dxa"/>
            <w:vMerge w:val="restart"/>
          </w:tcPr>
          <w:p w:rsidR="00B23B94" w:rsidRDefault="00B23B94">
            <w:pPr>
              <w:pStyle w:val="TableParagraph"/>
              <w:jc w:val="left"/>
              <w:rPr>
                <w:sz w:val="28"/>
              </w:rPr>
            </w:pPr>
          </w:p>
        </w:tc>
        <w:tc>
          <w:tcPr>
            <w:tcW w:w="6053" w:type="dxa"/>
            <w:gridSpan w:val="5"/>
          </w:tcPr>
          <w:p w:rsidR="00B23B94" w:rsidRDefault="003B2D3B">
            <w:pPr>
              <w:pStyle w:val="TableParagraph"/>
              <w:spacing w:before="2"/>
              <w:ind w:left="978" w:right="968"/>
              <w:rPr>
                <w:sz w:val="28"/>
              </w:rPr>
            </w:pPr>
            <w:r>
              <w:rPr>
                <w:sz w:val="28"/>
              </w:rPr>
              <w:t>Доба*</w:t>
            </w:r>
          </w:p>
        </w:tc>
      </w:tr>
      <w:tr w:rsidR="00B23B94">
        <w:trPr>
          <w:trHeight w:val="482"/>
        </w:trPr>
        <w:tc>
          <w:tcPr>
            <w:tcW w:w="3521" w:type="dxa"/>
            <w:vMerge/>
            <w:tcBorders>
              <w:top w:val="nil"/>
            </w:tcBorders>
          </w:tcPr>
          <w:p w:rsidR="00B23B94" w:rsidRDefault="00B23B94">
            <w:pPr>
              <w:rPr>
                <w:sz w:val="2"/>
                <w:szCs w:val="2"/>
              </w:rPr>
            </w:pPr>
          </w:p>
        </w:tc>
        <w:tc>
          <w:tcPr>
            <w:tcW w:w="1210" w:type="dxa"/>
          </w:tcPr>
          <w:p w:rsidR="00B23B94" w:rsidRDefault="003B2D3B">
            <w:pPr>
              <w:pStyle w:val="TableParagraph"/>
              <w:ind w:left="11"/>
              <w:rPr>
                <w:sz w:val="28"/>
              </w:rPr>
            </w:pPr>
            <w:r>
              <w:rPr>
                <w:sz w:val="28"/>
              </w:rPr>
              <w:t>1</w:t>
            </w:r>
          </w:p>
        </w:tc>
        <w:tc>
          <w:tcPr>
            <w:tcW w:w="1210" w:type="dxa"/>
          </w:tcPr>
          <w:p w:rsidR="00B23B94" w:rsidRDefault="003B2D3B">
            <w:pPr>
              <w:pStyle w:val="TableParagraph"/>
              <w:ind w:left="11"/>
              <w:rPr>
                <w:sz w:val="28"/>
              </w:rPr>
            </w:pPr>
            <w:r>
              <w:rPr>
                <w:sz w:val="28"/>
              </w:rPr>
              <w:t>2</w:t>
            </w:r>
          </w:p>
        </w:tc>
        <w:tc>
          <w:tcPr>
            <w:tcW w:w="1213" w:type="dxa"/>
          </w:tcPr>
          <w:p w:rsidR="00B23B94" w:rsidRDefault="003B2D3B">
            <w:pPr>
              <w:pStyle w:val="TableParagraph"/>
              <w:ind w:left="87" w:right="79"/>
              <w:rPr>
                <w:sz w:val="28"/>
              </w:rPr>
            </w:pPr>
            <w:r>
              <w:rPr>
                <w:sz w:val="28"/>
              </w:rPr>
              <w:t>6-7</w:t>
            </w:r>
          </w:p>
        </w:tc>
        <w:tc>
          <w:tcPr>
            <w:tcW w:w="1210" w:type="dxa"/>
          </w:tcPr>
          <w:p w:rsidR="00B23B94" w:rsidRDefault="003B2D3B">
            <w:pPr>
              <w:pStyle w:val="TableParagraph"/>
              <w:ind w:left="81" w:right="78"/>
              <w:rPr>
                <w:sz w:val="28"/>
              </w:rPr>
            </w:pPr>
            <w:r>
              <w:rPr>
                <w:sz w:val="28"/>
              </w:rPr>
              <w:t>12-14</w:t>
            </w:r>
          </w:p>
        </w:tc>
        <w:tc>
          <w:tcPr>
            <w:tcW w:w="1210" w:type="dxa"/>
          </w:tcPr>
          <w:p w:rsidR="00B23B94" w:rsidRDefault="003B2D3B">
            <w:pPr>
              <w:pStyle w:val="TableParagraph"/>
              <w:ind w:left="81" w:right="78"/>
              <w:rPr>
                <w:sz w:val="28"/>
              </w:rPr>
            </w:pPr>
            <w:r>
              <w:rPr>
                <w:sz w:val="28"/>
              </w:rPr>
              <w:t>20-21</w:t>
            </w:r>
          </w:p>
        </w:tc>
      </w:tr>
      <w:tr w:rsidR="00B23B94">
        <w:trPr>
          <w:trHeight w:val="484"/>
        </w:trPr>
        <w:tc>
          <w:tcPr>
            <w:tcW w:w="3521" w:type="dxa"/>
          </w:tcPr>
          <w:p w:rsidR="00B23B94" w:rsidRDefault="003B2D3B">
            <w:pPr>
              <w:pStyle w:val="TableParagraph"/>
              <w:ind w:left="1014"/>
              <w:jc w:val="left"/>
              <w:rPr>
                <w:sz w:val="28"/>
              </w:rPr>
            </w:pPr>
            <w:r>
              <w:rPr>
                <w:sz w:val="28"/>
              </w:rPr>
              <w:t>BISAP, бали</w:t>
            </w:r>
          </w:p>
        </w:tc>
        <w:tc>
          <w:tcPr>
            <w:tcW w:w="1210" w:type="dxa"/>
          </w:tcPr>
          <w:p w:rsidR="00B23B94" w:rsidRDefault="003B2D3B">
            <w:pPr>
              <w:pStyle w:val="TableParagraph"/>
              <w:ind w:left="85" w:right="75"/>
              <w:rPr>
                <w:sz w:val="28"/>
              </w:rPr>
            </w:pPr>
            <w:r>
              <w:rPr>
                <w:sz w:val="28"/>
              </w:rPr>
              <w:t>3,1±0,30</w:t>
            </w:r>
          </w:p>
        </w:tc>
        <w:tc>
          <w:tcPr>
            <w:tcW w:w="1210" w:type="dxa"/>
          </w:tcPr>
          <w:p w:rsidR="00B23B94" w:rsidRDefault="003B2D3B">
            <w:pPr>
              <w:pStyle w:val="TableParagraph"/>
              <w:ind w:left="85" w:right="75"/>
              <w:rPr>
                <w:sz w:val="28"/>
              </w:rPr>
            </w:pPr>
            <w:r>
              <w:rPr>
                <w:sz w:val="28"/>
              </w:rPr>
              <w:t>2,9±0,29</w:t>
            </w:r>
          </w:p>
        </w:tc>
        <w:tc>
          <w:tcPr>
            <w:tcW w:w="1213" w:type="dxa"/>
          </w:tcPr>
          <w:p w:rsidR="00B23B94" w:rsidRDefault="003B2D3B">
            <w:pPr>
              <w:pStyle w:val="TableParagraph"/>
              <w:ind w:left="87" w:right="81"/>
              <w:rPr>
                <w:sz w:val="28"/>
              </w:rPr>
            </w:pPr>
            <w:r>
              <w:rPr>
                <w:sz w:val="28"/>
              </w:rPr>
              <w:t>2,5±0,26</w:t>
            </w:r>
          </w:p>
        </w:tc>
        <w:tc>
          <w:tcPr>
            <w:tcW w:w="1210" w:type="dxa"/>
          </w:tcPr>
          <w:p w:rsidR="00B23B94" w:rsidRDefault="003B2D3B">
            <w:pPr>
              <w:pStyle w:val="TableParagraph"/>
              <w:ind w:left="82" w:right="78"/>
              <w:rPr>
                <w:sz w:val="28"/>
              </w:rPr>
            </w:pPr>
            <w:r>
              <w:rPr>
                <w:sz w:val="28"/>
              </w:rPr>
              <w:t>2,7±0,28</w:t>
            </w:r>
          </w:p>
        </w:tc>
        <w:tc>
          <w:tcPr>
            <w:tcW w:w="1210" w:type="dxa"/>
          </w:tcPr>
          <w:p w:rsidR="00B23B94" w:rsidRDefault="003B2D3B">
            <w:pPr>
              <w:pStyle w:val="TableParagraph"/>
              <w:ind w:left="82" w:right="78"/>
              <w:rPr>
                <w:sz w:val="28"/>
              </w:rPr>
            </w:pPr>
            <w:r>
              <w:rPr>
                <w:sz w:val="28"/>
              </w:rPr>
              <w:t>2,7±0,28</w:t>
            </w:r>
          </w:p>
        </w:tc>
      </w:tr>
      <w:tr w:rsidR="00B23B94">
        <w:trPr>
          <w:trHeight w:val="1449"/>
        </w:trPr>
        <w:tc>
          <w:tcPr>
            <w:tcW w:w="3521" w:type="dxa"/>
          </w:tcPr>
          <w:p w:rsidR="00B23B94" w:rsidRDefault="003B2D3B">
            <w:pPr>
              <w:pStyle w:val="TableParagraph"/>
              <w:spacing w:line="360" w:lineRule="auto"/>
              <w:ind w:left="253" w:right="244"/>
              <w:rPr>
                <w:sz w:val="28"/>
              </w:rPr>
            </w:pPr>
            <w:r>
              <w:rPr>
                <w:sz w:val="28"/>
              </w:rPr>
              <w:t>Marshall (≥2балів у одній чи декількох системах із</w:t>
            </w:r>
          </w:p>
          <w:p w:rsidR="00B23B94" w:rsidRDefault="003B2D3B">
            <w:pPr>
              <w:pStyle w:val="TableParagraph"/>
              <w:tabs>
                <w:tab w:val="left" w:pos="1053"/>
              </w:tabs>
              <w:spacing w:line="321" w:lineRule="exact"/>
              <w:ind w:left="10"/>
              <w:rPr>
                <w:sz w:val="28"/>
              </w:rPr>
            </w:pPr>
            <w:r>
              <w:rPr>
                <w:sz w:val="28"/>
              </w:rPr>
              <w:t>трьох),</w:t>
            </w:r>
            <w:r>
              <w:rPr>
                <w:sz w:val="28"/>
              </w:rPr>
              <w:tab/>
              <w:t>абс.</w:t>
            </w:r>
            <w:r>
              <w:rPr>
                <w:spacing w:val="-1"/>
                <w:sz w:val="28"/>
              </w:rPr>
              <w:t xml:space="preserve"> </w:t>
            </w:r>
            <w:r>
              <w:rPr>
                <w:sz w:val="28"/>
              </w:rPr>
              <w:t>(%)</w:t>
            </w:r>
          </w:p>
        </w:tc>
        <w:tc>
          <w:tcPr>
            <w:tcW w:w="1210" w:type="dxa"/>
          </w:tcPr>
          <w:p w:rsidR="00B23B94" w:rsidRDefault="003B2D3B">
            <w:pPr>
              <w:pStyle w:val="TableParagraph"/>
              <w:spacing w:before="240"/>
              <w:ind w:left="85" w:right="75"/>
              <w:rPr>
                <w:sz w:val="28"/>
              </w:rPr>
            </w:pPr>
            <w:r>
              <w:rPr>
                <w:sz w:val="28"/>
              </w:rPr>
              <w:t>11</w:t>
            </w:r>
          </w:p>
          <w:p w:rsidR="00B23B94" w:rsidRDefault="003B2D3B">
            <w:pPr>
              <w:pStyle w:val="TableParagraph"/>
              <w:spacing w:before="163"/>
              <w:ind w:left="85" w:right="74"/>
              <w:rPr>
                <w:sz w:val="28"/>
              </w:rPr>
            </w:pPr>
            <w:r>
              <w:rPr>
                <w:sz w:val="28"/>
              </w:rPr>
              <w:t>(64,7)</w:t>
            </w:r>
          </w:p>
        </w:tc>
        <w:tc>
          <w:tcPr>
            <w:tcW w:w="1210" w:type="dxa"/>
          </w:tcPr>
          <w:p w:rsidR="00B23B94" w:rsidRDefault="003B2D3B">
            <w:pPr>
              <w:pStyle w:val="TableParagraph"/>
              <w:spacing w:before="240"/>
              <w:ind w:left="6"/>
              <w:rPr>
                <w:sz w:val="28"/>
              </w:rPr>
            </w:pPr>
            <w:r>
              <w:rPr>
                <w:sz w:val="28"/>
              </w:rPr>
              <w:t>8</w:t>
            </w:r>
          </w:p>
          <w:p w:rsidR="00B23B94" w:rsidRDefault="003B2D3B">
            <w:pPr>
              <w:pStyle w:val="TableParagraph"/>
              <w:spacing w:before="163"/>
              <w:ind w:left="85" w:right="74"/>
              <w:rPr>
                <w:sz w:val="28"/>
              </w:rPr>
            </w:pPr>
            <w:r>
              <w:rPr>
                <w:sz w:val="28"/>
              </w:rPr>
              <w:t>(47,1)</w:t>
            </w:r>
          </w:p>
        </w:tc>
        <w:tc>
          <w:tcPr>
            <w:tcW w:w="1213" w:type="dxa"/>
          </w:tcPr>
          <w:p w:rsidR="00B23B94" w:rsidRDefault="003B2D3B">
            <w:pPr>
              <w:pStyle w:val="TableParagraph"/>
              <w:spacing w:before="240"/>
              <w:ind w:left="3"/>
              <w:rPr>
                <w:sz w:val="28"/>
              </w:rPr>
            </w:pPr>
            <w:r>
              <w:rPr>
                <w:sz w:val="28"/>
              </w:rPr>
              <w:t>3</w:t>
            </w:r>
          </w:p>
          <w:p w:rsidR="00B23B94" w:rsidRDefault="003B2D3B">
            <w:pPr>
              <w:pStyle w:val="TableParagraph"/>
              <w:spacing w:before="163"/>
              <w:ind w:left="87" w:right="79"/>
              <w:rPr>
                <w:sz w:val="28"/>
              </w:rPr>
            </w:pPr>
            <w:r>
              <w:rPr>
                <w:sz w:val="28"/>
              </w:rPr>
              <w:t>(17,6)</w:t>
            </w:r>
          </w:p>
        </w:tc>
        <w:tc>
          <w:tcPr>
            <w:tcW w:w="1210" w:type="dxa"/>
          </w:tcPr>
          <w:p w:rsidR="00B23B94" w:rsidRDefault="003B2D3B">
            <w:pPr>
              <w:pStyle w:val="TableParagraph"/>
              <w:spacing w:before="240"/>
              <w:rPr>
                <w:sz w:val="28"/>
              </w:rPr>
            </w:pPr>
            <w:r>
              <w:rPr>
                <w:sz w:val="28"/>
              </w:rPr>
              <w:t>7</w:t>
            </w:r>
          </w:p>
          <w:p w:rsidR="00B23B94" w:rsidRDefault="003B2D3B">
            <w:pPr>
              <w:pStyle w:val="TableParagraph"/>
              <w:spacing w:before="163"/>
              <w:ind w:left="82" w:right="78"/>
              <w:rPr>
                <w:sz w:val="28"/>
              </w:rPr>
            </w:pPr>
            <w:r>
              <w:rPr>
                <w:sz w:val="28"/>
              </w:rPr>
              <w:t>(41,2)</w:t>
            </w:r>
          </w:p>
        </w:tc>
        <w:tc>
          <w:tcPr>
            <w:tcW w:w="1210" w:type="dxa"/>
          </w:tcPr>
          <w:p w:rsidR="00B23B94" w:rsidRDefault="003B2D3B">
            <w:pPr>
              <w:pStyle w:val="TableParagraph"/>
              <w:spacing w:before="240"/>
              <w:ind w:left="4"/>
              <w:rPr>
                <w:sz w:val="28"/>
              </w:rPr>
            </w:pPr>
            <w:r>
              <w:rPr>
                <w:sz w:val="28"/>
              </w:rPr>
              <w:t>4</w:t>
            </w:r>
          </w:p>
          <w:p w:rsidR="00B23B94" w:rsidRDefault="003B2D3B">
            <w:pPr>
              <w:pStyle w:val="TableParagraph"/>
              <w:spacing w:before="163"/>
              <w:ind w:left="85" w:right="14"/>
              <w:rPr>
                <w:sz w:val="28"/>
              </w:rPr>
            </w:pPr>
            <w:r>
              <w:rPr>
                <w:sz w:val="28"/>
              </w:rPr>
              <w:t>(23,5)</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0"/>
        <w:ind w:left="0"/>
        <w:jc w:val="left"/>
        <w:rPr>
          <w:i/>
          <w:sz w:val="25"/>
        </w:rPr>
      </w:pPr>
    </w:p>
    <w:p w:rsidR="00B23B94" w:rsidRDefault="003B2D3B">
      <w:pPr>
        <w:pStyle w:val="a3"/>
        <w:spacing w:line="360" w:lineRule="auto"/>
        <w:ind w:left="542" w:right="783" w:firstLine="707"/>
      </w:pPr>
      <w:r>
        <w:t>На 20-21 добу, за даними ультразвукового обстеження/комп’ютерної томографії з внутрішньовенним контрастуванням, локалізація парапанкреатичних ускладнень в 1 ЗППН виявлено у 3 (17,6%) пацієнтів, на  2</w:t>
      </w:r>
      <w:r>
        <w:rPr>
          <w:spacing w:val="16"/>
        </w:rPr>
        <w:t xml:space="preserve"> </w:t>
      </w:r>
      <w:r>
        <w:t>ЗППН</w:t>
      </w:r>
      <w:r>
        <w:rPr>
          <w:spacing w:val="15"/>
        </w:rPr>
        <w:t xml:space="preserve"> </w:t>
      </w:r>
      <w:r>
        <w:t>–</w:t>
      </w:r>
      <w:r>
        <w:rPr>
          <w:spacing w:val="17"/>
        </w:rPr>
        <w:t xml:space="preserve"> </w:t>
      </w:r>
      <w:r>
        <w:t>7</w:t>
      </w:r>
      <w:r>
        <w:rPr>
          <w:spacing w:val="15"/>
        </w:rPr>
        <w:t xml:space="preserve"> </w:t>
      </w:r>
      <w:r>
        <w:t>(41,2%),</w:t>
      </w:r>
      <w:r>
        <w:rPr>
          <w:spacing w:val="15"/>
        </w:rPr>
        <w:t xml:space="preserve"> </w:t>
      </w:r>
      <w:r>
        <w:t>3-4</w:t>
      </w:r>
      <w:r>
        <w:rPr>
          <w:spacing w:val="17"/>
        </w:rPr>
        <w:t xml:space="preserve"> </w:t>
      </w:r>
      <w:r>
        <w:t>ЗППН</w:t>
      </w:r>
      <w:r>
        <w:rPr>
          <w:spacing w:val="14"/>
        </w:rPr>
        <w:t xml:space="preserve"> </w:t>
      </w:r>
      <w:r>
        <w:t>–</w:t>
      </w:r>
      <w:r>
        <w:rPr>
          <w:spacing w:val="17"/>
        </w:rPr>
        <w:t xml:space="preserve"> </w:t>
      </w:r>
      <w:r>
        <w:t>5</w:t>
      </w:r>
      <w:r>
        <w:rPr>
          <w:spacing w:val="14"/>
        </w:rPr>
        <w:t xml:space="preserve"> </w:t>
      </w:r>
      <w:r>
        <w:t>(29,4%),</w:t>
      </w:r>
      <w:r>
        <w:rPr>
          <w:spacing w:val="14"/>
        </w:rPr>
        <w:t xml:space="preserve"> </w:t>
      </w:r>
      <w:r>
        <w:t>5</w:t>
      </w:r>
      <w:r>
        <w:rPr>
          <w:spacing w:val="16"/>
        </w:rPr>
        <w:t xml:space="preserve"> </w:t>
      </w:r>
      <w:r>
        <w:t>та</w:t>
      </w:r>
      <w:r>
        <w:rPr>
          <w:spacing w:val="15"/>
        </w:rPr>
        <w:t xml:space="preserve"> </w:t>
      </w:r>
      <w:r>
        <w:t>більше</w:t>
      </w:r>
      <w:r>
        <w:rPr>
          <w:spacing w:val="18"/>
        </w:rPr>
        <w:t xml:space="preserve"> </w:t>
      </w:r>
      <w:r>
        <w:t>–</w:t>
      </w:r>
      <w:r>
        <w:rPr>
          <w:spacing w:val="17"/>
        </w:rPr>
        <w:t xml:space="preserve"> </w:t>
      </w:r>
      <w:r>
        <w:t>2</w:t>
      </w:r>
      <w:r>
        <w:rPr>
          <w:spacing w:val="16"/>
        </w:rPr>
        <w:t xml:space="preserve"> </w:t>
      </w:r>
      <w:r>
        <w:t>(11,8%).</w:t>
      </w:r>
    </w:p>
    <w:p w:rsidR="00B23B94" w:rsidRDefault="003B2D3B">
      <w:pPr>
        <w:pStyle w:val="a3"/>
        <w:spacing w:line="360" w:lineRule="auto"/>
        <w:ind w:left="542" w:right="784"/>
      </w:pPr>
      <w:r>
        <w:t>Відмежовані рідинні скупчення виявлено у 4 (23,5%) пацієнтів, рідинні скупчення з секвестрами діагностовано у 13 (76,5%) хворих. Лівобічний гідроторакс виявлено у 1 (5,9%) пацієнта, правобічний – у 1 (5,9%) пацієнта, двобічного процесу не спостерігалося.</w:t>
      </w:r>
    </w:p>
    <w:p w:rsidR="00B23B94" w:rsidRDefault="003B2D3B">
      <w:pPr>
        <w:pStyle w:val="a3"/>
        <w:spacing w:before="1" w:line="360" w:lineRule="auto"/>
        <w:ind w:left="542" w:right="785" w:firstLine="707"/>
      </w:pPr>
      <w:r>
        <w:t>Тяжкість стану за шкалою BISAP через на 20-21 добу оцінено в 2,7±0,28 бали (від 2 до 4 балів). Ознаки органної недостатності залишалися у 4 (23,5%)</w:t>
      </w:r>
      <w:r>
        <w:rPr>
          <w:spacing w:val="-4"/>
        </w:rPr>
        <w:t xml:space="preserve"> </w:t>
      </w:r>
      <w:r>
        <w:t>пацієнтів.</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spacing w:before="89" w:line="360" w:lineRule="auto"/>
        <w:ind w:left="666" w:right="773" w:firstLine="7842"/>
      </w:pPr>
      <w:r>
        <w:rPr>
          <w:b w:val="0"/>
          <w:i/>
        </w:rPr>
        <w:lastRenderedPageBreak/>
        <w:t xml:space="preserve">Таблиця 4.5 </w:t>
      </w:r>
      <w:r>
        <w:t>Тривалість ПОД у пацієнтів основної групи (підгрупа 2а, n=17) з ГТП в залежності від поширеності локальних парапанкреатичних ускладнень</w:t>
      </w:r>
    </w:p>
    <w:p w:rsidR="00B23B94" w:rsidRDefault="00B23B94">
      <w:pPr>
        <w:pStyle w:val="a3"/>
        <w:ind w:left="0"/>
        <w:jc w:val="left"/>
        <w:rPr>
          <w:b/>
          <w:sz w:val="20"/>
        </w:rPr>
      </w:pPr>
    </w:p>
    <w:p w:rsidR="00B23B94" w:rsidRDefault="00B23B94">
      <w:pPr>
        <w:pStyle w:val="a3"/>
        <w:spacing w:before="1"/>
        <w:ind w:left="0"/>
        <w:jc w:val="left"/>
        <w:rPr>
          <w:b/>
          <w:sz w:val="22"/>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54"/>
        <w:gridCol w:w="1476"/>
        <w:gridCol w:w="1068"/>
        <w:gridCol w:w="1070"/>
        <w:gridCol w:w="1068"/>
        <w:gridCol w:w="1071"/>
        <w:gridCol w:w="1068"/>
        <w:gridCol w:w="1071"/>
      </w:tblGrid>
      <w:tr w:rsidR="00B23B94">
        <w:trPr>
          <w:trHeight w:val="323"/>
        </w:trPr>
        <w:tc>
          <w:tcPr>
            <w:tcW w:w="1454" w:type="dxa"/>
            <w:vMerge w:val="restart"/>
          </w:tcPr>
          <w:p w:rsidR="00B23B94" w:rsidRDefault="003B2D3B">
            <w:pPr>
              <w:pStyle w:val="TableParagraph"/>
              <w:spacing w:before="242"/>
              <w:ind w:left="352" w:right="139" w:hanging="188"/>
              <w:jc w:val="left"/>
              <w:rPr>
                <w:sz w:val="28"/>
              </w:rPr>
            </w:pPr>
            <w:r>
              <w:rPr>
                <w:sz w:val="28"/>
              </w:rPr>
              <w:t>Кількість ЗППН</w:t>
            </w:r>
          </w:p>
        </w:tc>
        <w:tc>
          <w:tcPr>
            <w:tcW w:w="1476" w:type="dxa"/>
            <w:vMerge w:val="restart"/>
          </w:tcPr>
          <w:p w:rsidR="00B23B94" w:rsidRDefault="003B2D3B">
            <w:pPr>
              <w:pStyle w:val="TableParagraph"/>
              <w:spacing w:before="91"/>
              <w:ind w:left="148" w:right="139"/>
              <w:rPr>
                <w:sz w:val="26"/>
              </w:rPr>
            </w:pPr>
            <w:r>
              <w:rPr>
                <w:sz w:val="28"/>
              </w:rPr>
              <w:t xml:space="preserve">Кількість пацієнтів, </w:t>
            </w:r>
            <w:r>
              <w:rPr>
                <w:sz w:val="26"/>
              </w:rPr>
              <w:t>абс</w:t>
            </w:r>
          </w:p>
        </w:tc>
        <w:tc>
          <w:tcPr>
            <w:tcW w:w="6416" w:type="dxa"/>
            <w:gridSpan w:val="6"/>
          </w:tcPr>
          <w:p w:rsidR="00B23B94" w:rsidRDefault="003B2D3B">
            <w:pPr>
              <w:pStyle w:val="TableParagraph"/>
              <w:spacing w:before="2" w:line="301" w:lineRule="exact"/>
              <w:ind w:left="2105" w:right="2094"/>
              <w:rPr>
                <w:sz w:val="28"/>
              </w:rPr>
            </w:pPr>
            <w:r>
              <w:rPr>
                <w:sz w:val="28"/>
              </w:rPr>
              <w:t>Тривалість ПОН</w:t>
            </w:r>
          </w:p>
        </w:tc>
      </w:tr>
      <w:tr w:rsidR="00B23B94">
        <w:trPr>
          <w:trHeight w:val="297"/>
        </w:trPr>
        <w:tc>
          <w:tcPr>
            <w:tcW w:w="1454" w:type="dxa"/>
            <w:vMerge/>
            <w:tcBorders>
              <w:top w:val="nil"/>
            </w:tcBorders>
          </w:tcPr>
          <w:p w:rsidR="00B23B94" w:rsidRDefault="00B23B94">
            <w:pPr>
              <w:rPr>
                <w:sz w:val="2"/>
                <w:szCs w:val="2"/>
              </w:rPr>
            </w:pPr>
          </w:p>
        </w:tc>
        <w:tc>
          <w:tcPr>
            <w:tcW w:w="1476" w:type="dxa"/>
            <w:vMerge/>
            <w:tcBorders>
              <w:top w:val="nil"/>
            </w:tcBorders>
          </w:tcPr>
          <w:p w:rsidR="00B23B94" w:rsidRDefault="00B23B94">
            <w:pPr>
              <w:rPr>
                <w:sz w:val="2"/>
                <w:szCs w:val="2"/>
              </w:rPr>
            </w:pPr>
          </w:p>
        </w:tc>
        <w:tc>
          <w:tcPr>
            <w:tcW w:w="2138" w:type="dxa"/>
            <w:gridSpan w:val="2"/>
          </w:tcPr>
          <w:p w:rsidR="00B23B94" w:rsidRDefault="003B2D3B">
            <w:pPr>
              <w:pStyle w:val="TableParagraph"/>
              <w:spacing w:line="277" w:lineRule="exact"/>
              <w:ind w:left="183"/>
              <w:jc w:val="left"/>
              <w:rPr>
                <w:sz w:val="26"/>
              </w:rPr>
            </w:pPr>
            <w:r>
              <w:rPr>
                <w:sz w:val="26"/>
              </w:rPr>
              <w:t>менше 24 годин</w:t>
            </w:r>
          </w:p>
        </w:tc>
        <w:tc>
          <w:tcPr>
            <w:tcW w:w="2139" w:type="dxa"/>
            <w:gridSpan w:val="2"/>
          </w:tcPr>
          <w:p w:rsidR="00B23B94" w:rsidRDefault="003B2D3B">
            <w:pPr>
              <w:pStyle w:val="TableParagraph"/>
              <w:spacing w:line="277" w:lineRule="exact"/>
              <w:ind w:left="407"/>
              <w:jc w:val="left"/>
              <w:rPr>
                <w:sz w:val="26"/>
              </w:rPr>
            </w:pPr>
            <w:r>
              <w:rPr>
                <w:sz w:val="26"/>
              </w:rPr>
              <w:t>24-48 годин</w:t>
            </w:r>
          </w:p>
        </w:tc>
        <w:tc>
          <w:tcPr>
            <w:tcW w:w="2139" w:type="dxa"/>
            <w:gridSpan w:val="2"/>
          </w:tcPr>
          <w:p w:rsidR="00B23B94" w:rsidRDefault="003B2D3B">
            <w:pPr>
              <w:pStyle w:val="TableParagraph"/>
              <w:spacing w:line="277" w:lineRule="exact"/>
              <w:ind w:left="164"/>
              <w:jc w:val="left"/>
              <w:rPr>
                <w:sz w:val="26"/>
              </w:rPr>
            </w:pPr>
            <w:r>
              <w:rPr>
                <w:sz w:val="26"/>
              </w:rPr>
              <w:t>більше 48 годин</w:t>
            </w:r>
          </w:p>
        </w:tc>
      </w:tr>
      <w:tr w:rsidR="00B23B94">
        <w:trPr>
          <w:trHeight w:val="484"/>
        </w:trPr>
        <w:tc>
          <w:tcPr>
            <w:tcW w:w="1454" w:type="dxa"/>
            <w:vMerge/>
            <w:tcBorders>
              <w:top w:val="nil"/>
            </w:tcBorders>
          </w:tcPr>
          <w:p w:rsidR="00B23B94" w:rsidRDefault="00B23B94">
            <w:pPr>
              <w:rPr>
                <w:sz w:val="2"/>
                <w:szCs w:val="2"/>
              </w:rPr>
            </w:pPr>
          </w:p>
        </w:tc>
        <w:tc>
          <w:tcPr>
            <w:tcW w:w="1476" w:type="dxa"/>
            <w:vMerge/>
            <w:tcBorders>
              <w:top w:val="nil"/>
            </w:tcBorders>
          </w:tcPr>
          <w:p w:rsidR="00B23B94" w:rsidRDefault="00B23B94">
            <w:pPr>
              <w:rPr>
                <w:sz w:val="2"/>
                <w:szCs w:val="2"/>
              </w:rPr>
            </w:pPr>
          </w:p>
        </w:tc>
        <w:tc>
          <w:tcPr>
            <w:tcW w:w="1068" w:type="dxa"/>
          </w:tcPr>
          <w:p w:rsidR="00B23B94" w:rsidRDefault="003B2D3B">
            <w:pPr>
              <w:pStyle w:val="TableParagraph"/>
              <w:spacing w:before="2"/>
              <w:ind w:left="274" w:right="263"/>
              <w:rPr>
                <w:sz w:val="28"/>
              </w:rPr>
            </w:pPr>
            <w:r>
              <w:rPr>
                <w:sz w:val="28"/>
              </w:rPr>
              <w:t>абс.</w:t>
            </w:r>
          </w:p>
        </w:tc>
        <w:tc>
          <w:tcPr>
            <w:tcW w:w="1070" w:type="dxa"/>
          </w:tcPr>
          <w:p w:rsidR="00B23B94" w:rsidRDefault="003B2D3B">
            <w:pPr>
              <w:pStyle w:val="TableParagraph"/>
              <w:spacing w:before="2"/>
              <w:ind w:left="11"/>
              <w:rPr>
                <w:sz w:val="28"/>
              </w:rPr>
            </w:pPr>
            <w:r>
              <w:rPr>
                <w:sz w:val="28"/>
              </w:rPr>
              <w:t>%</w:t>
            </w:r>
          </w:p>
        </w:tc>
        <w:tc>
          <w:tcPr>
            <w:tcW w:w="1068" w:type="dxa"/>
          </w:tcPr>
          <w:p w:rsidR="00B23B94" w:rsidRDefault="003B2D3B">
            <w:pPr>
              <w:pStyle w:val="TableParagraph"/>
              <w:spacing w:before="2"/>
              <w:ind w:left="274" w:right="266"/>
              <w:rPr>
                <w:sz w:val="28"/>
              </w:rPr>
            </w:pPr>
            <w:r>
              <w:rPr>
                <w:sz w:val="28"/>
              </w:rPr>
              <w:t>абс.</w:t>
            </w:r>
          </w:p>
        </w:tc>
        <w:tc>
          <w:tcPr>
            <w:tcW w:w="1071" w:type="dxa"/>
          </w:tcPr>
          <w:p w:rsidR="00B23B94" w:rsidRDefault="003B2D3B">
            <w:pPr>
              <w:pStyle w:val="TableParagraph"/>
              <w:spacing w:before="2"/>
              <w:ind w:left="12"/>
              <w:rPr>
                <w:sz w:val="28"/>
              </w:rPr>
            </w:pPr>
            <w:r>
              <w:rPr>
                <w:sz w:val="28"/>
              </w:rPr>
              <w:t>%</w:t>
            </w:r>
          </w:p>
        </w:tc>
        <w:tc>
          <w:tcPr>
            <w:tcW w:w="1068" w:type="dxa"/>
          </w:tcPr>
          <w:p w:rsidR="00B23B94" w:rsidRDefault="003B2D3B">
            <w:pPr>
              <w:pStyle w:val="TableParagraph"/>
              <w:spacing w:before="2"/>
              <w:ind w:left="274" w:right="266"/>
              <w:rPr>
                <w:sz w:val="28"/>
              </w:rPr>
            </w:pPr>
            <w:r>
              <w:rPr>
                <w:sz w:val="28"/>
              </w:rPr>
              <w:t>абс.</w:t>
            </w:r>
          </w:p>
        </w:tc>
        <w:tc>
          <w:tcPr>
            <w:tcW w:w="1071" w:type="dxa"/>
          </w:tcPr>
          <w:p w:rsidR="00B23B94" w:rsidRDefault="003B2D3B">
            <w:pPr>
              <w:pStyle w:val="TableParagraph"/>
              <w:spacing w:before="2"/>
              <w:ind w:left="11"/>
              <w:rPr>
                <w:sz w:val="28"/>
              </w:rPr>
            </w:pPr>
            <w:r>
              <w:rPr>
                <w:sz w:val="28"/>
              </w:rPr>
              <w:t>%</w:t>
            </w:r>
          </w:p>
        </w:tc>
      </w:tr>
      <w:tr w:rsidR="00B23B94">
        <w:trPr>
          <w:trHeight w:val="481"/>
        </w:trPr>
        <w:tc>
          <w:tcPr>
            <w:tcW w:w="1454" w:type="dxa"/>
          </w:tcPr>
          <w:p w:rsidR="00B23B94" w:rsidRDefault="003B2D3B">
            <w:pPr>
              <w:pStyle w:val="TableParagraph"/>
              <w:ind w:left="11"/>
              <w:rPr>
                <w:sz w:val="28"/>
              </w:rPr>
            </w:pPr>
            <w:r>
              <w:rPr>
                <w:sz w:val="28"/>
              </w:rPr>
              <w:t>1</w:t>
            </w:r>
          </w:p>
        </w:tc>
        <w:tc>
          <w:tcPr>
            <w:tcW w:w="1476" w:type="dxa"/>
          </w:tcPr>
          <w:p w:rsidR="00B23B94" w:rsidRDefault="003B2D3B">
            <w:pPr>
              <w:pStyle w:val="TableParagraph"/>
              <w:ind w:left="667"/>
              <w:jc w:val="left"/>
              <w:rPr>
                <w:sz w:val="28"/>
              </w:rPr>
            </w:pPr>
            <w:r>
              <w:rPr>
                <w:sz w:val="28"/>
              </w:rPr>
              <w:t>3</w:t>
            </w:r>
          </w:p>
        </w:tc>
        <w:tc>
          <w:tcPr>
            <w:tcW w:w="1068" w:type="dxa"/>
          </w:tcPr>
          <w:p w:rsidR="00B23B94" w:rsidRDefault="003B2D3B">
            <w:pPr>
              <w:pStyle w:val="TableParagraph"/>
              <w:ind w:left="10"/>
              <w:rPr>
                <w:sz w:val="28"/>
              </w:rPr>
            </w:pPr>
            <w:r>
              <w:rPr>
                <w:sz w:val="28"/>
              </w:rPr>
              <w:t>2</w:t>
            </w:r>
          </w:p>
        </w:tc>
        <w:tc>
          <w:tcPr>
            <w:tcW w:w="1070" w:type="dxa"/>
          </w:tcPr>
          <w:p w:rsidR="00B23B94" w:rsidRDefault="003B2D3B">
            <w:pPr>
              <w:pStyle w:val="TableParagraph"/>
              <w:ind w:left="269" w:right="261"/>
              <w:rPr>
                <w:sz w:val="28"/>
              </w:rPr>
            </w:pPr>
            <w:r>
              <w:rPr>
                <w:sz w:val="28"/>
              </w:rPr>
              <w:t>66,7</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33,3</w:t>
            </w:r>
          </w:p>
        </w:tc>
        <w:tc>
          <w:tcPr>
            <w:tcW w:w="1068" w:type="dxa"/>
          </w:tcPr>
          <w:p w:rsidR="00B23B94" w:rsidRDefault="003B2D3B">
            <w:pPr>
              <w:pStyle w:val="TableParagraph"/>
              <w:ind w:left="8"/>
              <w:rPr>
                <w:sz w:val="28"/>
              </w:rPr>
            </w:pPr>
            <w:r>
              <w:rPr>
                <w:sz w:val="28"/>
              </w:rPr>
              <w:t>-</w:t>
            </w:r>
          </w:p>
        </w:tc>
        <w:tc>
          <w:tcPr>
            <w:tcW w:w="1071" w:type="dxa"/>
          </w:tcPr>
          <w:p w:rsidR="00B23B94" w:rsidRDefault="003B2D3B">
            <w:pPr>
              <w:pStyle w:val="TableParagraph"/>
              <w:ind w:left="10"/>
              <w:rPr>
                <w:sz w:val="28"/>
              </w:rPr>
            </w:pPr>
            <w:r>
              <w:rPr>
                <w:sz w:val="28"/>
              </w:rPr>
              <w:t>-</w:t>
            </w:r>
          </w:p>
        </w:tc>
      </w:tr>
      <w:tr w:rsidR="00B23B94">
        <w:trPr>
          <w:trHeight w:val="484"/>
        </w:trPr>
        <w:tc>
          <w:tcPr>
            <w:tcW w:w="1454" w:type="dxa"/>
          </w:tcPr>
          <w:p w:rsidR="00B23B94" w:rsidRDefault="003B2D3B">
            <w:pPr>
              <w:pStyle w:val="TableParagraph"/>
              <w:ind w:left="11"/>
              <w:rPr>
                <w:sz w:val="28"/>
              </w:rPr>
            </w:pPr>
            <w:r>
              <w:rPr>
                <w:sz w:val="28"/>
              </w:rPr>
              <w:t>2</w:t>
            </w:r>
          </w:p>
        </w:tc>
        <w:tc>
          <w:tcPr>
            <w:tcW w:w="1476" w:type="dxa"/>
          </w:tcPr>
          <w:p w:rsidR="00B23B94" w:rsidRDefault="003B2D3B">
            <w:pPr>
              <w:pStyle w:val="TableParagraph"/>
              <w:ind w:left="667"/>
              <w:jc w:val="left"/>
              <w:rPr>
                <w:sz w:val="28"/>
              </w:rPr>
            </w:pPr>
            <w:r>
              <w:rPr>
                <w:sz w:val="28"/>
              </w:rPr>
              <w:t>6</w:t>
            </w:r>
          </w:p>
        </w:tc>
        <w:tc>
          <w:tcPr>
            <w:tcW w:w="1068" w:type="dxa"/>
          </w:tcPr>
          <w:p w:rsidR="00B23B94" w:rsidRDefault="003B2D3B">
            <w:pPr>
              <w:pStyle w:val="TableParagraph"/>
              <w:ind w:left="10"/>
              <w:rPr>
                <w:sz w:val="28"/>
              </w:rPr>
            </w:pPr>
            <w:r>
              <w:rPr>
                <w:sz w:val="28"/>
              </w:rPr>
              <w:t>3</w:t>
            </w:r>
          </w:p>
        </w:tc>
        <w:tc>
          <w:tcPr>
            <w:tcW w:w="1070" w:type="dxa"/>
          </w:tcPr>
          <w:p w:rsidR="00B23B94" w:rsidRDefault="003B2D3B">
            <w:pPr>
              <w:pStyle w:val="TableParagraph"/>
              <w:ind w:left="269" w:right="261"/>
              <w:rPr>
                <w:sz w:val="28"/>
              </w:rPr>
            </w:pPr>
            <w:r>
              <w:rPr>
                <w:sz w:val="28"/>
              </w:rPr>
              <w:t>50,0</w:t>
            </w:r>
          </w:p>
        </w:tc>
        <w:tc>
          <w:tcPr>
            <w:tcW w:w="1068" w:type="dxa"/>
          </w:tcPr>
          <w:p w:rsidR="00B23B94" w:rsidRDefault="003B2D3B">
            <w:pPr>
              <w:pStyle w:val="TableParagraph"/>
              <w:ind w:left="7"/>
              <w:rPr>
                <w:sz w:val="28"/>
              </w:rPr>
            </w:pPr>
            <w:r>
              <w:rPr>
                <w:sz w:val="28"/>
              </w:rPr>
              <w:t>2</w:t>
            </w:r>
          </w:p>
        </w:tc>
        <w:tc>
          <w:tcPr>
            <w:tcW w:w="1071" w:type="dxa"/>
          </w:tcPr>
          <w:p w:rsidR="00B23B94" w:rsidRDefault="003B2D3B">
            <w:pPr>
              <w:pStyle w:val="TableParagraph"/>
              <w:ind w:left="198" w:right="189"/>
              <w:rPr>
                <w:sz w:val="28"/>
              </w:rPr>
            </w:pPr>
            <w:r>
              <w:rPr>
                <w:sz w:val="28"/>
              </w:rPr>
              <w:t>33,3</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201" w:right="188"/>
              <w:rPr>
                <w:sz w:val="28"/>
              </w:rPr>
            </w:pPr>
            <w:r>
              <w:rPr>
                <w:sz w:val="28"/>
              </w:rPr>
              <w:t>16,7</w:t>
            </w:r>
          </w:p>
        </w:tc>
      </w:tr>
      <w:tr w:rsidR="00B23B94">
        <w:trPr>
          <w:trHeight w:val="482"/>
        </w:trPr>
        <w:tc>
          <w:tcPr>
            <w:tcW w:w="1454" w:type="dxa"/>
          </w:tcPr>
          <w:p w:rsidR="00B23B94" w:rsidRDefault="003B2D3B">
            <w:pPr>
              <w:pStyle w:val="TableParagraph"/>
              <w:ind w:left="520" w:right="509"/>
              <w:rPr>
                <w:sz w:val="28"/>
              </w:rPr>
            </w:pPr>
            <w:r>
              <w:rPr>
                <w:sz w:val="28"/>
              </w:rPr>
              <w:t>3-4</w:t>
            </w:r>
          </w:p>
        </w:tc>
        <w:tc>
          <w:tcPr>
            <w:tcW w:w="1476" w:type="dxa"/>
          </w:tcPr>
          <w:p w:rsidR="00B23B94" w:rsidRDefault="003B2D3B">
            <w:pPr>
              <w:pStyle w:val="TableParagraph"/>
              <w:ind w:left="667"/>
              <w:jc w:val="left"/>
              <w:rPr>
                <w:sz w:val="28"/>
              </w:rPr>
            </w:pPr>
            <w:r>
              <w:rPr>
                <w:sz w:val="28"/>
              </w:rPr>
              <w:t>4</w:t>
            </w:r>
          </w:p>
        </w:tc>
        <w:tc>
          <w:tcPr>
            <w:tcW w:w="1068" w:type="dxa"/>
          </w:tcPr>
          <w:p w:rsidR="00B23B94" w:rsidRDefault="003B2D3B">
            <w:pPr>
              <w:pStyle w:val="TableParagraph"/>
              <w:ind w:left="10"/>
              <w:rPr>
                <w:sz w:val="28"/>
              </w:rPr>
            </w:pPr>
            <w:r>
              <w:rPr>
                <w:sz w:val="28"/>
              </w:rPr>
              <w:t>2</w:t>
            </w:r>
          </w:p>
        </w:tc>
        <w:tc>
          <w:tcPr>
            <w:tcW w:w="1070" w:type="dxa"/>
          </w:tcPr>
          <w:p w:rsidR="00B23B94" w:rsidRDefault="003B2D3B">
            <w:pPr>
              <w:pStyle w:val="TableParagraph"/>
              <w:ind w:left="269" w:right="261"/>
              <w:rPr>
                <w:sz w:val="28"/>
              </w:rPr>
            </w:pPr>
            <w:r>
              <w:rPr>
                <w:sz w:val="28"/>
              </w:rPr>
              <w:t>50,0</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25,0</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201" w:right="188"/>
              <w:rPr>
                <w:sz w:val="28"/>
              </w:rPr>
            </w:pPr>
            <w:r>
              <w:rPr>
                <w:sz w:val="28"/>
              </w:rPr>
              <w:t>25,0</w:t>
            </w:r>
          </w:p>
        </w:tc>
      </w:tr>
      <w:tr w:rsidR="00B23B94">
        <w:trPr>
          <w:trHeight w:val="481"/>
        </w:trPr>
        <w:tc>
          <w:tcPr>
            <w:tcW w:w="1454" w:type="dxa"/>
          </w:tcPr>
          <w:p w:rsidR="00B23B94" w:rsidRDefault="003B2D3B">
            <w:pPr>
              <w:pStyle w:val="TableParagraph"/>
              <w:ind w:left="520" w:right="509"/>
              <w:rPr>
                <w:sz w:val="28"/>
              </w:rPr>
            </w:pPr>
            <w:r>
              <w:rPr>
                <w:sz w:val="28"/>
              </w:rPr>
              <w:t>5-6</w:t>
            </w:r>
          </w:p>
        </w:tc>
        <w:tc>
          <w:tcPr>
            <w:tcW w:w="1476" w:type="dxa"/>
          </w:tcPr>
          <w:p w:rsidR="00B23B94" w:rsidRDefault="003B2D3B">
            <w:pPr>
              <w:pStyle w:val="TableParagraph"/>
              <w:ind w:left="667"/>
              <w:jc w:val="left"/>
              <w:rPr>
                <w:sz w:val="28"/>
              </w:rPr>
            </w:pPr>
            <w:r>
              <w:rPr>
                <w:sz w:val="28"/>
              </w:rPr>
              <w:t>2</w:t>
            </w:r>
          </w:p>
        </w:tc>
        <w:tc>
          <w:tcPr>
            <w:tcW w:w="1068" w:type="dxa"/>
          </w:tcPr>
          <w:p w:rsidR="00B23B94" w:rsidRDefault="003B2D3B">
            <w:pPr>
              <w:pStyle w:val="TableParagraph"/>
              <w:ind w:left="11"/>
              <w:rPr>
                <w:sz w:val="28"/>
              </w:rPr>
            </w:pPr>
            <w:r>
              <w:rPr>
                <w:sz w:val="28"/>
              </w:rPr>
              <w:t>-</w:t>
            </w:r>
          </w:p>
        </w:tc>
        <w:tc>
          <w:tcPr>
            <w:tcW w:w="1070" w:type="dxa"/>
          </w:tcPr>
          <w:p w:rsidR="00B23B94" w:rsidRDefault="003B2D3B">
            <w:pPr>
              <w:pStyle w:val="TableParagraph"/>
              <w:ind w:left="10"/>
              <w:rPr>
                <w:sz w:val="28"/>
              </w:rPr>
            </w:pPr>
            <w:r>
              <w:rPr>
                <w:sz w:val="28"/>
              </w:rPr>
              <w:t>-</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198" w:right="189"/>
              <w:rPr>
                <w:sz w:val="28"/>
              </w:rPr>
            </w:pPr>
            <w:r>
              <w:rPr>
                <w:sz w:val="28"/>
              </w:rPr>
              <w:t>50,0</w:t>
            </w:r>
          </w:p>
        </w:tc>
        <w:tc>
          <w:tcPr>
            <w:tcW w:w="1068" w:type="dxa"/>
          </w:tcPr>
          <w:p w:rsidR="00B23B94" w:rsidRDefault="003B2D3B">
            <w:pPr>
              <w:pStyle w:val="TableParagraph"/>
              <w:ind w:left="7"/>
              <w:rPr>
                <w:sz w:val="28"/>
              </w:rPr>
            </w:pPr>
            <w:r>
              <w:rPr>
                <w:sz w:val="28"/>
              </w:rPr>
              <w:t>1</w:t>
            </w:r>
          </w:p>
        </w:tc>
        <w:tc>
          <w:tcPr>
            <w:tcW w:w="1071" w:type="dxa"/>
          </w:tcPr>
          <w:p w:rsidR="00B23B94" w:rsidRDefault="003B2D3B">
            <w:pPr>
              <w:pStyle w:val="TableParagraph"/>
              <w:ind w:left="201" w:right="188"/>
              <w:rPr>
                <w:sz w:val="28"/>
              </w:rPr>
            </w:pPr>
            <w:r>
              <w:rPr>
                <w:sz w:val="28"/>
              </w:rPr>
              <w:t>50,0</w:t>
            </w:r>
          </w:p>
        </w:tc>
      </w:tr>
      <w:tr w:rsidR="00B23B94">
        <w:trPr>
          <w:trHeight w:val="484"/>
        </w:trPr>
        <w:tc>
          <w:tcPr>
            <w:tcW w:w="1454" w:type="dxa"/>
          </w:tcPr>
          <w:p w:rsidR="00B23B94" w:rsidRDefault="003B2D3B">
            <w:pPr>
              <w:pStyle w:val="TableParagraph"/>
              <w:spacing w:before="2"/>
              <w:ind w:left="520" w:right="509"/>
              <w:rPr>
                <w:sz w:val="28"/>
              </w:rPr>
            </w:pPr>
            <w:r>
              <w:rPr>
                <w:sz w:val="28"/>
              </w:rPr>
              <w:t>7-8</w:t>
            </w:r>
          </w:p>
        </w:tc>
        <w:tc>
          <w:tcPr>
            <w:tcW w:w="1476" w:type="dxa"/>
          </w:tcPr>
          <w:p w:rsidR="00B23B94" w:rsidRDefault="003B2D3B">
            <w:pPr>
              <w:pStyle w:val="TableParagraph"/>
              <w:spacing w:before="2"/>
              <w:ind w:left="667"/>
              <w:jc w:val="left"/>
              <w:rPr>
                <w:sz w:val="28"/>
              </w:rPr>
            </w:pPr>
            <w:r>
              <w:rPr>
                <w:sz w:val="28"/>
              </w:rPr>
              <w:t>2</w:t>
            </w:r>
          </w:p>
        </w:tc>
        <w:tc>
          <w:tcPr>
            <w:tcW w:w="1068" w:type="dxa"/>
          </w:tcPr>
          <w:p w:rsidR="00B23B94" w:rsidRDefault="003B2D3B">
            <w:pPr>
              <w:pStyle w:val="TableParagraph"/>
              <w:spacing w:before="2"/>
              <w:ind w:left="11"/>
              <w:rPr>
                <w:sz w:val="28"/>
              </w:rPr>
            </w:pPr>
            <w:r>
              <w:rPr>
                <w:sz w:val="28"/>
              </w:rPr>
              <w:t>-</w:t>
            </w:r>
          </w:p>
        </w:tc>
        <w:tc>
          <w:tcPr>
            <w:tcW w:w="1070" w:type="dxa"/>
          </w:tcPr>
          <w:p w:rsidR="00B23B94" w:rsidRDefault="003B2D3B">
            <w:pPr>
              <w:pStyle w:val="TableParagraph"/>
              <w:spacing w:before="2"/>
              <w:ind w:left="10"/>
              <w:rPr>
                <w:sz w:val="28"/>
              </w:rPr>
            </w:pPr>
            <w:r>
              <w:rPr>
                <w:sz w:val="28"/>
              </w:rPr>
              <w:t>-</w:t>
            </w:r>
          </w:p>
        </w:tc>
        <w:tc>
          <w:tcPr>
            <w:tcW w:w="1068" w:type="dxa"/>
          </w:tcPr>
          <w:p w:rsidR="00B23B94" w:rsidRDefault="003B2D3B">
            <w:pPr>
              <w:pStyle w:val="TableParagraph"/>
              <w:spacing w:before="2"/>
              <w:ind w:left="8"/>
              <w:rPr>
                <w:sz w:val="28"/>
              </w:rPr>
            </w:pPr>
            <w:r>
              <w:rPr>
                <w:sz w:val="28"/>
              </w:rPr>
              <w:t>-</w:t>
            </w:r>
          </w:p>
        </w:tc>
        <w:tc>
          <w:tcPr>
            <w:tcW w:w="1071" w:type="dxa"/>
          </w:tcPr>
          <w:p w:rsidR="00B23B94" w:rsidRDefault="003B2D3B">
            <w:pPr>
              <w:pStyle w:val="TableParagraph"/>
              <w:spacing w:before="2"/>
              <w:ind w:left="11"/>
              <w:rPr>
                <w:sz w:val="28"/>
              </w:rPr>
            </w:pPr>
            <w:r>
              <w:rPr>
                <w:sz w:val="28"/>
              </w:rPr>
              <w:t>-</w:t>
            </w:r>
          </w:p>
        </w:tc>
        <w:tc>
          <w:tcPr>
            <w:tcW w:w="1068" w:type="dxa"/>
          </w:tcPr>
          <w:p w:rsidR="00B23B94" w:rsidRDefault="003B2D3B">
            <w:pPr>
              <w:pStyle w:val="TableParagraph"/>
              <w:spacing w:before="2"/>
              <w:ind w:left="7"/>
              <w:rPr>
                <w:sz w:val="28"/>
              </w:rPr>
            </w:pPr>
            <w:r>
              <w:rPr>
                <w:sz w:val="28"/>
              </w:rPr>
              <w:t>2</w:t>
            </w:r>
          </w:p>
        </w:tc>
        <w:tc>
          <w:tcPr>
            <w:tcW w:w="1071" w:type="dxa"/>
          </w:tcPr>
          <w:p w:rsidR="00B23B94" w:rsidRDefault="003B2D3B">
            <w:pPr>
              <w:pStyle w:val="TableParagraph"/>
              <w:spacing w:before="2"/>
              <w:ind w:left="201" w:right="189"/>
              <w:rPr>
                <w:sz w:val="28"/>
              </w:rPr>
            </w:pPr>
            <w:r>
              <w:rPr>
                <w:sz w:val="28"/>
              </w:rPr>
              <w:t>100,0</w:t>
            </w:r>
          </w:p>
        </w:tc>
      </w:tr>
    </w:tbl>
    <w:p w:rsidR="00B23B94" w:rsidRDefault="00B23B94">
      <w:pPr>
        <w:pStyle w:val="a3"/>
        <w:ind w:left="0"/>
        <w:jc w:val="left"/>
        <w:rPr>
          <w:b/>
          <w:sz w:val="20"/>
        </w:rPr>
      </w:pPr>
    </w:p>
    <w:p w:rsidR="00B23B94" w:rsidRDefault="003B2D3B">
      <w:pPr>
        <w:pStyle w:val="a3"/>
        <w:spacing w:before="252" w:line="360" w:lineRule="auto"/>
        <w:ind w:left="542" w:right="784" w:firstLine="707"/>
      </w:pPr>
      <w:r>
        <w:t>При аналізі даних (табл. 4.5) чітко прослідковується залежність тривалості органної недостатності від поширеності локальних парапанкреатичних ускладнень гострого тяжкого панкреатиту, аналогічно пацієнтам з ретроспективної групи. Проте результати лікування хворих ретроспективної групи свідчать про низьку ефективність використовувати шкалу Marshall для динамічної оцінки органної дисфункції у пацієнтів з гнійно-септичними ускладненнями при гострому тяжкому панкреатиті, що в свою чергу не дає нам чітко визначити найкращі терміни для хірургічної агресії.</w:t>
      </w:r>
    </w:p>
    <w:p w:rsidR="00B23B94" w:rsidRDefault="003B2D3B">
      <w:pPr>
        <w:pStyle w:val="a3"/>
        <w:spacing w:line="360" w:lineRule="auto"/>
        <w:ind w:left="542" w:right="785" w:firstLine="707"/>
      </w:pPr>
      <w:r>
        <w:t>З метою визначення оптимальних термінів оперативного втручання та прогнозування несприятливого перебігу у пацієнтів з ГСУ при гострому тяжкому панкреатиті, всім хворим основної групи проводили визначення рівня прокальцитоніну, С-реактивного білку, трийодтироніну, вільного трийодтироніну, тетрайодтироніну, тиреотропного гормону.</w:t>
      </w:r>
    </w:p>
    <w:p w:rsidR="00B23B94" w:rsidRDefault="003B2D3B">
      <w:pPr>
        <w:pStyle w:val="a3"/>
        <w:spacing w:before="3" w:line="360" w:lineRule="auto"/>
        <w:ind w:left="542" w:right="782" w:firstLine="707"/>
      </w:pPr>
      <w:r>
        <w:t>Пацієнтам 2а підгрупи (n=17), дослідження проводили на 14-16 добу після госпіталізації перед будь-яким оперативним втручанням. Пороговим рівнем прокальцитоніну, при якому парапанкреатичні рідинні скупчення вважали інфікованими визначали спираючись на рекомендації WSES (World</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2"/>
      </w:pPr>
      <w:r>
        <w:lastRenderedPageBreak/>
        <w:t xml:space="preserve">Society for Emergency Surgery) 2019 року який становив більше 3,8 нг/мл. С- реактивний білок вважали маркером розвитку гнійно-септичних ускладнень при гострому тяжкому панкреатиті при підвищенні концентрації останнього вище 100,0 мг/л []. Розвиток синдрому низького трийодтироніну констатували при зниженні рівня вільного </w:t>
      </w:r>
      <w:r>
        <w:rPr>
          <w:spacing w:val="3"/>
        </w:rPr>
        <w:t>Т</w:t>
      </w:r>
      <w:r>
        <w:rPr>
          <w:spacing w:val="3"/>
          <w:vertAlign w:val="subscript"/>
        </w:rPr>
        <w:t>3</w:t>
      </w:r>
      <w:r>
        <w:rPr>
          <w:spacing w:val="3"/>
        </w:rPr>
        <w:t xml:space="preserve"> </w:t>
      </w:r>
      <w:r>
        <w:t>нижче 2,5 нмоль/л. Обов’язковим було визначення рівня гормонів трийодтироніну, тетрайодтироніну та тиреотропного гормону для виключення «тиреоїдного» генезу даного стану</w:t>
      </w:r>
      <w:r>
        <w:rPr>
          <w:spacing w:val="-7"/>
        </w:rPr>
        <w:t xml:space="preserve"> </w:t>
      </w:r>
      <w:r>
        <w:t>(табл.4.6).</w:t>
      </w:r>
    </w:p>
    <w:p w:rsidR="00B23B94" w:rsidRDefault="003B2D3B">
      <w:pPr>
        <w:spacing w:before="1"/>
        <w:ind w:left="8509"/>
        <w:rPr>
          <w:i/>
          <w:sz w:val="28"/>
        </w:rPr>
      </w:pPr>
      <w:r>
        <w:rPr>
          <w:i/>
          <w:sz w:val="28"/>
        </w:rPr>
        <w:t>Таблиця 4.5</w:t>
      </w:r>
    </w:p>
    <w:p w:rsidR="00B23B94" w:rsidRDefault="003B2D3B">
      <w:pPr>
        <w:pStyle w:val="1"/>
        <w:spacing w:before="164" w:line="360" w:lineRule="auto"/>
        <w:ind w:left="4032" w:right="1292" w:hanging="2975"/>
      </w:pPr>
      <w:r>
        <w:t>Показники рівня тиреоїдних гормонів у пацієнтів основної групи (підгрупа 2а, n=17)</w:t>
      </w:r>
    </w:p>
    <w:p w:rsidR="00B23B94" w:rsidRDefault="00B23B94">
      <w:pPr>
        <w:pStyle w:val="a3"/>
        <w:ind w:left="0"/>
        <w:jc w:val="left"/>
        <w:rPr>
          <w:b/>
          <w:sz w:val="20"/>
        </w:rPr>
      </w:pPr>
    </w:p>
    <w:p w:rsidR="00B23B94" w:rsidRDefault="00B23B94">
      <w:pPr>
        <w:pStyle w:val="a3"/>
        <w:spacing w:before="9"/>
        <w:ind w:left="0"/>
        <w:jc w:val="left"/>
        <w:rPr>
          <w:b/>
          <w:sz w:val="21"/>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3"/>
      </w:tblGrid>
      <w:tr w:rsidR="00B23B94">
        <w:trPr>
          <w:trHeight w:val="645"/>
        </w:trPr>
        <w:tc>
          <w:tcPr>
            <w:tcW w:w="2393" w:type="dxa"/>
          </w:tcPr>
          <w:p w:rsidR="00B23B94" w:rsidRDefault="003B2D3B">
            <w:pPr>
              <w:pStyle w:val="TableParagraph"/>
              <w:spacing w:before="163"/>
              <w:ind w:left="203" w:right="193"/>
              <w:rPr>
                <w:sz w:val="28"/>
              </w:rPr>
            </w:pPr>
            <w:r>
              <w:rPr>
                <w:sz w:val="28"/>
              </w:rPr>
              <w:t>Показник</w:t>
            </w:r>
          </w:p>
        </w:tc>
        <w:tc>
          <w:tcPr>
            <w:tcW w:w="2393" w:type="dxa"/>
          </w:tcPr>
          <w:p w:rsidR="00B23B94" w:rsidRDefault="003B2D3B">
            <w:pPr>
              <w:pStyle w:val="TableParagraph"/>
              <w:spacing w:before="2" w:line="324" w:lineRule="exact"/>
              <w:ind w:left="655" w:right="471" w:hanging="161"/>
              <w:jc w:val="left"/>
              <w:rPr>
                <w:sz w:val="28"/>
              </w:rPr>
            </w:pPr>
            <w:r>
              <w:rPr>
                <w:sz w:val="28"/>
              </w:rPr>
              <w:t>Мінімальне значення</w:t>
            </w:r>
          </w:p>
        </w:tc>
        <w:tc>
          <w:tcPr>
            <w:tcW w:w="2393" w:type="dxa"/>
          </w:tcPr>
          <w:p w:rsidR="00B23B94" w:rsidRDefault="003B2D3B">
            <w:pPr>
              <w:pStyle w:val="TableParagraph"/>
              <w:spacing w:before="2" w:line="324" w:lineRule="exact"/>
              <w:ind w:left="657" w:right="355" w:hanging="276"/>
              <w:jc w:val="left"/>
              <w:rPr>
                <w:sz w:val="28"/>
              </w:rPr>
            </w:pPr>
            <w:r>
              <w:rPr>
                <w:sz w:val="28"/>
              </w:rPr>
              <w:t>Максимальне значення</w:t>
            </w:r>
          </w:p>
        </w:tc>
        <w:tc>
          <w:tcPr>
            <w:tcW w:w="2393" w:type="dxa"/>
          </w:tcPr>
          <w:p w:rsidR="00B23B94" w:rsidRDefault="003B2D3B">
            <w:pPr>
              <w:pStyle w:val="TableParagraph"/>
              <w:spacing w:before="2" w:line="324" w:lineRule="exact"/>
              <w:ind w:left="783" w:right="95" w:hanging="660"/>
              <w:jc w:val="left"/>
              <w:rPr>
                <w:sz w:val="28"/>
              </w:rPr>
            </w:pPr>
            <w:r>
              <w:rPr>
                <w:sz w:val="28"/>
              </w:rPr>
              <w:t>Середня значення в групі</w:t>
            </w:r>
          </w:p>
        </w:tc>
      </w:tr>
      <w:tr w:rsidR="00B23B94">
        <w:trPr>
          <w:trHeight w:val="316"/>
        </w:trPr>
        <w:tc>
          <w:tcPr>
            <w:tcW w:w="2393" w:type="dxa"/>
          </w:tcPr>
          <w:p w:rsidR="00B23B94" w:rsidRDefault="003B2D3B">
            <w:pPr>
              <w:pStyle w:val="TableParagraph"/>
              <w:spacing w:line="296" w:lineRule="exact"/>
              <w:ind w:left="203" w:right="194"/>
              <w:rPr>
                <w:sz w:val="28"/>
              </w:rPr>
            </w:pPr>
            <w:r>
              <w:rPr>
                <w:sz w:val="28"/>
              </w:rPr>
              <w:t>Т</w:t>
            </w:r>
            <w:r>
              <w:rPr>
                <w:sz w:val="28"/>
                <w:vertAlign w:val="subscript"/>
              </w:rPr>
              <w:t>3</w:t>
            </w:r>
            <w:r>
              <w:rPr>
                <w:sz w:val="28"/>
              </w:rPr>
              <w:t>, нмоль/л</w:t>
            </w:r>
          </w:p>
        </w:tc>
        <w:tc>
          <w:tcPr>
            <w:tcW w:w="2393" w:type="dxa"/>
          </w:tcPr>
          <w:p w:rsidR="00B23B94" w:rsidRDefault="003B2D3B">
            <w:pPr>
              <w:pStyle w:val="TableParagraph"/>
              <w:spacing w:line="296" w:lineRule="exact"/>
              <w:ind w:left="203" w:right="199"/>
              <w:rPr>
                <w:sz w:val="28"/>
              </w:rPr>
            </w:pPr>
            <w:r>
              <w:rPr>
                <w:sz w:val="28"/>
              </w:rPr>
              <w:t>2,6</w:t>
            </w:r>
          </w:p>
        </w:tc>
        <w:tc>
          <w:tcPr>
            <w:tcW w:w="2393" w:type="dxa"/>
          </w:tcPr>
          <w:p w:rsidR="00B23B94" w:rsidRDefault="003B2D3B">
            <w:pPr>
              <w:pStyle w:val="TableParagraph"/>
              <w:spacing w:line="296" w:lineRule="exact"/>
              <w:ind w:left="1020"/>
              <w:jc w:val="left"/>
              <w:rPr>
                <w:sz w:val="28"/>
              </w:rPr>
            </w:pPr>
            <w:r>
              <w:rPr>
                <w:sz w:val="28"/>
              </w:rPr>
              <w:t>5,6</w:t>
            </w:r>
          </w:p>
        </w:tc>
        <w:tc>
          <w:tcPr>
            <w:tcW w:w="2393" w:type="dxa"/>
          </w:tcPr>
          <w:p w:rsidR="00B23B94" w:rsidRDefault="003B2D3B">
            <w:pPr>
              <w:pStyle w:val="TableParagraph"/>
              <w:spacing w:line="296" w:lineRule="exact"/>
              <w:ind w:left="1020"/>
              <w:jc w:val="left"/>
              <w:rPr>
                <w:sz w:val="28"/>
              </w:rPr>
            </w:pPr>
            <w:r>
              <w:rPr>
                <w:sz w:val="28"/>
              </w:rPr>
              <w:t>3,8</w:t>
            </w:r>
          </w:p>
        </w:tc>
      </w:tr>
      <w:tr w:rsidR="00B23B94">
        <w:trPr>
          <w:trHeight w:val="321"/>
        </w:trPr>
        <w:tc>
          <w:tcPr>
            <w:tcW w:w="2393" w:type="dxa"/>
          </w:tcPr>
          <w:p w:rsidR="00B23B94" w:rsidRDefault="003B2D3B">
            <w:pPr>
              <w:pStyle w:val="TableParagraph"/>
              <w:spacing w:line="301" w:lineRule="exact"/>
              <w:ind w:left="203" w:right="194"/>
              <w:rPr>
                <w:sz w:val="28"/>
              </w:rPr>
            </w:pPr>
            <w:r>
              <w:rPr>
                <w:sz w:val="28"/>
              </w:rPr>
              <w:t>Т</w:t>
            </w:r>
            <w:r>
              <w:rPr>
                <w:sz w:val="28"/>
                <w:vertAlign w:val="subscript"/>
              </w:rPr>
              <w:t>4</w:t>
            </w:r>
            <w:r>
              <w:rPr>
                <w:sz w:val="28"/>
              </w:rPr>
              <w:t>, нмоль/л</w:t>
            </w:r>
          </w:p>
        </w:tc>
        <w:tc>
          <w:tcPr>
            <w:tcW w:w="2393" w:type="dxa"/>
          </w:tcPr>
          <w:p w:rsidR="00B23B94" w:rsidRDefault="003B2D3B">
            <w:pPr>
              <w:pStyle w:val="TableParagraph"/>
              <w:spacing w:line="301" w:lineRule="exact"/>
              <w:ind w:left="203" w:right="196"/>
              <w:rPr>
                <w:sz w:val="28"/>
              </w:rPr>
            </w:pPr>
            <w:r>
              <w:rPr>
                <w:sz w:val="28"/>
              </w:rPr>
              <w:t>74</w:t>
            </w:r>
          </w:p>
        </w:tc>
        <w:tc>
          <w:tcPr>
            <w:tcW w:w="2393" w:type="dxa"/>
          </w:tcPr>
          <w:p w:rsidR="00B23B94" w:rsidRDefault="003B2D3B">
            <w:pPr>
              <w:pStyle w:val="TableParagraph"/>
              <w:spacing w:line="301" w:lineRule="exact"/>
              <w:ind w:left="986"/>
              <w:jc w:val="left"/>
              <w:rPr>
                <w:sz w:val="28"/>
              </w:rPr>
            </w:pPr>
            <w:r>
              <w:rPr>
                <w:sz w:val="28"/>
              </w:rPr>
              <w:t>138</w:t>
            </w:r>
          </w:p>
        </w:tc>
        <w:tc>
          <w:tcPr>
            <w:tcW w:w="2393" w:type="dxa"/>
          </w:tcPr>
          <w:p w:rsidR="00B23B94" w:rsidRDefault="003B2D3B">
            <w:pPr>
              <w:pStyle w:val="TableParagraph"/>
              <w:spacing w:line="301" w:lineRule="exact"/>
              <w:ind w:left="1056"/>
              <w:jc w:val="left"/>
              <w:rPr>
                <w:sz w:val="28"/>
              </w:rPr>
            </w:pPr>
            <w:r>
              <w:rPr>
                <w:sz w:val="28"/>
              </w:rPr>
              <w:t>98</w:t>
            </w:r>
          </w:p>
        </w:tc>
      </w:tr>
      <w:tr w:rsidR="00B23B94">
        <w:trPr>
          <w:trHeight w:val="323"/>
        </w:trPr>
        <w:tc>
          <w:tcPr>
            <w:tcW w:w="2393" w:type="dxa"/>
          </w:tcPr>
          <w:p w:rsidR="00B23B94" w:rsidRDefault="003B2D3B">
            <w:pPr>
              <w:pStyle w:val="TableParagraph"/>
              <w:spacing w:before="2" w:line="301" w:lineRule="exact"/>
              <w:ind w:left="203" w:right="196"/>
              <w:rPr>
                <w:sz w:val="28"/>
              </w:rPr>
            </w:pPr>
            <w:r>
              <w:rPr>
                <w:sz w:val="28"/>
              </w:rPr>
              <w:t>ТТГ, мМЕ/л</w:t>
            </w:r>
          </w:p>
        </w:tc>
        <w:tc>
          <w:tcPr>
            <w:tcW w:w="2393" w:type="dxa"/>
          </w:tcPr>
          <w:p w:rsidR="00B23B94" w:rsidRDefault="003B2D3B">
            <w:pPr>
              <w:pStyle w:val="TableParagraph"/>
              <w:spacing w:before="2" w:line="301" w:lineRule="exact"/>
              <w:ind w:left="203" w:right="199"/>
              <w:rPr>
                <w:sz w:val="28"/>
              </w:rPr>
            </w:pPr>
            <w:r>
              <w:rPr>
                <w:sz w:val="28"/>
              </w:rPr>
              <w:t>0,7</w:t>
            </w:r>
          </w:p>
        </w:tc>
        <w:tc>
          <w:tcPr>
            <w:tcW w:w="2393" w:type="dxa"/>
          </w:tcPr>
          <w:p w:rsidR="00B23B94" w:rsidRDefault="003B2D3B">
            <w:pPr>
              <w:pStyle w:val="TableParagraph"/>
              <w:spacing w:before="2" w:line="301" w:lineRule="exact"/>
              <w:ind w:left="1020"/>
              <w:jc w:val="left"/>
              <w:rPr>
                <w:sz w:val="28"/>
              </w:rPr>
            </w:pPr>
            <w:r>
              <w:rPr>
                <w:sz w:val="28"/>
              </w:rPr>
              <w:t>3,6</w:t>
            </w:r>
          </w:p>
        </w:tc>
        <w:tc>
          <w:tcPr>
            <w:tcW w:w="2393" w:type="dxa"/>
          </w:tcPr>
          <w:p w:rsidR="00B23B94" w:rsidRDefault="003B2D3B">
            <w:pPr>
              <w:pStyle w:val="TableParagraph"/>
              <w:spacing w:before="2" w:line="301" w:lineRule="exact"/>
              <w:ind w:left="1020"/>
              <w:jc w:val="left"/>
              <w:rPr>
                <w:sz w:val="28"/>
              </w:rPr>
            </w:pPr>
            <w:r>
              <w:rPr>
                <w:sz w:val="28"/>
              </w:rPr>
              <w:t>1,8</w:t>
            </w:r>
          </w:p>
        </w:tc>
      </w:tr>
    </w:tbl>
    <w:p w:rsidR="00B23B94" w:rsidRDefault="00B23B94">
      <w:pPr>
        <w:pStyle w:val="a3"/>
        <w:ind w:left="0"/>
        <w:jc w:val="left"/>
        <w:rPr>
          <w:b/>
          <w:sz w:val="20"/>
        </w:rPr>
      </w:pPr>
    </w:p>
    <w:p w:rsidR="00B23B94" w:rsidRDefault="003B2D3B">
      <w:pPr>
        <w:pStyle w:val="a3"/>
        <w:spacing w:before="252" w:line="360" w:lineRule="auto"/>
        <w:ind w:left="542" w:right="786" w:firstLine="705"/>
      </w:pPr>
      <w:r>
        <w:t>У нашому випадку всі вищезгадані гормони коливалися в межах норми, що свідчило про нормальну роботу щитоподібної залози і вказувало на те що синдром low T</w:t>
      </w:r>
      <w:r>
        <w:rPr>
          <w:vertAlign w:val="subscript"/>
        </w:rPr>
        <w:t>3</w:t>
      </w:r>
      <w:r>
        <w:t xml:space="preserve"> виникав саме внаслідок тяжкого стану пацієнта при розвитку гнійно-септичних ускладнень.</w:t>
      </w:r>
    </w:p>
    <w:p w:rsidR="00B23B94" w:rsidRDefault="003B2D3B">
      <w:pPr>
        <w:pStyle w:val="a3"/>
        <w:spacing w:before="1" w:line="360" w:lineRule="auto"/>
        <w:ind w:left="542" w:right="782" w:firstLine="705"/>
      </w:pPr>
      <w:r>
        <w:t>Так, підвищення рівня прокальцитоніну вище 2,0 нг/мл перед оперативним втручанням виявлено у 14 (82,3%) пацієнтів. Зростання рівня С-реактивного білка вище 5,0 мг/л спостерігали у 16 (94,1%) пацієнтів, синдром low T</w:t>
      </w:r>
      <w:r>
        <w:rPr>
          <w:vertAlign w:val="subscript"/>
        </w:rPr>
        <w:t>3</w:t>
      </w:r>
      <w:r>
        <w:t xml:space="preserve"> виявлено у 8 пацієнтів. (табл. 4.6).</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509"/>
        <w:rPr>
          <w:i/>
          <w:sz w:val="28"/>
        </w:rPr>
      </w:pPr>
      <w:r>
        <w:rPr>
          <w:i/>
          <w:sz w:val="28"/>
        </w:rPr>
        <w:lastRenderedPageBreak/>
        <w:t>Таблиця 4.6</w:t>
      </w:r>
    </w:p>
    <w:p w:rsidR="00B23B94" w:rsidRDefault="003B2D3B">
      <w:pPr>
        <w:pStyle w:val="1"/>
        <w:spacing w:before="164" w:line="360" w:lineRule="auto"/>
        <w:ind w:left="3813" w:right="901" w:hanging="2442"/>
      </w:pPr>
      <w:r>
        <w:rPr>
          <w:noProof/>
          <w:lang w:eastAsia="uk-UA"/>
        </w:rPr>
        <mc:AlternateContent>
          <mc:Choice Requires="wps">
            <w:drawing>
              <wp:anchor distT="0" distB="0" distL="114300" distR="114300" simplePos="0" relativeHeight="483708928" behindDoc="1" locked="0" layoutInCell="1" allowOverlap="1">
                <wp:simplePos x="0" y="0"/>
                <wp:positionH relativeFrom="page">
                  <wp:posOffset>1015365</wp:posOffset>
                </wp:positionH>
                <wp:positionV relativeFrom="paragraph">
                  <wp:posOffset>722630</wp:posOffset>
                </wp:positionV>
                <wp:extent cx="1862455" cy="620395"/>
                <wp:effectExtent l="0" t="0" r="0" b="0"/>
                <wp:wrapNone/>
                <wp:docPr id="1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2455" cy="62039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19607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56.9pt" to="226.6pt,10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" strokeweight=".48pt">
                <w10:wrap anchorx="page"/>
              </v:line>
            </w:pict>
          </mc:Fallback>
        </mc:AlternateContent>
      </w:r>
      <w:r>
        <w:t>Потенційні маркери ГСУ у пацієнтів основної групи (підгрупа 2а) до оперативного втручання</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1277"/>
        <w:gridCol w:w="1277"/>
        <w:gridCol w:w="1134"/>
        <w:gridCol w:w="992"/>
        <w:gridCol w:w="995"/>
        <w:gridCol w:w="1055"/>
      </w:tblGrid>
      <w:tr w:rsidR="00B23B94">
        <w:trPr>
          <w:trHeight w:val="645"/>
        </w:trPr>
        <w:tc>
          <w:tcPr>
            <w:tcW w:w="2943" w:type="dxa"/>
            <w:vMerge w:val="restart"/>
          </w:tcPr>
          <w:p w:rsidR="00B23B94" w:rsidRDefault="003B2D3B">
            <w:pPr>
              <w:pStyle w:val="TableParagraph"/>
              <w:spacing w:line="480" w:lineRule="auto"/>
              <w:ind w:left="107" w:right="274" w:firstLine="650"/>
              <w:jc w:val="left"/>
              <w:rPr>
                <w:sz w:val="20"/>
              </w:rPr>
            </w:pPr>
            <w:r>
              <w:rPr>
                <w:sz w:val="20"/>
              </w:rPr>
              <w:t>Тяжкість панкреатиту Показник</w:t>
            </w:r>
          </w:p>
        </w:tc>
        <w:tc>
          <w:tcPr>
            <w:tcW w:w="2554" w:type="dxa"/>
            <w:gridSpan w:val="2"/>
          </w:tcPr>
          <w:p w:rsidR="00B23B94" w:rsidRDefault="003B2D3B">
            <w:pPr>
              <w:pStyle w:val="TableParagraph"/>
              <w:spacing w:before="2" w:line="324" w:lineRule="exact"/>
              <w:ind w:left="892" w:right="195" w:hanging="672"/>
              <w:jc w:val="left"/>
              <w:rPr>
                <w:sz w:val="28"/>
              </w:rPr>
            </w:pPr>
            <w:r>
              <w:rPr>
                <w:sz w:val="28"/>
              </w:rPr>
              <w:t>Середньо-тяжкий (n=10)</w:t>
            </w:r>
          </w:p>
        </w:tc>
        <w:tc>
          <w:tcPr>
            <w:tcW w:w="2126" w:type="dxa"/>
            <w:gridSpan w:val="2"/>
          </w:tcPr>
          <w:p w:rsidR="00B23B94" w:rsidRDefault="003B2D3B">
            <w:pPr>
              <w:pStyle w:val="TableParagraph"/>
              <w:spacing w:before="2" w:line="324" w:lineRule="exact"/>
              <w:ind w:left="749" w:right="573" w:hanging="155"/>
              <w:jc w:val="left"/>
              <w:rPr>
                <w:sz w:val="28"/>
              </w:rPr>
            </w:pPr>
            <w:r>
              <w:rPr>
                <w:sz w:val="28"/>
              </w:rPr>
              <w:t>Тяжкий (n=7)</w:t>
            </w:r>
          </w:p>
        </w:tc>
        <w:tc>
          <w:tcPr>
            <w:tcW w:w="2050" w:type="dxa"/>
            <w:gridSpan w:val="2"/>
          </w:tcPr>
          <w:p w:rsidR="00B23B94" w:rsidRDefault="003B2D3B">
            <w:pPr>
              <w:pStyle w:val="TableParagraph"/>
              <w:spacing w:before="2" w:line="324" w:lineRule="exact"/>
              <w:ind w:left="627" w:right="593" w:hanging="34"/>
              <w:jc w:val="left"/>
              <w:rPr>
                <w:sz w:val="28"/>
              </w:rPr>
            </w:pPr>
            <w:r>
              <w:rPr>
                <w:sz w:val="28"/>
              </w:rPr>
              <w:t>Всього (n=17)</w:t>
            </w:r>
          </w:p>
        </w:tc>
      </w:tr>
      <w:tr w:rsidR="00B23B94">
        <w:trPr>
          <w:trHeight w:val="316"/>
        </w:trPr>
        <w:tc>
          <w:tcPr>
            <w:tcW w:w="2943" w:type="dxa"/>
            <w:vMerge/>
            <w:tcBorders>
              <w:top w:val="nil"/>
            </w:tcBorders>
          </w:tcPr>
          <w:p w:rsidR="00B23B94" w:rsidRDefault="00B23B94">
            <w:pPr>
              <w:rPr>
                <w:sz w:val="2"/>
                <w:szCs w:val="2"/>
              </w:rPr>
            </w:pPr>
          </w:p>
        </w:tc>
        <w:tc>
          <w:tcPr>
            <w:tcW w:w="1277" w:type="dxa"/>
          </w:tcPr>
          <w:p w:rsidR="00B23B94" w:rsidRDefault="003B2D3B">
            <w:pPr>
              <w:pStyle w:val="TableParagraph"/>
              <w:spacing w:line="296" w:lineRule="exact"/>
              <w:ind w:left="388" w:right="377"/>
              <w:rPr>
                <w:sz w:val="28"/>
              </w:rPr>
            </w:pPr>
            <w:r>
              <w:rPr>
                <w:sz w:val="28"/>
              </w:rPr>
              <w:t>абс.</w:t>
            </w:r>
          </w:p>
        </w:tc>
        <w:tc>
          <w:tcPr>
            <w:tcW w:w="1277" w:type="dxa"/>
          </w:tcPr>
          <w:p w:rsidR="00B23B94" w:rsidRDefault="003B2D3B">
            <w:pPr>
              <w:pStyle w:val="TableParagraph"/>
              <w:spacing w:line="296" w:lineRule="exact"/>
              <w:ind w:left="520"/>
              <w:jc w:val="left"/>
              <w:rPr>
                <w:sz w:val="28"/>
              </w:rPr>
            </w:pPr>
            <w:r>
              <w:rPr>
                <w:sz w:val="28"/>
              </w:rPr>
              <w:t>%</w:t>
            </w:r>
          </w:p>
        </w:tc>
        <w:tc>
          <w:tcPr>
            <w:tcW w:w="1134" w:type="dxa"/>
          </w:tcPr>
          <w:p w:rsidR="00B23B94" w:rsidRDefault="003B2D3B">
            <w:pPr>
              <w:pStyle w:val="TableParagraph"/>
              <w:spacing w:line="296" w:lineRule="exact"/>
              <w:ind w:left="314" w:right="309"/>
              <w:rPr>
                <w:sz w:val="28"/>
              </w:rPr>
            </w:pPr>
            <w:r>
              <w:rPr>
                <w:sz w:val="28"/>
              </w:rPr>
              <w:t>абс.</w:t>
            </w:r>
          </w:p>
        </w:tc>
        <w:tc>
          <w:tcPr>
            <w:tcW w:w="992" w:type="dxa"/>
          </w:tcPr>
          <w:p w:rsidR="00B23B94" w:rsidRDefault="003B2D3B">
            <w:pPr>
              <w:pStyle w:val="TableParagraph"/>
              <w:spacing w:line="296" w:lineRule="exact"/>
              <w:ind w:left="8"/>
              <w:rPr>
                <w:sz w:val="28"/>
              </w:rPr>
            </w:pPr>
            <w:r>
              <w:rPr>
                <w:sz w:val="28"/>
              </w:rPr>
              <w:t>%</w:t>
            </w:r>
          </w:p>
        </w:tc>
        <w:tc>
          <w:tcPr>
            <w:tcW w:w="995" w:type="dxa"/>
          </w:tcPr>
          <w:p w:rsidR="00B23B94" w:rsidRDefault="003B2D3B">
            <w:pPr>
              <w:pStyle w:val="TableParagraph"/>
              <w:spacing w:line="296" w:lineRule="exact"/>
              <w:ind w:left="243" w:right="241"/>
              <w:rPr>
                <w:sz w:val="28"/>
              </w:rPr>
            </w:pPr>
            <w:r>
              <w:rPr>
                <w:sz w:val="28"/>
              </w:rPr>
              <w:t>абс.</w:t>
            </w:r>
          </w:p>
        </w:tc>
        <w:tc>
          <w:tcPr>
            <w:tcW w:w="1055" w:type="dxa"/>
          </w:tcPr>
          <w:p w:rsidR="00B23B94" w:rsidRDefault="003B2D3B">
            <w:pPr>
              <w:pStyle w:val="TableParagraph"/>
              <w:spacing w:line="296" w:lineRule="exact"/>
              <w:rPr>
                <w:sz w:val="28"/>
              </w:rPr>
            </w:pPr>
            <w:r>
              <w:rPr>
                <w:sz w:val="28"/>
              </w:rPr>
              <w:t>%</w:t>
            </w:r>
          </w:p>
        </w:tc>
      </w:tr>
      <w:tr w:rsidR="00B23B94">
        <w:trPr>
          <w:trHeight w:val="642"/>
        </w:trPr>
        <w:tc>
          <w:tcPr>
            <w:tcW w:w="2943" w:type="dxa"/>
          </w:tcPr>
          <w:p w:rsidR="00B23B94" w:rsidRDefault="003B2D3B">
            <w:pPr>
              <w:pStyle w:val="TableParagraph"/>
              <w:spacing w:before="3" w:line="322" w:lineRule="exact"/>
              <w:ind w:left="1139" w:right="146" w:hanging="970"/>
              <w:jc w:val="left"/>
              <w:rPr>
                <w:sz w:val="28"/>
              </w:rPr>
            </w:pPr>
            <w:r>
              <w:rPr>
                <w:sz w:val="28"/>
              </w:rPr>
              <w:t>Прокальцитонін &gt; 2,0 нг/мл</w:t>
            </w:r>
          </w:p>
        </w:tc>
        <w:tc>
          <w:tcPr>
            <w:tcW w:w="1277" w:type="dxa"/>
          </w:tcPr>
          <w:p w:rsidR="00B23B94" w:rsidRDefault="003B2D3B">
            <w:pPr>
              <w:pStyle w:val="TableParagraph"/>
              <w:spacing w:before="160"/>
              <w:ind w:left="10"/>
              <w:rPr>
                <w:sz w:val="28"/>
              </w:rPr>
            </w:pPr>
            <w:r>
              <w:rPr>
                <w:sz w:val="28"/>
              </w:rPr>
              <w:t>8</w:t>
            </w:r>
          </w:p>
        </w:tc>
        <w:tc>
          <w:tcPr>
            <w:tcW w:w="1277" w:type="dxa"/>
          </w:tcPr>
          <w:p w:rsidR="00B23B94" w:rsidRDefault="003B2D3B">
            <w:pPr>
              <w:pStyle w:val="TableParagraph"/>
              <w:spacing w:before="160"/>
              <w:ind w:left="496"/>
              <w:jc w:val="left"/>
              <w:rPr>
                <w:sz w:val="28"/>
              </w:rPr>
            </w:pPr>
            <w:r>
              <w:rPr>
                <w:sz w:val="28"/>
              </w:rPr>
              <w:t>80</w:t>
            </w:r>
          </w:p>
        </w:tc>
        <w:tc>
          <w:tcPr>
            <w:tcW w:w="1134" w:type="dxa"/>
          </w:tcPr>
          <w:p w:rsidR="00B23B94" w:rsidRDefault="003B2D3B">
            <w:pPr>
              <w:pStyle w:val="TableParagraph"/>
              <w:spacing w:before="160"/>
              <w:ind w:left="4"/>
              <w:rPr>
                <w:sz w:val="28"/>
              </w:rPr>
            </w:pPr>
            <w:r>
              <w:rPr>
                <w:sz w:val="28"/>
              </w:rPr>
              <w:t>6</w:t>
            </w:r>
          </w:p>
        </w:tc>
        <w:tc>
          <w:tcPr>
            <w:tcW w:w="992" w:type="dxa"/>
          </w:tcPr>
          <w:p w:rsidR="00B23B94" w:rsidRDefault="003B2D3B">
            <w:pPr>
              <w:pStyle w:val="TableParagraph"/>
              <w:spacing w:before="160"/>
              <w:ind w:left="228" w:right="223"/>
              <w:rPr>
                <w:sz w:val="28"/>
              </w:rPr>
            </w:pPr>
            <w:r>
              <w:rPr>
                <w:sz w:val="28"/>
              </w:rPr>
              <w:t>85,7</w:t>
            </w:r>
          </w:p>
        </w:tc>
        <w:tc>
          <w:tcPr>
            <w:tcW w:w="995" w:type="dxa"/>
          </w:tcPr>
          <w:p w:rsidR="00B23B94" w:rsidRDefault="003B2D3B">
            <w:pPr>
              <w:pStyle w:val="TableParagraph"/>
              <w:spacing w:before="160"/>
              <w:ind w:left="243" w:right="238"/>
              <w:rPr>
                <w:sz w:val="28"/>
              </w:rPr>
            </w:pPr>
            <w:r>
              <w:rPr>
                <w:sz w:val="28"/>
              </w:rPr>
              <w:t>14</w:t>
            </w:r>
          </w:p>
        </w:tc>
        <w:tc>
          <w:tcPr>
            <w:tcW w:w="1055" w:type="dxa"/>
          </w:tcPr>
          <w:p w:rsidR="00B23B94" w:rsidRDefault="003B2D3B">
            <w:pPr>
              <w:pStyle w:val="TableParagraph"/>
              <w:spacing w:before="160"/>
              <w:ind w:left="256" w:right="257"/>
              <w:rPr>
                <w:sz w:val="28"/>
              </w:rPr>
            </w:pPr>
            <w:r>
              <w:rPr>
                <w:sz w:val="28"/>
              </w:rPr>
              <w:t>82,3</w:t>
            </w:r>
          </w:p>
        </w:tc>
      </w:tr>
      <w:tr w:rsidR="00B23B94">
        <w:trPr>
          <w:trHeight w:val="641"/>
        </w:trPr>
        <w:tc>
          <w:tcPr>
            <w:tcW w:w="2943" w:type="dxa"/>
          </w:tcPr>
          <w:p w:rsidR="00B23B94" w:rsidRDefault="003B2D3B">
            <w:pPr>
              <w:pStyle w:val="TableParagraph"/>
              <w:spacing w:before="2" w:line="322" w:lineRule="exact"/>
              <w:ind w:left="1139" w:right="146" w:hanging="970"/>
              <w:jc w:val="left"/>
              <w:rPr>
                <w:sz w:val="28"/>
              </w:rPr>
            </w:pPr>
            <w:r>
              <w:rPr>
                <w:sz w:val="28"/>
              </w:rPr>
              <w:t>Прокальцитонін &gt; 3,8 нг/мл</w:t>
            </w:r>
          </w:p>
        </w:tc>
        <w:tc>
          <w:tcPr>
            <w:tcW w:w="1277" w:type="dxa"/>
          </w:tcPr>
          <w:p w:rsidR="00B23B94" w:rsidRDefault="003B2D3B">
            <w:pPr>
              <w:pStyle w:val="TableParagraph"/>
              <w:spacing w:before="159"/>
              <w:ind w:left="10"/>
              <w:rPr>
                <w:sz w:val="28"/>
              </w:rPr>
            </w:pPr>
            <w:r>
              <w:rPr>
                <w:sz w:val="28"/>
              </w:rPr>
              <w:t>1</w:t>
            </w:r>
          </w:p>
        </w:tc>
        <w:tc>
          <w:tcPr>
            <w:tcW w:w="1277" w:type="dxa"/>
          </w:tcPr>
          <w:p w:rsidR="00B23B94" w:rsidRDefault="003B2D3B">
            <w:pPr>
              <w:pStyle w:val="TableParagraph"/>
              <w:spacing w:before="159"/>
              <w:ind w:left="496"/>
              <w:jc w:val="left"/>
              <w:rPr>
                <w:sz w:val="28"/>
              </w:rPr>
            </w:pPr>
            <w:r>
              <w:rPr>
                <w:sz w:val="28"/>
              </w:rPr>
              <w:t>10</w:t>
            </w:r>
          </w:p>
        </w:tc>
        <w:tc>
          <w:tcPr>
            <w:tcW w:w="1134" w:type="dxa"/>
          </w:tcPr>
          <w:p w:rsidR="00B23B94" w:rsidRDefault="003B2D3B">
            <w:pPr>
              <w:pStyle w:val="TableParagraph"/>
              <w:spacing w:before="159"/>
              <w:ind w:left="4"/>
              <w:rPr>
                <w:sz w:val="28"/>
              </w:rPr>
            </w:pPr>
            <w:r>
              <w:rPr>
                <w:sz w:val="28"/>
              </w:rPr>
              <w:t>3</w:t>
            </w:r>
          </w:p>
        </w:tc>
        <w:tc>
          <w:tcPr>
            <w:tcW w:w="992" w:type="dxa"/>
          </w:tcPr>
          <w:p w:rsidR="00B23B94" w:rsidRDefault="003B2D3B">
            <w:pPr>
              <w:pStyle w:val="TableParagraph"/>
              <w:spacing w:before="159"/>
              <w:ind w:left="228" w:right="223"/>
              <w:rPr>
                <w:sz w:val="28"/>
              </w:rPr>
            </w:pPr>
            <w:r>
              <w:rPr>
                <w:sz w:val="28"/>
              </w:rPr>
              <w:t>42,9</w:t>
            </w:r>
          </w:p>
        </w:tc>
        <w:tc>
          <w:tcPr>
            <w:tcW w:w="995" w:type="dxa"/>
          </w:tcPr>
          <w:p w:rsidR="00B23B94" w:rsidRDefault="003B2D3B">
            <w:pPr>
              <w:pStyle w:val="TableParagraph"/>
              <w:spacing w:before="159"/>
              <w:ind w:left="1"/>
              <w:rPr>
                <w:sz w:val="28"/>
              </w:rPr>
            </w:pPr>
            <w:r>
              <w:rPr>
                <w:sz w:val="28"/>
              </w:rPr>
              <w:t>4</w:t>
            </w:r>
          </w:p>
        </w:tc>
        <w:tc>
          <w:tcPr>
            <w:tcW w:w="1055" w:type="dxa"/>
          </w:tcPr>
          <w:p w:rsidR="00B23B94" w:rsidRDefault="003B2D3B">
            <w:pPr>
              <w:pStyle w:val="TableParagraph"/>
              <w:spacing w:before="159"/>
              <w:ind w:left="256" w:right="257"/>
              <w:rPr>
                <w:sz w:val="28"/>
              </w:rPr>
            </w:pPr>
            <w:r>
              <w:rPr>
                <w:sz w:val="28"/>
              </w:rPr>
              <w:t>23,5</w:t>
            </w:r>
          </w:p>
        </w:tc>
      </w:tr>
      <w:tr w:rsidR="00B23B94">
        <w:trPr>
          <w:trHeight w:val="637"/>
        </w:trPr>
        <w:tc>
          <w:tcPr>
            <w:tcW w:w="2943" w:type="dxa"/>
          </w:tcPr>
          <w:p w:rsidR="00B23B94" w:rsidRDefault="003B2D3B">
            <w:pPr>
              <w:pStyle w:val="TableParagraph"/>
              <w:spacing w:line="317" w:lineRule="exact"/>
              <w:ind w:left="150" w:right="141"/>
              <w:rPr>
                <w:sz w:val="28"/>
              </w:rPr>
            </w:pPr>
            <w:r>
              <w:rPr>
                <w:sz w:val="28"/>
              </w:rPr>
              <w:t>С-реактивний білок &gt;</w:t>
            </w:r>
          </w:p>
          <w:p w:rsidR="00B23B94" w:rsidRDefault="003B2D3B">
            <w:pPr>
              <w:pStyle w:val="TableParagraph"/>
              <w:spacing w:line="301" w:lineRule="exact"/>
              <w:ind w:left="150" w:right="141"/>
              <w:rPr>
                <w:sz w:val="28"/>
              </w:rPr>
            </w:pPr>
            <w:r>
              <w:rPr>
                <w:sz w:val="28"/>
              </w:rPr>
              <w:t>5,0 мг/л</w:t>
            </w:r>
          </w:p>
        </w:tc>
        <w:tc>
          <w:tcPr>
            <w:tcW w:w="1277" w:type="dxa"/>
          </w:tcPr>
          <w:p w:rsidR="00B23B94" w:rsidRDefault="003B2D3B">
            <w:pPr>
              <w:pStyle w:val="TableParagraph"/>
              <w:spacing w:before="155"/>
              <w:ind w:left="10"/>
              <w:rPr>
                <w:sz w:val="28"/>
              </w:rPr>
            </w:pPr>
            <w:r>
              <w:rPr>
                <w:sz w:val="28"/>
              </w:rPr>
              <w:t>9</w:t>
            </w:r>
          </w:p>
        </w:tc>
        <w:tc>
          <w:tcPr>
            <w:tcW w:w="1277" w:type="dxa"/>
          </w:tcPr>
          <w:p w:rsidR="00B23B94" w:rsidRDefault="003B2D3B">
            <w:pPr>
              <w:pStyle w:val="TableParagraph"/>
              <w:spacing w:before="155"/>
              <w:ind w:left="496"/>
              <w:jc w:val="left"/>
              <w:rPr>
                <w:sz w:val="28"/>
              </w:rPr>
            </w:pPr>
            <w:r>
              <w:rPr>
                <w:sz w:val="28"/>
              </w:rPr>
              <w:t>90</w:t>
            </w:r>
          </w:p>
        </w:tc>
        <w:tc>
          <w:tcPr>
            <w:tcW w:w="1134" w:type="dxa"/>
          </w:tcPr>
          <w:p w:rsidR="00B23B94" w:rsidRDefault="003B2D3B">
            <w:pPr>
              <w:pStyle w:val="TableParagraph"/>
              <w:spacing w:before="155"/>
              <w:ind w:left="4"/>
              <w:rPr>
                <w:sz w:val="28"/>
              </w:rPr>
            </w:pPr>
            <w:r>
              <w:rPr>
                <w:sz w:val="28"/>
              </w:rPr>
              <w:t>7</w:t>
            </w:r>
          </w:p>
        </w:tc>
        <w:tc>
          <w:tcPr>
            <w:tcW w:w="992" w:type="dxa"/>
          </w:tcPr>
          <w:p w:rsidR="00B23B94" w:rsidRDefault="003B2D3B">
            <w:pPr>
              <w:pStyle w:val="TableParagraph"/>
              <w:spacing w:before="155"/>
              <w:ind w:left="228" w:right="220"/>
              <w:rPr>
                <w:sz w:val="28"/>
              </w:rPr>
            </w:pPr>
            <w:r>
              <w:rPr>
                <w:sz w:val="28"/>
              </w:rPr>
              <w:t>100</w:t>
            </w:r>
          </w:p>
        </w:tc>
        <w:tc>
          <w:tcPr>
            <w:tcW w:w="995" w:type="dxa"/>
          </w:tcPr>
          <w:p w:rsidR="00B23B94" w:rsidRDefault="003B2D3B">
            <w:pPr>
              <w:pStyle w:val="TableParagraph"/>
              <w:spacing w:before="155"/>
              <w:ind w:left="243" w:right="238"/>
              <w:rPr>
                <w:sz w:val="28"/>
              </w:rPr>
            </w:pPr>
            <w:r>
              <w:rPr>
                <w:sz w:val="28"/>
              </w:rPr>
              <w:t>16</w:t>
            </w:r>
          </w:p>
        </w:tc>
        <w:tc>
          <w:tcPr>
            <w:tcW w:w="1055" w:type="dxa"/>
          </w:tcPr>
          <w:p w:rsidR="00B23B94" w:rsidRDefault="003B2D3B">
            <w:pPr>
              <w:pStyle w:val="TableParagraph"/>
              <w:spacing w:before="155"/>
              <w:ind w:left="256" w:right="257"/>
              <w:rPr>
                <w:sz w:val="28"/>
              </w:rPr>
            </w:pPr>
            <w:r>
              <w:rPr>
                <w:sz w:val="28"/>
              </w:rPr>
              <w:t>94,1</w:t>
            </w:r>
          </w:p>
        </w:tc>
      </w:tr>
      <w:tr w:rsidR="00B23B94">
        <w:trPr>
          <w:trHeight w:val="645"/>
        </w:trPr>
        <w:tc>
          <w:tcPr>
            <w:tcW w:w="2943" w:type="dxa"/>
          </w:tcPr>
          <w:p w:rsidR="00B23B94" w:rsidRDefault="003B2D3B">
            <w:pPr>
              <w:pStyle w:val="TableParagraph"/>
              <w:spacing w:before="6" w:line="322" w:lineRule="exact"/>
              <w:ind w:left="866" w:right="146" w:hanging="692"/>
              <w:jc w:val="left"/>
              <w:rPr>
                <w:sz w:val="28"/>
              </w:rPr>
            </w:pPr>
            <w:r>
              <w:rPr>
                <w:sz w:val="28"/>
              </w:rPr>
              <w:t>С-реактивний білок &gt; 100,0 мг/л</w:t>
            </w:r>
          </w:p>
        </w:tc>
        <w:tc>
          <w:tcPr>
            <w:tcW w:w="1277" w:type="dxa"/>
          </w:tcPr>
          <w:p w:rsidR="00B23B94" w:rsidRDefault="003B2D3B">
            <w:pPr>
              <w:pStyle w:val="TableParagraph"/>
              <w:spacing w:before="163"/>
              <w:ind w:left="10"/>
              <w:rPr>
                <w:sz w:val="28"/>
              </w:rPr>
            </w:pPr>
            <w:r>
              <w:rPr>
                <w:sz w:val="28"/>
              </w:rPr>
              <w:t>0</w:t>
            </w:r>
          </w:p>
        </w:tc>
        <w:tc>
          <w:tcPr>
            <w:tcW w:w="1277" w:type="dxa"/>
          </w:tcPr>
          <w:p w:rsidR="00B23B94" w:rsidRDefault="003B2D3B">
            <w:pPr>
              <w:pStyle w:val="TableParagraph"/>
              <w:spacing w:before="163"/>
              <w:ind w:left="568"/>
              <w:jc w:val="left"/>
              <w:rPr>
                <w:sz w:val="28"/>
              </w:rPr>
            </w:pPr>
            <w:r>
              <w:rPr>
                <w:sz w:val="28"/>
              </w:rPr>
              <w:t>0</w:t>
            </w:r>
          </w:p>
        </w:tc>
        <w:tc>
          <w:tcPr>
            <w:tcW w:w="1134" w:type="dxa"/>
          </w:tcPr>
          <w:p w:rsidR="00B23B94" w:rsidRDefault="003B2D3B">
            <w:pPr>
              <w:pStyle w:val="TableParagraph"/>
              <w:spacing w:before="163"/>
              <w:ind w:left="4"/>
              <w:rPr>
                <w:sz w:val="28"/>
              </w:rPr>
            </w:pPr>
            <w:r>
              <w:rPr>
                <w:sz w:val="28"/>
              </w:rPr>
              <w:t>0</w:t>
            </w:r>
          </w:p>
        </w:tc>
        <w:tc>
          <w:tcPr>
            <w:tcW w:w="992" w:type="dxa"/>
          </w:tcPr>
          <w:p w:rsidR="00B23B94" w:rsidRDefault="003B2D3B">
            <w:pPr>
              <w:pStyle w:val="TableParagraph"/>
              <w:spacing w:before="163"/>
              <w:ind w:left="6"/>
              <w:rPr>
                <w:sz w:val="28"/>
              </w:rPr>
            </w:pPr>
            <w:r>
              <w:rPr>
                <w:sz w:val="28"/>
              </w:rPr>
              <w:t>0</w:t>
            </w:r>
          </w:p>
        </w:tc>
        <w:tc>
          <w:tcPr>
            <w:tcW w:w="995" w:type="dxa"/>
          </w:tcPr>
          <w:p w:rsidR="00B23B94" w:rsidRDefault="003B2D3B">
            <w:pPr>
              <w:pStyle w:val="TableParagraph"/>
              <w:spacing w:before="163"/>
              <w:ind w:left="1"/>
              <w:rPr>
                <w:sz w:val="28"/>
              </w:rPr>
            </w:pPr>
            <w:r>
              <w:rPr>
                <w:sz w:val="28"/>
              </w:rPr>
              <w:t>0</w:t>
            </w:r>
          </w:p>
        </w:tc>
        <w:tc>
          <w:tcPr>
            <w:tcW w:w="1055" w:type="dxa"/>
          </w:tcPr>
          <w:p w:rsidR="00B23B94" w:rsidRDefault="003B2D3B">
            <w:pPr>
              <w:pStyle w:val="TableParagraph"/>
              <w:spacing w:before="163"/>
              <w:rPr>
                <w:sz w:val="28"/>
              </w:rPr>
            </w:pPr>
            <w:r>
              <w:rPr>
                <w:sz w:val="28"/>
              </w:rPr>
              <w:t>0</w:t>
            </w:r>
          </w:p>
        </w:tc>
      </w:tr>
      <w:tr w:rsidR="00B23B94">
        <w:trPr>
          <w:trHeight w:val="530"/>
        </w:trPr>
        <w:tc>
          <w:tcPr>
            <w:tcW w:w="2943" w:type="dxa"/>
          </w:tcPr>
          <w:p w:rsidR="00B23B94" w:rsidRDefault="003B2D3B">
            <w:pPr>
              <w:pStyle w:val="TableParagraph"/>
              <w:spacing w:before="101"/>
              <w:ind w:left="150" w:right="142"/>
              <w:rPr>
                <w:sz w:val="28"/>
              </w:rPr>
            </w:pPr>
            <w:r>
              <w:rPr>
                <w:sz w:val="28"/>
              </w:rPr>
              <w:t>low T</w:t>
            </w:r>
            <w:r>
              <w:rPr>
                <w:sz w:val="28"/>
                <w:vertAlign w:val="subscript"/>
              </w:rPr>
              <w:t>3</w:t>
            </w:r>
          </w:p>
        </w:tc>
        <w:tc>
          <w:tcPr>
            <w:tcW w:w="1277" w:type="dxa"/>
          </w:tcPr>
          <w:p w:rsidR="00B23B94" w:rsidRDefault="003B2D3B">
            <w:pPr>
              <w:pStyle w:val="TableParagraph"/>
              <w:spacing w:before="101"/>
              <w:ind w:left="10"/>
              <w:rPr>
                <w:sz w:val="28"/>
              </w:rPr>
            </w:pPr>
            <w:r>
              <w:rPr>
                <w:sz w:val="28"/>
              </w:rPr>
              <w:t>1</w:t>
            </w:r>
          </w:p>
        </w:tc>
        <w:tc>
          <w:tcPr>
            <w:tcW w:w="1277" w:type="dxa"/>
          </w:tcPr>
          <w:p w:rsidR="00B23B94" w:rsidRDefault="003B2D3B">
            <w:pPr>
              <w:pStyle w:val="TableParagraph"/>
              <w:spacing w:before="101"/>
              <w:ind w:left="496"/>
              <w:jc w:val="left"/>
              <w:rPr>
                <w:sz w:val="28"/>
              </w:rPr>
            </w:pPr>
            <w:r>
              <w:rPr>
                <w:sz w:val="28"/>
              </w:rPr>
              <w:t>10</w:t>
            </w:r>
          </w:p>
        </w:tc>
        <w:tc>
          <w:tcPr>
            <w:tcW w:w="1134" w:type="dxa"/>
          </w:tcPr>
          <w:p w:rsidR="00B23B94" w:rsidRDefault="003B2D3B">
            <w:pPr>
              <w:pStyle w:val="TableParagraph"/>
              <w:spacing w:before="101"/>
              <w:ind w:left="4"/>
              <w:rPr>
                <w:sz w:val="28"/>
              </w:rPr>
            </w:pPr>
            <w:r>
              <w:rPr>
                <w:sz w:val="28"/>
              </w:rPr>
              <w:t>7</w:t>
            </w:r>
          </w:p>
        </w:tc>
        <w:tc>
          <w:tcPr>
            <w:tcW w:w="992" w:type="dxa"/>
          </w:tcPr>
          <w:p w:rsidR="00B23B94" w:rsidRDefault="003B2D3B">
            <w:pPr>
              <w:pStyle w:val="TableParagraph"/>
              <w:spacing w:before="101"/>
              <w:ind w:left="228" w:right="220"/>
              <w:rPr>
                <w:sz w:val="28"/>
              </w:rPr>
            </w:pPr>
            <w:r>
              <w:rPr>
                <w:sz w:val="28"/>
              </w:rPr>
              <w:t>100</w:t>
            </w:r>
          </w:p>
        </w:tc>
        <w:tc>
          <w:tcPr>
            <w:tcW w:w="995" w:type="dxa"/>
          </w:tcPr>
          <w:p w:rsidR="00B23B94" w:rsidRDefault="003B2D3B">
            <w:pPr>
              <w:pStyle w:val="TableParagraph"/>
              <w:spacing w:before="101"/>
              <w:ind w:left="1"/>
              <w:rPr>
                <w:sz w:val="28"/>
              </w:rPr>
            </w:pPr>
            <w:r>
              <w:rPr>
                <w:sz w:val="28"/>
              </w:rPr>
              <w:t>8</w:t>
            </w:r>
          </w:p>
        </w:tc>
        <w:tc>
          <w:tcPr>
            <w:tcW w:w="1055" w:type="dxa"/>
          </w:tcPr>
          <w:p w:rsidR="00B23B94" w:rsidRDefault="003B2D3B">
            <w:pPr>
              <w:pStyle w:val="TableParagraph"/>
              <w:spacing w:before="101"/>
              <w:ind w:left="255" w:right="258"/>
              <w:rPr>
                <w:sz w:val="28"/>
              </w:rPr>
            </w:pPr>
            <w:r>
              <w:rPr>
                <w:sz w:val="28"/>
              </w:rPr>
              <w:t>47,1</w:t>
            </w:r>
          </w:p>
        </w:tc>
      </w:tr>
    </w:tbl>
    <w:p w:rsidR="00B23B94" w:rsidRDefault="00B23B94">
      <w:pPr>
        <w:pStyle w:val="a3"/>
        <w:spacing w:before="9"/>
        <w:ind w:left="0"/>
        <w:jc w:val="left"/>
        <w:rPr>
          <w:b/>
          <w:sz w:val="41"/>
        </w:rPr>
      </w:pPr>
    </w:p>
    <w:p w:rsidR="00B23B94" w:rsidRDefault="003B2D3B">
      <w:pPr>
        <w:pStyle w:val="a3"/>
        <w:spacing w:before="1" w:line="360" w:lineRule="auto"/>
        <w:ind w:left="542" w:right="783" w:firstLine="705"/>
      </w:pPr>
      <w:r>
        <w:t>Проте підвищення рівня прокальцитоніну вище 3,8 нг/мл, що свідчило б про інфікування парапанкреатичних скупчень при ГТП спостерігали у 1 (10%) пацієнта з середньо-тяжким перебігом гострого панкреатиту і у 3 (42,9%) пацієнтів з тяжким перебігом. Підвищення показників С-реактивного білка вище 100 мг/л не зареєстровано як в групі пацієнтів з тяжким панкреатитом, так і серед хворих з панкреатитом середньої тяжкості. В той же час, зниження вільного трийодтироніну відмічено у 100% пацієнтів з тяжким панкреатитом і лише у 10% з</w:t>
      </w:r>
      <w:r>
        <w:rPr>
          <w:spacing w:val="-8"/>
        </w:rPr>
        <w:t xml:space="preserve"> </w:t>
      </w:r>
      <w:r>
        <w:t>середньо-тяжким.</w:t>
      </w:r>
    </w:p>
    <w:p w:rsidR="00B23B94" w:rsidRDefault="003B2D3B">
      <w:pPr>
        <w:pStyle w:val="a3"/>
        <w:spacing w:line="360" w:lineRule="auto"/>
        <w:ind w:left="542" w:right="784" w:firstLine="707"/>
      </w:pPr>
      <w:r>
        <w:t>В подальшому всі пацієнти отримували комплексну терапію, проводився постійний клініко-лабораторний моніторинг. Двоє пацієнтів (11,8%), у яких за даними комп’ютерної томографії на 13-14 добу діагностовано інфільтрацію парапанкреатичної клітковини без рідинного компоненту, продовжували отримувати консервативну терапію. Рідинний компонент без секвестральних мас діагностовано у 6 (35,3%) пацієнтів. Поширеність на 1 ЗППН виявлено у 1 (5,9%) хворого, на 2 ЗППН – 4 (23,5%) хворих, 3-4 ЗППН – 1 (5,9%) хворого. Ознаки компресії верхніх відділів шлунково-кишкового тракту клінічно визначалися у 2 (11,8%) пацієнтів.</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0" w:firstLine="707"/>
      </w:pPr>
      <w:r>
        <w:lastRenderedPageBreak/>
        <w:t>На підставі аналізу даних отриманих на попередньому етапі дослідження була змінена тактика пункційно-дренуючих втручань. За наявності ознак SIRS та/або ознак компресії верхніх відділів шлунково- кишкового тракту, всі рідинні скупчення первинно підлягали пункції під ультразвуковим контролем для декомпресії, макроскопічної оцінки характеру отриманих виділень та для виконання посіву на мікрофлору з подальшим визначенням чутливості до антибактеріальних препаратів. Дренування рідинних скупчень виконували якщо первинно під час пункції отримували гній.</w:t>
      </w:r>
    </w:p>
    <w:p w:rsidR="00B23B94" w:rsidRDefault="003B2D3B">
      <w:pPr>
        <w:pStyle w:val="a3"/>
        <w:spacing w:before="4" w:line="360" w:lineRule="auto"/>
        <w:ind w:left="542" w:right="781" w:firstLine="719"/>
      </w:pPr>
      <w:r>
        <w:t>Дренування під УЗД контролем виконано 5 (29,4%) пацієнтам, у 1 випадку (5,9%) виконувалася відкрита операція, у зв’язку з відсутністю технічних умов (відсутність «ехо-вікна») для дренування. У 4 пацієнтів (23,5%), дана маніпуляція була завершальним етапом у лікуванні. Двоє пацієнтів потребували подальшого дообстеження. Причиною тому було наявність на 3-4 добу ознак SIRS у 1 (5,9%) пацієнта та відсутність регресу клініки високої кишкової непрохідності у 1 (5,9%) пацієнта. У даному випадку було прийнято рішення про виконання магнітно-резонансного обстеження цим пацієнтам, за результатами якого було виявлено наявність секвестральних мас, що попередньо не були діагностовані за допомогою УЗД/КТ дослідження. В подальшому цим хворим було виконано відкриті операції з некрсеквестректомією.</w:t>
      </w:r>
    </w:p>
    <w:p w:rsidR="00B23B94" w:rsidRDefault="003B2D3B">
      <w:pPr>
        <w:pStyle w:val="a3"/>
        <w:spacing w:line="362" w:lineRule="auto"/>
        <w:ind w:left="542" w:right="789" w:firstLine="707"/>
      </w:pPr>
      <w:r>
        <w:t xml:space="preserve">Наявність рідинного компоненту з секвестрами діагностовано у 9 (52,9%) пацієнтів. Поширеність на 1 ЗППН виявлено у 1 (5,9%) хворого, </w:t>
      </w:r>
      <w:r>
        <w:rPr>
          <w:spacing w:val="10"/>
        </w:rPr>
        <w:t xml:space="preserve"> </w:t>
      </w:r>
      <w:r>
        <w:t>на 2</w:t>
      </w:r>
    </w:p>
    <w:p w:rsidR="00B23B94" w:rsidRDefault="003B2D3B">
      <w:pPr>
        <w:pStyle w:val="a3"/>
        <w:spacing w:line="317" w:lineRule="exact"/>
        <w:ind w:left="542"/>
      </w:pPr>
      <w:r>
        <w:t>ЗППН</w:t>
      </w:r>
      <w:r>
        <w:rPr>
          <w:spacing w:val="5"/>
        </w:rPr>
        <w:t xml:space="preserve"> </w:t>
      </w:r>
      <w:r>
        <w:t>–</w:t>
      </w:r>
      <w:r>
        <w:rPr>
          <w:spacing w:val="10"/>
        </w:rPr>
        <w:t xml:space="preserve"> </w:t>
      </w:r>
      <w:r>
        <w:t>у</w:t>
      </w:r>
      <w:r>
        <w:rPr>
          <w:spacing w:val="3"/>
        </w:rPr>
        <w:t xml:space="preserve"> </w:t>
      </w:r>
      <w:r>
        <w:t>2</w:t>
      </w:r>
      <w:r>
        <w:rPr>
          <w:spacing w:val="7"/>
        </w:rPr>
        <w:t xml:space="preserve"> </w:t>
      </w:r>
      <w:r>
        <w:t>(11,8%)</w:t>
      </w:r>
      <w:r>
        <w:rPr>
          <w:spacing w:val="3"/>
        </w:rPr>
        <w:t xml:space="preserve"> </w:t>
      </w:r>
      <w:r>
        <w:t>хворих,</w:t>
      </w:r>
      <w:r>
        <w:rPr>
          <w:spacing w:val="5"/>
        </w:rPr>
        <w:t xml:space="preserve"> </w:t>
      </w:r>
      <w:r>
        <w:t>3-4</w:t>
      </w:r>
      <w:r>
        <w:rPr>
          <w:spacing w:val="9"/>
        </w:rPr>
        <w:t xml:space="preserve"> </w:t>
      </w:r>
      <w:r>
        <w:t>ЗППН</w:t>
      </w:r>
      <w:r>
        <w:rPr>
          <w:spacing w:val="5"/>
        </w:rPr>
        <w:t xml:space="preserve"> </w:t>
      </w:r>
      <w:r>
        <w:t>–</w:t>
      </w:r>
      <w:r>
        <w:rPr>
          <w:spacing w:val="8"/>
        </w:rPr>
        <w:t xml:space="preserve"> </w:t>
      </w:r>
      <w:r>
        <w:t>у</w:t>
      </w:r>
      <w:r>
        <w:rPr>
          <w:spacing w:val="5"/>
        </w:rPr>
        <w:t xml:space="preserve"> </w:t>
      </w:r>
      <w:r>
        <w:t>4</w:t>
      </w:r>
      <w:r>
        <w:rPr>
          <w:spacing w:val="7"/>
        </w:rPr>
        <w:t xml:space="preserve"> </w:t>
      </w:r>
      <w:r>
        <w:t>(23,5%)</w:t>
      </w:r>
      <w:r>
        <w:rPr>
          <w:spacing w:val="6"/>
        </w:rPr>
        <w:t xml:space="preserve"> </w:t>
      </w:r>
      <w:r>
        <w:t>хворих,</w:t>
      </w:r>
      <w:r>
        <w:rPr>
          <w:spacing w:val="5"/>
        </w:rPr>
        <w:t xml:space="preserve"> </w:t>
      </w:r>
      <w:r>
        <w:t>на</w:t>
      </w:r>
      <w:r>
        <w:rPr>
          <w:spacing w:val="7"/>
        </w:rPr>
        <w:t xml:space="preserve"> </w:t>
      </w:r>
      <w:r>
        <w:t>5</w:t>
      </w:r>
      <w:r>
        <w:rPr>
          <w:spacing w:val="7"/>
        </w:rPr>
        <w:t xml:space="preserve"> </w:t>
      </w:r>
      <w:r>
        <w:t>і</w:t>
      </w:r>
      <w:r>
        <w:rPr>
          <w:spacing w:val="7"/>
        </w:rPr>
        <w:t xml:space="preserve"> </w:t>
      </w:r>
      <w:r>
        <w:t>більше</w:t>
      </w:r>
      <w:r>
        <w:rPr>
          <w:spacing w:val="12"/>
        </w:rPr>
        <w:t xml:space="preserve"> </w:t>
      </w:r>
      <w:r>
        <w:t>–</w:t>
      </w:r>
      <w:r>
        <w:rPr>
          <w:spacing w:val="8"/>
        </w:rPr>
        <w:t xml:space="preserve"> </w:t>
      </w:r>
      <w:r>
        <w:t>2</w:t>
      </w:r>
    </w:p>
    <w:p w:rsidR="00B23B94" w:rsidRDefault="003B2D3B">
      <w:pPr>
        <w:pStyle w:val="a3"/>
        <w:spacing w:before="159" w:line="360" w:lineRule="auto"/>
        <w:ind w:left="542" w:right="787"/>
      </w:pPr>
      <w:r>
        <w:t>(11,8%) хворих. 8 пацієнтам (88,9%) виконувалася первинно лапаротомія з некрсеквестректомією та дренуванням порожнин гнійників з налагоджуванням проточного промивання. Завершальним етапом у лікуванні дане оперативне втручання було у 2 (17,6%) хворих, 6 пацієнтів (35,3%) потребували етапних НСЕ.</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3" w:firstLine="707"/>
      </w:pPr>
      <w:r>
        <w:lastRenderedPageBreak/>
        <w:t>Одному пацієнту (5,9%) за даними КТ органів черевної порожнини діагностовано секвестральні маси з рідинним компонентом, що поширювалися на дві анатомічні ділянки (сальникова сумка та лівий ретроколярний простір) та сполучалися між собою. Під час УЗД встановлено наявність «ехо-вікна» для дренування як через передню черевну стінку так і можливість для дренування через лівий фланк. У даному випадку прийнято рішення дренувати через лівий ретроколярний простір одним дренажем</w:t>
      </w:r>
      <w:r>
        <w:rPr>
          <w:spacing w:val="62"/>
        </w:rPr>
        <w:t xml:space="preserve"> </w:t>
      </w:r>
      <w:r>
        <w:t>типу</w:t>
      </w:r>
    </w:p>
    <w:p w:rsidR="00B23B94" w:rsidRDefault="003B2D3B">
      <w:pPr>
        <w:pStyle w:val="a3"/>
        <w:spacing w:before="2" w:line="360" w:lineRule="auto"/>
        <w:ind w:left="542" w:right="785"/>
      </w:pPr>
      <w:r>
        <w:t>«pig tail». В подальшому даному пацієнту вдалося виконати бужування даної порожнини абсцесу за допомогою розробленого в клініці «Пристрою для бужування    порожнини    абсцесу»   (патент    України    на   корисну</w:t>
      </w:r>
      <w:r>
        <w:rPr>
          <w:spacing w:val="21"/>
        </w:rPr>
        <w:t xml:space="preserve"> </w:t>
      </w:r>
      <w:r>
        <w:t>модель</w:t>
      </w:r>
    </w:p>
    <w:p w:rsidR="00B23B94" w:rsidRDefault="003B2D3B">
      <w:pPr>
        <w:pStyle w:val="a3"/>
        <w:spacing w:before="1" w:line="360" w:lineRule="auto"/>
        <w:ind w:left="542" w:right="783"/>
      </w:pPr>
      <w:r>
        <w:t>№127401 від 25.07.2018р) (рис.1), а саме розбужувати вхід в порожнину з секвестральними масами під місцевою анестезією через міні-люмботоиічний доступ (патент України на корисну модель №128237 від 10.09.2018р). У випадку коли під час діагностики виявляли рідинне скупчення з наявними у них секвестральними масами, що поширювалося на 1 або 2 анатомічні ділянки, після первинного дренування, пацієнтам виконувалося бужування порожнини абсцесу (3 пацієнта – 13,6%) за допомогою розробленого нами пристрою.</w:t>
      </w:r>
    </w:p>
    <w:p w:rsidR="00B23B94" w:rsidRDefault="003B2D3B">
      <w:pPr>
        <w:pStyle w:val="a3"/>
        <w:spacing w:before="1" w:line="360" w:lineRule="auto"/>
        <w:ind w:left="542" w:right="785" w:firstLine="707"/>
      </w:pPr>
      <w:r>
        <w:t>Суть методу полягала в тому що, за допомогою 7 металевих трубок різного діаметру, які подаються одна за одною, з подальшим видаленням попередньої, ми мали змогу збільшити післяопераційну рану з діаметру який відповідав зовнішньому діаметру катетеру типу «pig tail» до такого щоб можна було евакуювати вільно лежачий секвестр. Маніпуляція виконувалася під місцевою анестезією, тим самим зменшували додаткове анестезіологічне навантаження пацієнтам з тяжким основним захворюванням, а також вдається знизити ризик післяопераційних</w:t>
      </w:r>
      <w:r>
        <w:rPr>
          <w:spacing w:val="-1"/>
        </w:rPr>
        <w:t xml:space="preserve"> </w:t>
      </w:r>
      <w:r>
        <w:t>ускладнень.</w:t>
      </w:r>
    </w:p>
    <w:p w:rsidR="00B23B94" w:rsidRDefault="00B23B94">
      <w:pPr>
        <w:spacing w:line="360" w:lineRule="auto"/>
        <w:sectPr w:rsidR="00B23B94">
          <w:pgSz w:w="11910" w:h="16840"/>
          <w:pgMar w:top="1040" w:right="60" w:bottom="280" w:left="1160" w:header="719" w:footer="0" w:gutter="0"/>
          <w:cols w:space="720"/>
        </w:sectPr>
      </w:pPr>
    </w:p>
    <w:p w:rsidR="00B23B94" w:rsidRDefault="00B23B94">
      <w:pPr>
        <w:pStyle w:val="a3"/>
        <w:spacing w:before="10"/>
        <w:ind w:left="0"/>
        <w:jc w:val="left"/>
        <w:rPr>
          <w:sz w:val="7"/>
        </w:rPr>
      </w:pPr>
    </w:p>
    <w:p w:rsidR="00B23B94" w:rsidRDefault="003B2D3B">
      <w:pPr>
        <w:pStyle w:val="a3"/>
        <w:ind w:left="1746"/>
        <w:jc w:val="left"/>
        <w:rPr>
          <w:sz w:val="20"/>
        </w:rPr>
      </w:pPr>
      <w:r>
        <w:rPr>
          <w:noProof/>
          <w:sz w:val="20"/>
          <w:lang w:eastAsia="uk-UA"/>
        </w:rPr>
        <w:drawing>
          <wp:inline distT="0" distB="0" distL="0" distR="0">
            <wp:extent cx="4444299" cy="296303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2" cstate="print"/>
                    <a:stretch>
                      <a:fillRect/>
                    </a:stretch>
                  </pic:blipFill>
                  <pic:spPr>
                    <a:xfrm>
                      <a:off x="0" y="0"/>
                      <a:ext cx="4444299" cy="2963036"/>
                    </a:xfrm>
                    <a:prstGeom prst="rect">
                      <a:avLst/>
                    </a:prstGeom>
                  </pic:spPr>
                </pic:pic>
              </a:graphicData>
            </a:graphic>
          </wp:inline>
        </w:drawing>
      </w:r>
    </w:p>
    <w:p w:rsidR="00B23B94" w:rsidRDefault="003B2D3B">
      <w:pPr>
        <w:spacing w:before="126"/>
        <w:ind w:left="525" w:right="769"/>
        <w:jc w:val="center"/>
        <w:rPr>
          <w:i/>
          <w:sz w:val="28"/>
        </w:rPr>
      </w:pPr>
      <w:r>
        <w:rPr>
          <w:i/>
          <w:sz w:val="28"/>
        </w:rPr>
        <w:t>Рис.1</w:t>
      </w:r>
    </w:p>
    <w:p w:rsidR="00B23B94" w:rsidRDefault="003B2D3B">
      <w:pPr>
        <w:pStyle w:val="1"/>
        <w:ind w:left="526" w:right="769"/>
        <w:jc w:val="center"/>
      </w:pPr>
      <w:r>
        <w:t>Пристрій для бужування порожнини абсцесу</w:t>
      </w:r>
    </w:p>
    <w:p w:rsidR="00B23B94" w:rsidRDefault="00B23B94">
      <w:pPr>
        <w:pStyle w:val="a3"/>
        <w:ind w:left="0"/>
        <w:jc w:val="left"/>
        <w:rPr>
          <w:b/>
          <w:sz w:val="30"/>
        </w:rPr>
      </w:pPr>
    </w:p>
    <w:p w:rsidR="00B23B94" w:rsidRDefault="00B23B94">
      <w:pPr>
        <w:pStyle w:val="a3"/>
        <w:spacing w:before="10"/>
        <w:ind w:left="0"/>
        <w:jc w:val="left"/>
        <w:rPr>
          <w:b/>
          <w:sz w:val="25"/>
        </w:rPr>
      </w:pPr>
    </w:p>
    <w:p w:rsidR="00B23B94" w:rsidRDefault="003B2D3B">
      <w:pPr>
        <w:spacing w:before="1"/>
        <w:ind w:left="1250"/>
        <w:jc w:val="both"/>
        <w:rPr>
          <w:i/>
          <w:sz w:val="28"/>
        </w:rPr>
      </w:pPr>
      <w:r>
        <w:rPr>
          <w:i/>
          <w:sz w:val="28"/>
        </w:rPr>
        <w:t>Клінічний приклад №1.</w:t>
      </w:r>
    </w:p>
    <w:p w:rsidR="00B23B94" w:rsidRDefault="003B2D3B">
      <w:pPr>
        <w:spacing w:before="162" w:line="360" w:lineRule="auto"/>
        <w:ind w:left="542" w:right="790" w:firstLine="707"/>
        <w:jc w:val="both"/>
        <w:rPr>
          <w:i/>
          <w:sz w:val="28"/>
        </w:rPr>
      </w:pPr>
      <w:r>
        <w:rPr>
          <w:i/>
          <w:sz w:val="28"/>
        </w:rPr>
        <w:t>Пацієнт К.,ІХ №13349 58 років, знаходився на лікуванні в хірургічному відділенні «КП ПОР ПОКЛ» ім. М.В. Скліфосовського 3 18.07.17 по 16.08.17р, з діагнозом: Гострий тяжкий панкреатит. Панкреонекроз. Абсцес сальникової сумки. Ретрокалярна флегмона зліва. Гіпертонічна хвороба ІІ ст, 2ст., ризик</w:t>
      </w:r>
      <w:r>
        <w:rPr>
          <w:i/>
          <w:spacing w:val="-3"/>
          <w:sz w:val="28"/>
        </w:rPr>
        <w:t xml:space="preserve"> </w:t>
      </w:r>
      <w:r>
        <w:rPr>
          <w:i/>
          <w:sz w:val="28"/>
        </w:rPr>
        <w:t>помірний.</w:t>
      </w:r>
    </w:p>
    <w:p w:rsidR="00B23B94" w:rsidRDefault="003B2D3B">
      <w:pPr>
        <w:spacing w:line="360" w:lineRule="auto"/>
        <w:ind w:left="542" w:right="783" w:firstLine="707"/>
        <w:jc w:val="both"/>
        <w:rPr>
          <w:i/>
          <w:sz w:val="28"/>
        </w:rPr>
      </w:pPr>
      <w:r>
        <w:rPr>
          <w:i/>
          <w:sz w:val="28"/>
        </w:rPr>
        <w:t>Госпіталізований через 3 доби від початку захворювання зі скаргами на біль оперізуючого характеру в верхніх відділах живота, періодичну нудоту, рвоту, підвищення температури тіла до 38,2</w:t>
      </w:r>
      <w:r>
        <w:rPr>
          <w:i/>
          <w:sz w:val="28"/>
          <w:vertAlign w:val="superscript"/>
        </w:rPr>
        <w:t>0</w:t>
      </w:r>
      <w:r>
        <w:rPr>
          <w:i/>
          <w:sz w:val="28"/>
        </w:rPr>
        <w:t>С. Дебют пов’язує з погрішністю в харчуванні. При огляді: шкірні покриви блідо-рожевого кольору, дихання самостійне, кисневонезалежний, ЧДР – 19/хв. Пульс задовільних властивостей, ЧСС – 96 за хвилину. АТ – 140/90 мм.рт.ст. Гемодинамічно стабільний. Язик вологий, обкладений біля кореня білим нальотом. Живіт симетричний, не здутий, бере участь в акті дихання. Пальпаторно м’який, помірно болючий в епігастрії, лівому підребер’ї, де визначається болючий інфільтрат без чітких контурів, діаметром близько</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line="362" w:lineRule="auto"/>
        <w:ind w:left="542" w:right="785"/>
        <w:jc w:val="both"/>
        <w:rPr>
          <w:i/>
          <w:sz w:val="28"/>
        </w:rPr>
      </w:pPr>
      <w:r>
        <w:rPr>
          <w:i/>
          <w:sz w:val="28"/>
        </w:rPr>
        <w:lastRenderedPageBreak/>
        <w:t>15 см. Симптоми подразнення очеревини негативні, перистальтика задовільна. Діурез і стул не порушені.</w:t>
      </w:r>
    </w:p>
    <w:p w:rsidR="00B23B94" w:rsidRDefault="003B2D3B">
      <w:pPr>
        <w:spacing w:line="360" w:lineRule="auto"/>
        <w:ind w:left="542" w:right="783" w:firstLine="707"/>
        <w:jc w:val="both"/>
        <w:rPr>
          <w:i/>
          <w:sz w:val="28"/>
        </w:rPr>
      </w:pPr>
      <w:r>
        <w:rPr>
          <w:i/>
          <w:sz w:val="28"/>
        </w:rPr>
        <w:t>Пацієнту призначено стандартну інфузійну, спазмолітичну терапію, проводили динамічний контроль загально клінічних обстежень, і на 6 добу виконано КТ з в/в контрастуванням, за результатами якої виявлено рідинне скупчення неоднорідної структури в сальниковій сумці розміром 12*8*6 см, а також ретрокалярну флегмону ліворуч, розміром 8*6*6 см. Встановлено, що ці скупчення з’єднувалися між собою. Ультразвукове обстеження показало можливість дренувати рідинні скупчення через передню черевну стінку в епігастральній ділянці, а також окремо дренувати ретрокалярну флегмону з бокового доступу.</w:t>
      </w:r>
    </w:p>
    <w:p w:rsidR="00B23B94" w:rsidRDefault="003B2D3B">
      <w:pPr>
        <w:spacing w:line="360" w:lineRule="auto"/>
        <w:ind w:left="542" w:right="784" w:firstLine="707"/>
        <w:jc w:val="both"/>
        <w:rPr>
          <w:i/>
          <w:sz w:val="28"/>
        </w:rPr>
      </w:pPr>
      <w:r>
        <w:rPr>
          <w:i/>
          <w:sz w:val="28"/>
        </w:rPr>
        <w:t xml:space="preserve">Враховуючи те, що 2 скупчення знаходилися близько один до одного, а також те, що вони сполучалися, прийнято рішення дренувати обидва скупчення через лівий ретрокалярний простір одним катетером типу «pig tail» («нанизуючий дренаж»). Одномоментно отримано гній з детритом, в об’ємі до 300 мл. Пунктат відправлено на бактеріологічне дослідження, на посів на мікрофлору та визначення чутливості до антибіотиків. Діастаза виділень становила 512 Од При переоцінці через 3 доби, дебіт по дренажу знизився, і складав близько 30 мл/добу. В динаміці стану пацієнта відмічали відсутність регресу клініки SIRS. Хворому проведене визначення гормонів щитоподібної залози. Так за результати показник </w:t>
      </w:r>
      <w:r>
        <w:rPr>
          <w:i/>
          <w:spacing w:val="3"/>
          <w:sz w:val="28"/>
        </w:rPr>
        <w:t>Т</w:t>
      </w:r>
      <w:r>
        <w:rPr>
          <w:i/>
          <w:spacing w:val="3"/>
          <w:sz w:val="28"/>
          <w:vertAlign w:val="subscript"/>
        </w:rPr>
        <w:t>3</w:t>
      </w:r>
      <w:r>
        <w:rPr>
          <w:i/>
          <w:spacing w:val="3"/>
          <w:sz w:val="28"/>
        </w:rPr>
        <w:t xml:space="preserve"> </w:t>
      </w:r>
      <w:r>
        <w:rPr>
          <w:i/>
          <w:sz w:val="28"/>
        </w:rPr>
        <w:t>– 2,8 нмоль/л, Т</w:t>
      </w:r>
      <w:r>
        <w:rPr>
          <w:i/>
          <w:sz w:val="28"/>
          <w:vertAlign w:val="subscript"/>
        </w:rPr>
        <w:t>4</w:t>
      </w:r>
      <w:r>
        <w:rPr>
          <w:i/>
          <w:sz w:val="28"/>
        </w:rPr>
        <w:t xml:space="preserve"> – 88 нмоль/л, ТТГ – 1,2 мМЕ/л. Тоді як рівень Т</w:t>
      </w:r>
      <w:r>
        <w:rPr>
          <w:i/>
          <w:sz w:val="28"/>
          <w:vertAlign w:val="subscript"/>
        </w:rPr>
        <w:t>3вільного</w:t>
      </w:r>
      <w:r>
        <w:rPr>
          <w:i/>
          <w:sz w:val="28"/>
        </w:rPr>
        <w:t xml:space="preserve"> складав 1,4 </w:t>
      </w:r>
      <w:r>
        <w:rPr>
          <w:i/>
          <w:spacing w:val="-7"/>
          <w:sz w:val="28"/>
        </w:rPr>
        <w:t xml:space="preserve">нмоль/л, </w:t>
      </w:r>
      <w:r>
        <w:rPr>
          <w:i/>
          <w:sz w:val="28"/>
        </w:rPr>
        <w:t>прокальцитоніну – 2,6 нг/мл, С-реактивного білка – 9,3 мг/л – що свідчило про розвиток синдрому lowT</w:t>
      </w:r>
      <w:r>
        <w:rPr>
          <w:i/>
          <w:sz w:val="28"/>
          <w:vertAlign w:val="subscript"/>
        </w:rPr>
        <w:t>3</w:t>
      </w:r>
      <w:r>
        <w:rPr>
          <w:i/>
          <w:sz w:val="28"/>
        </w:rPr>
        <w:t xml:space="preserve"> у даного</w:t>
      </w:r>
      <w:r>
        <w:rPr>
          <w:i/>
          <w:spacing w:val="-3"/>
          <w:sz w:val="28"/>
        </w:rPr>
        <w:t xml:space="preserve"> </w:t>
      </w:r>
      <w:r>
        <w:rPr>
          <w:i/>
          <w:sz w:val="28"/>
        </w:rPr>
        <w:t>пацієнта.</w:t>
      </w:r>
    </w:p>
    <w:p w:rsidR="00B23B94" w:rsidRDefault="003B2D3B">
      <w:pPr>
        <w:spacing w:line="360" w:lineRule="auto"/>
        <w:ind w:left="542" w:right="785" w:firstLine="707"/>
        <w:jc w:val="both"/>
        <w:rPr>
          <w:i/>
          <w:sz w:val="28"/>
        </w:rPr>
      </w:pPr>
      <w:r>
        <w:rPr>
          <w:i/>
          <w:sz w:val="28"/>
        </w:rPr>
        <w:t>Виконано ультразвукове дослідження, за даними якого рідинний компонент не визначався, а діагностовано лише наявність порожнини з секвестрами. Фланкове дренування дало змогу даному пацієнту провести мініінвазивне втручання з допомогою розробленого в клініці патенту під місцевою анестезією. Видалено вільнолежачі секвестри загальним об’ємом</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tabs>
          <w:tab w:val="left" w:pos="5062"/>
        </w:tabs>
        <w:spacing w:before="89" w:line="362" w:lineRule="auto"/>
        <w:ind w:left="542" w:right="789"/>
        <w:rPr>
          <w:i/>
          <w:sz w:val="28"/>
        </w:rPr>
      </w:pPr>
      <w:r>
        <w:rPr>
          <w:i/>
          <w:sz w:val="28"/>
        </w:rPr>
        <w:lastRenderedPageBreak/>
        <w:t>до  300см</w:t>
      </w:r>
      <w:r>
        <w:rPr>
          <w:i/>
          <w:sz w:val="28"/>
          <w:vertAlign w:val="superscript"/>
        </w:rPr>
        <w:t>2</w:t>
      </w:r>
      <w:r>
        <w:rPr>
          <w:i/>
          <w:sz w:val="28"/>
        </w:rPr>
        <w:t xml:space="preserve">  і</w:t>
      </w:r>
      <w:r>
        <w:rPr>
          <w:i/>
          <w:spacing w:val="1"/>
          <w:sz w:val="28"/>
        </w:rPr>
        <w:t xml:space="preserve"> </w:t>
      </w:r>
      <w:r>
        <w:rPr>
          <w:i/>
          <w:sz w:val="28"/>
        </w:rPr>
        <w:t>дренувати</w:t>
      </w:r>
      <w:r>
        <w:rPr>
          <w:i/>
          <w:spacing w:val="47"/>
          <w:sz w:val="28"/>
        </w:rPr>
        <w:t xml:space="preserve"> </w:t>
      </w:r>
      <w:r>
        <w:rPr>
          <w:i/>
          <w:sz w:val="28"/>
        </w:rPr>
        <w:t>порожнину</w:t>
      </w:r>
      <w:r>
        <w:rPr>
          <w:i/>
          <w:sz w:val="28"/>
        </w:rPr>
        <w:tab/>
        <w:t>поліхлорвініловими дренажами (d≈1см) для проточного промивання</w:t>
      </w:r>
      <w:r>
        <w:rPr>
          <w:i/>
          <w:spacing w:val="-7"/>
          <w:sz w:val="28"/>
        </w:rPr>
        <w:t xml:space="preserve"> </w:t>
      </w:r>
      <w:r>
        <w:rPr>
          <w:i/>
          <w:sz w:val="28"/>
        </w:rPr>
        <w:t>(рис.2).</w:t>
      </w:r>
    </w:p>
    <w:p w:rsidR="00B23B94" w:rsidRDefault="003B2D3B">
      <w:pPr>
        <w:pStyle w:val="a3"/>
        <w:ind w:left="2398"/>
        <w:jc w:val="left"/>
        <w:rPr>
          <w:sz w:val="20"/>
        </w:rPr>
      </w:pPr>
      <w:r>
        <w:rPr>
          <w:noProof/>
          <w:sz w:val="20"/>
          <w:lang w:eastAsia="uk-UA"/>
        </w:rPr>
        <w:drawing>
          <wp:inline distT="0" distB="0" distL="0" distR="0">
            <wp:extent cx="3321170" cy="2983601"/>
            <wp:effectExtent l="0" t="254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3" cstate="print"/>
                    <a:stretch>
                      <a:fillRect/>
                    </a:stretch>
                  </pic:blipFill>
                  <pic:spPr>
                    <a:xfrm rot="5400000">
                      <a:off x="0" y="0"/>
                      <a:ext cx="3327935" cy="2989678"/>
                    </a:xfrm>
                    <a:prstGeom prst="rect">
                      <a:avLst/>
                    </a:prstGeom>
                  </pic:spPr>
                </pic:pic>
              </a:graphicData>
            </a:graphic>
          </wp:inline>
        </w:drawing>
      </w:r>
    </w:p>
    <w:p w:rsidR="00B23B94" w:rsidRDefault="003B2D3B">
      <w:pPr>
        <w:spacing w:before="132"/>
        <w:ind w:left="9184"/>
        <w:rPr>
          <w:i/>
          <w:sz w:val="28"/>
        </w:rPr>
      </w:pPr>
      <w:r>
        <w:rPr>
          <w:i/>
          <w:sz w:val="28"/>
        </w:rPr>
        <w:t>Рис.2.</w:t>
      </w:r>
    </w:p>
    <w:p w:rsidR="00B23B94" w:rsidRDefault="003B2D3B" w:rsidP="001F1099">
      <w:pPr>
        <w:pStyle w:val="2"/>
        <w:spacing w:before="161"/>
        <w:ind w:left="892" w:right="0"/>
        <w:jc w:val="left"/>
      </w:pPr>
      <w:r>
        <w:t>Дренування локальних парапанкреатичних ускладнень з мінідоступу</w:t>
      </w:r>
    </w:p>
    <w:p w:rsidR="00B23B94" w:rsidRDefault="003B2D3B" w:rsidP="001F1099">
      <w:pPr>
        <w:spacing w:before="160" w:line="360" w:lineRule="auto"/>
        <w:ind w:left="544" w:right="782" w:firstLine="709"/>
        <w:jc w:val="both"/>
        <w:rPr>
          <w:i/>
          <w:sz w:val="28"/>
        </w:rPr>
      </w:pPr>
      <w:r>
        <w:rPr>
          <w:i/>
          <w:sz w:val="28"/>
        </w:rPr>
        <w:t>Після операції, виконували промивання порожнини абсцесу до «чистих вод», і через 7 діб, хворий з дренажем виписаний на доліковування за місцем проживання. Відмічено тенденцію до нормалізації рівня Т</w:t>
      </w:r>
      <w:r>
        <w:rPr>
          <w:i/>
          <w:sz w:val="28"/>
          <w:vertAlign w:val="subscript"/>
        </w:rPr>
        <w:t>3вільного</w:t>
      </w:r>
      <w:r>
        <w:rPr>
          <w:i/>
          <w:sz w:val="28"/>
        </w:rPr>
        <w:t xml:space="preserve"> – </w:t>
      </w:r>
      <w:r>
        <w:rPr>
          <w:i/>
          <w:spacing w:val="-16"/>
          <w:sz w:val="28"/>
        </w:rPr>
        <w:t xml:space="preserve">1,9  </w:t>
      </w:r>
      <w:r>
        <w:rPr>
          <w:i/>
          <w:sz w:val="28"/>
        </w:rPr>
        <w:t>нмоль/л, а такох зниження рівня С-реактивного білка – 6,5 мг/л, та прокальцитоніну – 1,9</w:t>
      </w:r>
      <w:r>
        <w:rPr>
          <w:i/>
          <w:spacing w:val="-1"/>
          <w:sz w:val="28"/>
        </w:rPr>
        <w:t xml:space="preserve"> </w:t>
      </w:r>
      <w:r>
        <w:rPr>
          <w:i/>
          <w:sz w:val="28"/>
        </w:rPr>
        <w:t>нг/мл.</w:t>
      </w:r>
    </w:p>
    <w:p w:rsidR="00B23B94" w:rsidRDefault="003B2D3B">
      <w:pPr>
        <w:ind w:left="8509"/>
        <w:rPr>
          <w:i/>
          <w:sz w:val="28"/>
        </w:rPr>
      </w:pPr>
      <w:r>
        <w:rPr>
          <w:i/>
          <w:sz w:val="28"/>
        </w:rPr>
        <w:t>Таблиця 4.7</w:t>
      </w:r>
    </w:p>
    <w:p w:rsidR="00B23B94" w:rsidRDefault="003B2D3B" w:rsidP="001F1099">
      <w:pPr>
        <w:pStyle w:val="1"/>
        <w:spacing w:before="161"/>
        <w:ind w:left="3618" w:right="1610" w:hanging="1537"/>
      </w:pPr>
      <w:r>
        <w:rPr>
          <w:noProof/>
          <w:lang w:eastAsia="uk-UA"/>
        </w:rPr>
        <mc:AlternateContent>
          <mc:Choice Requires="wps">
            <w:drawing>
              <wp:anchor distT="0" distB="0" distL="114300" distR="114300" simplePos="0" relativeHeight="483709440" behindDoc="1" locked="0" layoutInCell="1" allowOverlap="1">
                <wp:simplePos x="0" y="0"/>
                <wp:positionH relativeFrom="page">
                  <wp:posOffset>1015365</wp:posOffset>
                </wp:positionH>
                <wp:positionV relativeFrom="paragraph">
                  <wp:posOffset>722630</wp:posOffset>
                </wp:positionV>
                <wp:extent cx="1862455" cy="619760"/>
                <wp:effectExtent l="0" t="0" r="0" b="0"/>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2455" cy="61976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1960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56.9pt" to="226.6pt,10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" strokeweight=".48pt">
                <w10:wrap anchorx="page"/>
              </v:line>
            </w:pict>
          </mc:Fallback>
        </mc:AlternateContent>
      </w:r>
      <w:r>
        <w:t>Маркери ГСУ у пацієнтів основної групи (підгрупа 2а) після оперативного втручання</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1277"/>
        <w:gridCol w:w="1277"/>
        <w:gridCol w:w="1134"/>
        <w:gridCol w:w="992"/>
        <w:gridCol w:w="995"/>
        <w:gridCol w:w="1055"/>
      </w:tblGrid>
      <w:tr w:rsidR="00B23B94">
        <w:trPr>
          <w:trHeight w:val="642"/>
        </w:trPr>
        <w:tc>
          <w:tcPr>
            <w:tcW w:w="2943" w:type="dxa"/>
            <w:vMerge w:val="restart"/>
          </w:tcPr>
          <w:p w:rsidR="00B23B94" w:rsidRDefault="003B2D3B">
            <w:pPr>
              <w:pStyle w:val="TableParagraph"/>
              <w:spacing w:line="480" w:lineRule="auto"/>
              <w:ind w:left="107" w:right="274" w:firstLine="650"/>
              <w:jc w:val="left"/>
              <w:rPr>
                <w:sz w:val="20"/>
              </w:rPr>
            </w:pPr>
            <w:r>
              <w:rPr>
                <w:sz w:val="20"/>
              </w:rPr>
              <w:t>Тяжкість панкреатиту Показник</w:t>
            </w:r>
          </w:p>
        </w:tc>
        <w:tc>
          <w:tcPr>
            <w:tcW w:w="2554" w:type="dxa"/>
            <w:gridSpan w:val="2"/>
          </w:tcPr>
          <w:p w:rsidR="00B23B94" w:rsidRDefault="003B2D3B">
            <w:pPr>
              <w:pStyle w:val="TableParagraph"/>
              <w:spacing w:line="316" w:lineRule="exact"/>
              <w:ind w:left="201" w:right="193"/>
              <w:rPr>
                <w:sz w:val="28"/>
              </w:rPr>
            </w:pPr>
            <w:r>
              <w:rPr>
                <w:sz w:val="28"/>
              </w:rPr>
              <w:t>Середньо-тяжкий</w:t>
            </w:r>
          </w:p>
          <w:p w:rsidR="00B23B94" w:rsidRDefault="003B2D3B">
            <w:pPr>
              <w:pStyle w:val="TableParagraph"/>
              <w:spacing w:line="306" w:lineRule="exact"/>
              <w:ind w:left="201" w:right="192"/>
              <w:rPr>
                <w:sz w:val="28"/>
              </w:rPr>
            </w:pPr>
            <w:r>
              <w:rPr>
                <w:sz w:val="28"/>
              </w:rPr>
              <w:t>(n=10)</w:t>
            </w:r>
          </w:p>
        </w:tc>
        <w:tc>
          <w:tcPr>
            <w:tcW w:w="2126" w:type="dxa"/>
            <w:gridSpan w:val="2"/>
          </w:tcPr>
          <w:p w:rsidR="00B23B94" w:rsidRDefault="003B2D3B">
            <w:pPr>
              <w:pStyle w:val="TableParagraph"/>
              <w:spacing w:line="316" w:lineRule="exact"/>
              <w:ind w:left="575" w:right="572"/>
              <w:rPr>
                <w:sz w:val="28"/>
              </w:rPr>
            </w:pPr>
            <w:r>
              <w:rPr>
                <w:sz w:val="28"/>
              </w:rPr>
              <w:t>Тяжкий</w:t>
            </w:r>
          </w:p>
          <w:p w:rsidR="00B23B94" w:rsidRDefault="003B2D3B">
            <w:pPr>
              <w:pStyle w:val="TableParagraph"/>
              <w:spacing w:line="306" w:lineRule="exact"/>
              <w:ind w:left="575" w:right="567"/>
              <w:rPr>
                <w:sz w:val="28"/>
              </w:rPr>
            </w:pPr>
            <w:r>
              <w:rPr>
                <w:sz w:val="28"/>
              </w:rPr>
              <w:t>(n=7)</w:t>
            </w:r>
          </w:p>
        </w:tc>
        <w:tc>
          <w:tcPr>
            <w:tcW w:w="2050" w:type="dxa"/>
            <w:gridSpan w:val="2"/>
          </w:tcPr>
          <w:p w:rsidR="00B23B94" w:rsidRDefault="003B2D3B">
            <w:pPr>
              <w:pStyle w:val="TableParagraph"/>
              <w:spacing w:line="316" w:lineRule="exact"/>
              <w:ind w:left="593"/>
              <w:jc w:val="left"/>
              <w:rPr>
                <w:sz w:val="28"/>
              </w:rPr>
            </w:pPr>
            <w:r>
              <w:rPr>
                <w:sz w:val="28"/>
              </w:rPr>
              <w:t>Всього</w:t>
            </w:r>
          </w:p>
          <w:p w:rsidR="00B23B94" w:rsidRDefault="003B2D3B">
            <w:pPr>
              <w:pStyle w:val="TableParagraph"/>
              <w:spacing w:line="306" w:lineRule="exact"/>
              <w:ind w:left="627"/>
              <w:jc w:val="left"/>
              <w:rPr>
                <w:sz w:val="28"/>
              </w:rPr>
            </w:pPr>
            <w:r>
              <w:rPr>
                <w:sz w:val="28"/>
              </w:rPr>
              <w:t>(n=17)</w:t>
            </w:r>
          </w:p>
        </w:tc>
      </w:tr>
      <w:tr w:rsidR="00B23B94">
        <w:trPr>
          <w:trHeight w:val="323"/>
        </w:trPr>
        <w:tc>
          <w:tcPr>
            <w:tcW w:w="2943" w:type="dxa"/>
            <w:vMerge/>
            <w:tcBorders>
              <w:top w:val="nil"/>
            </w:tcBorders>
          </w:tcPr>
          <w:p w:rsidR="00B23B94" w:rsidRDefault="00B23B94">
            <w:pPr>
              <w:rPr>
                <w:sz w:val="2"/>
                <w:szCs w:val="2"/>
              </w:rPr>
            </w:pPr>
          </w:p>
        </w:tc>
        <w:tc>
          <w:tcPr>
            <w:tcW w:w="1277" w:type="dxa"/>
          </w:tcPr>
          <w:p w:rsidR="00B23B94" w:rsidRDefault="003B2D3B">
            <w:pPr>
              <w:pStyle w:val="TableParagraph"/>
              <w:spacing w:line="304" w:lineRule="exact"/>
              <w:ind w:left="388" w:right="377"/>
              <w:rPr>
                <w:sz w:val="28"/>
              </w:rPr>
            </w:pPr>
            <w:r>
              <w:rPr>
                <w:sz w:val="28"/>
              </w:rPr>
              <w:t>абс.</w:t>
            </w:r>
          </w:p>
        </w:tc>
        <w:tc>
          <w:tcPr>
            <w:tcW w:w="1277" w:type="dxa"/>
          </w:tcPr>
          <w:p w:rsidR="00B23B94" w:rsidRDefault="003B2D3B">
            <w:pPr>
              <w:pStyle w:val="TableParagraph"/>
              <w:spacing w:line="304" w:lineRule="exact"/>
              <w:ind w:right="510"/>
              <w:jc w:val="right"/>
              <w:rPr>
                <w:sz w:val="28"/>
              </w:rPr>
            </w:pPr>
            <w:r>
              <w:rPr>
                <w:sz w:val="28"/>
              </w:rPr>
              <w:t>%</w:t>
            </w:r>
          </w:p>
        </w:tc>
        <w:tc>
          <w:tcPr>
            <w:tcW w:w="1134" w:type="dxa"/>
          </w:tcPr>
          <w:p w:rsidR="00B23B94" w:rsidRDefault="003B2D3B">
            <w:pPr>
              <w:pStyle w:val="TableParagraph"/>
              <w:spacing w:line="304" w:lineRule="exact"/>
              <w:ind w:left="314" w:right="309"/>
              <w:rPr>
                <w:sz w:val="28"/>
              </w:rPr>
            </w:pPr>
            <w:r>
              <w:rPr>
                <w:sz w:val="28"/>
              </w:rPr>
              <w:t>абс.</w:t>
            </w:r>
          </w:p>
        </w:tc>
        <w:tc>
          <w:tcPr>
            <w:tcW w:w="992" w:type="dxa"/>
          </w:tcPr>
          <w:p w:rsidR="00B23B94" w:rsidRDefault="003B2D3B">
            <w:pPr>
              <w:pStyle w:val="TableParagraph"/>
              <w:spacing w:line="304" w:lineRule="exact"/>
              <w:ind w:left="8"/>
              <w:rPr>
                <w:sz w:val="28"/>
              </w:rPr>
            </w:pPr>
            <w:r>
              <w:rPr>
                <w:sz w:val="28"/>
              </w:rPr>
              <w:t>%</w:t>
            </w:r>
          </w:p>
        </w:tc>
        <w:tc>
          <w:tcPr>
            <w:tcW w:w="995" w:type="dxa"/>
          </w:tcPr>
          <w:p w:rsidR="00B23B94" w:rsidRDefault="003B2D3B">
            <w:pPr>
              <w:pStyle w:val="TableParagraph"/>
              <w:spacing w:line="304" w:lineRule="exact"/>
              <w:ind w:left="243" w:right="241"/>
              <w:rPr>
                <w:sz w:val="28"/>
              </w:rPr>
            </w:pPr>
            <w:r>
              <w:rPr>
                <w:sz w:val="28"/>
              </w:rPr>
              <w:t>абс.</w:t>
            </w:r>
          </w:p>
        </w:tc>
        <w:tc>
          <w:tcPr>
            <w:tcW w:w="1055" w:type="dxa"/>
          </w:tcPr>
          <w:p w:rsidR="00B23B94" w:rsidRDefault="003B2D3B">
            <w:pPr>
              <w:pStyle w:val="TableParagraph"/>
              <w:spacing w:line="304" w:lineRule="exact"/>
              <w:rPr>
                <w:sz w:val="28"/>
              </w:rPr>
            </w:pPr>
            <w:r>
              <w:rPr>
                <w:sz w:val="28"/>
              </w:rPr>
              <w:t>%</w:t>
            </w:r>
          </w:p>
        </w:tc>
      </w:tr>
      <w:tr w:rsidR="00B23B94">
        <w:trPr>
          <w:trHeight w:val="642"/>
        </w:trPr>
        <w:tc>
          <w:tcPr>
            <w:tcW w:w="2943" w:type="dxa"/>
          </w:tcPr>
          <w:p w:rsidR="00B23B94" w:rsidRDefault="003B2D3B">
            <w:pPr>
              <w:pStyle w:val="TableParagraph"/>
              <w:spacing w:line="316" w:lineRule="exact"/>
              <w:ind w:left="150" w:right="144"/>
              <w:rPr>
                <w:sz w:val="28"/>
              </w:rPr>
            </w:pPr>
            <w:r>
              <w:rPr>
                <w:sz w:val="28"/>
              </w:rPr>
              <w:t>Прокальцитонін &gt; 2,0</w:t>
            </w:r>
          </w:p>
          <w:p w:rsidR="00B23B94" w:rsidRDefault="003B2D3B">
            <w:pPr>
              <w:pStyle w:val="TableParagraph"/>
              <w:spacing w:line="306" w:lineRule="exact"/>
              <w:ind w:left="150" w:right="141"/>
              <w:rPr>
                <w:sz w:val="28"/>
              </w:rPr>
            </w:pPr>
            <w:r>
              <w:rPr>
                <w:sz w:val="28"/>
              </w:rPr>
              <w:t>нг/мл</w:t>
            </w:r>
          </w:p>
        </w:tc>
        <w:tc>
          <w:tcPr>
            <w:tcW w:w="1277" w:type="dxa"/>
          </w:tcPr>
          <w:p w:rsidR="00B23B94" w:rsidRDefault="003B2D3B">
            <w:pPr>
              <w:pStyle w:val="TableParagraph"/>
              <w:spacing w:before="155"/>
              <w:ind w:left="10"/>
              <w:rPr>
                <w:sz w:val="28"/>
              </w:rPr>
            </w:pPr>
            <w:r>
              <w:rPr>
                <w:sz w:val="28"/>
              </w:rPr>
              <w:t>6</w:t>
            </w:r>
          </w:p>
        </w:tc>
        <w:tc>
          <w:tcPr>
            <w:tcW w:w="1277" w:type="dxa"/>
          </w:tcPr>
          <w:p w:rsidR="00B23B94" w:rsidRDefault="003B2D3B">
            <w:pPr>
              <w:pStyle w:val="TableParagraph"/>
              <w:spacing w:before="155"/>
              <w:ind w:right="485"/>
              <w:jc w:val="right"/>
              <w:rPr>
                <w:sz w:val="28"/>
              </w:rPr>
            </w:pPr>
            <w:r>
              <w:rPr>
                <w:sz w:val="28"/>
              </w:rPr>
              <w:t>60</w:t>
            </w:r>
          </w:p>
        </w:tc>
        <w:tc>
          <w:tcPr>
            <w:tcW w:w="1134" w:type="dxa"/>
          </w:tcPr>
          <w:p w:rsidR="00B23B94" w:rsidRDefault="003B2D3B">
            <w:pPr>
              <w:pStyle w:val="TableParagraph"/>
              <w:spacing w:before="155"/>
              <w:ind w:left="4"/>
              <w:rPr>
                <w:sz w:val="28"/>
              </w:rPr>
            </w:pPr>
            <w:r>
              <w:rPr>
                <w:sz w:val="28"/>
              </w:rPr>
              <w:t>4</w:t>
            </w:r>
          </w:p>
        </w:tc>
        <w:tc>
          <w:tcPr>
            <w:tcW w:w="992" w:type="dxa"/>
          </w:tcPr>
          <w:p w:rsidR="00B23B94" w:rsidRDefault="003B2D3B">
            <w:pPr>
              <w:pStyle w:val="TableParagraph"/>
              <w:spacing w:before="155"/>
              <w:ind w:left="228" w:right="223"/>
              <w:rPr>
                <w:sz w:val="28"/>
              </w:rPr>
            </w:pPr>
            <w:r>
              <w:rPr>
                <w:sz w:val="28"/>
              </w:rPr>
              <w:t>57,1</w:t>
            </w:r>
          </w:p>
        </w:tc>
        <w:tc>
          <w:tcPr>
            <w:tcW w:w="995" w:type="dxa"/>
          </w:tcPr>
          <w:p w:rsidR="00B23B94" w:rsidRDefault="003B2D3B">
            <w:pPr>
              <w:pStyle w:val="TableParagraph"/>
              <w:spacing w:before="155"/>
              <w:ind w:left="243" w:right="238"/>
              <w:rPr>
                <w:sz w:val="28"/>
              </w:rPr>
            </w:pPr>
            <w:r>
              <w:rPr>
                <w:sz w:val="28"/>
              </w:rPr>
              <w:t>10</w:t>
            </w:r>
          </w:p>
        </w:tc>
        <w:tc>
          <w:tcPr>
            <w:tcW w:w="1055" w:type="dxa"/>
          </w:tcPr>
          <w:p w:rsidR="00B23B94" w:rsidRDefault="003B2D3B">
            <w:pPr>
              <w:pStyle w:val="TableParagraph"/>
              <w:spacing w:before="155"/>
              <w:ind w:left="275"/>
              <w:jc w:val="left"/>
              <w:rPr>
                <w:sz w:val="28"/>
              </w:rPr>
            </w:pPr>
            <w:r>
              <w:rPr>
                <w:sz w:val="28"/>
              </w:rPr>
              <w:t>58,8</w:t>
            </w:r>
          </w:p>
        </w:tc>
      </w:tr>
      <w:tr w:rsidR="00B23B94">
        <w:trPr>
          <w:trHeight w:val="645"/>
        </w:trPr>
        <w:tc>
          <w:tcPr>
            <w:tcW w:w="2943" w:type="dxa"/>
          </w:tcPr>
          <w:p w:rsidR="00B23B94" w:rsidRDefault="003B2D3B">
            <w:pPr>
              <w:pStyle w:val="TableParagraph"/>
              <w:spacing w:line="317" w:lineRule="exact"/>
              <w:ind w:left="150" w:right="144"/>
              <w:rPr>
                <w:sz w:val="28"/>
              </w:rPr>
            </w:pPr>
            <w:r>
              <w:rPr>
                <w:sz w:val="28"/>
              </w:rPr>
              <w:t>Прокальцитонін &gt; 3,8</w:t>
            </w:r>
          </w:p>
          <w:p w:rsidR="00B23B94" w:rsidRDefault="003B2D3B">
            <w:pPr>
              <w:pStyle w:val="TableParagraph"/>
              <w:spacing w:line="309" w:lineRule="exact"/>
              <w:ind w:left="150" w:right="141"/>
              <w:rPr>
                <w:sz w:val="28"/>
              </w:rPr>
            </w:pPr>
            <w:r>
              <w:rPr>
                <w:sz w:val="28"/>
              </w:rPr>
              <w:t>нг/мл</w:t>
            </w:r>
          </w:p>
        </w:tc>
        <w:tc>
          <w:tcPr>
            <w:tcW w:w="1277" w:type="dxa"/>
          </w:tcPr>
          <w:p w:rsidR="00B23B94" w:rsidRDefault="003B2D3B">
            <w:pPr>
              <w:pStyle w:val="TableParagraph"/>
              <w:spacing w:before="156"/>
              <w:ind w:left="5"/>
              <w:rPr>
                <w:sz w:val="28"/>
              </w:rPr>
            </w:pPr>
            <w:r>
              <w:rPr>
                <w:sz w:val="28"/>
              </w:rPr>
              <w:t>0</w:t>
            </w:r>
          </w:p>
        </w:tc>
        <w:tc>
          <w:tcPr>
            <w:tcW w:w="1277" w:type="dxa"/>
          </w:tcPr>
          <w:p w:rsidR="00B23B94" w:rsidRDefault="003B2D3B">
            <w:pPr>
              <w:pStyle w:val="TableParagraph"/>
              <w:spacing w:before="156"/>
              <w:ind w:right="555"/>
              <w:jc w:val="right"/>
              <w:rPr>
                <w:sz w:val="28"/>
              </w:rPr>
            </w:pPr>
            <w:r>
              <w:rPr>
                <w:sz w:val="28"/>
              </w:rPr>
              <w:t>0</w:t>
            </w:r>
          </w:p>
        </w:tc>
        <w:tc>
          <w:tcPr>
            <w:tcW w:w="1134" w:type="dxa"/>
          </w:tcPr>
          <w:p w:rsidR="00B23B94" w:rsidRDefault="003B2D3B">
            <w:pPr>
              <w:pStyle w:val="TableParagraph"/>
              <w:spacing w:before="156"/>
              <w:ind w:left="4"/>
              <w:rPr>
                <w:sz w:val="28"/>
              </w:rPr>
            </w:pPr>
            <w:r>
              <w:rPr>
                <w:sz w:val="28"/>
              </w:rPr>
              <w:t>1</w:t>
            </w:r>
          </w:p>
        </w:tc>
        <w:tc>
          <w:tcPr>
            <w:tcW w:w="992" w:type="dxa"/>
          </w:tcPr>
          <w:p w:rsidR="00B23B94" w:rsidRDefault="003B2D3B">
            <w:pPr>
              <w:pStyle w:val="TableParagraph"/>
              <w:spacing w:before="156"/>
              <w:ind w:left="228" w:right="223"/>
              <w:rPr>
                <w:sz w:val="28"/>
              </w:rPr>
            </w:pPr>
            <w:r>
              <w:rPr>
                <w:sz w:val="28"/>
              </w:rPr>
              <w:t>14,3</w:t>
            </w:r>
          </w:p>
        </w:tc>
        <w:tc>
          <w:tcPr>
            <w:tcW w:w="995" w:type="dxa"/>
          </w:tcPr>
          <w:p w:rsidR="00B23B94" w:rsidRDefault="003B2D3B">
            <w:pPr>
              <w:pStyle w:val="TableParagraph"/>
              <w:spacing w:before="156"/>
              <w:ind w:left="1"/>
              <w:rPr>
                <w:sz w:val="28"/>
              </w:rPr>
            </w:pPr>
            <w:r>
              <w:rPr>
                <w:sz w:val="28"/>
              </w:rPr>
              <w:t>1</w:t>
            </w:r>
          </w:p>
        </w:tc>
        <w:tc>
          <w:tcPr>
            <w:tcW w:w="1055" w:type="dxa"/>
          </w:tcPr>
          <w:p w:rsidR="00B23B94" w:rsidRDefault="003B2D3B">
            <w:pPr>
              <w:pStyle w:val="TableParagraph"/>
              <w:spacing w:before="156"/>
              <w:ind w:left="345"/>
              <w:jc w:val="left"/>
              <w:rPr>
                <w:sz w:val="28"/>
              </w:rPr>
            </w:pPr>
            <w:r>
              <w:rPr>
                <w:sz w:val="28"/>
              </w:rPr>
              <w:t>5,9</w:t>
            </w:r>
          </w:p>
        </w:tc>
      </w:tr>
      <w:tr w:rsidR="00B23B94">
        <w:trPr>
          <w:trHeight w:val="642"/>
        </w:trPr>
        <w:tc>
          <w:tcPr>
            <w:tcW w:w="2943" w:type="dxa"/>
          </w:tcPr>
          <w:p w:rsidR="00B23B94" w:rsidRDefault="003B2D3B">
            <w:pPr>
              <w:pStyle w:val="TableParagraph"/>
              <w:spacing w:line="316" w:lineRule="exact"/>
              <w:ind w:left="150" w:right="141"/>
              <w:rPr>
                <w:sz w:val="28"/>
              </w:rPr>
            </w:pPr>
            <w:r>
              <w:rPr>
                <w:sz w:val="28"/>
              </w:rPr>
              <w:t>С-реактивний білок &gt;</w:t>
            </w:r>
          </w:p>
          <w:p w:rsidR="00B23B94" w:rsidRDefault="003B2D3B">
            <w:pPr>
              <w:pStyle w:val="TableParagraph"/>
              <w:spacing w:line="306" w:lineRule="exact"/>
              <w:ind w:left="150" w:right="141"/>
              <w:rPr>
                <w:sz w:val="28"/>
              </w:rPr>
            </w:pPr>
            <w:r>
              <w:rPr>
                <w:sz w:val="28"/>
              </w:rPr>
              <w:t>5,0 мг/л</w:t>
            </w:r>
          </w:p>
        </w:tc>
        <w:tc>
          <w:tcPr>
            <w:tcW w:w="1277" w:type="dxa"/>
          </w:tcPr>
          <w:p w:rsidR="00B23B94" w:rsidRDefault="003B2D3B">
            <w:pPr>
              <w:pStyle w:val="TableParagraph"/>
              <w:spacing w:before="155"/>
              <w:ind w:left="10"/>
              <w:rPr>
                <w:sz w:val="28"/>
              </w:rPr>
            </w:pPr>
            <w:r>
              <w:rPr>
                <w:sz w:val="28"/>
              </w:rPr>
              <w:t>8</w:t>
            </w:r>
          </w:p>
        </w:tc>
        <w:tc>
          <w:tcPr>
            <w:tcW w:w="1277" w:type="dxa"/>
          </w:tcPr>
          <w:p w:rsidR="00B23B94" w:rsidRDefault="003B2D3B">
            <w:pPr>
              <w:pStyle w:val="TableParagraph"/>
              <w:spacing w:before="155"/>
              <w:ind w:right="485"/>
              <w:jc w:val="right"/>
              <w:rPr>
                <w:sz w:val="28"/>
              </w:rPr>
            </w:pPr>
            <w:r>
              <w:rPr>
                <w:sz w:val="28"/>
              </w:rPr>
              <w:t>80</w:t>
            </w:r>
          </w:p>
        </w:tc>
        <w:tc>
          <w:tcPr>
            <w:tcW w:w="1134" w:type="dxa"/>
          </w:tcPr>
          <w:p w:rsidR="00B23B94" w:rsidRDefault="003B2D3B">
            <w:pPr>
              <w:pStyle w:val="TableParagraph"/>
              <w:spacing w:before="155"/>
              <w:ind w:left="4"/>
              <w:rPr>
                <w:sz w:val="28"/>
              </w:rPr>
            </w:pPr>
            <w:r>
              <w:rPr>
                <w:sz w:val="28"/>
              </w:rPr>
              <w:t>5</w:t>
            </w:r>
          </w:p>
        </w:tc>
        <w:tc>
          <w:tcPr>
            <w:tcW w:w="992" w:type="dxa"/>
          </w:tcPr>
          <w:p w:rsidR="00B23B94" w:rsidRDefault="003B2D3B">
            <w:pPr>
              <w:pStyle w:val="TableParagraph"/>
              <w:spacing w:before="155"/>
              <w:ind w:left="228" w:right="223"/>
              <w:rPr>
                <w:sz w:val="28"/>
              </w:rPr>
            </w:pPr>
            <w:r>
              <w:rPr>
                <w:sz w:val="28"/>
              </w:rPr>
              <w:t>71,4</w:t>
            </w:r>
          </w:p>
        </w:tc>
        <w:tc>
          <w:tcPr>
            <w:tcW w:w="995" w:type="dxa"/>
          </w:tcPr>
          <w:p w:rsidR="00B23B94" w:rsidRDefault="003B2D3B">
            <w:pPr>
              <w:pStyle w:val="TableParagraph"/>
              <w:spacing w:before="155"/>
              <w:ind w:left="243" w:right="238"/>
              <w:rPr>
                <w:sz w:val="28"/>
              </w:rPr>
            </w:pPr>
            <w:r>
              <w:rPr>
                <w:sz w:val="28"/>
              </w:rPr>
              <w:t>13</w:t>
            </w:r>
          </w:p>
        </w:tc>
        <w:tc>
          <w:tcPr>
            <w:tcW w:w="1055" w:type="dxa"/>
          </w:tcPr>
          <w:p w:rsidR="00B23B94" w:rsidRDefault="003B2D3B">
            <w:pPr>
              <w:pStyle w:val="TableParagraph"/>
              <w:spacing w:before="155"/>
              <w:ind w:left="275"/>
              <w:jc w:val="left"/>
              <w:rPr>
                <w:sz w:val="28"/>
              </w:rPr>
            </w:pPr>
            <w:r>
              <w:rPr>
                <w:sz w:val="28"/>
              </w:rPr>
              <w:t>76,4</w:t>
            </w:r>
          </w:p>
        </w:tc>
      </w:tr>
      <w:tr w:rsidR="00B23B94">
        <w:trPr>
          <w:trHeight w:val="645"/>
        </w:trPr>
        <w:tc>
          <w:tcPr>
            <w:tcW w:w="2943" w:type="dxa"/>
          </w:tcPr>
          <w:p w:rsidR="00B23B94" w:rsidRDefault="003B2D3B">
            <w:pPr>
              <w:pStyle w:val="TableParagraph"/>
              <w:spacing w:line="316" w:lineRule="exact"/>
              <w:ind w:left="150" w:right="141"/>
              <w:rPr>
                <w:sz w:val="28"/>
              </w:rPr>
            </w:pPr>
            <w:r>
              <w:rPr>
                <w:sz w:val="28"/>
              </w:rPr>
              <w:t>С-реактивний білок &gt;</w:t>
            </w:r>
          </w:p>
          <w:p w:rsidR="00B23B94" w:rsidRDefault="003B2D3B">
            <w:pPr>
              <w:pStyle w:val="TableParagraph"/>
              <w:spacing w:line="309" w:lineRule="exact"/>
              <w:ind w:left="150" w:right="139"/>
              <w:rPr>
                <w:sz w:val="28"/>
              </w:rPr>
            </w:pPr>
            <w:r>
              <w:rPr>
                <w:sz w:val="28"/>
              </w:rPr>
              <w:t>100,0 мг/л</w:t>
            </w:r>
          </w:p>
        </w:tc>
        <w:tc>
          <w:tcPr>
            <w:tcW w:w="1277" w:type="dxa"/>
          </w:tcPr>
          <w:p w:rsidR="00B23B94" w:rsidRDefault="003B2D3B">
            <w:pPr>
              <w:pStyle w:val="TableParagraph"/>
              <w:spacing w:before="155"/>
              <w:ind w:left="10"/>
              <w:rPr>
                <w:sz w:val="28"/>
              </w:rPr>
            </w:pPr>
            <w:r>
              <w:rPr>
                <w:sz w:val="28"/>
              </w:rPr>
              <w:t>0</w:t>
            </w:r>
          </w:p>
        </w:tc>
        <w:tc>
          <w:tcPr>
            <w:tcW w:w="1277" w:type="dxa"/>
          </w:tcPr>
          <w:p w:rsidR="00B23B94" w:rsidRDefault="003B2D3B">
            <w:pPr>
              <w:pStyle w:val="TableParagraph"/>
              <w:spacing w:before="155"/>
              <w:ind w:right="555"/>
              <w:jc w:val="right"/>
              <w:rPr>
                <w:sz w:val="28"/>
              </w:rPr>
            </w:pPr>
            <w:r>
              <w:rPr>
                <w:sz w:val="28"/>
              </w:rPr>
              <w:t>0</w:t>
            </w:r>
          </w:p>
        </w:tc>
        <w:tc>
          <w:tcPr>
            <w:tcW w:w="1134" w:type="dxa"/>
          </w:tcPr>
          <w:p w:rsidR="00B23B94" w:rsidRDefault="003B2D3B">
            <w:pPr>
              <w:pStyle w:val="TableParagraph"/>
              <w:spacing w:before="155"/>
              <w:ind w:left="4"/>
              <w:rPr>
                <w:sz w:val="28"/>
              </w:rPr>
            </w:pPr>
            <w:r>
              <w:rPr>
                <w:sz w:val="28"/>
              </w:rPr>
              <w:t>0</w:t>
            </w:r>
          </w:p>
        </w:tc>
        <w:tc>
          <w:tcPr>
            <w:tcW w:w="992" w:type="dxa"/>
          </w:tcPr>
          <w:p w:rsidR="00B23B94" w:rsidRDefault="003B2D3B">
            <w:pPr>
              <w:pStyle w:val="TableParagraph"/>
              <w:spacing w:before="155"/>
              <w:ind w:left="6"/>
              <w:rPr>
                <w:sz w:val="28"/>
              </w:rPr>
            </w:pPr>
            <w:r>
              <w:rPr>
                <w:sz w:val="28"/>
              </w:rPr>
              <w:t>0</w:t>
            </w:r>
          </w:p>
        </w:tc>
        <w:tc>
          <w:tcPr>
            <w:tcW w:w="995" w:type="dxa"/>
          </w:tcPr>
          <w:p w:rsidR="00B23B94" w:rsidRDefault="003B2D3B">
            <w:pPr>
              <w:pStyle w:val="TableParagraph"/>
              <w:spacing w:before="155"/>
              <w:ind w:left="1"/>
              <w:rPr>
                <w:sz w:val="28"/>
              </w:rPr>
            </w:pPr>
            <w:r>
              <w:rPr>
                <w:sz w:val="28"/>
              </w:rPr>
              <w:t>0</w:t>
            </w:r>
          </w:p>
        </w:tc>
        <w:tc>
          <w:tcPr>
            <w:tcW w:w="1055" w:type="dxa"/>
          </w:tcPr>
          <w:p w:rsidR="00B23B94" w:rsidRDefault="003B2D3B">
            <w:pPr>
              <w:pStyle w:val="TableParagraph"/>
              <w:spacing w:before="155"/>
              <w:rPr>
                <w:sz w:val="28"/>
              </w:rPr>
            </w:pPr>
            <w:r>
              <w:rPr>
                <w:sz w:val="28"/>
              </w:rPr>
              <w:t>0</w:t>
            </w:r>
          </w:p>
        </w:tc>
      </w:tr>
      <w:tr w:rsidR="00B23B94">
        <w:trPr>
          <w:trHeight w:val="532"/>
        </w:trPr>
        <w:tc>
          <w:tcPr>
            <w:tcW w:w="2943" w:type="dxa"/>
          </w:tcPr>
          <w:p w:rsidR="00B23B94" w:rsidRDefault="003B2D3B">
            <w:pPr>
              <w:pStyle w:val="TableParagraph"/>
              <w:spacing w:before="100"/>
              <w:ind w:left="150" w:right="142"/>
              <w:rPr>
                <w:sz w:val="28"/>
              </w:rPr>
            </w:pPr>
            <w:r>
              <w:rPr>
                <w:sz w:val="28"/>
              </w:rPr>
              <w:t>low T</w:t>
            </w:r>
            <w:r>
              <w:rPr>
                <w:sz w:val="28"/>
                <w:vertAlign w:val="subscript"/>
              </w:rPr>
              <w:t>3</w:t>
            </w:r>
          </w:p>
        </w:tc>
        <w:tc>
          <w:tcPr>
            <w:tcW w:w="1277" w:type="dxa"/>
          </w:tcPr>
          <w:p w:rsidR="00B23B94" w:rsidRDefault="003B2D3B">
            <w:pPr>
              <w:pStyle w:val="TableParagraph"/>
              <w:spacing w:before="100"/>
              <w:ind w:left="6"/>
              <w:rPr>
                <w:sz w:val="28"/>
              </w:rPr>
            </w:pPr>
            <w:r>
              <w:rPr>
                <w:sz w:val="28"/>
              </w:rPr>
              <w:t>-</w:t>
            </w:r>
          </w:p>
        </w:tc>
        <w:tc>
          <w:tcPr>
            <w:tcW w:w="1277" w:type="dxa"/>
          </w:tcPr>
          <w:p w:rsidR="00B23B94" w:rsidRDefault="003B2D3B">
            <w:pPr>
              <w:pStyle w:val="TableParagraph"/>
              <w:spacing w:before="100"/>
              <w:ind w:left="7"/>
              <w:rPr>
                <w:sz w:val="28"/>
              </w:rPr>
            </w:pPr>
            <w:r>
              <w:rPr>
                <w:sz w:val="28"/>
              </w:rPr>
              <w:t>-</w:t>
            </w:r>
          </w:p>
        </w:tc>
        <w:tc>
          <w:tcPr>
            <w:tcW w:w="1134" w:type="dxa"/>
          </w:tcPr>
          <w:p w:rsidR="00B23B94" w:rsidRDefault="003B2D3B">
            <w:pPr>
              <w:pStyle w:val="TableParagraph"/>
              <w:spacing w:before="100"/>
              <w:ind w:left="4"/>
              <w:rPr>
                <w:sz w:val="28"/>
              </w:rPr>
            </w:pPr>
            <w:r>
              <w:rPr>
                <w:sz w:val="28"/>
              </w:rPr>
              <w:t>6</w:t>
            </w:r>
          </w:p>
        </w:tc>
        <w:tc>
          <w:tcPr>
            <w:tcW w:w="992" w:type="dxa"/>
          </w:tcPr>
          <w:p w:rsidR="00B23B94" w:rsidRDefault="003B2D3B">
            <w:pPr>
              <w:pStyle w:val="TableParagraph"/>
              <w:spacing w:before="100"/>
              <w:ind w:left="228" w:right="223"/>
              <w:rPr>
                <w:sz w:val="28"/>
              </w:rPr>
            </w:pPr>
            <w:r>
              <w:rPr>
                <w:sz w:val="28"/>
              </w:rPr>
              <w:t>85,7</w:t>
            </w:r>
          </w:p>
        </w:tc>
        <w:tc>
          <w:tcPr>
            <w:tcW w:w="995" w:type="dxa"/>
          </w:tcPr>
          <w:p w:rsidR="00B23B94" w:rsidRDefault="003B2D3B">
            <w:pPr>
              <w:pStyle w:val="TableParagraph"/>
              <w:spacing w:before="100"/>
              <w:ind w:left="1"/>
              <w:rPr>
                <w:sz w:val="28"/>
              </w:rPr>
            </w:pPr>
            <w:r>
              <w:rPr>
                <w:sz w:val="28"/>
              </w:rPr>
              <w:t>6</w:t>
            </w:r>
          </w:p>
        </w:tc>
        <w:tc>
          <w:tcPr>
            <w:tcW w:w="1055" w:type="dxa"/>
          </w:tcPr>
          <w:p w:rsidR="00B23B94" w:rsidRDefault="003B2D3B">
            <w:pPr>
              <w:pStyle w:val="TableParagraph"/>
              <w:spacing w:before="100"/>
              <w:ind w:left="275"/>
              <w:jc w:val="left"/>
              <w:rPr>
                <w:sz w:val="28"/>
              </w:rPr>
            </w:pPr>
            <w:r>
              <w:rPr>
                <w:sz w:val="28"/>
              </w:rPr>
              <w:t>35,3</w:t>
            </w:r>
          </w:p>
        </w:tc>
      </w:tr>
    </w:tbl>
    <w:p w:rsidR="00B23B94" w:rsidRDefault="00B23B94">
      <w:pPr>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firstLine="719"/>
      </w:pPr>
      <w:r>
        <w:lastRenderedPageBreak/>
        <w:t>Показники рівня прокальцитоніну більше 2 нг/мл та С-реактивного білка більше 5 мг/л знижується у пацієнтів обох груп приблизно в півтора рази. Рівень СРБ більше 100 мг/л не визначалися після операції в жодному разі, а підвищення рівня прокальцитоніну вище 3,8 нг/мл визначалося лише у 1 (14,3%) пацієнта з тяжким перебігом гострого деструктивного панкреатиту. В той же час, значного підвищення рівня вільного трийодтироніну не спостерігається.</w:t>
      </w:r>
    </w:p>
    <w:p w:rsidR="00B23B94" w:rsidRDefault="003B2D3B">
      <w:pPr>
        <w:pStyle w:val="a3"/>
        <w:spacing w:before="2" w:line="360" w:lineRule="auto"/>
        <w:ind w:left="542" w:right="788" w:firstLine="719"/>
      </w:pPr>
      <w:r>
        <w:t>Таким чином, підвищення рівня проСа і СРБ вище нормальних показників зустрічається у більшості пацієнтів з гострим тяжким панкреатитом. Але у нашому випадку, підвищення проСа до рівня який би вказував саме на інфікування парапанкреатичних скупчень при гострому панкреатиті зустрічається лише у 14,3% (1 пацієнт), а рівень СРБ вище 100 мг/л взагалі не було, що свідчить про їх малоінформативність.</w:t>
      </w:r>
    </w:p>
    <w:p w:rsidR="00B23B94" w:rsidRDefault="003B2D3B">
      <w:pPr>
        <w:spacing w:before="2"/>
        <w:ind w:left="8509"/>
        <w:rPr>
          <w:i/>
          <w:sz w:val="28"/>
        </w:rPr>
      </w:pPr>
      <w:r>
        <w:rPr>
          <w:i/>
          <w:sz w:val="28"/>
        </w:rPr>
        <w:t>Таблиця 4.8</w:t>
      </w:r>
    </w:p>
    <w:p w:rsidR="00B23B94" w:rsidRDefault="003B2D3B">
      <w:pPr>
        <w:pStyle w:val="1"/>
        <w:ind w:left="683"/>
      </w:pPr>
      <w:r>
        <w:t>Показники маркерів ГСУ у виживших і померлих пацієнтів 2а підрупи</w:t>
      </w:r>
    </w:p>
    <w:p w:rsidR="00B23B94" w:rsidRDefault="00B23B94">
      <w:pPr>
        <w:pStyle w:val="a3"/>
        <w:spacing w:before="11"/>
        <w:ind w:left="0"/>
        <w:jc w:val="left"/>
        <w:rPr>
          <w:b/>
          <w:sz w:val="13"/>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2393"/>
        <w:gridCol w:w="2393"/>
        <w:gridCol w:w="2393"/>
      </w:tblGrid>
      <w:tr w:rsidR="00B23B94">
        <w:trPr>
          <w:trHeight w:val="481"/>
        </w:trPr>
        <w:tc>
          <w:tcPr>
            <w:tcW w:w="2393" w:type="dxa"/>
          </w:tcPr>
          <w:p w:rsidR="00B23B94" w:rsidRDefault="00B23B94">
            <w:pPr>
              <w:pStyle w:val="TableParagraph"/>
              <w:jc w:val="left"/>
              <w:rPr>
                <w:sz w:val="28"/>
              </w:rPr>
            </w:pPr>
          </w:p>
        </w:tc>
        <w:tc>
          <w:tcPr>
            <w:tcW w:w="2393" w:type="dxa"/>
          </w:tcPr>
          <w:p w:rsidR="00B23B94" w:rsidRDefault="003B2D3B">
            <w:pPr>
              <w:pStyle w:val="TableParagraph"/>
              <w:ind w:left="203" w:right="199"/>
              <w:rPr>
                <w:sz w:val="28"/>
              </w:rPr>
            </w:pPr>
            <w:r>
              <w:rPr>
                <w:sz w:val="28"/>
              </w:rPr>
              <w:t>Виживші (n=11)</w:t>
            </w:r>
          </w:p>
        </w:tc>
        <w:tc>
          <w:tcPr>
            <w:tcW w:w="2393" w:type="dxa"/>
          </w:tcPr>
          <w:p w:rsidR="00B23B94" w:rsidRDefault="003B2D3B">
            <w:pPr>
              <w:pStyle w:val="TableParagraph"/>
              <w:ind w:left="203" w:right="191"/>
              <w:rPr>
                <w:sz w:val="28"/>
              </w:rPr>
            </w:pPr>
            <w:r>
              <w:rPr>
                <w:sz w:val="28"/>
              </w:rPr>
              <w:t>Померлі (n=6)</w:t>
            </w:r>
          </w:p>
        </w:tc>
        <w:tc>
          <w:tcPr>
            <w:tcW w:w="2393" w:type="dxa"/>
          </w:tcPr>
          <w:p w:rsidR="00B23B94" w:rsidRDefault="003B2D3B">
            <w:pPr>
              <w:pStyle w:val="TableParagraph"/>
              <w:ind w:left="203" w:right="190"/>
              <w:rPr>
                <w:sz w:val="28"/>
              </w:rPr>
            </w:pPr>
            <w:r>
              <w:rPr>
                <w:sz w:val="28"/>
              </w:rPr>
              <w:t>Всього (n=17)</w:t>
            </w:r>
          </w:p>
        </w:tc>
      </w:tr>
      <w:tr w:rsidR="00B23B94">
        <w:trPr>
          <w:trHeight w:val="645"/>
        </w:trPr>
        <w:tc>
          <w:tcPr>
            <w:tcW w:w="2393" w:type="dxa"/>
          </w:tcPr>
          <w:p w:rsidR="00B23B94" w:rsidRDefault="003B2D3B">
            <w:pPr>
              <w:pStyle w:val="TableParagraph"/>
              <w:spacing w:before="2" w:line="320" w:lineRule="atLeast"/>
              <w:ind w:left="107" w:right="112"/>
              <w:jc w:val="left"/>
              <w:rPr>
                <w:sz w:val="28"/>
              </w:rPr>
            </w:pPr>
            <w:r>
              <w:rPr>
                <w:sz w:val="28"/>
              </w:rPr>
              <w:t>С-реактивний білок &gt; 100,0 мг/л</w:t>
            </w:r>
          </w:p>
        </w:tc>
        <w:tc>
          <w:tcPr>
            <w:tcW w:w="2393" w:type="dxa"/>
          </w:tcPr>
          <w:p w:rsidR="00B23B94" w:rsidRDefault="003B2D3B">
            <w:pPr>
              <w:pStyle w:val="TableParagraph"/>
              <w:spacing w:before="81"/>
              <w:ind w:left="5"/>
              <w:rPr>
                <w:sz w:val="28"/>
              </w:rPr>
            </w:pPr>
            <w:r>
              <w:rPr>
                <w:sz w:val="28"/>
              </w:rPr>
              <w:t>-</w:t>
            </w:r>
          </w:p>
        </w:tc>
        <w:tc>
          <w:tcPr>
            <w:tcW w:w="2393" w:type="dxa"/>
          </w:tcPr>
          <w:p w:rsidR="00B23B94" w:rsidRDefault="003B2D3B">
            <w:pPr>
              <w:pStyle w:val="TableParagraph"/>
              <w:spacing w:before="81"/>
              <w:ind w:left="10"/>
              <w:rPr>
                <w:sz w:val="28"/>
              </w:rPr>
            </w:pPr>
            <w:r>
              <w:rPr>
                <w:sz w:val="28"/>
              </w:rPr>
              <w:t>-</w:t>
            </w:r>
          </w:p>
        </w:tc>
        <w:tc>
          <w:tcPr>
            <w:tcW w:w="2393" w:type="dxa"/>
          </w:tcPr>
          <w:p w:rsidR="00B23B94" w:rsidRDefault="003B2D3B">
            <w:pPr>
              <w:pStyle w:val="TableParagraph"/>
              <w:spacing w:before="163"/>
              <w:ind w:left="11"/>
              <w:rPr>
                <w:sz w:val="28"/>
              </w:rPr>
            </w:pPr>
            <w:r>
              <w:rPr>
                <w:sz w:val="28"/>
              </w:rPr>
              <w:t>-</w:t>
            </w:r>
          </w:p>
        </w:tc>
      </w:tr>
      <w:tr w:rsidR="00B23B94">
        <w:trPr>
          <w:trHeight w:val="621"/>
        </w:trPr>
        <w:tc>
          <w:tcPr>
            <w:tcW w:w="2393" w:type="dxa"/>
          </w:tcPr>
          <w:p w:rsidR="00B23B94" w:rsidRDefault="003B2D3B">
            <w:pPr>
              <w:pStyle w:val="TableParagraph"/>
              <w:spacing w:before="18" w:line="304" w:lineRule="exact"/>
              <w:ind w:left="107"/>
              <w:jc w:val="left"/>
              <w:rPr>
                <w:sz w:val="26"/>
              </w:rPr>
            </w:pPr>
            <w:r>
              <w:rPr>
                <w:sz w:val="28"/>
              </w:rPr>
              <w:t xml:space="preserve">Прокальцитонін </w:t>
            </w:r>
            <w:r>
              <w:rPr>
                <w:sz w:val="26"/>
              </w:rPr>
              <w:t>&gt; 3,8 нг/мл</w:t>
            </w:r>
          </w:p>
        </w:tc>
        <w:tc>
          <w:tcPr>
            <w:tcW w:w="2393" w:type="dxa"/>
          </w:tcPr>
          <w:p w:rsidR="00B23B94" w:rsidRDefault="003B2D3B">
            <w:pPr>
              <w:pStyle w:val="TableParagraph"/>
              <w:spacing w:before="69"/>
              <w:ind w:left="203" w:right="196"/>
              <w:rPr>
                <w:sz w:val="28"/>
              </w:rPr>
            </w:pPr>
            <w:r>
              <w:rPr>
                <w:sz w:val="28"/>
              </w:rPr>
              <w:t>3 (27,3%)</w:t>
            </w:r>
          </w:p>
        </w:tc>
        <w:tc>
          <w:tcPr>
            <w:tcW w:w="2393" w:type="dxa"/>
          </w:tcPr>
          <w:p w:rsidR="00B23B94" w:rsidRDefault="003B2D3B">
            <w:pPr>
              <w:pStyle w:val="TableParagraph"/>
              <w:spacing w:before="69"/>
              <w:ind w:left="203" w:right="191"/>
              <w:rPr>
                <w:sz w:val="28"/>
              </w:rPr>
            </w:pPr>
            <w:r>
              <w:rPr>
                <w:sz w:val="28"/>
              </w:rPr>
              <w:t>1 (16,7%)</w:t>
            </w:r>
          </w:p>
        </w:tc>
        <w:tc>
          <w:tcPr>
            <w:tcW w:w="2393" w:type="dxa"/>
          </w:tcPr>
          <w:p w:rsidR="00B23B94" w:rsidRDefault="003B2D3B">
            <w:pPr>
              <w:pStyle w:val="TableParagraph"/>
              <w:spacing w:before="148"/>
              <w:ind w:left="203" w:right="191"/>
              <w:rPr>
                <w:sz w:val="28"/>
              </w:rPr>
            </w:pPr>
            <w:r>
              <w:rPr>
                <w:sz w:val="28"/>
              </w:rPr>
              <w:t>4 (23,5%)</w:t>
            </w:r>
          </w:p>
        </w:tc>
      </w:tr>
      <w:tr w:rsidR="00B23B94">
        <w:trPr>
          <w:trHeight w:val="477"/>
        </w:trPr>
        <w:tc>
          <w:tcPr>
            <w:tcW w:w="2393" w:type="dxa"/>
          </w:tcPr>
          <w:p w:rsidR="00B23B94" w:rsidRDefault="003B2D3B">
            <w:pPr>
              <w:pStyle w:val="TableParagraph"/>
              <w:spacing w:line="317" w:lineRule="exact"/>
              <w:ind w:left="107"/>
              <w:jc w:val="left"/>
              <w:rPr>
                <w:sz w:val="28"/>
              </w:rPr>
            </w:pPr>
            <w:r>
              <w:rPr>
                <w:sz w:val="28"/>
              </w:rPr>
              <w:t>low T</w:t>
            </w:r>
            <w:r>
              <w:rPr>
                <w:sz w:val="28"/>
                <w:vertAlign w:val="subscript"/>
              </w:rPr>
              <w:t>3</w:t>
            </w:r>
          </w:p>
        </w:tc>
        <w:tc>
          <w:tcPr>
            <w:tcW w:w="2393" w:type="dxa"/>
          </w:tcPr>
          <w:p w:rsidR="00B23B94" w:rsidRDefault="003B2D3B">
            <w:pPr>
              <w:pStyle w:val="TableParagraph"/>
              <w:spacing w:line="317" w:lineRule="exact"/>
              <w:ind w:left="203" w:right="199"/>
              <w:rPr>
                <w:sz w:val="28"/>
              </w:rPr>
            </w:pPr>
            <w:r>
              <w:rPr>
                <w:sz w:val="28"/>
              </w:rPr>
              <w:t>2 ( 18,2%)</w:t>
            </w:r>
          </w:p>
        </w:tc>
        <w:tc>
          <w:tcPr>
            <w:tcW w:w="2393" w:type="dxa"/>
          </w:tcPr>
          <w:p w:rsidR="00B23B94" w:rsidRDefault="003B2D3B">
            <w:pPr>
              <w:pStyle w:val="TableParagraph"/>
              <w:spacing w:line="317" w:lineRule="exact"/>
              <w:ind w:left="203" w:right="192"/>
              <w:rPr>
                <w:sz w:val="28"/>
              </w:rPr>
            </w:pPr>
            <w:r>
              <w:rPr>
                <w:sz w:val="28"/>
              </w:rPr>
              <w:t>6</w:t>
            </w:r>
            <w:r>
              <w:rPr>
                <w:spacing w:val="69"/>
                <w:sz w:val="28"/>
              </w:rPr>
              <w:t xml:space="preserve"> </w:t>
            </w:r>
            <w:r>
              <w:rPr>
                <w:sz w:val="28"/>
              </w:rPr>
              <w:t>(100%)</w:t>
            </w:r>
          </w:p>
        </w:tc>
        <w:tc>
          <w:tcPr>
            <w:tcW w:w="2393" w:type="dxa"/>
          </w:tcPr>
          <w:p w:rsidR="00B23B94" w:rsidRDefault="003B2D3B">
            <w:pPr>
              <w:pStyle w:val="TableParagraph"/>
              <w:spacing w:before="74"/>
              <w:ind w:left="203" w:right="190"/>
              <w:rPr>
                <w:sz w:val="28"/>
              </w:rPr>
            </w:pPr>
            <w:r>
              <w:rPr>
                <w:sz w:val="28"/>
              </w:rPr>
              <w:t>8 (47,1%)</w:t>
            </w:r>
          </w:p>
        </w:tc>
      </w:tr>
    </w:tbl>
    <w:p w:rsidR="00B23B94" w:rsidRDefault="00B23B94">
      <w:pPr>
        <w:pStyle w:val="a3"/>
        <w:spacing w:before="2"/>
        <w:ind w:left="0"/>
        <w:jc w:val="left"/>
        <w:rPr>
          <w:b/>
          <w:sz w:val="42"/>
        </w:rPr>
      </w:pPr>
    </w:p>
    <w:p w:rsidR="00B23B94" w:rsidRDefault="003B2D3B">
      <w:pPr>
        <w:pStyle w:val="a3"/>
        <w:spacing w:line="360" w:lineRule="auto"/>
        <w:ind w:left="542" w:right="786" w:firstLine="719"/>
      </w:pPr>
      <w:r>
        <w:t>Середній ліжко-день у хворих 2а підгрупи основної групи складав 29,6±2,9 діб. Післяопераційна летальність склала 6 хворих (35,3%).</w:t>
      </w:r>
    </w:p>
    <w:p w:rsidR="00B23B94" w:rsidRDefault="003B2D3B">
      <w:pPr>
        <w:pStyle w:val="a3"/>
        <w:spacing w:line="360" w:lineRule="auto"/>
        <w:ind w:left="542" w:right="782" w:firstLine="707"/>
      </w:pPr>
      <w:r>
        <w:t>Таким чином, низька концентрація вільного трийодтироніну в комбінації з нормальними показниками Т4 та ТТГ у пацієнтів з тяжким гострим панкреатитом (синдром LowT</w:t>
      </w:r>
      <w:r>
        <w:rPr>
          <w:vertAlign w:val="subscript"/>
        </w:rPr>
        <w:t>3</w:t>
      </w:r>
      <w:r>
        <w:t>) є предиктором несприятливого перебігу захворювання з чутливістю – 85,7% та специфічністю – 80,1%, та дозволяє підвищити ефективність хірургічної агресії за рахунок раннього виявлення пацієнтів у яких може розвинутися незворотна органна дисфункція. Відсутність декомпресійного ефекту або регрес клініки SIRS</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6"/>
      </w:pPr>
      <w:r>
        <w:lastRenderedPageBreak/>
        <w:t>потребує призначення раннього МРТ дослідження для виявлення попередньо не діагностованих секвестральних мас низької щільності при УЗ/КТ діагностиці, що допомагає оптимізувати ефективність хірургічного лікування за рахунок своєчасного планування НСЕ при гнійно-септичних ускладненнях гострого тяжкого панкреатиту. Дренування рідинних скупчень через фланки більш прийнятніше ніж фронтальне дренування при плануванні та виконанні етапних НСЕ за допомогою мінідоступів.</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numPr>
          <w:ilvl w:val="1"/>
          <w:numId w:val="5"/>
        </w:numPr>
        <w:tabs>
          <w:tab w:val="left" w:pos="1682"/>
        </w:tabs>
        <w:spacing w:before="89" w:line="362" w:lineRule="auto"/>
        <w:ind w:right="788" w:firstLine="703"/>
      </w:pPr>
      <w:bookmarkStart w:id="12" w:name="_TOC_250004"/>
      <w:r>
        <w:lastRenderedPageBreak/>
        <w:t>Особливості бактеріальної флори у пацієнтів з гострим тяжким панкреатитом основної групи (підгрупа</w:t>
      </w:r>
      <w:r>
        <w:rPr>
          <w:spacing w:val="-3"/>
        </w:rPr>
        <w:t xml:space="preserve"> </w:t>
      </w:r>
      <w:bookmarkEnd w:id="12"/>
      <w:r>
        <w:t>2а)</w:t>
      </w:r>
    </w:p>
    <w:p w:rsidR="00B23B94" w:rsidRDefault="00B23B94">
      <w:pPr>
        <w:pStyle w:val="a3"/>
        <w:spacing w:before="6"/>
        <w:ind w:left="0"/>
        <w:jc w:val="left"/>
        <w:rPr>
          <w:b/>
          <w:sz w:val="41"/>
        </w:rPr>
      </w:pPr>
    </w:p>
    <w:p w:rsidR="00B23B94" w:rsidRDefault="003B2D3B">
      <w:pPr>
        <w:pStyle w:val="a3"/>
        <w:spacing w:before="1" w:line="360" w:lineRule="auto"/>
        <w:ind w:left="542" w:right="793" w:firstLine="705"/>
      </w:pPr>
      <w:r>
        <w:t>Всім 17 пацієнтам підгрупи 2а проводили дослідження отриманого ексудату під час діагностичних пункцій, дренувань, відкритих оперативних втручань. Загалом виконано 41 бактеріальний посів.</w:t>
      </w:r>
    </w:p>
    <w:p w:rsidR="00B23B94" w:rsidRDefault="003B2D3B">
      <w:pPr>
        <w:pStyle w:val="a3"/>
        <w:spacing w:line="360" w:lineRule="auto"/>
        <w:ind w:left="542" w:right="790" w:firstLine="705"/>
      </w:pPr>
      <w:r>
        <w:t>За результатами бактеріальних пасажів отриманих після первинної діагностичної пункції (n=17) аеробна флора виявлялася лише у 4 (23,5%) випадках. В інших 13 випадках (77,5%), росту бактеріальної флори не спостерігали.</w:t>
      </w:r>
    </w:p>
    <w:p w:rsidR="00B23B94" w:rsidRDefault="003B2D3B">
      <w:pPr>
        <w:pStyle w:val="a3"/>
        <w:spacing w:before="1" w:line="360" w:lineRule="auto"/>
        <w:ind w:left="542" w:right="785" w:firstLine="705"/>
      </w:pPr>
      <w:r>
        <w:t>Повторний бактеріальний пасаж проводили уже безпосередньо після проведення хірургічних втручань. Результати дослідження представлені у таблиці 4.9.</w:t>
      </w:r>
    </w:p>
    <w:p w:rsidR="00B23B94" w:rsidRDefault="003B2D3B">
      <w:pPr>
        <w:spacing w:before="1"/>
        <w:ind w:left="8509"/>
        <w:rPr>
          <w:i/>
          <w:sz w:val="28"/>
        </w:rPr>
      </w:pPr>
      <w:r>
        <w:rPr>
          <w:i/>
          <w:sz w:val="28"/>
        </w:rPr>
        <w:t>Таблиця 4.9</w:t>
      </w:r>
    </w:p>
    <w:p w:rsidR="00B23B94" w:rsidRDefault="003B2D3B">
      <w:pPr>
        <w:pStyle w:val="1"/>
        <w:spacing w:line="360" w:lineRule="auto"/>
        <w:ind w:left="2027" w:right="1264" w:hanging="288"/>
      </w:pPr>
      <w:r>
        <w:t>Питома вага збудників повторного бактеріального пасажу у основній групі хворих на ГТП з ГСУ (підгрупа 2а)</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2"/>
        <w:gridCol w:w="5109"/>
      </w:tblGrid>
      <w:tr w:rsidR="00B23B94">
        <w:trPr>
          <w:trHeight w:val="614"/>
        </w:trPr>
        <w:tc>
          <w:tcPr>
            <w:tcW w:w="3932" w:type="dxa"/>
          </w:tcPr>
          <w:p w:rsidR="00B23B94" w:rsidRDefault="003B2D3B">
            <w:pPr>
              <w:pStyle w:val="TableParagraph"/>
              <w:ind w:left="1336" w:right="1328"/>
              <w:rPr>
                <w:sz w:val="28"/>
              </w:rPr>
            </w:pPr>
            <w:r>
              <w:rPr>
                <w:sz w:val="28"/>
              </w:rPr>
              <w:t>Збудники</w:t>
            </w:r>
          </w:p>
        </w:tc>
        <w:tc>
          <w:tcPr>
            <w:tcW w:w="5109" w:type="dxa"/>
          </w:tcPr>
          <w:p w:rsidR="00B23B94" w:rsidRDefault="003B2D3B">
            <w:pPr>
              <w:pStyle w:val="TableParagraph"/>
              <w:ind w:left="1605" w:right="1599"/>
              <w:rPr>
                <w:sz w:val="28"/>
              </w:rPr>
            </w:pPr>
            <w:r>
              <w:rPr>
                <w:sz w:val="28"/>
              </w:rPr>
              <w:t>Питома вага, %</w:t>
            </w:r>
          </w:p>
        </w:tc>
      </w:tr>
      <w:tr w:rsidR="00B23B94">
        <w:trPr>
          <w:trHeight w:val="484"/>
        </w:trPr>
        <w:tc>
          <w:tcPr>
            <w:tcW w:w="3932" w:type="dxa"/>
          </w:tcPr>
          <w:p w:rsidR="00B23B94" w:rsidRDefault="003B2D3B">
            <w:pPr>
              <w:pStyle w:val="TableParagraph"/>
              <w:ind w:left="107"/>
              <w:jc w:val="left"/>
              <w:rPr>
                <w:sz w:val="28"/>
              </w:rPr>
            </w:pPr>
            <w:r>
              <w:rPr>
                <w:sz w:val="28"/>
              </w:rPr>
              <w:t>S. aureus</w:t>
            </w:r>
          </w:p>
        </w:tc>
        <w:tc>
          <w:tcPr>
            <w:tcW w:w="5109" w:type="dxa"/>
          </w:tcPr>
          <w:p w:rsidR="00B23B94" w:rsidRDefault="003B2D3B">
            <w:pPr>
              <w:pStyle w:val="TableParagraph"/>
              <w:ind w:left="1605" w:right="1595"/>
              <w:rPr>
                <w:sz w:val="28"/>
              </w:rPr>
            </w:pPr>
            <w:r>
              <w:rPr>
                <w:sz w:val="28"/>
              </w:rPr>
              <w:t>5,9</w:t>
            </w:r>
          </w:p>
        </w:tc>
      </w:tr>
      <w:tr w:rsidR="00B23B94">
        <w:trPr>
          <w:trHeight w:val="482"/>
        </w:trPr>
        <w:tc>
          <w:tcPr>
            <w:tcW w:w="3932" w:type="dxa"/>
          </w:tcPr>
          <w:p w:rsidR="00B23B94" w:rsidRDefault="003B2D3B">
            <w:pPr>
              <w:pStyle w:val="TableParagraph"/>
              <w:ind w:left="107"/>
              <w:jc w:val="left"/>
              <w:rPr>
                <w:sz w:val="28"/>
              </w:rPr>
            </w:pPr>
            <w:r>
              <w:rPr>
                <w:sz w:val="28"/>
              </w:rPr>
              <w:t>S.epidermidis</w:t>
            </w:r>
          </w:p>
        </w:tc>
        <w:tc>
          <w:tcPr>
            <w:tcW w:w="5109" w:type="dxa"/>
          </w:tcPr>
          <w:p w:rsidR="00B23B94" w:rsidRDefault="003B2D3B">
            <w:pPr>
              <w:pStyle w:val="TableParagraph"/>
              <w:ind w:left="1605" w:right="1596"/>
              <w:rPr>
                <w:sz w:val="28"/>
              </w:rPr>
            </w:pPr>
            <w:r>
              <w:rPr>
                <w:sz w:val="28"/>
              </w:rPr>
              <w:t>17,6</w:t>
            </w:r>
          </w:p>
        </w:tc>
      </w:tr>
      <w:tr w:rsidR="00B23B94">
        <w:trPr>
          <w:trHeight w:val="482"/>
        </w:trPr>
        <w:tc>
          <w:tcPr>
            <w:tcW w:w="3932" w:type="dxa"/>
          </w:tcPr>
          <w:p w:rsidR="00B23B94" w:rsidRDefault="003B2D3B">
            <w:pPr>
              <w:pStyle w:val="TableParagraph"/>
              <w:ind w:left="107"/>
              <w:jc w:val="left"/>
              <w:rPr>
                <w:sz w:val="28"/>
              </w:rPr>
            </w:pPr>
            <w:r>
              <w:rPr>
                <w:sz w:val="28"/>
              </w:rPr>
              <w:t>Streptococcus spp.</w:t>
            </w:r>
          </w:p>
        </w:tc>
        <w:tc>
          <w:tcPr>
            <w:tcW w:w="5109" w:type="dxa"/>
          </w:tcPr>
          <w:p w:rsidR="00B23B94" w:rsidRDefault="003B2D3B">
            <w:pPr>
              <w:pStyle w:val="TableParagraph"/>
              <w:ind w:left="1605" w:right="1596"/>
              <w:rPr>
                <w:sz w:val="28"/>
              </w:rPr>
            </w:pPr>
            <w:r>
              <w:rPr>
                <w:sz w:val="28"/>
              </w:rPr>
              <w:t>17,6</w:t>
            </w:r>
          </w:p>
        </w:tc>
      </w:tr>
      <w:tr w:rsidR="00B23B94">
        <w:trPr>
          <w:trHeight w:val="484"/>
        </w:trPr>
        <w:tc>
          <w:tcPr>
            <w:tcW w:w="3932" w:type="dxa"/>
          </w:tcPr>
          <w:p w:rsidR="00B23B94" w:rsidRDefault="003B2D3B">
            <w:pPr>
              <w:pStyle w:val="TableParagraph"/>
              <w:spacing w:before="2"/>
              <w:ind w:left="107"/>
              <w:jc w:val="left"/>
              <w:rPr>
                <w:sz w:val="28"/>
              </w:rPr>
            </w:pPr>
            <w:r>
              <w:rPr>
                <w:sz w:val="28"/>
              </w:rPr>
              <w:t>Enterococcus spp.</w:t>
            </w:r>
          </w:p>
        </w:tc>
        <w:tc>
          <w:tcPr>
            <w:tcW w:w="5109" w:type="dxa"/>
          </w:tcPr>
          <w:p w:rsidR="00B23B94" w:rsidRDefault="003B2D3B">
            <w:pPr>
              <w:pStyle w:val="TableParagraph"/>
              <w:spacing w:before="2"/>
              <w:ind w:left="1605" w:right="1596"/>
              <w:rPr>
                <w:sz w:val="28"/>
              </w:rPr>
            </w:pPr>
            <w:r>
              <w:rPr>
                <w:sz w:val="28"/>
              </w:rPr>
              <w:t>11,8</w:t>
            </w:r>
          </w:p>
        </w:tc>
      </w:tr>
      <w:tr w:rsidR="00B23B94">
        <w:trPr>
          <w:trHeight w:val="482"/>
        </w:trPr>
        <w:tc>
          <w:tcPr>
            <w:tcW w:w="3932" w:type="dxa"/>
          </w:tcPr>
          <w:p w:rsidR="00B23B94" w:rsidRDefault="003B2D3B">
            <w:pPr>
              <w:pStyle w:val="TableParagraph"/>
              <w:ind w:left="107"/>
              <w:jc w:val="left"/>
              <w:rPr>
                <w:sz w:val="28"/>
              </w:rPr>
            </w:pPr>
            <w:r>
              <w:rPr>
                <w:sz w:val="28"/>
              </w:rPr>
              <w:t>E. coli</w:t>
            </w:r>
          </w:p>
        </w:tc>
        <w:tc>
          <w:tcPr>
            <w:tcW w:w="5109" w:type="dxa"/>
          </w:tcPr>
          <w:p w:rsidR="00B23B94" w:rsidRDefault="003B2D3B">
            <w:pPr>
              <w:pStyle w:val="TableParagraph"/>
              <w:ind w:left="1605" w:right="1596"/>
              <w:rPr>
                <w:sz w:val="28"/>
              </w:rPr>
            </w:pPr>
            <w:r>
              <w:rPr>
                <w:sz w:val="28"/>
              </w:rPr>
              <w:t>47,1</w:t>
            </w:r>
          </w:p>
        </w:tc>
      </w:tr>
      <w:tr w:rsidR="00B23B94">
        <w:trPr>
          <w:trHeight w:val="484"/>
        </w:trPr>
        <w:tc>
          <w:tcPr>
            <w:tcW w:w="3932" w:type="dxa"/>
          </w:tcPr>
          <w:p w:rsidR="00B23B94" w:rsidRDefault="003B2D3B">
            <w:pPr>
              <w:pStyle w:val="TableParagraph"/>
              <w:ind w:left="107"/>
              <w:jc w:val="left"/>
              <w:rPr>
                <w:sz w:val="28"/>
              </w:rPr>
            </w:pPr>
            <w:r>
              <w:rPr>
                <w:sz w:val="28"/>
              </w:rPr>
              <w:t>Klebsiella ssp.</w:t>
            </w:r>
          </w:p>
        </w:tc>
        <w:tc>
          <w:tcPr>
            <w:tcW w:w="5109" w:type="dxa"/>
          </w:tcPr>
          <w:p w:rsidR="00B23B94" w:rsidRDefault="003B2D3B">
            <w:pPr>
              <w:pStyle w:val="TableParagraph"/>
              <w:ind w:left="10"/>
              <w:rPr>
                <w:sz w:val="28"/>
              </w:rPr>
            </w:pPr>
            <w:r>
              <w:rPr>
                <w:sz w:val="28"/>
              </w:rPr>
              <w:t>0</w:t>
            </w:r>
          </w:p>
        </w:tc>
      </w:tr>
      <w:tr w:rsidR="00B23B94">
        <w:trPr>
          <w:trHeight w:val="481"/>
        </w:trPr>
        <w:tc>
          <w:tcPr>
            <w:tcW w:w="3932" w:type="dxa"/>
          </w:tcPr>
          <w:p w:rsidR="00B23B94" w:rsidRDefault="003B2D3B">
            <w:pPr>
              <w:pStyle w:val="TableParagraph"/>
              <w:ind w:left="107"/>
              <w:jc w:val="left"/>
              <w:rPr>
                <w:sz w:val="28"/>
              </w:rPr>
            </w:pPr>
            <w:r>
              <w:rPr>
                <w:sz w:val="28"/>
              </w:rPr>
              <w:t>Enterobacter spp.</w:t>
            </w:r>
          </w:p>
        </w:tc>
        <w:tc>
          <w:tcPr>
            <w:tcW w:w="5109" w:type="dxa"/>
          </w:tcPr>
          <w:p w:rsidR="00B23B94" w:rsidRDefault="003B2D3B">
            <w:pPr>
              <w:pStyle w:val="TableParagraph"/>
              <w:ind w:left="10"/>
              <w:rPr>
                <w:sz w:val="28"/>
              </w:rPr>
            </w:pPr>
            <w:r>
              <w:rPr>
                <w:sz w:val="28"/>
              </w:rPr>
              <w:t>0</w:t>
            </w:r>
          </w:p>
        </w:tc>
      </w:tr>
      <w:tr w:rsidR="00B23B94">
        <w:trPr>
          <w:trHeight w:val="482"/>
        </w:trPr>
        <w:tc>
          <w:tcPr>
            <w:tcW w:w="3932" w:type="dxa"/>
          </w:tcPr>
          <w:p w:rsidR="00B23B94" w:rsidRDefault="003B2D3B">
            <w:pPr>
              <w:pStyle w:val="TableParagraph"/>
              <w:ind w:left="107"/>
              <w:jc w:val="left"/>
              <w:rPr>
                <w:sz w:val="28"/>
              </w:rPr>
            </w:pPr>
            <w:r>
              <w:rPr>
                <w:sz w:val="28"/>
              </w:rPr>
              <w:t>Proteus spp.</w:t>
            </w:r>
          </w:p>
        </w:tc>
        <w:tc>
          <w:tcPr>
            <w:tcW w:w="5109" w:type="dxa"/>
          </w:tcPr>
          <w:p w:rsidR="00B23B94" w:rsidRDefault="003B2D3B">
            <w:pPr>
              <w:pStyle w:val="TableParagraph"/>
              <w:ind w:left="10"/>
              <w:rPr>
                <w:sz w:val="28"/>
              </w:rPr>
            </w:pPr>
            <w:r>
              <w:rPr>
                <w:sz w:val="28"/>
              </w:rPr>
              <w:t>0</w:t>
            </w:r>
          </w:p>
        </w:tc>
      </w:tr>
      <w:tr w:rsidR="00B23B94">
        <w:trPr>
          <w:trHeight w:val="484"/>
        </w:trPr>
        <w:tc>
          <w:tcPr>
            <w:tcW w:w="3932" w:type="dxa"/>
          </w:tcPr>
          <w:p w:rsidR="00B23B94" w:rsidRDefault="003B2D3B">
            <w:pPr>
              <w:pStyle w:val="TableParagraph"/>
              <w:spacing w:before="2"/>
              <w:ind w:left="107"/>
              <w:jc w:val="left"/>
              <w:rPr>
                <w:sz w:val="28"/>
              </w:rPr>
            </w:pPr>
            <w:r>
              <w:rPr>
                <w:sz w:val="28"/>
              </w:rPr>
              <w:t>Pseudomonas aeruginosae</w:t>
            </w:r>
          </w:p>
        </w:tc>
        <w:tc>
          <w:tcPr>
            <w:tcW w:w="5109" w:type="dxa"/>
          </w:tcPr>
          <w:p w:rsidR="00B23B94" w:rsidRDefault="003B2D3B">
            <w:pPr>
              <w:pStyle w:val="TableParagraph"/>
              <w:spacing w:before="2"/>
              <w:ind w:left="10"/>
              <w:rPr>
                <w:sz w:val="28"/>
              </w:rPr>
            </w:pPr>
            <w:r>
              <w:rPr>
                <w:sz w:val="28"/>
              </w:rPr>
              <w:t>0</w:t>
            </w:r>
          </w:p>
        </w:tc>
      </w:tr>
      <w:tr w:rsidR="00B23B94">
        <w:trPr>
          <w:trHeight w:val="481"/>
        </w:trPr>
        <w:tc>
          <w:tcPr>
            <w:tcW w:w="3932" w:type="dxa"/>
          </w:tcPr>
          <w:p w:rsidR="00B23B94" w:rsidRDefault="003B2D3B">
            <w:pPr>
              <w:pStyle w:val="TableParagraph"/>
              <w:ind w:left="107"/>
              <w:jc w:val="left"/>
              <w:rPr>
                <w:sz w:val="28"/>
              </w:rPr>
            </w:pPr>
            <w:r>
              <w:rPr>
                <w:sz w:val="28"/>
              </w:rPr>
              <w:t>Citrobacter spp.</w:t>
            </w:r>
          </w:p>
        </w:tc>
        <w:tc>
          <w:tcPr>
            <w:tcW w:w="5109" w:type="dxa"/>
          </w:tcPr>
          <w:p w:rsidR="00B23B94" w:rsidRDefault="003B2D3B">
            <w:pPr>
              <w:pStyle w:val="TableParagraph"/>
              <w:ind w:left="10"/>
              <w:rPr>
                <w:sz w:val="28"/>
              </w:rPr>
            </w:pPr>
            <w:r>
              <w:rPr>
                <w:sz w:val="28"/>
              </w:rPr>
              <w:t>0</w:t>
            </w:r>
          </w:p>
        </w:tc>
      </w:tr>
      <w:tr w:rsidR="00B23B94">
        <w:trPr>
          <w:trHeight w:val="484"/>
        </w:trPr>
        <w:tc>
          <w:tcPr>
            <w:tcW w:w="3932" w:type="dxa"/>
          </w:tcPr>
          <w:p w:rsidR="00B23B94" w:rsidRDefault="003B2D3B">
            <w:pPr>
              <w:pStyle w:val="TableParagraph"/>
              <w:ind w:left="107"/>
              <w:jc w:val="left"/>
              <w:rPr>
                <w:sz w:val="28"/>
              </w:rPr>
            </w:pPr>
            <w:r>
              <w:rPr>
                <w:sz w:val="28"/>
              </w:rPr>
              <w:t>Acinetobacter spp.</w:t>
            </w:r>
          </w:p>
        </w:tc>
        <w:tc>
          <w:tcPr>
            <w:tcW w:w="5109" w:type="dxa"/>
          </w:tcPr>
          <w:p w:rsidR="00B23B94" w:rsidRDefault="003B2D3B">
            <w:pPr>
              <w:pStyle w:val="TableParagraph"/>
              <w:ind w:left="10"/>
              <w:rPr>
                <w:sz w:val="28"/>
              </w:rPr>
            </w:pPr>
            <w:r>
              <w:rPr>
                <w:sz w:val="28"/>
              </w:rPr>
              <w:t>0</w:t>
            </w:r>
          </w:p>
        </w:tc>
      </w:tr>
    </w:tbl>
    <w:p w:rsidR="00B23B94" w:rsidRDefault="00B23B94">
      <w:pPr>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firstLine="705"/>
      </w:pPr>
      <w:r>
        <w:lastRenderedPageBreak/>
        <w:t>Таким чином, отримані дані вказують на те, що незважаючи на повторний бактеріальний пасаж, росту внутрішньолікарняної бактеріальної флори не відмічалося, на відміну від результатів повторного бактеріального посіву пацієнтів ретроспективної групи, що свідчить про ефективність використання діагностичної пункції на початкових етапах лікування пацієнтів з гострим тяжким панкреатитом. Видовий спектр грам-позитивної і грам-негативної флори представлений майже порівну – 52,9% і 47,1% відповідно.</w:t>
      </w:r>
    </w:p>
    <w:p w:rsidR="00B23B94" w:rsidRDefault="003B2D3B">
      <w:pPr>
        <w:pStyle w:val="a3"/>
        <w:spacing w:before="1" w:line="362" w:lineRule="auto"/>
        <w:ind w:left="542" w:right="786" w:firstLine="705"/>
      </w:pPr>
      <w:r>
        <w:t>Концентрація мікроорганізмів та результати антибіотикочутливості показані у таблицях 4.10 і 4.11.</w:t>
      </w:r>
    </w:p>
    <w:p w:rsidR="00B23B94" w:rsidRDefault="003B2D3B">
      <w:pPr>
        <w:spacing w:line="318" w:lineRule="exact"/>
        <w:ind w:left="8370"/>
        <w:rPr>
          <w:i/>
          <w:sz w:val="28"/>
        </w:rPr>
      </w:pPr>
      <w:r>
        <w:rPr>
          <w:i/>
          <w:sz w:val="28"/>
        </w:rPr>
        <w:t>Таблиця 4.10</w:t>
      </w:r>
    </w:p>
    <w:p w:rsidR="00B23B94" w:rsidRDefault="003B2D3B">
      <w:pPr>
        <w:pStyle w:val="1"/>
        <w:spacing w:line="360" w:lineRule="auto"/>
        <w:ind w:left="3468" w:right="1360" w:hanging="2341"/>
      </w:pPr>
      <w:r>
        <w:t>Концентрація мікроорганізмів в ексудаті хворих основної групи на ГТП з ГСУ (підгрупа 2а)</w:t>
      </w:r>
    </w:p>
    <w:tbl>
      <w:tblPr>
        <w:tblStyle w:val="TableNormal"/>
        <w:tblW w:w="0" w:type="auto"/>
        <w:tblInd w:w="1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9"/>
        <w:gridCol w:w="3193"/>
      </w:tblGrid>
      <w:tr w:rsidR="00B23B94">
        <w:trPr>
          <w:trHeight w:val="894"/>
        </w:trPr>
        <w:tc>
          <w:tcPr>
            <w:tcW w:w="3419" w:type="dxa"/>
          </w:tcPr>
          <w:p w:rsidR="00B23B94" w:rsidRDefault="003B2D3B">
            <w:pPr>
              <w:pStyle w:val="TableParagraph"/>
              <w:spacing w:before="2"/>
              <w:ind w:left="946"/>
              <w:jc w:val="left"/>
              <w:rPr>
                <w:sz w:val="26"/>
              </w:rPr>
            </w:pPr>
            <w:r>
              <w:rPr>
                <w:sz w:val="26"/>
              </w:rPr>
              <w:t>Концентрація</w:t>
            </w:r>
          </w:p>
          <w:p w:rsidR="00B23B94" w:rsidRDefault="003B2D3B">
            <w:pPr>
              <w:pStyle w:val="TableParagraph"/>
              <w:spacing w:before="149"/>
              <w:ind w:left="818"/>
              <w:jc w:val="left"/>
              <w:rPr>
                <w:sz w:val="26"/>
              </w:rPr>
            </w:pPr>
            <w:r>
              <w:rPr>
                <w:sz w:val="26"/>
              </w:rPr>
              <w:t>мікроорганізмів</w:t>
            </w:r>
          </w:p>
        </w:tc>
        <w:tc>
          <w:tcPr>
            <w:tcW w:w="3193" w:type="dxa"/>
          </w:tcPr>
          <w:p w:rsidR="00B23B94" w:rsidRDefault="003B2D3B">
            <w:pPr>
              <w:pStyle w:val="TableParagraph"/>
              <w:spacing w:before="2"/>
              <w:ind w:left="122" w:right="119"/>
              <w:rPr>
                <w:sz w:val="26"/>
              </w:rPr>
            </w:pPr>
            <w:r>
              <w:rPr>
                <w:sz w:val="26"/>
              </w:rPr>
              <w:t>Повторний бактеріальний</w:t>
            </w:r>
          </w:p>
          <w:p w:rsidR="00B23B94" w:rsidRDefault="003B2D3B">
            <w:pPr>
              <w:pStyle w:val="TableParagraph"/>
              <w:spacing w:before="149"/>
              <w:ind w:left="122" w:right="118"/>
              <w:rPr>
                <w:sz w:val="26"/>
              </w:rPr>
            </w:pPr>
            <w:r>
              <w:rPr>
                <w:sz w:val="26"/>
              </w:rPr>
              <w:t>пасаж, %</w:t>
            </w:r>
          </w:p>
        </w:tc>
      </w:tr>
      <w:tr w:rsidR="00B23B94">
        <w:trPr>
          <w:trHeight w:val="484"/>
        </w:trPr>
        <w:tc>
          <w:tcPr>
            <w:tcW w:w="3419" w:type="dxa"/>
          </w:tcPr>
          <w:p w:rsidR="00B23B94" w:rsidRDefault="003B2D3B">
            <w:pPr>
              <w:pStyle w:val="TableParagraph"/>
              <w:spacing w:before="2"/>
              <w:ind w:left="105"/>
              <w:jc w:val="left"/>
              <w:rPr>
                <w:sz w:val="28"/>
              </w:rPr>
            </w:pPr>
            <w:r>
              <w:rPr>
                <w:sz w:val="28"/>
              </w:rPr>
              <w:t>&lt;10</w:t>
            </w:r>
            <w:r>
              <w:rPr>
                <w:sz w:val="28"/>
                <w:vertAlign w:val="superscript"/>
              </w:rPr>
              <w:t>3</w:t>
            </w:r>
            <w:r>
              <w:rPr>
                <w:sz w:val="28"/>
              </w:rPr>
              <w:t xml:space="preserve"> КУО/мл</w:t>
            </w:r>
          </w:p>
        </w:tc>
        <w:tc>
          <w:tcPr>
            <w:tcW w:w="3193" w:type="dxa"/>
          </w:tcPr>
          <w:p w:rsidR="00B23B94" w:rsidRDefault="003B2D3B">
            <w:pPr>
              <w:pStyle w:val="TableParagraph"/>
              <w:spacing w:before="2"/>
              <w:ind w:left="122" w:right="113"/>
              <w:rPr>
                <w:sz w:val="28"/>
              </w:rPr>
            </w:pPr>
            <w:r>
              <w:rPr>
                <w:sz w:val="28"/>
              </w:rPr>
              <w:t>35,3</w:t>
            </w:r>
          </w:p>
        </w:tc>
      </w:tr>
      <w:tr w:rsidR="00B23B94">
        <w:trPr>
          <w:trHeight w:val="481"/>
        </w:trPr>
        <w:tc>
          <w:tcPr>
            <w:tcW w:w="3419" w:type="dxa"/>
          </w:tcPr>
          <w:p w:rsidR="00B23B94" w:rsidRDefault="003B2D3B">
            <w:pPr>
              <w:pStyle w:val="TableParagraph"/>
              <w:ind w:left="105"/>
              <w:jc w:val="left"/>
              <w:rPr>
                <w:sz w:val="28"/>
              </w:rPr>
            </w:pPr>
            <w:r>
              <w:rPr>
                <w:sz w:val="28"/>
              </w:rPr>
              <w:t>10</w:t>
            </w:r>
            <w:r>
              <w:rPr>
                <w:sz w:val="28"/>
                <w:vertAlign w:val="superscript"/>
              </w:rPr>
              <w:t>3-</w:t>
            </w:r>
            <w:r>
              <w:rPr>
                <w:sz w:val="28"/>
              </w:rPr>
              <w:t>10</w:t>
            </w:r>
            <w:r>
              <w:rPr>
                <w:sz w:val="28"/>
                <w:vertAlign w:val="superscript"/>
              </w:rPr>
              <w:t>5</w:t>
            </w:r>
            <w:r>
              <w:rPr>
                <w:sz w:val="28"/>
              </w:rPr>
              <w:t xml:space="preserve"> КУО/мл</w:t>
            </w:r>
          </w:p>
        </w:tc>
        <w:tc>
          <w:tcPr>
            <w:tcW w:w="3193" w:type="dxa"/>
          </w:tcPr>
          <w:p w:rsidR="00B23B94" w:rsidRDefault="003B2D3B">
            <w:pPr>
              <w:pStyle w:val="TableParagraph"/>
              <w:ind w:left="122" w:right="113"/>
              <w:rPr>
                <w:sz w:val="28"/>
              </w:rPr>
            </w:pPr>
            <w:r>
              <w:rPr>
                <w:sz w:val="28"/>
              </w:rPr>
              <w:t>35,3</w:t>
            </w:r>
          </w:p>
        </w:tc>
      </w:tr>
      <w:tr w:rsidR="00B23B94">
        <w:trPr>
          <w:trHeight w:val="484"/>
        </w:trPr>
        <w:tc>
          <w:tcPr>
            <w:tcW w:w="3419" w:type="dxa"/>
          </w:tcPr>
          <w:p w:rsidR="00B23B94" w:rsidRDefault="003B2D3B">
            <w:pPr>
              <w:pStyle w:val="TableParagraph"/>
              <w:ind w:left="105"/>
              <w:jc w:val="left"/>
              <w:rPr>
                <w:sz w:val="28"/>
              </w:rPr>
            </w:pPr>
            <w:r>
              <w:rPr>
                <w:sz w:val="28"/>
              </w:rPr>
              <w:t>&gt;10</w:t>
            </w:r>
            <w:r>
              <w:rPr>
                <w:sz w:val="28"/>
                <w:vertAlign w:val="superscript"/>
              </w:rPr>
              <w:t>5</w:t>
            </w:r>
            <w:r>
              <w:rPr>
                <w:sz w:val="28"/>
              </w:rPr>
              <w:t xml:space="preserve"> КУО/мл</w:t>
            </w:r>
          </w:p>
        </w:tc>
        <w:tc>
          <w:tcPr>
            <w:tcW w:w="3193" w:type="dxa"/>
          </w:tcPr>
          <w:p w:rsidR="00B23B94" w:rsidRDefault="003B2D3B">
            <w:pPr>
              <w:pStyle w:val="TableParagraph"/>
              <w:ind w:left="122" w:right="113"/>
              <w:rPr>
                <w:sz w:val="28"/>
              </w:rPr>
            </w:pPr>
            <w:r>
              <w:rPr>
                <w:sz w:val="28"/>
              </w:rPr>
              <w:t>29,4</w:t>
            </w:r>
          </w:p>
        </w:tc>
      </w:tr>
      <w:tr w:rsidR="00B23B94">
        <w:trPr>
          <w:trHeight w:val="482"/>
        </w:trPr>
        <w:tc>
          <w:tcPr>
            <w:tcW w:w="3419" w:type="dxa"/>
          </w:tcPr>
          <w:p w:rsidR="00B23B94" w:rsidRDefault="003B2D3B">
            <w:pPr>
              <w:pStyle w:val="TableParagraph"/>
              <w:ind w:left="105"/>
              <w:jc w:val="left"/>
              <w:rPr>
                <w:sz w:val="28"/>
              </w:rPr>
            </w:pPr>
            <w:r>
              <w:rPr>
                <w:sz w:val="28"/>
              </w:rPr>
              <w:t>Всього</w:t>
            </w:r>
          </w:p>
        </w:tc>
        <w:tc>
          <w:tcPr>
            <w:tcW w:w="3193" w:type="dxa"/>
          </w:tcPr>
          <w:p w:rsidR="00B23B94" w:rsidRDefault="003B2D3B">
            <w:pPr>
              <w:pStyle w:val="TableParagraph"/>
              <w:ind w:left="122" w:right="116"/>
              <w:rPr>
                <w:sz w:val="28"/>
              </w:rPr>
            </w:pPr>
            <w:r>
              <w:rPr>
                <w:sz w:val="28"/>
              </w:rPr>
              <w:t>100,0</w:t>
            </w:r>
          </w:p>
        </w:tc>
      </w:tr>
    </w:tbl>
    <w:p w:rsidR="00B23B94" w:rsidRDefault="00B23B94">
      <w:pPr>
        <w:pStyle w:val="a3"/>
        <w:spacing w:before="11"/>
        <w:ind w:left="0"/>
        <w:jc w:val="left"/>
        <w:rPr>
          <w:b/>
          <w:sz w:val="41"/>
        </w:rPr>
      </w:pPr>
    </w:p>
    <w:p w:rsidR="00B23B94" w:rsidRDefault="003B2D3B">
      <w:pPr>
        <w:pStyle w:val="a3"/>
        <w:spacing w:line="360" w:lineRule="auto"/>
        <w:ind w:left="542" w:right="786" w:firstLine="705"/>
      </w:pPr>
      <w:r>
        <w:t>Таким чином, висока концентрація бактерій – збудників ГСУ у пацієнтів з гострим тяжким панкреатитом спостерігається лише у близько 30% хворих.</w:t>
      </w:r>
    </w:p>
    <w:p w:rsidR="00B23B94" w:rsidRDefault="003B2D3B">
      <w:pPr>
        <w:spacing w:before="1"/>
        <w:ind w:left="8352" w:right="769"/>
        <w:jc w:val="center"/>
        <w:rPr>
          <w:i/>
          <w:sz w:val="28"/>
        </w:rPr>
      </w:pPr>
      <w:r>
        <w:rPr>
          <w:i/>
          <w:sz w:val="28"/>
        </w:rPr>
        <w:t>Таблиця 4.11</w:t>
      </w:r>
    </w:p>
    <w:p w:rsidR="00B23B94" w:rsidRDefault="003B2D3B">
      <w:pPr>
        <w:pStyle w:val="1"/>
        <w:spacing w:line="362" w:lineRule="auto"/>
        <w:ind w:left="517" w:right="769"/>
        <w:jc w:val="center"/>
      </w:pPr>
      <w:r>
        <w:t>Чутливість до антибактеріальних препаратів мікрофлори повторного бактеріального пасажу хворих основної групи</w:t>
      </w:r>
    </w:p>
    <w:p w:rsidR="00B23B94" w:rsidRDefault="003B2D3B">
      <w:pPr>
        <w:spacing w:line="317" w:lineRule="exact"/>
        <w:ind w:left="527" w:right="769"/>
        <w:jc w:val="center"/>
        <w:rPr>
          <w:b/>
          <w:sz w:val="28"/>
        </w:rPr>
      </w:pPr>
      <w:r>
        <w:rPr>
          <w:b/>
          <w:sz w:val="28"/>
        </w:rPr>
        <w:t>на ГТП з ГСУ (підгрупа 2а)</w:t>
      </w:r>
    </w:p>
    <w:p w:rsidR="00B23B94" w:rsidRDefault="00B23B94">
      <w:pPr>
        <w:pStyle w:val="a3"/>
        <w:spacing w:before="11"/>
        <w:ind w:left="0"/>
        <w:jc w:val="left"/>
        <w:rPr>
          <w:b/>
          <w:sz w:val="13"/>
        </w:rPr>
      </w:pP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2950"/>
      </w:tblGrid>
      <w:tr w:rsidR="00B23B94">
        <w:trPr>
          <w:trHeight w:val="481"/>
        </w:trPr>
        <w:tc>
          <w:tcPr>
            <w:tcW w:w="6693" w:type="dxa"/>
          </w:tcPr>
          <w:p w:rsidR="00B23B94" w:rsidRDefault="003B2D3B">
            <w:pPr>
              <w:pStyle w:val="TableParagraph"/>
              <w:ind w:left="177"/>
              <w:jc w:val="left"/>
              <w:rPr>
                <w:sz w:val="28"/>
              </w:rPr>
            </w:pPr>
            <w:r>
              <w:rPr>
                <w:sz w:val="28"/>
              </w:rPr>
              <w:t>Антибіотик</w:t>
            </w:r>
          </w:p>
        </w:tc>
        <w:tc>
          <w:tcPr>
            <w:tcW w:w="2950" w:type="dxa"/>
          </w:tcPr>
          <w:p w:rsidR="00B23B94" w:rsidRDefault="003B2D3B">
            <w:pPr>
              <w:pStyle w:val="TableParagraph"/>
              <w:ind w:left="519" w:right="517"/>
              <w:rPr>
                <w:sz w:val="28"/>
              </w:rPr>
            </w:pPr>
            <w:r>
              <w:rPr>
                <w:sz w:val="28"/>
              </w:rPr>
              <w:t>Чутливість, %</w:t>
            </w:r>
          </w:p>
        </w:tc>
      </w:tr>
      <w:tr w:rsidR="00B23B94">
        <w:trPr>
          <w:trHeight w:val="484"/>
        </w:trPr>
        <w:tc>
          <w:tcPr>
            <w:tcW w:w="6693" w:type="dxa"/>
          </w:tcPr>
          <w:p w:rsidR="00B23B94" w:rsidRDefault="003B2D3B">
            <w:pPr>
              <w:pStyle w:val="TableParagraph"/>
              <w:spacing w:before="2"/>
              <w:ind w:left="107"/>
              <w:jc w:val="left"/>
              <w:rPr>
                <w:sz w:val="28"/>
              </w:rPr>
            </w:pPr>
            <w:r>
              <w:rPr>
                <w:sz w:val="28"/>
              </w:rPr>
              <w:t>Ампіцилін</w:t>
            </w:r>
          </w:p>
        </w:tc>
        <w:tc>
          <w:tcPr>
            <w:tcW w:w="2950" w:type="dxa"/>
          </w:tcPr>
          <w:p w:rsidR="00B23B94" w:rsidRDefault="003B2D3B">
            <w:pPr>
              <w:pStyle w:val="TableParagraph"/>
              <w:spacing w:before="2"/>
              <w:ind w:left="522" w:right="516"/>
              <w:rPr>
                <w:sz w:val="28"/>
              </w:rPr>
            </w:pPr>
            <w:r>
              <w:rPr>
                <w:sz w:val="28"/>
              </w:rPr>
              <w:t>30,3</w:t>
            </w:r>
          </w:p>
        </w:tc>
      </w:tr>
      <w:tr w:rsidR="00B23B94">
        <w:trPr>
          <w:trHeight w:val="481"/>
        </w:trPr>
        <w:tc>
          <w:tcPr>
            <w:tcW w:w="6693" w:type="dxa"/>
          </w:tcPr>
          <w:p w:rsidR="00B23B94" w:rsidRDefault="003B2D3B">
            <w:pPr>
              <w:pStyle w:val="TableParagraph"/>
              <w:ind w:left="107"/>
              <w:jc w:val="left"/>
              <w:rPr>
                <w:sz w:val="28"/>
              </w:rPr>
            </w:pPr>
            <w:r>
              <w:rPr>
                <w:sz w:val="28"/>
              </w:rPr>
              <w:t>Цефуроксім</w:t>
            </w:r>
          </w:p>
        </w:tc>
        <w:tc>
          <w:tcPr>
            <w:tcW w:w="2950" w:type="dxa"/>
          </w:tcPr>
          <w:p w:rsidR="00B23B94" w:rsidRDefault="003B2D3B">
            <w:pPr>
              <w:pStyle w:val="TableParagraph"/>
              <w:ind w:left="522" w:right="516"/>
              <w:rPr>
                <w:sz w:val="28"/>
              </w:rPr>
            </w:pPr>
            <w:r>
              <w:rPr>
                <w:sz w:val="28"/>
              </w:rPr>
              <w:t>42,3</w:t>
            </w:r>
          </w:p>
        </w:tc>
      </w:tr>
    </w:tbl>
    <w:p w:rsidR="00B23B94" w:rsidRDefault="00B23B94">
      <w:pPr>
        <w:rPr>
          <w:sz w:val="28"/>
        </w:rPr>
        <w:sectPr w:rsidR="00B23B94">
          <w:pgSz w:w="11910" w:h="16840"/>
          <w:pgMar w:top="1040" w:right="60" w:bottom="280" w:left="1160" w:header="719" w:footer="0" w:gutter="0"/>
          <w:cols w:space="720"/>
        </w:sectPr>
      </w:pPr>
    </w:p>
    <w:p w:rsidR="00B23B94" w:rsidRDefault="00B23B94">
      <w:pPr>
        <w:pStyle w:val="a3"/>
        <w:spacing w:before="4"/>
        <w:ind w:left="0"/>
        <w:jc w:val="left"/>
        <w:rPr>
          <w:b/>
          <w:sz w:val="7"/>
        </w:rPr>
      </w:pPr>
    </w:p>
    <w:tbl>
      <w:tblPr>
        <w:tblStyle w:val="TableNormal"/>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2950"/>
      </w:tblGrid>
      <w:tr w:rsidR="00B23B94">
        <w:trPr>
          <w:trHeight w:val="484"/>
        </w:trPr>
        <w:tc>
          <w:tcPr>
            <w:tcW w:w="6693" w:type="dxa"/>
            <w:tcBorders>
              <w:top w:val="nil"/>
            </w:tcBorders>
          </w:tcPr>
          <w:p w:rsidR="00B23B94" w:rsidRDefault="003B2D3B">
            <w:pPr>
              <w:pStyle w:val="TableParagraph"/>
              <w:ind w:left="107"/>
              <w:jc w:val="left"/>
              <w:rPr>
                <w:sz w:val="28"/>
              </w:rPr>
            </w:pPr>
            <w:r>
              <w:rPr>
                <w:sz w:val="28"/>
              </w:rPr>
              <w:t>Цефоперазон</w:t>
            </w:r>
          </w:p>
        </w:tc>
        <w:tc>
          <w:tcPr>
            <w:tcW w:w="2950" w:type="dxa"/>
            <w:tcBorders>
              <w:top w:val="nil"/>
            </w:tcBorders>
          </w:tcPr>
          <w:p w:rsidR="00B23B94" w:rsidRDefault="003B2D3B">
            <w:pPr>
              <w:pStyle w:val="TableParagraph"/>
              <w:ind w:right="1219"/>
              <w:jc w:val="right"/>
              <w:rPr>
                <w:sz w:val="28"/>
              </w:rPr>
            </w:pPr>
            <w:r>
              <w:rPr>
                <w:sz w:val="28"/>
              </w:rPr>
              <w:t>68,2</w:t>
            </w:r>
          </w:p>
        </w:tc>
      </w:tr>
      <w:tr w:rsidR="00B23B94">
        <w:trPr>
          <w:trHeight w:val="482"/>
        </w:trPr>
        <w:tc>
          <w:tcPr>
            <w:tcW w:w="6693" w:type="dxa"/>
          </w:tcPr>
          <w:p w:rsidR="00B23B94" w:rsidRDefault="003B2D3B">
            <w:pPr>
              <w:pStyle w:val="TableParagraph"/>
              <w:ind w:left="107"/>
              <w:jc w:val="left"/>
              <w:rPr>
                <w:sz w:val="28"/>
              </w:rPr>
            </w:pPr>
            <w:r>
              <w:rPr>
                <w:sz w:val="28"/>
              </w:rPr>
              <w:t>Цефокситін</w:t>
            </w:r>
          </w:p>
        </w:tc>
        <w:tc>
          <w:tcPr>
            <w:tcW w:w="2950" w:type="dxa"/>
          </w:tcPr>
          <w:p w:rsidR="00B23B94" w:rsidRDefault="003B2D3B">
            <w:pPr>
              <w:pStyle w:val="TableParagraph"/>
              <w:ind w:right="1219"/>
              <w:jc w:val="right"/>
              <w:rPr>
                <w:sz w:val="28"/>
              </w:rPr>
            </w:pPr>
            <w:r>
              <w:rPr>
                <w:sz w:val="28"/>
              </w:rPr>
              <w:t>74,3</w:t>
            </w:r>
          </w:p>
        </w:tc>
      </w:tr>
      <w:tr w:rsidR="00B23B94">
        <w:trPr>
          <w:trHeight w:val="484"/>
        </w:trPr>
        <w:tc>
          <w:tcPr>
            <w:tcW w:w="6693" w:type="dxa"/>
          </w:tcPr>
          <w:p w:rsidR="00B23B94" w:rsidRDefault="003B2D3B">
            <w:pPr>
              <w:pStyle w:val="TableParagraph"/>
              <w:ind w:left="107"/>
              <w:jc w:val="left"/>
              <w:rPr>
                <w:sz w:val="28"/>
              </w:rPr>
            </w:pPr>
            <w:r>
              <w:rPr>
                <w:sz w:val="28"/>
              </w:rPr>
              <w:t>Цефтазідім</w:t>
            </w:r>
          </w:p>
        </w:tc>
        <w:tc>
          <w:tcPr>
            <w:tcW w:w="2950" w:type="dxa"/>
          </w:tcPr>
          <w:p w:rsidR="00B23B94" w:rsidRDefault="003B2D3B">
            <w:pPr>
              <w:pStyle w:val="TableParagraph"/>
              <w:ind w:right="1219"/>
              <w:jc w:val="right"/>
              <w:rPr>
                <w:sz w:val="28"/>
              </w:rPr>
            </w:pPr>
            <w:r>
              <w:rPr>
                <w:sz w:val="28"/>
              </w:rPr>
              <w:t>62,3</w:t>
            </w:r>
          </w:p>
        </w:tc>
      </w:tr>
      <w:tr w:rsidR="00B23B94">
        <w:trPr>
          <w:trHeight w:val="482"/>
        </w:trPr>
        <w:tc>
          <w:tcPr>
            <w:tcW w:w="6693" w:type="dxa"/>
          </w:tcPr>
          <w:p w:rsidR="00B23B94" w:rsidRDefault="003B2D3B">
            <w:pPr>
              <w:pStyle w:val="TableParagraph"/>
              <w:ind w:left="107"/>
              <w:jc w:val="left"/>
              <w:rPr>
                <w:sz w:val="28"/>
              </w:rPr>
            </w:pPr>
            <w:r>
              <w:rPr>
                <w:sz w:val="28"/>
              </w:rPr>
              <w:t>Цефотаксім</w:t>
            </w:r>
          </w:p>
        </w:tc>
        <w:tc>
          <w:tcPr>
            <w:tcW w:w="2950" w:type="dxa"/>
          </w:tcPr>
          <w:p w:rsidR="00B23B94" w:rsidRDefault="003B2D3B">
            <w:pPr>
              <w:pStyle w:val="TableParagraph"/>
              <w:ind w:right="1219"/>
              <w:jc w:val="right"/>
              <w:rPr>
                <w:sz w:val="28"/>
              </w:rPr>
            </w:pPr>
            <w:r>
              <w:rPr>
                <w:sz w:val="28"/>
              </w:rPr>
              <w:t>61,5</w:t>
            </w:r>
          </w:p>
        </w:tc>
      </w:tr>
      <w:tr w:rsidR="00B23B94">
        <w:trPr>
          <w:trHeight w:val="481"/>
        </w:trPr>
        <w:tc>
          <w:tcPr>
            <w:tcW w:w="6693" w:type="dxa"/>
          </w:tcPr>
          <w:p w:rsidR="00B23B94" w:rsidRDefault="003B2D3B">
            <w:pPr>
              <w:pStyle w:val="TableParagraph"/>
              <w:ind w:left="107"/>
              <w:jc w:val="left"/>
              <w:rPr>
                <w:sz w:val="28"/>
              </w:rPr>
            </w:pPr>
            <w:r>
              <w:rPr>
                <w:sz w:val="28"/>
              </w:rPr>
              <w:t>Цефтріаксон</w:t>
            </w:r>
          </w:p>
        </w:tc>
        <w:tc>
          <w:tcPr>
            <w:tcW w:w="2950" w:type="dxa"/>
          </w:tcPr>
          <w:p w:rsidR="00B23B94" w:rsidRDefault="003B2D3B">
            <w:pPr>
              <w:pStyle w:val="TableParagraph"/>
              <w:ind w:right="1219"/>
              <w:jc w:val="right"/>
              <w:rPr>
                <w:sz w:val="28"/>
              </w:rPr>
            </w:pPr>
            <w:r>
              <w:rPr>
                <w:sz w:val="28"/>
              </w:rPr>
              <w:t>62,3</w:t>
            </w:r>
          </w:p>
        </w:tc>
      </w:tr>
      <w:tr w:rsidR="00B23B94">
        <w:trPr>
          <w:trHeight w:val="484"/>
        </w:trPr>
        <w:tc>
          <w:tcPr>
            <w:tcW w:w="6693" w:type="dxa"/>
          </w:tcPr>
          <w:p w:rsidR="00B23B94" w:rsidRDefault="003B2D3B">
            <w:pPr>
              <w:pStyle w:val="TableParagraph"/>
              <w:ind w:left="107"/>
              <w:jc w:val="left"/>
              <w:rPr>
                <w:sz w:val="28"/>
              </w:rPr>
            </w:pPr>
            <w:r>
              <w:rPr>
                <w:sz w:val="28"/>
              </w:rPr>
              <w:t>Цефепім</w:t>
            </w:r>
          </w:p>
        </w:tc>
        <w:tc>
          <w:tcPr>
            <w:tcW w:w="2950" w:type="dxa"/>
          </w:tcPr>
          <w:p w:rsidR="00B23B94" w:rsidRDefault="003B2D3B">
            <w:pPr>
              <w:pStyle w:val="TableParagraph"/>
              <w:ind w:right="1219"/>
              <w:jc w:val="right"/>
              <w:rPr>
                <w:sz w:val="28"/>
              </w:rPr>
            </w:pPr>
            <w:r>
              <w:rPr>
                <w:sz w:val="28"/>
              </w:rPr>
              <w:t>89,7</w:t>
            </w:r>
          </w:p>
        </w:tc>
      </w:tr>
      <w:tr w:rsidR="00B23B94">
        <w:trPr>
          <w:trHeight w:val="482"/>
        </w:trPr>
        <w:tc>
          <w:tcPr>
            <w:tcW w:w="6693" w:type="dxa"/>
          </w:tcPr>
          <w:p w:rsidR="00B23B94" w:rsidRDefault="003B2D3B">
            <w:pPr>
              <w:pStyle w:val="TableParagraph"/>
              <w:ind w:left="107"/>
              <w:jc w:val="left"/>
              <w:rPr>
                <w:sz w:val="28"/>
              </w:rPr>
            </w:pPr>
            <w:r>
              <w:rPr>
                <w:sz w:val="28"/>
              </w:rPr>
              <w:t>Ампіцилін-сульбактам</w:t>
            </w:r>
          </w:p>
        </w:tc>
        <w:tc>
          <w:tcPr>
            <w:tcW w:w="2950" w:type="dxa"/>
          </w:tcPr>
          <w:p w:rsidR="00B23B94" w:rsidRDefault="003B2D3B">
            <w:pPr>
              <w:pStyle w:val="TableParagraph"/>
              <w:ind w:right="1219"/>
              <w:jc w:val="right"/>
              <w:rPr>
                <w:sz w:val="28"/>
              </w:rPr>
            </w:pPr>
            <w:r>
              <w:rPr>
                <w:sz w:val="28"/>
              </w:rPr>
              <w:t>38,6</w:t>
            </w:r>
          </w:p>
        </w:tc>
      </w:tr>
      <w:tr w:rsidR="00B23B94">
        <w:trPr>
          <w:trHeight w:val="484"/>
        </w:trPr>
        <w:tc>
          <w:tcPr>
            <w:tcW w:w="6693" w:type="dxa"/>
          </w:tcPr>
          <w:p w:rsidR="00B23B94" w:rsidRDefault="003B2D3B">
            <w:pPr>
              <w:pStyle w:val="TableParagraph"/>
              <w:ind w:left="107"/>
              <w:jc w:val="left"/>
              <w:rPr>
                <w:sz w:val="28"/>
              </w:rPr>
            </w:pPr>
            <w:r>
              <w:rPr>
                <w:sz w:val="28"/>
              </w:rPr>
              <w:t>Амоксицилін-клавуланат</w:t>
            </w:r>
          </w:p>
        </w:tc>
        <w:tc>
          <w:tcPr>
            <w:tcW w:w="2950" w:type="dxa"/>
          </w:tcPr>
          <w:p w:rsidR="00B23B94" w:rsidRDefault="003B2D3B">
            <w:pPr>
              <w:pStyle w:val="TableParagraph"/>
              <w:ind w:right="1219"/>
              <w:jc w:val="right"/>
              <w:rPr>
                <w:sz w:val="28"/>
              </w:rPr>
            </w:pPr>
            <w:r>
              <w:rPr>
                <w:sz w:val="28"/>
              </w:rPr>
              <w:t>51,7</w:t>
            </w:r>
          </w:p>
        </w:tc>
      </w:tr>
      <w:tr w:rsidR="00B23B94">
        <w:trPr>
          <w:trHeight w:val="481"/>
        </w:trPr>
        <w:tc>
          <w:tcPr>
            <w:tcW w:w="6693" w:type="dxa"/>
          </w:tcPr>
          <w:p w:rsidR="00B23B94" w:rsidRDefault="003B2D3B">
            <w:pPr>
              <w:pStyle w:val="TableParagraph"/>
              <w:ind w:left="107"/>
              <w:jc w:val="left"/>
              <w:rPr>
                <w:sz w:val="28"/>
              </w:rPr>
            </w:pPr>
            <w:r>
              <w:rPr>
                <w:sz w:val="28"/>
              </w:rPr>
              <w:t>Піперацилін-тазобактам</w:t>
            </w:r>
          </w:p>
        </w:tc>
        <w:tc>
          <w:tcPr>
            <w:tcW w:w="2950" w:type="dxa"/>
          </w:tcPr>
          <w:p w:rsidR="00B23B94" w:rsidRDefault="003B2D3B">
            <w:pPr>
              <w:pStyle w:val="TableParagraph"/>
              <w:ind w:right="1219"/>
              <w:jc w:val="right"/>
              <w:rPr>
                <w:sz w:val="28"/>
              </w:rPr>
            </w:pPr>
            <w:r>
              <w:rPr>
                <w:sz w:val="28"/>
              </w:rPr>
              <w:t>62,8</w:t>
            </w:r>
          </w:p>
        </w:tc>
      </w:tr>
      <w:tr w:rsidR="00B23B94">
        <w:trPr>
          <w:trHeight w:val="482"/>
        </w:trPr>
        <w:tc>
          <w:tcPr>
            <w:tcW w:w="6693" w:type="dxa"/>
          </w:tcPr>
          <w:p w:rsidR="00B23B94" w:rsidRDefault="003B2D3B">
            <w:pPr>
              <w:pStyle w:val="TableParagraph"/>
              <w:ind w:left="107"/>
              <w:jc w:val="left"/>
              <w:rPr>
                <w:sz w:val="28"/>
              </w:rPr>
            </w:pPr>
            <w:r>
              <w:rPr>
                <w:sz w:val="28"/>
              </w:rPr>
              <w:t>Цефоперазон-сульбактам</w:t>
            </w:r>
          </w:p>
        </w:tc>
        <w:tc>
          <w:tcPr>
            <w:tcW w:w="2950" w:type="dxa"/>
          </w:tcPr>
          <w:p w:rsidR="00B23B94" w:rsidRDefault="003B2D3B">
            <w:pPr>
              <w:pStyle w:val="TableParagraph"/>
              <w:ind w:right="1219"/>
              <w:jc w:val="right"/>
              <w:rPr>
                <w:sz w:val="28"/>
              </w:rPr>
            </w:pPr>
            <w:r>
              <w:rPr>
                <w:sz w:val="28"/>
              </w:rPr>
              <w:t>71,9</w:t>
            </w:r>
          </w:p>
        </w:tc>
      </w:tr>
      <w:tr w:rsidR="00B23B94">
        <w:trPr>
          <w:trHeight w:val="484"/>
        </w:trPr>
        <w:tc>
          <w:tcPr>
            <w:tcW w:w="6693" w:type="dxa"/>
          </w:tcPr>
          <w:p w:rsidR="00B23B94" w:rsidRDefault="003B2D3B">
            <w:pPr>
              <w:pStyle w:val="TableParagraph"/>
              <w:ind w:left="107"/>
              <w:jc w:val="left"/>
              <w:rPr>
                <w:sz w:val="28"/>
              </w:rPr>
            </w:pPr>
            <w:r>
              <w:rPr>
                <w:sz w:val="28"/>
              </w:rPr>
              <w:t>Іміпенем</w:t>
            </w:r>
          </w:p>
        </w:tc>
        <w:tc>
          <w:tcPr>
            <w:tcW w:w="2950" w:type="dxa"/>
          </w:tcPr>
          <w:p w:rsidR="00B23B94" w:rsidRDefault="003B2D3B">
            <w:pPr>
              <w:pStyle w:val="TableParagraph"/>
              <w:ind w:right="1219"/>
              <w:jc w:val="right"/>
              <w:rPr>
                <w:sz w:val="28"/>
              </w:rPr>
            </w:pPr>
            <w:r>
              <w:rPr>
                <w:sz w:val="28"/>
              </w:rPr>
              <w:t>64,9</w:t>
            </w:r>
          </w:p>
        </w:tc>
      </w:tr>
      <w:tr w:rsidR="00B23B94">
        <w:trPr>
          <w:trHeight w:val="481"/>
        </w:trPr>
        <w:tc>
          <w:tcPr>
            <w:tcW w:w="6693" w:type="dxa"/>
          </w:tcPr>
          <w:p w:rsidR="00B23B94" w:rsidRDefault="003B2D3B">
            <w:pPr>
              <w:pStyle w:val="TableParagraph"/>
              <w:ind w:left="107"/>
              <w:jc w:val="left"/>
              <w:rPr>
                <w:sz w:val="28"/>
              </w:rPr>
            </w:pPr>
            <w:r>
              <w:rPr>
                <w:sz w:val="28"/>
              </w:rPr>
              <w:t>Меропенем</w:t>
            </w:r>
          </w:p>
        </w:tc>
        <w:tc>
          <w:tcPr>
            <w:tcW w:w="2950" w:type="dxa"/>
          </w:tcPr>
          <w:p w:rsidR="00B23B94" w:rsidRDefault="003B2D3B">
            <w:pPr>
              <w:pStyle w:val="TableParagraph"/>
              <w:ind w:right="1219"/>
              <w:jc w:val="right"/>
              <w:rPr>
                <w:sz w:val="28"/>
              </w:rPr>
            </w:pPr>
            <w:r>
              <w:rPr>
                <w:sz w:val="28"/>
              </w:rPr>
              <w:t>71,2</w:t>
            </w:r>
          </w:p>
        </w:tc>
      </w:tr>
      <w:tr w:rsidR="00B23B94">
        <w:trPr>
          <w:trHeight w:val="484"/>
        </w:trPr>
        <w:tc>
          <w:tcPr>
            <w:tcW w:w="6693" w:type="dxa"/>
          </w:tcPr>
          <w:p w:rsidR="00B23B94" w:rsidRDefault="003B2D3B">
            <w:pPr>
              <w:pStyle w:val="TableParagraph"/>
              <w:ind w:left="107"/>
              <w:jc w:val="left"/>
              <w:rPr>
                <w:sz w:val="28"/>
              </w:rPr>
            </w:pPr>
            <w:r>
              <w:rPr>
                <w:sz w:val="28"/>
              </w:rPr>
              <w:t>Ципрофлоксацин</w:t>
            </w:r>
          </w:p>
        </w:tc>
        <w:tc>
          <w:tcPr>
            <w:tcW w:w="2950" w:type="dxa"/>
          </w:tcPr>
          <w:p w:rsidR="00B23B94" w:rsidRDefault="003B2D3B">
            <w:pPr>
              <w:pStyle w:val="TableParagraph"/>
              <w:ind w:right="1219"/>
              <w:jc w:val="right"/>
              <w:rPr>
                <w:sz w:val="28"/>
              </w:rPr>
            </w:pPr>
            <w:r>
              <w:rPr>
                <w:sz w:val="28"/>
              </w:rPr>
              <w:t>62,3</w:t>
            </w:r>
          </w:p>
        </w:tc>
      </w:tr>
      <w:tr w:rsidR="00B23B94">
        <w:trPr>
          <w:trHeight w:val="481"/>
        </w:trPr>
        <w:tc>
          <w:tcPr>
            <w:tcW w:w="6693" w:type="dxa"/>
          </w:tcPr>
          <w:p w:rsidR="00B23B94" w:rsidRDefault="003B2D3B">
            <w:pPr>
              <w:pStyle w:val="TableParagraph"/>
              <w:ind w:left="107"/>
              <w:jc w:val="left"/>
              <w:rPr>
                <w:sz w:val="28"/>
              </w:rPr>
            </w:pPr>
            <w:r>
              <w:rPr>
                <w:sz w:val="28"/>
              </w:rPr>
              <w:t>Левофлоксацин</w:t>
            </w:r>
          </w:p>
        </w:tc>
        <w:tc>
          <w:tcPr>
            <w:tcW w:w="2950" w:type="dxa"/>
          </w:tcPr>
          <w:p w:rsidR="00B23B94" w:rsidRDefault="003B2D3B">
            <w:pPr>
              <w:pStyle w:val="TableParagraph"/>
              <w:ind w:right="1218"/>
              <w:jc w:val="right"/>
              <w:rPr>
                <w:sz w:val="28"/>
              </w:rPr>
            </w:pPr>
            <w:r>
              <w:rPr>
                <w:sz w:val="28"/>
              </w:rPr>
              <w:t>21,2</w:t>
            </w:r>
          </w:p>
        </w:tc>
      </w:tr>
      <w:tr w:rsidR="00B23B94">
        <w:trPr>
          <w:trHeight w:val="482"/>
        </w:trPr>
        <w:tc>
          <w:tcPr>
            <w:tcW w:w="6693" w:type="dxa"/>
          </w:tcPr>
          <w:p w:rsidR="00B23B94" w:rsidRDefault="003B2D3B">
            <w:pPr>
              <w:pStyle w:val="TableParagraph"/>
              <w:ind w:left="107"/>
              <w:jc w:val="left"/>
              <w:rPr>
                <w:sz w:val="28"/>
              </w:rPr>
            </w:pPr>
            <w:r>
              <w:rPr>
                <w:sz w:val="28"/>
              </w:rPr>
              <w:t>Гентаміцин</w:t>
            </w:r>
          </w:p>
        </w:tc>
        <w:tc>
          <w:tcPr>
            <w:tcW w:w="2950" w:type="dxa"/>
          </w:tcPr>
          <w:p w:rsidR="00B23B94" w:rsidRDefault="003B2D3B">
            <w:pPr>
              <w:pStyle w:val="TableParagraph"/>
              <w:ind w:right="1219"/>
              <w:jc w:val="right"/>
              <w:rPr>
                <w:sz w:val="28"/>
              </w:rPr>
            </w:pPr>
            <w:r>
              <w:rPr>
                <w:sz w:val="28"/>
              </w:rPr>
              <w:t>59,6</w:t>
            </w:r>
          </w:p>
        </w:tc>
      </w:tr>
      <w:tr w:rsidR="00B23B94">
        <w:trPr>
          <w:trHeight w:val="484"/>
        </w:trPr>
        <w:tc>
          <w:tcPr>
            <w:tcW w:w="6693" w:type="dxa"/>
          </w:tcPr>
          <w:p w:rsidR="00B23B94" w:rsidRDefault="003B2D3B">
            <w:pPr>
              <w:pStyle w:val="TableParagraph"/>
              <w:ind w:left="107"/>
              <w:jc w:val="left"/>
              <w:rPr>
                <w:sz w:val="28"/>
              </w:rPr>
            </w:pPr>
            <w:r>
              <w:rPr>
                <w:sz w:val="28"/>
              </w:rPr>
              <w:t>Амікацин</w:t>
            </w:r>
          </w:p>
        </w:tc>
        <w:tc>
          <w:tcPr>
            <w:tcW w:w="2950" w:type="dxa"/>
          </w:tcPr>
          <w:p w:rsidR="00B23B94" w:rsidRDefault="003B2D3B">
            <w:pPr>
              <w:pStyle w:val="TableParagraph"/>
              <w:ind w:right="1219"/>
              <w:jc w:val="right"/>
              <w:rPr>
                <w:sz w:val="28"/>
              </w:rPr>
            </w:pPr>
            <w:r>
              <w:rPr>
                <w:sz w:val="28"/>
              </w:rPr>
              <w:t>40,7</w:t>
            </w:r>
          </w:p>
        </w:tc>
      </w:tr>
      <w:tr w:rsidR="00B23B94">
        <w:trPr>
          <w:trHeight w:val="482"/>
        </w:trPr>
        <w:tc>
          <w:tcPr>
            <w:tcW w:w="6693" w:type="dxa"/>
          </w:tcPr>
          <w:p w:rsidR="00B23B94" w:rsidRDefault="003B2D3B">
            <w:pPr>
              <w:pStyle w:val="TableParagraph"/>
              <w:ind w:left="107"/>
              <w:jc w:val="left"/>
              <w:rPr>
                <w:sz w:val="28"/>
              </w:rPr>
            </w:pPr>
            <w:r>
              <w:rPr>
                <w:sz w:val="28"/>
              </w:rPr>
              <w:t>Тобраміцин</w:t>
            </w:r>
          </w:p>
        </w:tc>
        <w:tc>
          <w:tcPr>
            <w:tcW w:w="2950" w:type="dxa"/>
          </w:tcPr>
          <w:p w:rsidR="00B23B94" w:rsidRDefault="003B2D3B">
            <w:pPr>
              <w:pStyle w:val="TableParagraph"/>
              <w:ind w:right="1219"/>
              <w:jc w:val="right"/>
              <w:rPr>
                <w:sz w:val="28"/>
              </w:rPr>
            </w:pPr>
            <w:r>
              <w:rPr>
                <w:sz w:val="28"/>
              </w:rPr>
              <w:t>67,3</w:t>
            </w:r>
          </w:p>
        </w:tc>
      </w:tr>
      <w:tr w:rsidR="00B23B94">
        <w:trPr>
          <w:trHeight w:val="484"/>
        </w:trPr>
        <w:tc>
          <w:tcPr>
            <w:tcW w:w="6693" w:type="dxa"/>
          </w:tcPr>
          <w:p w:rsidR="00B23B94" w:rsidRDefault="003B2D3B">
            <w:pPr>
              <w:pStyle w:val="TableParagraph"/>
              <w:ind w:left="107"/>
              <w:jc w:val="left"/>
              <w:rPr>
                <w:sz w:val="28"/>
              </w:rPr>
            </w:pPr>
            <w:r>
              <w:rPr>
                <w:sz w:val="28"/>
              </w:rPr>
              <w:t>Ерітроміцин</w:t>
            </w:r>
          </w:p>
        </w:tc>
        <w:tc>
          <w:tcPr>
            <w:tcW w:w="2950" w:type="dxa"/>
          </w:tcPr>
          <w:p w:rsidR="00B23B94" w:rsidRDefault="003B2D3B">
            <w:pPr>
              <w:pStyle w:val="TableParagraph"/>
              <w:ind w:right="1219"/>
              <w:jc w:val="right"/>
              <w:rPr>
                <w:sz w:val="28"/>
              </w:rPr>
            </w:pPr>
            <w:r>
              <w:rPr>
                <w:sz w:val="28"/>
              </w:rPr>
              <w:t>42,9</w:t>
            </w:r>
          </w:p>
        </w:tc>
      </w:tr>
      <w:tr w:rsidR="00B23B94">
        <w:trPr>
          <w:trHeight w:val="481"/>
        </w:trPr>
        <w:tc>
          <w:tcPr>
            <w:tcW w:w="6693" w:type="dxa"/>
          </w:tcPr>
          <w:p w:rsidR="00B23B94" w:rsidRDefault="003B2D3B">
            <w:pPr>
              <w:pStyle w:val="TableParagraph"/>
              <w:ind w:left="107"/>
              <w:jc w:val="left"/>
              <w:rPr>
                <w:sz w:val="28"/>
              </w:rPr>
            </w:pPr>
            <w:r>
              <w:rPr>
                <w:sz w:val="28"/>
              </w:rPr>
              <w:t>Ванкоміцин</w:t>
            </w:r>
          </w:p>
        </w:tc>
        <w:tc>
          <w:tcPr>
            <w:tcW w:w="2950" w:type="dxa"/>
          </w:tcPr>
          <w:p w:rsidR="00B23B94" w:rsidRDefault="003B2D3B">
            <w:pPr>
              <w:pStyle w:val="TableParagraph"/>
              <w:ind w:right="1219"/>
              <w:jc w:val="right"/>
              <w:rPr>
                <w:sz w:val="28"/>
              </w:rPr>
            </w:pPr>
            <w:r>
              <w:rPr>
                <w:sz w:val="28"/>
              </w:rPr>
              <w:t>92,2</w:t>
            </w:r>
          </w:p>
        </w:tc>
      </w:tr>
      <w:tr w:rsidR="00B23B94">
        <w:trPr>
          <w:trHeight w:val="482"/>
        </w:trPr>
        <w:tc>
          <w:tcPr>
            <w:tcW w:w="6693" w:type="dxa"/>
          </w:tcPr>
          <w:p w:rsidR="00B23B94" w:rsidRDefault="003B2D3B">
            <w:pPr>
              <w:pStyle w:val="TableParagraph"/>
              <w:ind w:left="107"/>
              <w:jc w:val="left"/>
              <w:rPr>
                <w:sz w:val="28"/>
              </w:rPr>
            </w:pPr>
            <w:r>
              <w:rPr>
                <w:sz w:val="28"/>
              </w:rPr>
              <w:t>Лінезолід</w:t>
            </w:r>
          </w:p>
        </w:tc>
        <w:tc>
          <w:tcPr>
            <w:tcW w:w="2950" w:type="dxa"/>
          </w:tcPr>
          <w:p w:rsidR="00B23B94" w:rsidRDefault="003B2D3B">
            <w:pPr>
              <w:pStyle w:val="TableParagraph"/>
              <w:ind w:right="1219"/>
              <w:jc w:val="right"/>
              <w:rPr>
                <w:sz w:val="28"/>
              </w:rPr>
            </w:pPr>
            <w:r>
              <w:rPr>
                <w:sz w:val="28"/>
              </w:rPr>
              <w:t>92,2</w:t>
            </w:r>
          </w:p>
        </w:tc>
      </w:tr>
      <w:tr w:rsidR="00B23B94">
        <w:trPr>
          <w:trHeight w:val="484"/>
        </w:trPr>
        <w:tc>
          <w:tcPr>
            <w:tcW w:w="6693" w:type="dxa"/>
          </w:tcPr>
          <w:p w:rsidR="00B23B94" w:rsidRDefault="003B2D3B">
            <w:pPr>
              <w:pStyle w:val="TableParagraph"/>
              <w:ind w:left="107"/>
              <w:jc w:val="left"/>
              <w:rPr>
                <w:sz w:val="28"/>
              </w:rPr>
            </w:pPr>
            <w:r>
              <w:rPr>
                <w:sz w:val="28"/>
              </w:rPr>
              <w:t>Тігециклін</w:t>
            </w:r>
          </w:p>
        </w:tc>
        <w:tc>
          <w:tcPr>
            <w:tcW w:w="2950" w:type="dxa"/>
          </w:tcPr>
          <w:p w:rsidR="00B23B94" w:rsidRDefault="003B2D3B">
            <w:pPr>
              <w:pStyle w:val="TableParagraph"/>
              <w:ind w:right="1219"/>
              <w:jc w:val="right"/>
              <w:rPr>
                <w:sz w:val="28"/>
              </w:rPr>
            </w:pPr>
            <w:r>
              <w:rPr>
                <w:sz w:val="28"/>
              </w:rPr>
              <w:t>83,6</w:t>
            </w:r>
          </w:p>
        </w:tc>
      </w:tr>
      <w:tr w:rsidR="00B23B94">
        <w:trPr>
          <w:trHeight w:val="482"/>
        </w:trPr>
        <w:tc>
          <w:tcPr>
            <w:tcW w:w="6693" w:type="dxa"/>
          </w:tcPr>
          <w:p w:rsidR="00B23B94" w:rsidRDefault="003B2D3B">
            <w:pPr>
              <w:pStyle w:val="TableParagraph"/>
              <w:ind w:left="107"/>
              <w:jc w:val="left"/>
              <w:rPr>
                <w:sz w:val="28"/>
              </w:rPr>
            </w:pPr>
            <w:r>
              <w:rPr>
                <w:sz w:val="28"/>
              </w:rPr>
              <w:t>Рифампіцин</w:t>
            </w:r>
          </w:p>
        </w:tc>
        <w:tc>
          <w:tcPr>
            <w:tcW w:w="2950" w:type="dxa"/>
          </w:tcPr>
          <w:p w:rsidR="00B23B94" w:rsidRDefault="003B2D3B">
            <w:pPr>
              <w:pStyle w:val="TableParagraph"/>
              <w:ind w:right="1219"/>
              <w:jc w:val="right"/>
              <w:rPr>
                <w:sz w:val="28"/>
              </w:rPr>
            </w:pPr>
            <w:r>
              <w:rPr>
                <w:sz w:val="28"/>
              </w:rPr>
              <w:t>48,3</w:t>
            </w:r>
          </w:p>
        </w:tc>
      </w:tr>
    </w:tbl>
    <w:p w:rsidR="00B23B94" w:rsidRDefault="003B2D3B">
      <w:pPr>
        <w:pStyle w:val="a3"/>
        <w:spacing w:line="360" w:lineRule="auto"/>
        <w:ind w:left="542" w:right="782" w:firstLine="705"/>
      </w:pPr>
      <w:r>
        <w:t>Таким чином, найвища чутливість мікроорганізмів спостерігається до цефалоспоринів (цефепім – 89,7%), глікопептидів (ванкоміцин – 92,2%), оксазолідінонів (лінезолід – 92,2%), а також гліцилциклінів (тігециклін – 83,6%). Слід відзначити високий рівень антибіотикочутливості (лише 7 препаратів (29,2%) мають показник менше 50%).</w:t>
      </w:r>
    </w:p>
    <w:p w:rsidR="00B23B94" w:rsidRDefault="003B2D3B">
      <w:pPr>
        <w:pStyle w:val="a3"/>
        <w:spacing w:line="360" w:lineRule="auto"/>
        <w:ind w:left="542" w:right="793" w:firstLine="705"/>
      </w:pPr>
      <w:r>
        <w:t>Отже, відносно низька концентрація мікроорганізмів у посівах повторного бактеріального пасажу та висока антибіотикочутливість до препаратів широкого спектру дії, дозволяє на початкових етапах лікування</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7"/>
      </w:pPr>
      <w:r>
        <w:lastRenderedPageBreak/>
        <w:t>гострого тяжкого панкреатиту не призначати антибіотики резерву. Відмова від рутинного первинного раннього дренування гострих парапанкреатичних рідинних скупчень та раннього призначення антибіотиків резерву сприяє зниженню антибіотикорезистентності госпітальних штамів серед збудників гнійно-септичних ускладнень у пацієнтів з гострим тяжким панкреатитом і покращує результати антибіотикотерапії на етапах гнійно-септичних ускладнень.</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numPr>
          <w:ilvl w:val="1"/>
          <w:numId w:val="5"/>
        </w:numPr>
        <w:tabs>
          <w:tab w:val="left" w:pos="1908"/>
        </w:tabs>
        <w:spacing w:before="89" w:line="360" w:lineRule="auto"/>
        <w:ind w:right="786" w:firstLine="703"/>
        <w:jc w:val="both"/>
      </w:pPr>
      <w:r>
        <w:lastRenderedPageBreak/>
        <w:t>Диференційована хірургічна тактики у пацієнтів при некротичному панкреатиті в залежності від локалізації та характеру інфікованого септичного</w:t>
      </w:r>
      <w:r>
        <w:rPr>
          <w:spacing w:val="-4"/>
        </w:rPr>
        <w:t xml:space="preserve"> </w:t>
      </w:r>
      <w:r>
        <w:t>осередку</w:t>
      </w:r>
    </w:p>
    <w:p w:rsidR="00B23B94" w:rsidRDefault="00B23B94">
      <w:pPr>
        <w:pStyle w:val="a3"/>
        <w:spacing w:before="1"/>
        <w:ind w:left="0"/>
        <w:jc w:val="left"/>
        <w:rPr>
          <w:b/>
          <w:sz w:val="42"/>
        </w:rPr>
      </w:pPr>
    </w:p>
    <w:p w:rsidR="00B23B94" w:rsidRDefault="003B2D3B">
      <w:pPr>
        <w:pStyle w:val="a3"/>
        <w:spacing w:line="360" w:lineRule="auto"/>
        <w:ind w:left="542" w:right="785" w:firstLine="705"/>
      </w:pPr>
      <w:r>
        <w:t>Для оптимізації лікувальної тактики у пацієнтів з гнійно-септичними ускладненнями гострого тяжкого панкреатиту розроблено алгоритм диференційованої хірургічної тактики.</w:t>
      </w:r>
    </w:p>
    <w:p w:rsidR="00B23B94" w:rsidRDefault="003B2D3B">
      <w:pPr>
        <w:pStyle w:val="a3"/>
        <w:spacing w:before="1" w:line="360" w:lineRule="auto"/>
        <w:ind w:left="542" w:right="785" w:firstLine="705"/>
      </w:pPr>
      <w:r>
        <w:t>Під час розробки алгоритму, до уваги брали наявність або відсутність органної чи поліорганної дисфункції, її тривалість та перебіг, характер та поширеність локальних парапанкреатичних ускладнень гострого тяжкого панкреатиту, дані лабораторних методів обстеження, особливу увагу приділяли рівню тиреоїдних гормонів та на підставі результатів лікування пацієнтів 2а підгрупи основної групи (Рис. 3).</w:t>
      </w:r>
    </w:p>
    <w:p w:rsidR="00B23B94" w:rsidRDefault="003B2D3B">
      <w:pPr>
        <w:pStyle w:val="a3"/>
        <w:spacing w:before="2" w:line="360" w:lineRule="auto"/>
        <w:ind w:left="542" w:right="784" w:firstLine="705"/>
      </w:pPr>
      <w:r>
        <w:t>Аналіз лікування пацієнтів 2а групи вказує на те що в перші 4 тижні захворювання, у пацієнтів з поліорганною дисфункцією доцільним є проведення лабораторного моніторингу та моніторингу стану локальних парапанкреатичних ускладнень гострого тяжкого панкреатиту. Паралельно слід проводити динамічну оцінку перебігу органної дисфункції. У випадку неможливості консервативної корекції останньої показане відкрите оперативне втручання для дренування парапанкреатичних ускладнень деструктивного панкреатиту. Першочергово, всім пацієнтам яким за допомогою методів візуальної діагностики (УЗД/КТ дослідження) виявлено наявність обмежених рідинних скупчень, виконували діагностичну тонкоголкову пункцію під УЗ-контролем. Дана маніпуляція виконується по перше з декомпресійною метою, а також для діагностики наявності чи відсутності гною, з подальшим посівом отриманого ексудату на мікрофлору та визначення чутливості до антибактеріальних препаратів. За наявності гною потрібно виконувати дренування даного скупчення, об’єм якого визначає поширеність на анатомічні зони. У випадку ізольованого рідинного скупчення – показане дренування по «короткому шляху» (через</w:t>
      </w:r>
      <w:r>
        <w:rPr>
          <w:spacing w:val="-16"/>
        </w:rPr>
        <w:t xml:space="preserve"> </w:t>
      </w:r>
      <w:r>
        <w:t>передню</w:t>
      </w:r>
    </w:p>
    <w:p w:rsidR="00B23B94" w:rsidRDefault="00B23B94">
      <w:pPr>
        <w:spacing w:line="360" w:lineRule="auto"/>
        <w:sectPr w:rsidR="00B23B94">
          <w:pgSz w:w="11910" w:h="16840"/>
          <w:pgMar w:top="1040" w:right="60" w:bottom="280" w:left="1160" w:header="719" w:footer="0" w:gutter="0"/>
          <w:cols w:space="720"/>
        </w:sectPr>
      </w:pPr>
    </w:p>
    <w:p w:rsidR="00B23B94" w:rsidRDefault="00B23B94">
      <w:pPr>
        <w:pStyle w:val="a3"/>
        <w:spacing w:before="8" w:after="1"/>
        <w:ind w:left="0"/>
        <w:jc w:val="left"/>
        <w:rPr>
          <w:sz w:val="22"/>
        </w:rPr>
      </w:pPr>
    </w:p>
    <w:p w:rsidR="00B23B94" w:rsidRDefault="003B2D3B">
      <w:pPr>
        <w:pStyle w:val="a3"/>
        <w:ind w:left="1011"/>
        <w:jc w:val="left"/>
        <w:rPr>
          <w:sz w:val="20"/>
        </w:rPr>
      </w:pPr>
      <w:r>
        <w:rPr>
          <w:noProof/>
          <w:sz w:val="20"/>
          <w:lang w:eastAsia="uk-UA"/>
        </w:rPr>
        <w:drawing>
          <wp:inline distT="0" distB="0" distL="0" distR="0">
            <wp:extent cx="6014215" cy="9096756"/>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6014215" cy="9096756"/>
                    </a:xfrm>
                    <a:prstGeom prst="rect">
                      <a:avLst/>
                    </a:prstGeom>
                  </pic:spPr>
                </pic:pic>
              </a:graphicData>
            </a:graphic>
          </wp:inline>
        </w:drawing>
      </w:r>
    </w:p>
    <w:p w:rsidR="00B23B94" w:rsidRDefault="00B23B94">
      <w:pPr>
        <w:rPr>
          <w:sz w:val="20"/>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pPr>
      <w:r>
        <w:lastRenderedPageBreak/>
        <w:t>черевну стінку), коли рідинні скупчення поширюються на ретрокалярні простори, за можливості (наявність «ехо-вікна») потрібно проводити дренування по «довгому шляху» (дренування 1 «pig tail-ом» через декілька скупчень) через фланки. При відсутності гною при первинній пункції – продовжувати консервативну терапію з подальшою переоцінкою загальноклінічних та лабораторних обстежень. За відсутності декомпресійного ефекту під час пункції, або за наявності ознак повторного формування обмежених рідинних скупчень, пацієнтам потрібно виконувати магнітно-резонансну томографію. У випадку діагностування секвестрів пацієнту показана відкрита НСЕ, якщо за даними МРТ переважає рідинний компонент – показано повторна пункція для діагностики наявності гною, а також паралельно діагностика синдрому lowT</w:t>
      </w:r>
      <w:r>
        <w:rPr>
          <w:vertAlign w:val="subscript"/>
        </w:rPr>
        <w:t>3</w:t>
      </w:r>
      <w:r>
        <w:t>.</w:t>
      </w:r>
    </w:p>
    <w:p w:rsidR="00B23B94" w:rsidRDefault="003B2D3B">
      <w:pPr>
        <w:pStyle w:val="a3"/>
        <w:spacing w:before="2" w:line="360" w:lineRule="auto"/>
        <w:ind w:left="542" w:right="790" w:firstLine="705"/>
      </w:pPr>
      <w:r>
        <w:t>Отже, показанням до дренування парапанкреатичних рідинних скупчень під УЗ-контролем є наявність гною, який діагностовано під час пункції та технічна можливість проведення даної маніпуляції</w:t>
      </w:r>
      <w:r>
        <w:rPr>
          <w:spacing w:val="26"/>
        </w:rPr>
        <w:t xml:space="preserve"> </w:t>
      </w:r>
      <w:r>
        <w:t>(наявність</w:t>
      </w:r>
    </w:p>
    <w:p w:rsidR="00B23B94" w:rsidRDefault="003B2D3B">
      <w:pPr>
        <w:pStyle w:val="a3"/>
        <w:spacing w:before="1" w:line="360" w:lineRule="auto"/>
        <w:ind w:left="542" w:right="785"/>
      </w:pPr>
      <w:r>
        <w:t>«ехо-вікна»). Кількість та локалізація дренажів прямопропорційно залежить від поширеності локальних парапанкреатичних ускладнень. Перевагу слід надавати фланковому дренуванню, що вважаємо більш оптимальними для мінідоступів при плануванні етапних НСЕ.</w:t>
      </w:r>
    </w:p>
    <w:p w:rsidR="00B23B94" w:rsidRDefault="003B2D3B">
      <w:pPr>
        <w:pStyle w:val="a3"/>
        <w:ind w:left="1247"/>
      </w:pPr>
      <w:r>
        <w:t>Показаннями до відкритих операцій є:</w:t>
      </w:r>
    </w:p>
    <w:p w:rsidR="00B23B94" w:rsidRDefault="003B2D3B">
      <w:pPr>
        <w:pStyle w:val="a4"/>
        <w:numPr>
          <w:ilvl w:val="0"/>
          <w:numId w:val="4"/>
        </w:numPr>
        <w:tabs>
          <w:tab w:val="left" w:pos="1608"/>
        </w:tabs>
        <w:spacing w:before="161" w:line="360" w:lineRule="auto"/>
        <w:ind w:right="788"/>
        <w:rPr>
          <w:sz w:val="28"/>
        </w:rPr>
      </w:pPr>
      <w:r>
        <w:rPr>
          <w:sz w:val="28"/>
        </w:rPr>
        <w:t>при наявності рідинних скупчень з секвестральними масами, коли парапанкреатичні локальні ускладнення поширюються на 3 та більше анатомічні ділянки, що унеможливлює застосування мініінвазивних методик;</w:t>
      </w:r>
    </w:p>
    <w:p w:rsidR="00B23B94" w:rsidRDefault="003B2D3B">
      <w:pPr>
        <w:pStyle w:val="a4"/>
        <w:numPr>
          <w:ilvl w:val="0"/>
          <w:numId w:val="4"/>
        </w:numPr>
        <w:tabs>
          <w:tab w:val="left" w:pos="1608"/>
        </w:tabs>
        <w:ind w:right="0" w:hanging="361"/>
        <w:rPr>
          <w:sz w:val="28"/>
        </w:rPr>
      </w:pPr>
      <w:r>
        <w:rPr>
          <w:sz w:val="28"/>
        </w:rPr>
        <w:t>персистуюча або рецидивуюча органна та поліорганна</w:t>
      </w:r>
      <w:r>
        <w:rPr>
          <w:spacing w:val="-11"/>
          <w:sz w:val="28"/>
        </w:rPr>
        <w:t xml:space="preserve"> </w:t>
      </w:r>
      <w:r>
        <w:rPr>
          <w:sz w:val="28"/>
        </w:rPr>
        <w:t>дисфункція;</w:t>
      </w:r>
    </w:p>
    <w:p w:rsidR="00B23B94" w:rsidRDefault="003B2D3B">
      <w:pPr>
        <w:pStyle w:val="a4"/>
        <w:numPr>
          <w:ilvl w:val="0"/>
          <w:numId w:val="4"/>
        </w:numPr>
        <w:tabs>
          <w:tab w:val="left" w:pos="1608"/>
        </w:tabs>
        <w:spacing w:before="161"/>
        <w:ind w:right="0" w:hanging="361"/>
        <w:rPr>
          <w:sz w:val="28"/>
        </w:rPr>
      </w:pPr>
      <w:r>
        <w:rPr>
          <w:sz w:val="28"/>
        </w:rPr>
        <w:t>ознаки синдрому</w:t>
      </w:r>
      <w:r>
        <w:rPr>
          <w:spacing w:val="-3"/>
          <w:sz w:val="28"/>
        </w:rPr>
        <w:t xml:space="preserve"> </w:t>
      </w:r>
      <w:r>
        <w:rPr>
          <w:sz w:val="28"/>
        </w:rPr>
        <w:t>lowT</w:t>
      </w:r>
      <w:r>
        <w:rPr>
          <w:sz w:val="28"/>
          <w:vertAlign w:val="subscript"/>
        </w:rPr>
        <w:t>3</w:t>
      </w:r>
      <w:r>
        <w:rPr>
          <w:sz w:val="28"/>
        </w:rPr>
        <w:t>.</w:t>
      </w:r>
    </w:p>
    <w:p w:rsidR="00B23B94" w:rsidRDefault="003B2D3B">
      <w:pPr>
        <w:pStyle w:val="a3"/>
        <w:spacing w:before="163" w:line="360" w:lineRule="auto"/>
        <w:ind w:left="542" w:right="783" w:firstLine="705"/>
      </w:pPr>
      <w:r>
        <w:t>Після хірургічного лікування обов’язковим є лабораторний моніторинг загальноклінічних аналізів, виконання УЗД/КТ досліджень в динаміці, переоцінка рівня тиреоїдних гормонів на 4-5 добу. Показаннями до етапних хірургічних втручань є персистенція синдрому низького трийодтироніну</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88"/>
      </w:pPr>
      <w:r>
        <w:lastRenderedPageBreak/>
        <w:t>і/або діагностика вільнолежачих секвестрів за даними інструментальних методів дослідження.</w:t>
      </w:r>
    </w:p>
    <w:p w:rsidR="00B23B94" w:rsidRDefault="003B2D3B">
      <w:pPr>
        <w:pStyle w:val="a3"/>
        <w:spacing w:line="360" w:lineRule="auto"/>
        <w:ind w:left="542" w:right="786" w:firstLine="705"/>
      </w:pPr>
      <w:r>
        <w:t>У терміні захворювання більше 4-х тижнів, коли у пацієнта констатують наявність ознак SIRS – необхідне виконання КТ з внутрішньовенним контрастуванням для діагностики рідинних скупчень  і/або секвестральних мас. Як правило таким пацієнтам показане відкрите оперативне втручання з</w:t>
      </w:r>
      <w:r>
        <w:rPr>
          <w:spacing w:val="-3"/>
        </w:rPr>
        <w:t xml:space="preserve"> </w:t>
      </w:r>
      <w:r>
        <w:t>НСЕ.</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numPr>
          <w:ilvl w:val="1"/>
          <w:numId w:val="5"/>
        </w:numPr>
        <w:tabs>
          <w:tab w:val="left" w:pos="1858"/>
          <w:tab w:val="left" w:pos="1860"/>
          <w:tab w:val="left" w:pos="3516"/>
          <w:tab w:val="left" w:pos="4818"/>
          <w:tab w:val="left" w:pos="5557"/>
          <w:tab w:val="left" w:pos="8380"/>
        </w:tabs>
        <w:spacing w:before="89" w:line="362" w:lineRule="auto"/>
        <w:ind w:right="785" w:firstLine="703"/>
      </w:pPr>
      <w:bookmarkStart w:id="13" w:name="_TOC_250003"/>
      <w:r>
        <w:lastRenderedPageBreak/>
        <w:t>Хірургічна</w:t>
      </w:r>
      <w:r>
        <w:tab/>
        <w:t>тактика</w:t>
      </w:r>
      <w:r>
        <w:tab/>
        <w:t>при</w:t>
      </w:r>
      <w:r>
        <w:tab/>
        <w:t>парапанкреатичних</w:t>
      </w:r>
      <w:r>
        <w:tab/>
      </w:r>
      <w:r>
        <w:rPr>
          <w:spacing w:val="-3"/>
        </w:rPr>
        <w:t xml:space="preserve">інфекційно- </w:t>
      </w:r>
      <w:r>
        <w:t>септичних ускладненнях деструктивного</w:t>
      </w:r>
      <w:r>
        <w:rPr>
          <w:spacing w:val="-5"/>
        </w:rPr>
        <w:t xml:space="preserve"> </w:t>
      </w:r>
      <w:bookmarkEnd w:id="13"/>
      <w:r>
        <w:t>панкреатиту</w:t>
      </w:r>
    </w:p>
    <w:p w:rsidR="00B23B94" w:rsidRDefault="00B23B94">
      <w:pPr>
        <w:pStyle w:val="a3"/>
        <w:spacing w:before="6"/>
        <w:ind w:left="0"/>
        <w:jc w:val="left"/>
        <w:rPr>
          <w:b/>
          <w:sz w:val="41"/>
        </w:rPr>
      </w:pPr>
    </w:p>
    <w:p w:rsidR="00B23B94" w:rsidRDefault="003B2D3B">
      <w:pPr>
        <w:pStyle w:val="a3"/>
        <w:spacing w:before="1"/>
        <w:ind w:left="1247"/>
      </w:pPr>
      <w:r>
        <w:t>До другої підгрупи (2b) основної групи включено 23 пацієнти.</w:t>
      </w:r>
    </w:p>
    <w:p w:rsidR="00B23B94" w:rsidRDefault="003B2D3B">
      <w:pPr>
        <w:pStyle w:val="a3"/>
        <w:spacing w:before="160"/>
        <w:ind w:left="542"/>
      </w:pPr>
      <w:r>
        <w:t>Лікування цих хворих проводили за розробленим алгоритмом.</w:t>
      </w:r>
    </w:p>
    <w:p w:rsidR="00B23B94" w:rsidRDefault="003B2D3B">
      <w:pPr>
        <w:pStyle w:val="a3"/>
        <w:spacing w:before="163" w:line="360" w:lineRule="auto"/>
        <w:ind w:left="542" w:right="782" w:firstLine="707"/>
      </w:pPr>
      <w:r>
        <w:t>Під час госпіталізації з допомогою ультразвукового обстеження інфільтрацію парапанкреатичної клітковини з дифузною неоднорідністю підшлункової залози діагностовано у всіх без виключення пацієнтів, обмежені рідинні скупчення не визначалися (табл. 4.13). Локалізація інфільтрату в одній анатомічній ділянці виявлено у 8 (34,8%) хворих, двох анатомічних ділянках у 9 (39,1%), трьох та більше анатомічних ділянках – у 6 (26,1%) хворих (табл. 4.12).</w:t>
      </w:r>
    </w:p>
    <w:p w:rsidR="00B23B94" w:rsidRDefault="003B2D3B">
      <w:pPr>
        <w:pStyle w:val="a3"/>
        <w:spacing w:line="360" w:lineRule="auto"/>
        <w:ind w:left="542" w:right="782" w:firstLine="707"/>
      </w:pPr>
      <w:r>
        <w:t>Випіт у плевральних порожнинах на першу добу лікування в стаціонарі діагностовано у 5 пацієнтів (21,7%). Лівобічний гідроторакс виявлено у 8,7%, правобічний – 4,3%. Двобічний процес спостерігали у 8,7% пацієнтів (табл. 4.14).</w:t>
      </w:r>
    </w:p>
    <w:p w:rsidR="00B23B94" w:rsidRDefault="003B2D3B">
      <w:pPr>
        <w:spacing w:line="321" w:lineRule="exact"/>
        <w:ind w:left="8370"/>
        <w:rPr>
          <w:i/>
          <w:sz w:val="28"/>
        </w:rPr>
      </w:pPr>
      <w:r>
        <w:rPr>
          <w:i/>
          <w:sz w:val="28"/>
        </w:rPr>
        <w:t>Таблиця 4.12</w:t>
      </w:r>
    </w:p>
    <w:p w:rsidR="00B23B94" w:rsidRDefault="003B2D3B">
      <w:pPr>
        <w:pStyle w:val="1"/>
        <w:spacing w:before="161" w:line="362" w:lineRule="auto"/>
        <w:ind w:left="1878" w:right="1811" w:hanging="300"/>
      </w:pPr>
      <w:r>
        <w:rPr>
          <w:noProof/>
          <w:lang w:eastAsia="uk-UA"/>
        </w:rPr>
        <mc:AlternateContent>
          <mc:Choice Requires="wps">
            <w:drawing>
              <wp:anchor distT="0" distB="0" distL="114300" distR="114300" simplePos="0" relativeHeight="483709952" behindDoc="1" locked="0" layoutInCell="1" allowOverlap="1">
                <wp:simplePos x="0" y="0"/>
                <wp:positionH relativeFrom="page">
                  <wp:posOffset>1015365</wp:posOffset>
                </wp:positionH>
                <wp:positionV relativeFrom="paragraph">
                  <wp:posOffset>1028700</wp:posOffset>
                </wp:positionV>
                <wp:extent cx="1643380" cy="1124585"/>
                <wp:effectExtent l="0" t="0" r="0" b="0"/>
                <wp:wrapNone/>
                <wp:docPr id="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3380" cy="112458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19606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81pt" to="209.35pt,1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" strokeweight=".48pt">
                <w10:wrap anchorx="page"/>
              </v:line>
            </w:pict>
          </mc:Fallback>
        </mc:AlternateContent>
      </w:r>
      <w:r>
        <w:t>Поширеність локальних парапанкреатичних ускладнень у пацієнтів з ГТП основної групи (підгрупа 2b, n=23)</w:t>
      </w:r>
    </w:p>
    <w:p w:rsidR="00B23B94" w:rsidRDefault="00B23B94">
      <w:pPr>
        <w:pStyle w:val="a3"/>
        <w:ind w:left="0"/>
        <w:jc w:val="left"/>
        <w:rPr>
          <w:b/>
          <w:sz w:val="20"/>
        </w:rPr>
      </w:pPr>
    </w:p>
    <w:p w:rsidR="00B23B94" w:rsidRDefault="00B23B94">
      <w:pPr>
        <w:pStyle w:val="a3"/>
        <w:spacing w:before="5"/>
        <w:ind w:left="0"/>
        <w:jc w:val="left"/>
        <w:rPr>
          <w:b/>
          <w:sz w:val="21"/>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00"/>
        <w:gridCol w:w="703"/>
        <w:gridCol w:w="708"/>
        <w:gridCol w:w="705"/>
        <w:gridCol w:w="705"/>
        <w:gridCol w:w="705"/>
        <w:gridCol w:w="708"/>
        <w:gridCol w:w="703"/>
        <w:gridCol w:w="705"/>
        <w:gridCol w:w="691"/>
        <w:gridCol w:w="707"/>
      </w:tblGrid>
      <w:tr w:rsidR="00B23B94">
        <w:trPr>
          <w:trHeight w:val="839"/>
        </w:trPr>
        <w:tc>
          <w:tcPr>
            <w:tcW w:w="2600" w:type="dxa"/>
            <w:vMerge w:val="restart"/>
          </w:tcPr>
          <w:p w:rsidR="00B23B94" w:rsidRDefault="003B2D3B">
            <w:pPr>
              <w:pStyle w:val="TableParagraph"/>
              <w:ind w:left="1365"/>
              <w:jc w:val="left"/>
              <w:rPr>
                <w:sz w:val="28"/>
              </w:rPr>
            </w:pPr>
            <w:r>
              <w:rPr>
                <w:sz w:val="28"/>
              </w:rPr>
              <w:t>Доба*</w:t>
            </w:r>
          </w:p>
          <w:p w:rsidR="00B23B94" w:rsidRDefault="00B23B94">
            <w:pPr>
              <w:pStyle w:val="TableParagraph"/>
              <w:jc w:val="left"/>
              <w:rPr>
                <w:b/>
                <w:sz w:val="30"/>
              </w:rPr>
            </w:pPr>
          </w:p>
          <w:p w:rsidR="00B23B94" w:rsidRDefault="00B23B94">
            <w:pPr>
              <w:pStyle w:val="TableParagraph"/>
              <w:spacing w:before="4"/>
              <w:jc w:val="left"/>
              <w:rPr>
                <w:b/>
                <w:sz w:val="40"/>
              </w:rPr>
            </w:pPr>
          </w:p>
          <w:p w:rsidR="00B23B94" w:rsidRDefault="003B2D3B">
            <w:pPr>
              <w:pStyle w:val="TableParagraph"/>
              <w:spacing w:before="1" w:line="322" w:lineRule="exact"/>
              <w:ind w:left="107" w:right="1716"/>
              <w:jc w:val="left"/>
              <w:rPr>
                <w:sz w:val="28"/>
              </w:rPr>
            </w:pPr>
            <w:r>
              <w:rPr>
                <w:sz w:val="28"/>
              </w:rPr>
              <w:t>к-сть ЗППН</w:t>
            </w:r>
          </w:p>
        </w:tc>
        <w:tc>
          <w:tcPr>
            <w:tcW w:w="1411" w:type="dxa"/>
            <w:gridSpan w:val="2"/>
          </w:tcPr>
          <w:p w:rsidR="00B23B94" w:rsidRDefault="003B2D3B">
            <w:pPr>
              <w:pStyle w:val="TableParagraph"/>
              <w:spacing w:before="177"/>
              <w:ind w:left="5"/>
              <w:rPr>
                <w:sz w:val="28"/>
              </w:rPr>
            </w:pPr>
            <w:r>
              <w:rPr>
                <w:sz w:val="28"/>
              </w:rPr>
              <w:t>1</w:t>
            </w:r>
          </w:p>
        </w:tc>
        <w:tc>
          <w:tcPr>
            <w:tcW w:w="1410" w:type="dxa"/>
            <w:gridSpan w:val="2"/>
          </w:tcPr>
          <w:p w:rsidR="00B23B94" w:rsidRDefault="003B2D3B">
            <w:pPr>
              <w:pStyle w:val="TableParagraph"/>
              <w:spacing w:before="177"/>
              <w:ind w:left="12"/>
              <w:rPr>
                <w:sz w:val="28"/>
              </w:rPr>
            </w:pPr>
            <w:r>
              <w:rPr>
                <w:sz w:val="28"/>
              </w:rPr>
              <w:t>2</w:t>
            </w:r>
          </w:p>
        </w:tc>
        <w:tc>
          <w:tcPr>
            <w:tcW w:w="1413" w:type="dxa"/>
            <w:gridSpan w:val="2"/>
          </w:tcPr>
          <w:p w:rsidR="00B23B94" w:rsidRDefault="003B2D3B">
            <w:pPr>
              <w:pStyle w:val="TableParagraph"/>
              <w:spacing w:before="177"/>
              <w:ind w:left="500" w:right="488"/>
              <w:rPr>
                <w:sz w:val="28"/>
              </w:rPr>
            </w:pPr>
            <w:r>
              <w:rPr>
                <w:sz w:val="28"/>
              </w:rPr>
              <w:t>6-7</w:t>
            </w:r>
          </w:p>
        </w:tc>
        <w:tc>
          <w:tcPr>
            <w:tcW w:w="1408" w:type="dxa"/>
            <w:gridSpan w:val="2"/>
          </w:tcPr>
          <w:p w:rsidR="00B23B94" w:rsidRDefault="003B2D3B">
            <w:pPr>
              <w:pStyle w:val="TableParagraph"/>
              <w:spacing w:before="177"/>
              <w:ind w:left="379"/>
              <w:jc w:val="left"/>
              <w:rPr>
                <w:sz w:val="28"/>
              </w:rPr>
            </w:pPr>
            <w:r>
              <w:rPr>
                <w:sz w:val="28"/>
              </w:rPr>
              <w:t>12-14</w:t>
            </w:r>
          </w:p>
        </w:tc>
        <w:tc>
          <w:tcPr>
            <w:tcW w:w="1398" w:type="dxa"/>
            <w:gridSpan w:val="2"/>
          </w:tcPr>
          <w:p w:rsidR="00B23B94" w:rsidRDefault="003B2D3B">
            <w:pPr>
              <w:pStyle w:val="TableParagraph"/>
              <w:spacing w:before="177"/>
              <w:ind w:left="375"/>
              <w:jc w:val="left"/>
              <w:rPr>
                <w:sz w:val="28"/>
              </w:rPr>
            </w:pPr>
            <w:r>
              <w:rPr>
                <w:sz w:val="28"/>
              </w:rPr>
              <w:t>20-21</w:t>
            </w:r>
          </w:p>
        </w:tc>
      </w:tr>
      <w:tr w:rsidR="00B23B94">
        <w:trPr>
          <w:trHeight w:val="921"/>
        </w:trPr>
        <w:tc>
          <w:tcPr>
            <w:tcW w:w="2600" w:type="dxa"/>
            <w:vMerge/>
            <w:tcBorders>
              <w:top w:val="nil"/>
            </w:tcBorders>
          </w:tcPr>
          <w:p w:rsidR="00B23B94" w:rsidRDefault="00B23B94">
            <w:pPr>
              <w:rPr>
                <w:sz w:val="2"/>
                <w:szCs w:val="2"/>
              </w:rPr>
            </w:pPr>
          </w:p>
        </w:tc>
        <w:tc>
          <w:tcPr>
            <w:tcW w:w="703" w:type="dxa"/>
          </w:tcPr>
          <w:p w:rsidR="00B23B94" w:rsidRDefault="003B2D3B">
            <w:pPr>
              <w:pStyle w:val="TableParagraph"/>
              <w:spacing w:before="220"/>
              <w:ind w:left="91" w:right="82"/>
              <w:rPr>
                <w:sz w:val="28"/>
              </w:rPr>
            </w:pPr>
            <w:r>
              <w:rPr>
                <w:sz w:val="28"/>
              </w:rPr>
              <w:t>абс.</w:t>
            </w:r>
          </w:p>
        </w:tc>
        <w:tc>
          <w:tcPr>
            <w:tcW w:w="708" w:type="dxa"/>
          </w:tcPr>
          <w:p w:rsidR="00B23B94" w:rsidRDefault="003B2D3B">
            <w:pPr>
              <w:pStyle w:val="TableParagraph"/>
              <w:spacing w:before="220"/>
              <w:ind w:left="10"/>
              <w:rPr>
                <w:sz w:val="28"/>
              </w:rPr>
            </w:pPr>
            <w:r>
              <w:rPr>
                <w:sz w:val="28"/>
              </w:rPr>
              <w:t>%</w:t>
            </w:r>
          </w:p>
        </w:tc>
        <w:tc>
          <w:tcPr>
            <w:tcW w:w="705" w:type="dxa"/>
          </w:tcPr>
          <w:p w:rsidR="00B23B94" w:rsidRDefault="003B2D3B">
            <w:pPr>
              <w:pStyle w:val="TableParagraph"/>
              <w:spacing w:before="220"/>
              <w:ind w:left="86" w:right="73"/>
              <w:rPr>
                <w:sz w:val="28"/>
              </w:rPr>
            </w:pPr>
            <w:r>
              <w:rPr>
                <w:sz w:val="28"/>
              </w:rPr>
              <w:t>абс.</w:t>
            </w:r>
          </w:p>
        </w:tc>
        <w:tc>
          <w:tcPr>
            <w:tcW w:w="705" w:type="dxa"/>
          </w:tcPr>
          <w:p w:rsidR="00B23B94" w:rsidRDefault="003B2D3B">
            <w:pPr>
              <w:pStyle w:val="TableParagraph"/>
              <w:spacing w:before="220"/>
              <w:ind w:left="10"/>
              <w:rPr>
                <w:sz w:val="28"/>
              </w:rPr>
            </w:pPr>
            <w:r>
              <w:rPr>
                <w:sz w:val="28"/>
              </w:rPr>
              <w:t>%</w:t>
            </w:r>
          </w:p>
        </w:tc>
        <w:tc>
          <w:tcPr>
            <w:tcW w:w="705" w:type="dxa"/>
          </w:tcPr>
          <w:p w:rsidR="00B23B94" w:rsidRDefault="003B2D3B">
            <w:pPr>
              <w:pStyle w:val="TableParagraph"/>
              <w:spacing w:before="220"/>
              <w:ind w:left="83" w:right="73"/>
              <w:rPr>
                <w:sz w:val="28"/>
              </w:rPr>
            </w:pPr>
            <w:r>
              <w:rPr>
                <w:sz w:val="28"/>
              </w:rPr>
              <w:t>абс.</w:t>
            </w:r>
          </w:p>
        </w:tc>
        <w:tc>
          <w:tcPr>
            <w:tcW w:w="708" w:type="dxa"/>
          </w:tcPr>
          <w:p w:rsidR="00B23B94" w:rsidRDefault="003B2D3B">
            <w:pPr>
              <w:pStyle w:val="TableParagraph"/>
              <w:spacing w:before="220"/>
              <w:ind w:left="11"/>
              <w:rPr>
                <w:sz w:val="28"/>
              </w:rPr>
            </w:pPr>
            <w:r>
              <w:rPr>
                <w:sz w:val="28"/>
              </w:rPr>
              <w:t>%</w:t>
            </w:r>
          </w:p>
        </w:tc>
        <w:tc>
          <w:tcPr>
            <w:tcW w:w="703" w:type="dxa"/>
          </w:tcPr>
          <w:p w:rsidR="00B23B94" w:rsidRDefault="003B2D3B">
            <w:pPr>
              <w:pStyle w:val="TableParagraph"/>
              <w:spacing w:before="220"/>
              <w:ind w:left="95" w:right="80"/>
              <w:rPr>
                <w:sz w:val="28"/>
              </w:rPr>
            </w:pPr>
            <w:r>
              <w:rPr>
                <w:sz w:val="28"/>
              </w:rPr>
              <w:t>абс.</w:t>
            </w:r>
          </w:p>
        </w:tc>
        <w:tc>
          <w:tcPr>
            <w:tcW w:w="705" w:type="dxa"/>
          </w:tcPr>
          <w:p w:rsidR="00B23B94" w:rsidRDefault="003B2D3B">
            <w:pPr>
              <w:pStyle w:val="TableParagraph"/>
              <w:spacing w:before="220"/>
              <w:ind w:left="14"/>
              <w:rPr>
                <w:sz w:val="28"/>
              </w:rPr>
            </w:pPr>
            <w:r>
              <w:rPr>
                <w:sz w:val="28"/>
              </w:rPr>
              <w:t>%</w:t>
            </w:r>
          </w:p>
        </w:tc>
        <w:tc>
          <w:tcPr>
            <w:tcW w:w="691" w:type="dxa"/>
          </w:tcPr>
          <w:p w:rsidR="00B23B94" w:rsidRDefault="003B2D3B">
            <w:pPr>
              <w:pStyle w:val="TableParagraph"/>
              <w:spacing w:before="220"/>
              <w:ind w:left="87" w:right="68"/>
              <w:rPr>
                <w:sz w:val="28"/>
              </w:rPr>
            </w:pPr>
            <w:r>
              <w:rPr>
                <w:sz w:val="28"/>
              </w:rPr>
              <w:t>абс.</w:t>
            </w:r>
          </w:p>
        </w:tc>
        <w:tc>
          <w:tcPr>
            <w:tcW w:w="707" w:type="dxa"/>
          </w:tcPr>
          <w:p w:rsidR="00B23B94" w:rsidRDefault="003B2D3B">
            <w:pPr>
              <w:pStyle w:val="TableParagraph"/>
              <w:spacing w:before="220"/>
              <w:ind w:left="15"/>
              <w:rPr>
                <w:sz w:val="28"/>
              </w:rPr>
            </w:pPr>
            <w:r>
              <w:rPr>
                <w:sz w:val="28"/>
              </w:rPr>
              <w:t>%</w:t>
            </w:r>
          </w:p>
        </w:tc>
      </w:tr>
      <w:tr w:rsidR="00B23B94">
        <w:trPr>
          <w:trHeight w:val="835"/>
        </w:trPr>
        <w:tc>
          <w:tcPr>
            <w:tcW w:w="2600" w:type="dxa"/>
          </w:tcPr>
          <w:p w:rsidR="00B23B94" w:rsidRDefault="003B2D3B">
            <w:pPr>
              <w:pStyle w:val="TableParagraph"/>
              <w:spacing w:before="175"/>
              <w:ind w:left="7"/>
              <w:rPr>
                <w:sz w:val="28"/>
              </w:rPr>
            </w:pPr>
            <w:r>
              <w:rPr>
                <w:sz w:val="28"/>
              </w:rPr>
              <w:t>1</w:t>
            </w:r>
          </w:p>
        </w:tc>
        <w:tc>
          <w:tcPr>
            <w:tcW w:w="703" w:type="dxa"/>
          </w:tcPr>
          <w:p w:rsidR="00B23B94" w:rsidRDefault="003B2D3B">
            <w:pPr>
              <w:pStyle w:val="TableParagraph"/>
              <w:spacing w:before="175"/>
              <w:ind w:left="8"/>
              <w:rPr>
                <w:sz w:val="28"/>
              </w:rPr>
            </w:pPr>
            <w:r>
              <w:rPr>
                <w:sz w:val="28"/>
              </w:rPr>
              <w:t>8</w:t>
            </w:r>
          </w:p>
        </w:tc>
        <w:tc>
          <w:tcPr>
            <w:tcW w:w="708" w:type="dxa"/>
          </w:tcPr>
          <w:p w:rsidR="00B23B94" w:rsidRDefault="003B2D3B">
            <w:pPr>
              <w:pStyle w:val="TableParagraph"/>
              <w:spacing w:before="175"/>
              <w:ind w:left="79" w:right="72"/>
              <w:rPr>
                <w:sz w:val="28"/>
              </w:rPr>
            </w:pPr>
            <w:r>
              <w:rPr>
                <w:sz w:val="28"/>
              </w:rPr>
              <w:t>34,8</w:t>
            </w:r>
          </w:p>
        </w:tc>
        <w:tc>
          <w:tcPr>
            <w:tcW w:w="705" w:type="dxa"/>
          </w:tcPr>
          <w:p w:rsidR="00B23B94" w:rsidRDefault="003B2D3B">
            <w:pPr>
              <w:pStyle w:val="TableParagraph"/>
              <w:spacing w:before="175"/>
              <w:ind w:left="12"/>
              <w:rPr>
                <w:sz w:val="28"/>
              </w:rPr>
            </w:pPr>
            <w:r>
              <w:rPr>
                <w:sz w:val="28"/>
              </w:rPr>
              <w:t>7</w:t>
            </w:r>
          </w:p>
        </w:tc>
        <w:tc>
          <w:tcPr>
            <w:tcW w:w="705" w:type="dxa"/>
          </w:tcPr>
          <w:p w:rsidR="00B23B94" w:rsidRDefault="003B2D3B">
            <w:pPr>
              <w:pStyle w:val="TableParagraph"/>
              <w:spacing w:before="175"/>
              <w:ind w:left="85" w:right="73"/>
              <w:rPr>
                <w:sz w:val="28"/>
              </w:rPr>
            </w:pPr>
            <w:r>
              <w:rPr>
                <w:sz w:val="28"/>
              </w:rPr>
              <w:t>30,4</w:t>
            </w:r>
          </w:p>
        </w:tc>
        <w:tc>
          <w:tcPr>
            <w:tcW w:w="705" w:type="dxa"/>
          </w:tcPr>
          <w:p w:rsidR="00B23B94" w:rsidRDefault="003B2D3B">
            <w:pPr>
              <w:pStyle w:val="TableParagraph"/>
              <w:spacing w:before="175"/>
              <w:ind w:left="9"/>
              <w:rPr>
                <w:sz w:val="28"/>
              </w:rPr>
            </w:pPr>
            <w:r>
              <w:rPr>
                <w:sz w:val="28"/>
              </w:rPr>
              <w:t>5</w:t>
            </w:r>
          </w:p>
        </w:tc>
        <w:tc>
          <w:tcPr>
            <w:tcW w:w="708" w:type="dxa"/>
          </w:tcPr>
          <w:p w:rsidR="00B23B94" w:rsidRDefault="003B2D3B">
            <w:pPr>
              <w:pStyle w:val="TableParagraph"/>
              <w:spacing w:before="175"/>
              <w:ind w:left="80" w:right="72"/>
              <w:rPr>
                <w:sz w:val="28"/>
              </w:rPr>
            </w:pPr>
            <w:r>
              <w:rPr>
                <w:sz w:val="28"/>
              </w:rPr>
              <w:t>21,8</w:t>
            </w:r>
          </w:p>
        </w:tc>
        <w:tc>
          <w:tcPr>
            <w:tcW w:w="703" w:type="dxa"/>
          </w:tcPr>
          <w:p w:rsidR="00B23B94" w:rsidRDefault="003B2D3B">
            <w:pPr>
              <w:pStyle w:val="TableParagraph"/>
              <w:spacing w:before="175"/>
              <w:ind w:left="14"/>
              <w:rPr>
                <w:sz w:val="28"/>
              </w:rPr>
            </w:pPr>
            <w:r>
              <w:rPr>
                <w:sz w:val="28"/>
              </w:rPr>
              <w:t>5</w:t>
            </w:r>
          </w:p>
        </w:tc>
        <w:tc>
          <w:tcPr>
            <w:tcW w:w="705" w:type="dxa"/>
          </w:tcPr>
          <w:p w:rsidR="00B23B94" w:rsidRDefault="003B2D3B">
            <w:pPr>
              <w:pStyle w:val="TableParagraph"/>
              <w:spacing w:before="175"/>
              <w:ind w:left="88" w:right="72"/>
              <w:rPr>
                <w:sz w:val="28"/>
              </w:rPr>
            </w:pPr>
            <w:r>
              <w:rPr>
                <w:sz w:val="28"/>
              </w:rPr>
              <w:t>21,8</w:t>
            </w:r>
          </w:p>
        </w:tc>
        <w:tc>
          <w:tcPr>
            <w:tcW w:w="691" w:type="dxa"/>
          </w:tcPr>
          <w:p w:rsidR="00B23B94" w:rsidRDefault="003B2D3B">
            <w:pPr>
              <w:pStyle w:val="TableParagraph"/>
              <w:spacing w:before="175"/>
              <w:ind w:left="18"/>
              <w:rPr>
                <w:sz w:val="28"/>
              </w:rPr>
            </w:pPr>
            <w:r>
              <w:rPr>
                <w:sz w:val="28"/>
              </w:rPr>
              <w:t>5</w:t>
            </w:r>
          </w:p>
        </w:tc>
        <w:tc>
          <w:tcPr>
            <w:tcW w:w="707" w:type="dxa"/>
          </w:tcPr>
          <w:p w:rsidR="00B23B94" w:rsidRDefault="003B2D3B">
            <w:pPr>
              <w:pStyle w:val="TableParagraph"/>
              <w:spacing w:before="175"/>
              <w:ind w:left="84" w:right="68"/>
              <w:rPr>
                <w:sz w:val="28"/>
              </w:rPr>
            </w:pPr>
            <w:r>
              <w:rPr>
                <w:sz w:val="28"/>
              </w:rPr>
              <w:t>21,8</w:t>
            </w:r>
          </w:p>
        </w:tc>
      </w:tr>
      <w:tr w:rsidR="00B23B94">
        <w:trPr>
          <w:trHeight w:val="839"/>
        </w:trPr>
        <w:tc>
          <w:tcPr>
            <w:tcW w:w="2600" w:type="dxa"/>
          </w:tcPr>
          <w:p w:rsidR="00B23B94" w:rsidRDefault="003B2D3B">
            <w:pPr>
              <w:pStyle w:val="TableParagraph"/>
              <w:spacing w:before="177"/>
              <w:ind w:left="7"/>
              <w:rPr>
                <w:sz w:val="28"/>
              </w:rPr>
            </w:pPr>
            <w:r>
              <w:rPr>
                <w:sz w:val="28"/>
              </w:rPr>
              <w:t>2</w:t>
            </w:r>
          </w:p>
        </w:tc>
        <w:tc>
          <w:tcPr>
            <w:tcW w:w="703" w:type="dxa"/>
          </w:tcPr>
          <w:p w:rsidR="00B23B94" w:rsidRDefault="003B2D3B">
            <w:pPr>
              <w:pStyle w:val="TableParagraph"/>
              <w:spacing w:before="177"/>
              <w:ind w:left="8"/>
              <w:rPr>
                <w:sz w:val="28"/>
              </w:rPr>
            </w:pPr>
            <w:r>
              <w:rPr>
                <w:sz w:val="28"/>
              </w:rPr>
              <w:t>9</w:t>
            </w:r>
          </w:p>
        </w:tc>
        <w:tc>
          <w:tcPr>
            <w:tcW w:w="708" w:type="dxa"/>
          </w:tcPr>
          <w:p w:rsidR="00B23B94" w:rsidRDefault="003B2D3B">
            <w:pPr>
              <w:pStyle w:val="TableParagraph"/>
              <w:spacing w:before="177"/>
              <w:ind w:left="79" w:right="72"/>
              <w:rPr>
                <w:sz w:val="28"/>
              </w:rPr>
            </w:pPr>
            <w:r>
              <w:rPr>
                <w:sz w:val="28"/>
              </w:rPr>
              <w:t>39,1</w:t>
            </w:r>
          </w:p>
        </w:tc>
        <w:tc>
          <w:tcPr>
            <w:tcW w:w="705" w:type="dxa"/>
          </w:tcPr>
          <w:p w:rsidR="00B23B94" w:rsidRDefault="003B2D3B">
            <w:pPr>
              <w:pStyle w:val="TableParagraph"/>
              <w:spacing w:before="177"/>
              <w:ind w:left="12"/>
              <w:rPr>
                <w:sz w:val="28"/>
              </w:rPr>
            </w:pPr>
            <w:r>
              <w:rPr>
                <w:sz w:val="28"/>
              </w:rPr>
              <w:t>8</w:t>
            </w:r>
          </w:p>
        </w:tc>
        <w:tc>
          <w:tcPr>
            <w:tcW w:w="705" w:type="dxa"/>
          </w:tcPr>
          <w:p w:rsidR="00B23B94" w:rsidRDefault="003B2D3B">
            <w:pPr>
              <w:pStyle w:val="TableParagraph"/>
              <w:spacing w:before="177"/>
              <w:ind w:left="85" w:right="73"/>
              <w:rPr>
                <w:sz w:val="28"/>
              </w:rPr>
            </w:pPr>
            <w:r>
              <w:rPr>
                <w:sz w:val="28"/>
              </w:rPr>
              <w:t>34,8</w:t>
            </w:r>
          </w:p>
        </w:tc>
        <w:tc>
          <w:tcPr>
            <w:tcW w:w="705" w:type="dxa"/>
          </w:tcPr>
          <w:p w:rsidR="00B23B94" w:rsidRDefault="003B2D3B">
            <w:pPr>
              <w:pStyle w:val="TableParagraph"/>
              <w:spacing w:before="177"/>
              <w:ind w:left="9"/>
              <w:rPr>
                <w:sz w:val="28"/>
              </w:rPr>
            </w:pPr>
            <w:r>
              <w:rPr>
                <w:sz w:val="28"/>
              </w:rPr>
              <w:t>9</w:t>
            </w:r>
          </w:p>
        </w:tc>
        <w:tc>
          <w:tcPr>
            <w:tcW w:w="708" w:type="dxa"/>
          </w:tcPr>
          <w:p w:rsidR="00B23B94" w:rsidRDefault="003B2D3B">
            <w:pPr>
              <w:pStyle w:val="TableParagraph"/>
              <w:spacing w:before="177"/>
              <w:ind w:left="80" w:right="72"/>
              <w:rPr>
                <w:sz w:val="28"/>
              </w:rPr>
            </w:pPr>
            <w:r>
              <w:rPr>
                <w:sz w:val="28"/>
              </w:rPr>
              <w:t>39,1</w:t>
            </w:r>
          </w:p>
        </w:tc>
        <w:tc>
          <w:tcPr>
            <w:tcW w:w="703" w:type="dxa"/>
          </w:tcPr>
          <w:p w:rsidR="00B23B94" w:rsidRDefault="003B2D3B">
            <w:pPr>
              <w:pStyle w:val="TableParagraph"/>
              <w:spacing w:before="177"/>
              <w:ind w:left="14"/>
              <w:rPr>
                <w:sz w:val="28"/>
              </w:rPr>
            </w:pPr>
            <w:r>
              <w:rPr>
                <w:sz w:val="28"/>
              </w:rPr>
              <w:t>8</w:t>
            </w:r>
          </w:p>
        </w:tc>
        <w:tc>
          <w:tcPr>
            <w:tcW w:w="705" w:type="dxa"/>
          </w:tcPr>
          <w:p w:rsidR="00B23B94" w:rsidRDefault="003B2D3B">
            <w:pPr>
              <w:pStyle w:val="TableParagraph"/>
              <w:spacing w:before="177"/>
              <w:ind w:left="88" w:right="72"/>
              <w:rPr>
                <w:sz w:val="28"/>
              </w:rPr>
            </w:pPr>
            <w:r>
              <w:rPr>
                <w:sz w:val="28"/>
              </w:rPr>
              <w:t>34,8</w:t>
            </w:r>
          </w:p>
        </w:tc>
        <w:tc>
          <w:tcPr>
            <w:tcW w:w="691" w:type="dxa"/>
          </w:tcPr>
          <w:p w:rsidR="00B23B94" w:rsidRDefault="003B2D3B">
            <w:pPr>
              <w:pStyle w:val="TableParagraph"/>
              <w:spacing w:before="177"/>
              <w:ind w:left="18"/>
              <w:rPr>
                <w:sz w:val="28"/>
              </w:rPr>
            </w:pPr>
            <w:r>
              <w:rPr>
                <w:sz w:val="28"/>
              </w:rPr>
              <w:t>8</w:t>
            </w:r>
          </w:p>
        </w:tc>
        <w:tc>
          <w:tcPr>
            <w:tcW w:w="707" w:type="dxa"/>
          </w:tcPr>
          <w:p w:rsidR="00B23B94" w:rsidRDefault="003B2D3B">
            <w:pPr>
              <w:pStyle w:val="TableParagraph"/>
              <w:spacing w:before="177"/>
              <w:ind w:left="84" w:right="68"/>
              <w:rPr>
                <w:sz w:val="28"/>
              </w:rPr>
            </w:pPr>
            <w:r>
              <w:rPr>
                <w:sz w:val="28"/>
              </w:rPr>
              <w:t>34,8</w:t>
            </w:r>
          </w:p>
        </w:tc>
      </w:tr>
      <w:tr w:rsidR="00B23B94">
        <w:trPr>
          <w:trHeight w:val="839"/>
        </w:trPr>
        <w:tc>
          <w:tcPr>
            <w:tcW w:w="2600" w:type="dxa"/>
          </w:tcPr>
          <w:p w:rsidR="00B23B94" w:rsidRDefault="003B2D3B">
            <w:pPr>
              <w:pStyle w:val="TableParagraph"/>
              <w:spacing w:before="177"/>
              <w:ind w:left="601" w:right="593"/>
              <w:rPr>
                <w:sz w:val="28"/>
              </w:rPr>
            </w:pPr>
            <w:r>
              <w:rPr>
                <w:sz w:val="28"/>
              </w:rPr>
              <w:t>3 та більше</w:t>
            </w:r>
          </w:p>
        </w:tc>
        <w:tc>
          <w:tcPr>
            <w:tcW w:w="703" w:type="dxa"/>
          </w:tcPr>
          <w:p w:rsidR="00B23B94" w:rsidRDefault="003B2D3B">
            <w:pPr>
              <w:pStyle w:val="TableParagraph"/>
              <w:spacing w:before="177"/>
              <w:ind w:left="8"/>
              <w:rPr>
                <w:sz w:val="28"/>
              </w:rPr>
            </w:pPr>
            <w:r>
              <w:rPr>
                <w:sz w:val="28"/>
              </w:rPr>
              <w:t>6</w:t>
            </w:r>
          </w:p>
        </w:tc>
        <w:tc>
          <w:tcPr>
            <w:tcW w:w="708" w:type="dxa"/>
          </w:tcPr>
          <w:p w:rsidR="00B23B94" w:rsidRDefault="003B2D3B">
            <w:pPr>
              <w:pStyle w:val="TableParagraph"/>
              <w:spacing w:before="177"/>
              <w:ind w:left="79" w:right="72"/>
              <w:rPr>
                <w:sz w:val="28"/>
              </w:rPr>
            </w:pPr>
            <w:r>
              <w:rPr>
                <w:sz w:val="28"/>
              </w:rPr>
              <w:t>26,1</w:t>
            </w:r>
          </w:p>
        </w:tc>
        <w:tc>
          <w:tcPr>
            <w:tcW w:w="705" w:type="dxa"/>
          </w:tcPr>
          <w:p w:rsidR="00B23B94" w:rsidRDefault="003B2D3B">
            <w:pPr>
              <w:pStyle w:val="TableParagraph"/>
              <w:spacing w:before="177"/>
              <w:ind w:left="12"/>
              <w:rPr>
                <w:sz w:val="28"/>
              </w:rPr>
            </w:pPr>
            <w:r>
              <w:rPr>
                <w:sz w:val="28"/>
              </w:rPr>
              <w:t>8</w:t>
            </w:r>
          </w:p>
        </w:tc>
        <w:tc>
          <w:tcPr>
            <w:tcW w:w="705" w:type="dxa"/>
          </w:tcPr>
          <w:p w:rsidR="00B23B94" w:rsidRDefault="003B2D3B">
            <w:pPr>
              <w:pStyle w:val="TableParagraph"/>
              <w:spacing w:before="177"/>
              <w:ind w:left="85" w:right="73"/>
              <w:rPr>
                <w:sz w:val="28"/>
              </w:rPr>
            </w:pPr>
            <w:r>
              <w:rPr>
                <w:sz w:val="28"/>
              </w:rPr>
              <w:t>34,8</w:t>
            </w:r>
          </w:p>
        </w:tc>
        <w:tc>
          <w:tcPr>
            <w:tcW w:w="705" w:type="dxa"/>
          </w:tcPr>
          <w:p w:rsidR="00B23B94" w:rsidRDefault="003B2D3B">
            <w:pPr>
              <w:pStyle w:val="TableParagraph"/>
              <w:spacing w:before="177"/>
              <w:ind w:left="9"/>
              <w:rPr>
                <w:sz w:val="28"/>
              </w:rPr>
            </w:pPr>
            <w:r>
              <w:rPr>
                <w:sz w:val="28"/>
              </w:rPr>
              <w:t>9</w:t>
            </w:r>
          </w:p>
        </w:tc>
        <w:tc>
          <w:tcPr>
            <w:tcW w:w="708" w:type="dxa"/>
          </w:tcPr>
          <w:p w:rsidR="00B23B94" w:rsidRDefault="003B2D3B">
            <w:pPr>
              <w:pStyle w:val="TableParagraph"/>
              <w:spacing w:before="177"/>
              <w:ind w:left="80" w:right="72"/>
              <w:rPr>
                <w:sz w:val="28"/>
              </w:rPr>
            </w:pPr>
            <w:r>
              <w:rPr>
                <w:sz w:val="28"/>
              </w:rPr>
              <w:t>39,1</w:t>
            </w:r>
          </w:p>
        </w:tc>
        <w:tc>
          <w:tcPr>
            <w:tcW w:w="703" w:type="dxa"/>
          </w:tcPr>
          <w:p w:rsidR="00B23B94" w:rsidRDefault="003B2D3B">
            <w:pPr>
              <w:pStyle w:val="TableParagraph"/>
              <w:spacing w:before="177"/>
              <w:ind w:left="94" w:right="82"/>
              <w:rPr>
                <w:sz w:val="28"/>
              </w:rPr>
            </w:pPr>
            <w:r>
              <w:rPr>
                <w:sz w:val="28"/>
              </w:rPr>
              <w:t>10</w:t>
            </w:r>
          </w:p>
        </w:tc>
        <w:tc>
          <w:tcPr>
            <w:tcW w:w="705" w:type="dxa"/>
          </w:tcPr>
          <w:p w:rsidR="00B23B94" w:rsidRDefault="003B2D3B">
            <w:pPr>
              <w:pStyle w:val="TableParagraph"/>
              <w:spacing w:before="177"/>
              <w:ind w:left="88" w:right="72"/>
              <w:rPr>
                <w:sz w:val="28"/>
              </w:rPr>
            </w:pPr>
            <w:r>
              <w:rPr>
                <w:sz w:val="28"/>
              </w:rPr>
              <w:t>43,5</w:t>
            </w:r>
          </w:p>
        </w:tc>
        <w:tc>
          <w:tcPr>
            <w:tcW w:w="691" w:type="dxa"/>
          </w:tcPr>
          <w:p w:rsidR="00B23B94" w:rsidRDefault="003B2D3B">
            <w:pPr>
              <w:pStyle w:val="TableParagraph"/>
              <w:spacing w:before="177"/>
              <w:ind w:left="87" w:right="70"/>
              <w:rPr>
                <w:sz w:val="28"/>
              </w:rPr>
            </w:pPr>
            <w:r>
              <w:rPr>
                <w:sz w:val="28"/>
              </w:rPr>
              <w:t>10</w:t>
            </w:r>
          </w:p>
        </w:tc>
        <w:tc>
          <w:tcPr>
            <w:tcW w:w="707" w:type="dxa"/>
          </w:tcPr>
          <w:p w:rsidR="00B23B94" w:rsidRDefault="003B2D3B">
            <w:pPr>
              <w:pStyle w:val="TableParagraph"/>
              <w:spacing w:before="177"/>
              <w:ind w:left="84" w:right="68"/>
              <w:rPr>
                <w:sz w:val="28"/>
              </w:rPr>
            </w:pPr>
            <w:r>
              <w:rPr>
                <w:sz w:val="28"/>
              </w:rPr>
              <w:t>43,5</w:t>
            </w:r>
          </w:p>
        </w:tc>
      </w:tr>
    </w:tbl>
    <w:p w:rsidR="00B23B94" w:rsidRDefault="003B2D3B">
      <w:pPr>
        <w:ind w:left="1250"/>
        <w:rPr>
          <w:i/>
          <w:sz w:val="28"/>
        </w:rPr>
      </w:pPr>
      <w:r>
        <w:rPr>
          <w:i/>
          <w:sz w:val="28"/>
        </w:rPr>
        <w:t>Примітка: * - доба від початку захворювання.</w:t>
      </w:r>
    </w:p>
    <w:p w:rsidR="00B23B94" w:rsidRDefault="00B23B94">
      <w:pPr>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2" w:firstLine="707"/>
      </w:pPr>
      <w:r>
        <w:lastRenderedPageBreak/>
        <w:t>За шкалою BISAP при госпіталізації тяжкість стану у пацієнтів 2b групи становило 3,1±0,30 бали (діапазон від 2 до 5 балів). 2 бали чи більше за шкалою Marshall в одній чи декількох систем із трьох констатовано у 16 (69,6%) пацієнтів (табл. 4.15). Показань до хірургічної агресії на даному етапі не було виявлено, пацієнти отримували базисну стандартну</w:t>
      </w:r>
      <w:r>
        <w:rPr>
          <w:spacing w:val="-15"/>
        </w:rPr>
        <w:t xml:space="preserve"> </w:t>
      </w:r>
      <w:r>
        <w:t>терапію.</w:t>
      </w:r>
    </w:p>
    <w:p w:rsidR="00B23B94" w:rsidRDefault="003B2D3B">
      <w:pPr>
        <w:spacing w:before="3"/>
        <w:ind w:left="8370"/>
        <w:jc w:val="both"/>
        <w:rPr>
          <w:i/>
          <w:sz w:val="28"/>
        </w:rPr>
      </w:pPr>
      <w:r>
        <w:rPr>
          <w:i/>
          <w:sz w:val="28"/>
        </w:rPr>
        <w:t>Таблиця 4.13</w:t>
      </w:r>
    </w:p>
    <w:p w:rsidR="00B23B94" w:rsidRDefault="003B2D3B">
      <w:pPr>
        <w:pStyle w:val="1"/>
        <w:spacing w:line="360" w:lineRule="auto"/>
        <w:ind w:left="2652" w:right="1261" w:hanging="930"/>
        <w:jc w:val="both"/>
      </w:pPr>
      <w:r>
        <w:t>Характеристика локальних парапанкреатичних ускладнень у пацієнтів основної групи (підгрупа 2b, n=23)</w:t>
      </w:r>
    </w:p>
    <w:p w:rsidR="00B23B94" w:rsidRDefault="00B23B94">
      <w:pPr>
        <w:pStyle w:val="a3"/>
        <w:ind w:left="0"/>
        <w:jc w:val="left"/>
        <w:rPr>
          <w:b/>
          <w:sz w:val="20"/>
        </w:rPr>
      </w:pPr>
    </w:p>
    <w:p w:rsidR="00B23B94" w:rsidRDefault="00B23B94">
      <w:pPr>
        <w:pStyle w:val="a3"/>
        <w:spacing w:before="1"/>
        <w:ind w:left="0"/>
        <w:jc w:val="left"/>
        <w:rPr>
          <w:b/>
          <w:sz w:val="22"/>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34"/>
        <w:gridCol w:w="1337"/>
        <w:gridCol w:w="1334"/>
        <w:gridCol w:w="1334"/>
        <w:gridCol w:w="1335"/>
        <w:gridCol w:w="1337"/>
        <w:gridCol w:w="1335"/>
      </w:tblGrid>
      <w:tr w:rsidR="00B23B94">
        <w:trPr>
          <w:trHeight w:val="482"/>
        </w:trPr>
        <w:tc>
          <w:tcPr>
            <w:tcW w:w="1334" w:type="dxa"/>
            <w:vMerge w:val="restart"/>
          </w:tcPr>
          <w:p w:rsidR="00B23B94" w:rsidRDefault="00B23B94">
            <w:pPr>
              <w:pStyle w:val="TableParagraph"/>
              <w:jc w:val="left"/>
              <w:rPr>
                <w:b/>
                <w:sz w:val="30"/>
              </w:rPr>
            </w:pPr>
          </w:p>
          <w:p w:rsidR="00B23B94" w:rsidRDefault="003B2D3B">
            <w:pPr>
              <w:pStyle w:val="TableParagraph"/>
              <w:spacing w:before="229"/>
              <w:ind w:left="297"/>
              <w:jc w:val="left"/>
              <w:rPr>
                <w:sz w:val="28"/>
              </w:rPr>
            </w:pPr>
            <w:r>
              <w:rPr>
                <w:sz w:val="28"/>
              </w:rPr>
              <w:t>Доба*</w:t>
            </w:r>
          </w:p>
        </w:tc>
        <w:tc>
          <w:tcPr>
            <w:tcW w:w="8012" w:type="dxa"/>
            <w:gridSpan w:val="6"/>
          </w:tcPr>
          <w:p w:rsidR="00B23B94" w:rsidRDefault="003B2D3B">
            <w:pPr>
              <w:pStyle w:val="TableParagraph"/>
              <w:ind w:left="2248" w:right="2240"/>
              <w:rPr>
                <w:sz w:val="28"/>
              </w:rPr>
            </w:pPr>
            <w:r>
              <w:rPr>
                <w:sz w:val="28"/>
              </w:rPr>
              <w:t>Тип локального ускладнення</w:t>
            </w:r>
          </w:p>
        </w:tc>
      </w:tr>
      <w:tr w:rsidR="00B23B94">
        <w:trPr>
          <w:trHeight w:val="642"/>
        </w:trPr>
        <w:tc>
          <w:tcPr>
            <w:tcW w:w="1334" w:type="dxa"/>
            <w:vMerge/>
            <w:tcBorders>
              <w:top w:val="nil"/>
            </w:tcBorders>
          </w:tcPr>
          <w:p w:rsidR="00B23B94" w:rsidRDefault="00B23B94">
            <w:pPr>
              <w:rPr>
                <w:sz w:val="2"/>
                <w:szCs w:val="2"/>
              </w:rPr>
            </w:pPr>
          </w:p>
        </w:tc>
        <w:tc>
          <w:tcPr>
            <w:tcW w:w="2671" w:type="dxa"/>
            <w:gridSpan w:val="2"/>
          </w:tcPr>
          <w:p w:rsidR="00B23B94" w:rsidRDefault="003B2D3B">
            <w:pPr>
              <w:pStyle w:val="TableParagraph"/>
              <w:spacing w:before="160"/>
              <w:ind w:left="694"/>
              <w:jc w:val="left"/>
              <w:rPr>
                <w:sz w:val="28"/>
              </w:rPr>
            </w:pPr>
            <w:r>
              <w:rPr>
                <w:sz w:val="28"/>
              </w:rPr>
              <w:t>Інфільтрат</w:t>
            </w:r>
          </w:p>
        </w:tc>
        <w:tc>
          <w:tcPr>
            <w:tcW w:w="2669" w:type="dxa"/>
            <w:gridSpan w:val="2"/>
          </w:tcPr>
          <w:p w:rsidR="00B23B94" w:rsidRDefault="003B2D3B">
            <w:pPr>
              <w:pStyle w:val="TableParagraph"/>
              <w:spacing w:before="160"/>
              <w:ind w:left="226"/>
              <w:jc w:val="left"/>
              <w:rPr>
                <w:sz w:val="28"/>
              </w:rPr>
            </w:pPr>
            <w:r>
              <w:rPr>
                <w:sz w:val="28"/>
              </w:rPr>
              <w:t>Рідинні скупчення</w:t>
            </w:r>
          </w:p>
        </w:tc>
        <w:tc>
          <w:tcPr>
            <w:tcW w:w="2672" w:type="dxa"/>
            <w:gridSpan w:val="2"/>
          </w:tcPr>
          <w:p w:rsidR="00B23B94" w:rsidRDefault="003B2D3B">
            <w:pPr>
              <w:pStyle w:val="TableParagraph"/>
              <w:spacing w:before="4" w:line="322" w:lineRule="exact"/>
              <w:ind w:left="745" w:right="86" w:hanging="634"/>
              <w:jc w:val="left"/>
              <w:rPr>
                <w:sz w:val="28"/>
              </w:rPr>
            </w:pPr>
            <w:r>
              <w:rPr>
                <w:sz w:val="28"/>
              </w:rPr>
              <w:t>Рідинні скупчення + секвестри</w:t>
            </w:r>
          </w:p>
        </w:tc>
      </w:tr>
      <w:tr w:rsidR="00B23B94">
        <w:trPr>
          <w:trHeight w:val="479"/>
        </w:trPr>
        <w:tc>
          <w:tcPr>
            <w:tcW w:w="1334" w:type="dxa"/>
            <w:vMerge/>
            <w:tcBorders>
              <w:top w:val="nil"/>
            </w:tcBorders>
          </w:tcPr>
          <w:p w:rsidR="00B23B94" w:rsidRDefault="00B23B94">
            <w:pPr>
              <w:rPr>
                <w:sz w:val="2"/>
                <w:szCs w:val="2"/>
              </w:rPr>
            </w:pPr>
          </w:p>
        </w:tc>
        <w:tc>
          <w:tcPr>
            <w:tcW w:w="1337" w:type="dxa"/>
          </w:tcPr>
          <w:p w:rsidR="00B23B94" w:rsidRDefault="003B2D3B">
            <w:pPr>
              <w:pStyle w:val="TableParagraph"/>
              <w:spacing w:line="319" w:lineRule="exact"/>
              <w:ind w:left="417" w:right="406"/>
              <w:rPr>
                <w:sz w:val="28"/>
              </w:rPr>
            </w:pPr>
            <w:r>
              <w:rPr>
                <w:sz w:val="28"/>
              </w:rPr>
              <w:t>абс.</w:t>
            </w:r>
          </w:p>
        </w:tc>
        <w:tc>
          <w:tcPr>
            <w:tcW w:w="1334" w:type="dxa"/>
          </w:tcPr>
          <w:p w:rsidR="00B23B94" w:rsidRDefault="003B2D3B">
            <w:pPr>
              <w:pStyle w:val="TableParagraph"/>
              <w:spacing w:line="319" w:lineRule="exact"/>
              <w:ind w:left="5"/>
              <w:rPr>
                <w:sz w:val="28"/>
              </w:rPr>
            </w:pPr>
            <w:r>
              <w:rPr>
                <w:sz w:val="28"/>
              </w:rPr>
              <w:t>%</w:t>
            </w:r>
          </w:p>
        </w:tc>
        <w:tc>
          <w:tcPr>
            <w:tcW w:w="1334" w:type="dxa"/>
          </w:tcPr>
          <w:p w:rsidR="00B23B94" w:rsidRDefault="003B2D3B">
            <w:pPr>
              <w:pStyle w:val="TableParagraph"/>
              <w:spacing w:line="319" w:lineRule="exact"/>
              <w:ind w:left="329" w:right="314"/>
              <w:rPr>
                <w:sz w:val="28"/>
              </w:rPr>
            </w:pPr>
            <w:r>
              <w:rPr>
                <w:sz w:val="28"/>
              </w:rPr>
              <w:t>абс.</w:t>
            </w:r>
          </w:p>
        </w:tc>
        <w:tc>
          <w:tcPr>
            <w:tcW w:w="1335" w:type="dxa"/>
          </w:tcPr>
          <w:p w:rsidR="00B23B94" w:rsidRDefault="003B2D3B">
            <w:pPr>
              <w:pStyle w:val="TableParagraph"/>
              <w:spacing w:line="319" w:lineRule="exact"/>
              <w:ind w:left="11"/>
              <w:rPr>
                <w:sz w:val="28"/>
              </w:rPr>
            </w:pPr>
            <w:r>
              <w:rPr>
                <w:sz w:val="28"/>
              </w:rPr>
              <w:t>%</w:t>
            </w:r>
          </w:p>
        </w:tc>
        <w:tc>
          <w:tcPr>
            <w:tcW w:w="1337" w:type="dxa"/>
          </w:tcPr>
          <w:p w:rsidR="00B23B94" w:rsidRDefault="003B2D3B">
            <w:pPr>
              <w:pStyle w:val="TableParagraph"/>
              <w:spacing w:line="319" w:lineRule="exact"/>
              <w:ind w:left="418" w:right="405"/>
              <w:rPr>
                <w:sz w:val="28"/>
              </w:rPr>
            </w:pPr>
            <w:r>
              <w:rPr>
                <w:sz w:val="28"/>
              </w:rPr>
              <w:t>абс.</w:t>
            </w:r>
          </w:p>
        </w:tc>
        <w:tc>
          <w:tcPr>
            <w:tcW w:w="1335" w:type="dxa"/>
          </w:tcPr>
          <w:p w:rsidR="00B23B94" w:rsidRDefault="003B2D3B">
            <w:pPr>
              <w:pStyle w:val="TableParagraph"/>
              <w:spacing w:line="319" w:lineRule="exact"/>
              <w:ind w:left="7"/>
              <w:rPr>
                <w:sz w:val="28"/>
              </w:rPr>
            </w:pPr>
            <w:r>
              <w:rPr>
                <w:sz w:val="28"/>
              </w:rPr>
              <w:t>%</w:t>
            </w:r>
          </w:p>
        </w:tc>
      </w:tr>
      <w:tr w:rsidR="00B23B94">
        <w:trPr>
          <w:trHeight w:val="481"/>
        </w:trPr>
        <w:tc>
          <w:tcPr>
            <w:tcW w:w="1334" w:type="dxa"/>
          </w:tcPr>
          <w:p w:rsidR="00B23B94" w:rsidRDefault="003B2D3B">
            <w:pPr>
              <w:pStyle w:val="TableParagraph"/>
              <w:ind w:left="107"/>
              <w:jc w:val="left"/>
              <w:rPr>
                <w:sz w:val="28"/>
              </w:rPr>
            </w:pPr>
            <w:r>
              <w:rPr>
                <w:sz w:val="28"/>
              </w:rPr>
              <w:t>1</w:t>
            </w:r>
          </w:p>
        </w:tc>
        <w:tc>
          <w:tcPr>
            <w:tcW w:w="1337" w:type="dxa"/>
          </w:tcPr>
          <w:p w:rsidR="00B23B94" w:rsidRDefault="003B2D3B">
            <w:pPr>
              <w:pStyle w:val="TableParagraph"/>
              <w:ind w:left="414" w:right="406"/>
              <w:rPr>
                <w:sz w:val="28"/>
              </w:rPr>
            </w:pPr>
            <w:r>
              <w:rPr>
                <w:sz w:val="28"/>
              </w:rPr>
              <w:t>23</w:t>
            </w:r>
          </w:p>
        </w:tc>
        <w:tc>
          <w:tcPr>
            <w:tcW w:w="1334" w:type="dxa"/>
          </w:tcPr>
          <w:p w:rsidR="00B23B94" w:rsidRDefault="003B2D3B">
            <w:pPr>
              <w:pStyle w:val="TableParagraph"/>
              <w:ind w:left="329" w:right="324"/>
              <w:rPr>
                <w:sz w:val="28"/>
              </w:rPr>
            </w:pPr>
            <w:r>
              <w:rPr>
                <w:sz w:val="28"/>
              </w:rPr>
              <w:t>100</w:t>
            </w:r>
          </w:p>
        </w:tc>
        <w:tc>
          <w:tcPr>
            <w:tcW w:w="1334" w:type="dxa"/>
          </w:tcPr>
          <w:p w:rsidR="00B23B94" w:rsidRDefault="003B2D3B">
            <w:pPr>
              <w:pStyle w:val="TableParagraph"/>
              <w:ind w:left="10"/>
              <w:rPr>
                <w:sz w:val="28"/>
              </w:rPr>
            </w:pPr>
            <w:r>
              <w:rPr>
                <w:sz w:val="28"/>
              </w:rPr>
              <w:t>-</w:t>
            </w:r>
          </w:p>
        </w:tc>
        <w:tc>
          <w:tcPr>
            <w:tcW w:w="1335" w:type="dxa"/>
          </w:tcPr>
          <w:p w:rsidR="00B23B94" w:rsidRDefault="003B2D3B">
            <w:pPr>
              <w:pStyle w:val="TableParagraph"/>
              <w:ind w:left="10"/>
              <w:rPr>
                <w:sz w:val="28"/>
              </w:rPr>
            </w:pPr>
            <w:r>
              <w:rPr>
                <w:sz w:val="28"/>
              </w:rPr>
              <w:t>-</w:t>
            </w:r>
          </w:p>
        </w:tc>
        <w:tc>
          <w:tcPr>
            <w:tcW w:w="1337" w:type="dxa"/>
          </w:tcPr>
          <w:p w:rsidR="00B23B94" w:rsidRDefault="003B2D3B">
            <w:pPr>
              <w:pStyle w:val="TableParagraph"/>
              <w:ind w:left="8"/>
              <w:rPr>
                <w:sz w:val="28"/>
              </w:rPr>
            </w:pPr>
            <w:r>
              <w:rPr>
                <w:sz w:val="28"/>
              </w:rPr>
              <w:t>-</w:t>
            </w:r>
          </w:p>
        </w:tc>
        <w:tc>
          <w:tcPr>
            <w:tcW w:w="1335" w:type="dxa"/>
          </w:tcPr>
          <w:p w:rsidR="00B23B94" w:rsidRDefault="00B23B94">
            <w:pPr>
              <w:pStyle w:val="TableParagraph"/>
              <w:jc w:val="left"/>
              <w:rPr>
                <w:sz w:val="28"/>
              </w:rPr>
            </w:pPr>
          </w:p>
        </w:tc>
      </w:tr>
      <w:tr w:rsidR="00B23B94">
        <w:trPr>
          <w:trHeight w:val="484"/>
        </w:trPr>
        <w:tc>
          <w:tcPr>
            <w:tcW w:w="1334" w:type="dxa"/>
          </w:tcPr>
          <w:p w:rsidR="00B23B94" w:rsidRDefault="003B2D3B">
            <w:pPr>
              <w:pStyle w:val="TableParagraph"/>
              <w:ind w:left="107"/>
              <w:jc w:val="left"/>
              <w:rPr>
                <w:sz w:val="28"/>
              </w:rPr>
            </w:pPr>
            <w:r>
              <w:rPr>
                <w:sz w:val="28"/>
              </w:rPr>
              <w:t>2</w:t>
            </w:r>
          </w:p>
        </w:tc>
        <w:tc>
          <w:tcPr>
            <w:tcW w:w="1337" w:type="dxa"/>
          </w:tcPr>
          <w:p w:rsidR="00B23B94" w:rsidRDefault="003B2D3B">
            <w:pPr>
              <w:pStyle w:val="TableParagraph"/>
              <w:ind w:left="414" w:right="406"/>
              <w:rPr>
                <w:sz w:val="28"/>
              </w:rPr>
            </w:pPr>
            <w:r>
              <w:rPr>
                <w:sz w:val="28"/>
              </w:rPr>
              <w:t>23</w:t>
            </w:r>
          </w:p>
        </w:tc>
        <w:tc>
          <w:tcPr>
            <w:tcW w:w="1334" w:type="dxa"/>
          </w:tcPr>
          <w:p w:rsidR="00B23B94" w:rsidRDefault="003B2D3B">
            <w:pPr>
              <w:pStyle w:val="TableParagraph"/>
              <w:ind w:left="329" w:right="324"/>
              <w:rPr>
                <w:sz w:val="28"/>
              </w:rPr>
            </w:pPr>
            <w:r>
              <w:rPr>
                <w:sz w:val="28"/>
              </w:rPr>
              <w:t>100</w:t>
            </w:r>
          </w:p>
        </w:tc>
        <w:tc>
          <w:tcPr>
            <w:tcW w:w="1334" w:type="dxa"/>
          </w:tcPr>
          <w:p w:rsidR="00B23B94" w:rsidRDefault="003B2D3B">
            <w:pPr>
              <w:pStyle w:val="TableParagraph"/>
              <w:ind w:left="10"/>
              <w:rPr>
                <w:sz w:val="28"/>
              </w:rPr>
            </w:pPr>
            <w:r>
              <w:rPr>
                <w:sz w:val="28"/>
              </w:rPr>
              <w:t>-</w:t>
            </w:r>
          </w:p>
        </w:tc>
        <w:tc>
          <w:tcPr>
            <w:tcW w:w="1335" w:type="dxa"/>
          </w:tcPr>
          <w:p w:rsidR="00B23B94" w:rsidRDefault="003B2D3B">
            <w:pPr>
              <w:pStyle w:val="TableParagraph"/>
              <w:ind w:left="10"/>
              <w:rPr>
                <w:sz w:val="28"/>
              </w:rPr>
            </w:pPr>
            <w:r>
              <w:rPr>
                <w:sz w:val="28"/>
              </w:rPr>
              <w:t>-</w:t>
            </w:r>
          </w:p>
        </w:tc>
        <w:tc>
          <w:tcPr>
            <w:tcW w:w="1337" w:type="dxa"/>
          </w:tcPr>
          <w:p w:rsidR="00B23B94" w:rsidRDefault="003B2D3B">
            <w:pPr>
              <w:pStyle w:val="TableParagraph"/>
              <w:ind w:left="8"/>
              <w:rPr>
                <w:sz w:val="28"/>
              </w:rPr>
            </w:pPr>
            <w:r>
              <w:rPr>
                <w:sz w:val="28"/>
              </w:rPr>
              <w:t>-</w:t>
            </w:r>
          </w:p>
        </w:tc>
        <w:tc>
          <w:tcPr>
            <w:tcW w:w="1335" w:type="dxa"/>
          </w:tcPr>
          <w:p w:rsidR="00B23B94" w:rsidRDefault="00B23B94">
            <w:pPr>
              <w:pStyle w:val="TableParagraph"/>
              <w:jc w:val="left"/>
              <w:rPr>
                <w:sz w:val="28"/>
              </w:rPr>
            </w:pPr>
          </w:p>
        </w:tc>
      </w:tr>
      <w:tr w:rsidR="00B23B94">
        <w:trPr>
          <w:trHeight w:val="481"/>
        </w:trPr>
        <w:tc>
          <w:tcPr>
            <w:tcW w:w="1334" w:type="dxa"/>
          </w:tcPr>
          <w:p w:rsidR="00B23B94" w:rsidRDefault="003B2D3B">
            <w:pPr>
              <w:pStyle w:val="TableParagraph"/>
              <w:ind w:left="107"/>
              <w:jc w:val="left"/>
              <w:rPr>
                <w:sz w:val="28"/>
              </w:rPr>
            </w:pPr>
            <w:r>
              <w:rPr>
                <w:sz w:val="28"/>
              </w:rPr>
              <w:t>6-7</w:t>
            </w:r>
          </w:p>
        </w:tc>
        <w:tc>
          <w:tcPr>
            <w:tcW w:w="1337" w:type="dxa"/>
          </w:tcPr>
          <w:p w:rsidR="00B23B94" w:rsidRDefault="003B2D3B">
            <w:pPr>
              <w:pStyle w:val="TableParagraph"/>
              <w:ind w:left="414" w:right="406"/>
              <w:rPr>
                <w:sz w:val="28"/>
              </w:rPr>
            </w:pPr>
            <w:r>
              <w:rPr>
                <w:sz w:val="28"/>
              </w:rPr>
              <w:t>12</w:t>
            </w:r>
          </w:p>
        </w:tc>
        <w:tc>
          <w:tcPr>
            <w:tcW w:w="1334" w:type="dxa"/>
          </w:tcPr>
          <w:p w:rsidR="00B23B94" w:rsidRDefault="003B2D3B">
            <w:pPr>
              <w:pStyle w:val="TableParagraph"/>
              <w:ind w:left="329" w:right="322"/>
              <w:rPr>
                <w:sz w:val="28"/>
              </w:rPr>
            </w:pPr>
            <w:r>
              <w:rPr>
                <w:sz w:val="28"/>
              </w:rPr>
              <w:t>52,2</w:t>
            </w:r>
          </w:p>
        </w:tc>
        <w:tc>
          <w:tcPr>
            <w:tcW w:w="1334" w:type="dxa"/>
          </w:tcPr>
          <w:p w:rsidR="00B23B94" w:rsidRDefault="003B2D3B">
            <w:pPr>
              <w:pStyle w:val="TableParagraph"/>
              <w:ind w:left="329" w:right="316"/>
              <w:rPr>
                <w:sz w:val="28"/>
              </w:rPr>
            </w:pPr>
            <w:r>
              <w:rPr>
                <w:sz w:val="28"/>
              </w:rPr>
              <w:t>11</w:t>
            </w:r>
          </w:p>
        </w:tc>
        <w:tc>
          <w:tcPr>
            <w:tcW w:w="1335" w:type="dxa"/>
          </w:tcPr>
          <w:p w:rsidR="00B23B94" w:rsidRDefault="003B2D3B">
            <w:pPr>
              <w:pStyle w:val="TableParagraph"/>
              <w:ind w:left="401" w:right="388"/>
              <w:rPr>
                <w:sz w:val="28"/>
              </w:rPr>
            </w:pPr>
            <w:r>
              <w:rPr>
                <w:sz w:val="28"/>
              </w:rPr>
              <w:t>47,8</w:t>
            </w:r>
          </w:p>
        </w:tc>
        <w:tc>
          <w:tcPr>
            <w:tcW w:w="1337" w:type="dxa"/>
          </w:tcPr>
          <w:p w:rsidR="00B23B94" w:rsidRDefault="003B2D3B">
            <w:pPr>
              <w:pStyle w:val="TableParagraph"/>
              <w:ind w:left="8"/>
              <w:rPr>
                <w:sz w:val="28"/>
              </w:rPr>
            </w:pPr>
            <w:r>
              <w:rPr>
                <w:sz w:val="28"/>
              </w:rPr>
              <w:t>-</w:t>
            </w:r>
          </w:p>
        </w:tc>
        <w:tc>
          <w:tcPr>
            <w:tcW w:w="1335" w:type="dxa"/>
          </w:tcPr>
          <w:p w:rsidR="00B23B94" w:rsidRDefault="00B23B94">
            <w:pPr>
              <w:pStyle w:val="TableParagraph"/>
              <w:jc w:val="left"/>
              <w:rPr>
                <w:sz w:val="28"/>
              </w:rPr>
            </w:pPr>
          </w:p>
        </w:tc>
      </w:tr>
      <w:tr w:rsidR="00B23B94">
        <w:trPr>
          <w:trHeight w:val="482"/>
        </w:trPr>
        <w:tc>
          <w:tcPr>
            <w:tcW w:w="1334" w:type="dxa"/>
          </w:tcPr>
          <w:p w:rsidR="00B23B94" w:rsidRDefault="003B2D3B">
            <w:pPr>
              <w:pStyle w:val="TableParagraph"/>
              <w:ind w:left="107"/>
              <w:jc w:val="left"/>
              <w:rPr>
                <w:sz w:val="28"/>
              </w:rPr>
            </w:pPr>
            <w:r>
              <w:rPr>
                <w:sz w:val="28"/>
              </w:rPr>
              <w:t>12-14</w:t>
            </w:r>
          </w:p>
        </w:tc>
        <w:tc>
          <w:tcPr>
            <w:tcW w:w="1337" w:type="dxa"/>
          </w:tcPr>
          <w:p w:rsidR="00B23B94" w:rsidRDefault="003B2D3B">
            <w:pPr>
              <w:pStyle w:val="TableParagraph"/>
              <w:ind w:left="10"/>
              <w:rPr>
                <w:sz w:val="28"/>
              </w:rPr>
            </w:pPr>
            <w:r>
              <w:rPr>
                <w:sz w:val="28"/>
              </w:rPr>
              <w:t>1</w:t>
            </w:r>
          </w:p>
        </w:tc>
        <w:tc>
          <w:tcPr>
            <w:tcW w:w="1334" w:type="dxa"/>
          </w:tcPr>
          <w:p w:rsidR="00B23B94" w:rsidRDefault="003B2D3B">
            <w:pPr>
              <w:pStyle w:val="TableParagraph"/>
              <w:ind w:left="329" w:right="321"/>
              <w:rPr>
                <w:sz w:val="28"/>
              </w:rPr>
            </w:pPr>
            <w:r>
              <w:rPr>
                <w:sz w:val="28"/>
              </w:rPr>
              <w:t>4,3</w:t>
            </w:r>
          </w:p>
        </w:tc>
        <w:tc>
          <w:tcPr>
            <w:tcW w:w="1334" w:type="dxa"/>
          </w:tcPr>
          <w:p w:rsidR="00B23B94" w:rsidRDefault="003B2D3B">
            <w:pPr>
              <w:pStyle w:val="TableParagraph"/>
              <w:ind w:left="329" w:right="316"/>
              <w:rPr>
                <w:sz w:val="28"/>
              </w:rPr>
            </w:pPr>
            <w:r>
              <w:rPr>
                <w:sz w:val="28"/>
              </w:rPr>
              <w:t>10</w:t>
            </w:r>
          </w:p>
        </w:tc>
        <w:tc>
          <w:tcPr>
            <w:tcW w:w="1335" w:type="dxa"/>
          </w:tcPr>
          <w:p w:rsidR="00B23B94" w:rsidRDefault="003B2D3B">
            <w:pPr>
              <w:pStyle w:val="TableParagraph"/>
              <w:ind w:left="401" w:right="388"/>
              <w:rPr>
                <w:sz w:val="28"/>
              </w:rPr>
            </w:pPr>
            <w:r>
              <w:rPr>
                <w:sz w:val="28"/>
              </w:rPr>
              <w:t>43,5</w:t>
            </w:r>
          </w:p>
        </w:tc>
        <w:tc>
          <w:tcPr>
            <w:tcW w:w="1337" w:type="dxa"/>
          </w:tcPr>
          <w:p w:rsidR="00B23B94" w:rsidRDefault="003B2D3B">
            <w:pPr>
              <w:pStyle w:val="TableParagraph"/>
              <w:ind w:left="416" w:right="406"/>
              <w:rPr>
                <w:sz w:val="28"/>
              </w:rPr>
            </w:pPr>
            <w:r>
              <w:rPr>
                <w:sz w:val="28"/>
              </w:rPr>
              <w:t>12</w:t>
            </w:r>
          </w:p>
        </w:tc>
        <w:tc>
          <w:tcPr>
            <w:tcW w:w="1335" w:type="dxa"/>
          </w:tcPr>
          <w:p w:rsidR="00B23B94" w:rsidRDefault="003B2D3B">
            <w:pPr>
              <w:pStyle w:val="TableParagraph"/>
              <w:ind w:left="399" w:right="391"/>
              <w:rPr>
                <w:sz w:val="28"/>
              </w:rPr>
            </w:pPr>
            <w:r>
              <w:rPr>
                <w:sz w:val="28"/>
              </w:rPr>
              <w:t>52,2</w:t>
            </w:r>
          </w:p>
        </w:tc>
      </w:tr>
      <w:tr w:rsidR="00B23B94">
        <w:trPr>
          <w:trHeight w:val="484"/>
        </w:trPr>
        <w:tc>
          <w:tcPr>
            <w:tcW w:w="1334" w:type="dxa"/>
          </w:tcPr>
          <w:p w:rsidR="00B23B94" w:rsidRDefault="003B2D3B">
            <w:pPr>
              <w:pStyle w:val="TableParagraph"/>
              <w:spacing w:before="2"/>
              <w:ind w:left="107"/>
              <w:jc w:val="left"/>
              <w:rPr>
                <w:sz w:val="28"/>
              </w:rPr>
            </w:pPr>
            <w:r>
              <w:rPr>
                <w:sz w:val="28"/>
              </w:rPr>
              <w:t>20-21</w:t>
            </w:r>
          </w:p>
        </w:tc>
        <w:tc>
          <w:tcPr>
            <w:tcW w:w="1337" w:type="dxa"/>
          </w:tcPr>
          <w:p w:rsidR="00B23B94" w:rsidRDefault="003B2D3B">
            <w:pPr>
              <w:pStyle w:val="TableParagraph"/>
              <w:spacing w:before="2"/>
              <w:ind w:left="6"/>
              <w:rPr>
                <w:sz w:val="28"/>
              </w:rPr>
            </w:pPr>
            <w:r>
              <w:rPr>
                <w:sz w:val="28"/>
              </w:rPr>
              <w:t>-</w:t>
            </w:r>
          </w:p>
        </w:tc>
        <w:tc>
          <w:tcPr>
            <w:tcW w:w="1334" w:type="dxa"/>
          </w:tcPr>
          <w:p w:rsidR="00B23B94" w:rsidRDefault="003B2D3B">
            <w:pPr>
              <w:pStyle w:val="TableParagraph"/>
              <w:spacing w:before="2"/>
              <w:ind w:left="4"/>
              <w:rPr>
                <w:sz w:val="28"/>
              </w:rPr>
            </w:pPr>
            <w:r>
              <w:rPr>
                <w:sz w:val="28"/>
              </w:rPr>
              <w:t>-</w:t>
            </w:r>
          </w:p>
        </w:tc>
        <w:tc>
          <w:tcPr>
            <w:tcW w:w="1334" w:type="dxa"/>
          </w:tcPr>
          <w:p w:rsidR="00B23B94" w:rsidRDefault="003B2D3B">
            <w:pPr>
              <w:pStyle w:val="TableParagraph"/>
              <w:spacing w:before="2"/>
              <w:ind w:left="14"/>
              <w:rPr>
                <w:sz w:val="28"/>
              </w:rPr>
            </w:pPr>
            <w:r>
              <w:rPr>
                <w:sz w:val="28"/>
              </w:rPr>
              <w:t>6</w:t>
            </w:r>
          </w:p>
        </w:tc>
        <w:tc>
          <w:tcPr>
            <w:tcW w:w="1335" w:type="dxa"/>
          </w:tcPr>
          <w:p w:rsidR="00B23B94" w:rsidRDefault="003B2D3B">
            <w:pPr>
              <w:pStyle w:val="TableParagraph"/>
              <w:spacing w:before="2"/>
              <w:ind w:left="401" w:right="388"/>
              <w:rPr>
                <w:sz w:val="28"/>
              </w:rPr>
            </w:pPr>
            <w:r>
              <w:rPr>
                <w:sz w:val="28"/>
              </w:rPr>
              <w:t>26,1</w:t>
            </w:r>
          </w:p>
        </w:tc>
        <w:tc>
          <w:tcPr>
            <w:tcW w:w="1337" w:type="dxa"/>
          </w:tcPr>
          <w:p w:rsidR="00B23B94" w:rsidRDefault="003B2D3B">
            <w:pPr>
              <w:pStyle w:val="TableParagraph"/>
              <w:spacing w:before="2"/>
              <w:ind w:left="416" w:right="406"/>
              <w:rPr>
                <w:sz w:val="28"/>
              </w:rPr>
            </w:pPr>
            <w:r>
              <w:rPr>
                <w:sz w:val="28"/>
              </w:rPr>
              <w:t>17</w:t>
            </w:r>
          </w:p>
        </w:tc>
        <w:tc>
          <w:tcPr>
            <w:tcW w:w="1335" w:type="dxa"/>
          </w:tcPr>
          <w:p w:rsidR="00B23B94" w:rsidRDefault="003B2D3B">
            <w:pPr>
              <w:pStyle w:val="TableParagraph"/>
              <w:spacing w:before="2"/>
              <w:ind w:left="399" w:right="391"/>
              <w:rPr>
                <w:sz w:val="28"/>
              </w:rPr>
            </w:pPr>
            <w:r>
              <w:rPr>
                <w:sz w:val="28"/>
              </w:rPr>
              <w:t>73,9</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
        <w:ind w:left="0"/>
        <w:jc w:val="left"/>
        <w:rPr>
          <w:i/>
          <w:sz w:val="26"/>
        </w:rPr>
      </w:pPr>
    </w:p>
    <w:p w:rsidR="00B23B94" w:rsidRDefault="003B2D3B">
      <w:pPr>
        <w:pStyle w:val="a3"/>
        <w:spacing w:line="360" w:lineRule="auto"/>
        <w:ind w:left="542" w:right="782" w:firstLine="707"/>
      </w:pPr>
      <w:r>
        <w:t>Динаміка УЗД через 48 годин принципових відмінностей в характері локальних парапанкреатичних ускладнень не виявило. Змінилося розповсюдження інфільтрату, а саме локалізація останнього в 1 ЗППН виявлено у 7 (30,4%) пацієнтів, 2 ЗППН – 8 (34,8%) пацієнтів, 3 та більше – 8 (34,8%) пацієнтів. Під час рентгенологічного дослідження правобічний гідроторакс виявлено у 1 (4,3%) пацієнта, лівобічний – у 2 (8,7%). Поширеності процесу на обидві плевральні порожнини – 2 (8,7%) хворих.</w:t>
      </w:r>
    </w:p>
    <w:p w:rsidR="00B23B94" w:rsidRDefault="003B2D3B">
      <w:pPr>
        <w:pStyle w:val="a3"/>
        <w:spacing w:line="360" w:lineRule="auto"/>
        <w:ind w:left="542" w:right="785" w:firstLine="707"/>
      </w:pPr>
      <w:r>
        <w:t>Тяжкість стану за шкалою BISAP через 48 годин після госпіталізації становив 3,1±0,3 бали (діапазон від 2 до 4 балів). На фоні масивної консервативної терапії, яку хворі отримували при госпіталізації, регрес</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86"/>
      </w:pPr>
      <w:r>
        <w:lastRenderedPageBreak/>
        <w:t>органної дисфункції через 2 доби спостерігали у 1 (4,3%) хворого, у той же час не було реакції на лікування у 15 (65,2%) пацієнтів.</w:t>
      </w:r>
    </w:p>
    <w:p w:rsidR="00B23B94" w:rsidRDefault="003B2D3B">
      <w:pPr>
        <w:pStyle w:val="a3"/>
        <w:spacing w:line="360" w:lineRule="auto"/>
        <w:ind w:left="542" w:right="782" w:firstLine="707"/>
      </w:pPr>
      <w:r>
        <w:t>Проведене на 6-7 добу, ультразвукове дослідження органів черевної порожнини виявило розповсюдження парапанкреатичних локальних ускладнень на 1 ЗППН у 5 (21,7%) пацієнтів, на 2 ЗППН – 9 (39,1%). Більше ЗППН зон було уражено – у 9 (39,1%). Інфільтративні зміни клітковини навколо підшлункової залози спостерігали у 12 (52,2%) хворих, парапанкреатичні рідинні скупчення виявлено у 11 (47,8%) пацієнтів. Ознаки компресії верхніх відділів шлунково-кишкового тракту констатовано у 2 пацієнтів (11,8%). Тканинного компоненту в рідинних скупченнях не спостерігали в жодному з випадків. Всім пацієнтам з наявністю парапанкреатичних рідинних скупчень виконували тонкоголкову  пункцію під УЗД контролем. Отримували в середньому 550±200 мл бурого ексудату відправляли на дослідження. При бактеріологічному дослідженні анаеробна флора не визначалася. Показань до дренування не було, хворі продовжували отримувати консервативну терапію. Після маніпуляції відмічено регрес ознак високої кишкової непрохідності в усіх пацієнтів. Лівобічний гідроторакс зберігався у 2 (8,7%) хворих, двобічний – у 1 (4,3%)</w:t>
      </w:r>
      <w:r>
        <w:rPr>
          <w:spacing w:val="-14"/>
        </w:rPr>
        <w:t xml:space="preserve"> </w:t>
      </w:r>
      <w:r>
        <w:t>хворого.</w:t>
      </w:r>
    </w:p>
    <w:p w:rsidR="00B23B94" w:rsidRDefault="003B2D3B">
      <w:pPr>
        <w:pStyle w:val="a3"/>
        <w:spacing w:line="360" w:lineRule="auto"/>
        <w:ind w:left="542" w:right="784" w:firstLine="707"/>
      </w:pPr>
      <w:r>
        <w:t>За шкалою BISAP тяжкість стану на 6-7 добу оцінено в 2,6±0,26 бали (від 2 до 4 балів). Поліорганна дисфункція зберігалася у 8 (34,8%) хворих (визначалося 2 і більше балів за шкалою Marshall в одній чи декількох систем із трьох).</w:t>
      </w:r>
    </w:p>
    <w:p w:rsidR="00B23B94" w:rsidRDefault="003B2D3B">
      <w:pPr>
        <w:pStyle w:val="a3"/>
        <w:spacing w:line="360" w:lineRule="auto"/>
        <w:ind w:left="542" w:right="784" w:firstLine="707"/>
      </w:pPr>
      <w:r>
        <w:t>На 14 добу перебування в стаціонарі органна дисфункція виявлена у 13 (56,5%) хворих. При цьому персистуюча органна дисфункція зберігалася у 8 (34,8%) хворих. Друга хвиля ПОД розвинулася у 5 (21,7%) пацієнтів (табл. 4.15). Тяжкість стану за шкалою BISAP через на 12-14 добу оцінено в 2,8±0,27 бали (від 2 до 5</w:t>
      </w:r>
      <w:r>
        <w:rPr>
          <w:spacing w:val="-3"/>
        </w:rPr>
        <w:t xml:space="preserve"> </w:t>
      </w:r>
      <w:r>
        <w:t>балів).</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370"/>
        <w:rPr>
          <w:i/>
          <w:sz w:val="28"/>
        </w:rPr>
      </w:pPr>
      <w:r>
        <w:rPr>
          <w:i/>
          <w:sz w:val="28"/>
        </w:rPr>
        <w:lastRenderedPageBreak/>
        <w:t>Таблиця 4.14</w:t>
      </w:r>
    </w:p>
    <w:p w:rsidR="00B23B94" w:rsidRDefault="003B2D3B">
      <w:pPr>
        <w:pStyle w:val="1"/>
        <w:spacing w:before="164" w:line="360" w:lineRule="auto"/>
        <w:ind w:left="4022" w:right="1284" w:hanging="2264"/>
      </w:pPr>
      <w:r>
        <w:rPr>
          <w:noProof/>
          <w:lang w:eastAsia="uk-UA"/>
        </w:rPr>
        <mc:AlternateContent>
          <mc:Choice Requires="wps">
            <w:drawing>
              <wp:anchor distT="0" distB="0" distL="114300" distR="114300" simplePos="0" relativeHeight="483710464" behindDoc="1" locked="0" layoutInCell="1" allowOverlap="1">
                <wp:simplePos x="0" y="0"/>
                <wp:positionH relativeFrom="page">
                  <wp:posOffset>1015365</wp:posOffset>
                </wp:positionH>
                <wp:positionV relativeFrom="paragraph">
                  <wp:posOffset>722630</wp:posOffset>
                </wp:positionV>
                <wp:extent cx="1414780" cy="932815"/>
                <wp:effectExtent l="0" t="0" r="0" b="0"/>
                <wp:wrapNone/>
                <wp:docPr id="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4780" cy="932815"/>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19606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9.95pt,56.9pt" to="191.35pt,1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" strokeweight=".48pt">
                <w10:wrap anchorx="page"/>
              </v:line>
            </w:pict>
          </mc:Fallback>
        </mc:AlternateContent>
      </w:r>
      <w:r>
        <w:t>Частота виявлення гідротораксу у пацієнтів основної групи (підгрупа 2b, n=23)</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7"/>
        <w:gridCol w:w="691"/>
        <w:gridCol w:w="720"/>
        <w:gridCol w:w="732"/>
        <w:gridCol w:w="708"/>
        <w:gridCol w:w="734"/>
        <w:gridCol w:w="706"/>
        <w:gridCol w:w="734"/>
        <w:gridCol w:w="705"/>
        <w:gridCol w:w="737"/>
        <w:gridCol w:w="705"/>
      </w:tblGrid>
      <w:tr w:rsidR="00B23B94">
        <w:trPr>
          <w:trHeight w:val="976"/>
        </w:trPr>
        <w:tc>
          <w:tcPr>
            <w:tcW w:w="2237" w:type="dxa"/>
            <w:vMerge w:val="restart"/>
          </w:tcPr>
          <w:p w:rsidR="00B23B94" w:rsidRDefault="003B2D3B">
            <w:pPr>
              <w:pStyle w:val="TableParagraph"/>
              <w:ind w:left="1391"/>
              <w:jc w:val="left"/>
              <w:rPr>
                <w:sz w:val="28"/>
              </w:rPr>
            </w:pPr>
            <w:r>
              <w:rPr>
                <w:sz w:val="28"/>
              </w:rPr>
              <w:t>Доба*</w:t>
            </w:r>
          </w:p>
          <w:p w:rsidR="00B23B94" w:rsidRDefault="00B23B94">
            <w:pPr>
              <w:pStyle w:val="TableParagraph"/>
              <w:jc w:val="left"/>
              <w:rPr>
                <w:b/>
                <w:sz w:val="30"/>
              </w:rPr>
            </w:pPr>
          </w:p>
          <w:p w:rsidR="00B23B94" w:rsidRDefault="00B23B94">
            <w:pPr>
              <w:pStyle w:val="TableParagraph"/>
              <w:spacing w:before="3"/>
              <w:jc w:val="left"/>
              <w:rPr>
                <w:b/>
                <w:sz w:val="26"/>
              </w:rPr>
            </w:pPr>
          </w:p>
          <w:p w:rsidR="00B23B94" w:rsidRDefault="003B2D3B">
            <w:pPr>
              <w:pStyle w:val="TableParagraph"/>
              <w:ind w:left="107"/>
              <w:jc w:val="left"/>
              <w:rPr>
                <w:sz w:val="26"/>
              </w:rPr>
            </w:pPr>
            <w:r>
              <w:rPr>
                <w:sz w:val="26"/>
              </w:rPr>
              <w:t>Гідроторакс</w:t>
            </w:r>
          </w:p>
        </w:tc>
        <w:tc>
          <w:tcPr>
            <w:tcW w:w="1411" w:type="dxa"/>
            <w:gridSpan w:val="2"/>
          </w:tcPr>
          <w:p w:rsidR="00B23B94" w:rsidRDefault="003B2D3B">
            <w:pPr>
              <w:pStyle w:val="TableParagraph"/>
              <w:spacing w:before="247"/>
              <w:ind w:left="6"/>
              <w:rPr>
                <w:sz w:val="28"/>
              </w:rPr>
            </w:pPr>
            <w:r>
              <w:rPr>
                <w:sz w:val="28"/>
              </w:rPr>
              <w:t>1</w:t>
            </w:r>
          </w:p>
        </w:tc>
        <w:tc>
          <w:tcPr>
            <w:tcW w:w="1440" w:type="dxa"/>
            <w:gridSpan w:val="2"/>
          </w:tcPr>
          <w:p w:rsidR="00B23B94" w:rsidRDefault="003B2D3B">
            <w:pPr>
              <w:pStyle w:val="TableParagraph"/>
              <w:spacing w:before="247"/>
              <w:ind w:left="7"/>
              <w:rPr>
                <w:sz w:val="28"/>
              </w:rPr>
            </w:pPr>
            <w:r>
              <w:rPr>
                <w:sz w:val="28"/>
              </w:rPr>
              <w:t>2</w:t>
            </w:r>
          </w:p>
        </w:tc>
        <w:tc>
          <w:tcPr>
            <w:tcW w:w="1440" w:type="dxa"/>
            <w:gridSpan w:val="2"/>
          </w:tcPr>
          <w:p w:rsidR="00B23B94" w:rsidRDefault="003B2D3B">
            <w:pPr>
              <w:pStyle w:val="TableParagraph"/>
              <w:spacing w:before="247"/>
              <w:ind w:left="511" w:right="504"/>
              <w:rPr>
                <w:sz w:val="28"/>
              </w:rPr>
            </w:pPr>
            <w:r>
              <w:rPr>
                <w:sz w:val="28"/>
              </w:rPr>
              <w:t>6-7</w:t>
            </w:r>
          </w:p>
        </w:tc>
        <w:tc>
          <w:tcPr>
            <w:tcW w:w="1439" w:type="dxa"/>
            <w:gridSpan w:val="2"/>
          </w:tcPr>
          <w:p w:rsidR="00B23B94" w:rsidRDefault="003B2D3B">
            <w:pPr>
              <w:pStyle w:val="TableParagraph"/>
              <w:spacing w:before="247"/>
              <w:ind w:left="394"/>
              <w:jc w:val="left"/>
              <w:rPr>
                <w:sz w:val="28"/>
              </w:rPr>
            </w:pPr>
            <w:r>
              <w:rPr>
                <w:sz w:val="28"/>
              </w:rPr>
              <w:t>12-14</w:t>
            </w:r>
          </w:p>
        </w:tc>
        <w:tc>
          <w:tcPr>
            <w:tcW w:w="1442" w:type="dxa"/>
            <w:gridSpan w:val="2"/>
          </w:tcPr>
          <w:p w:rsidR="00B23B94" w:rsidRDefault="003B2D3B">
            <w:pPr>
              <w:pStyle w:val="TableParagraph"/>
              <w:spacing w:before="247"/>
              <w:ind w:left="395"/>
              <w:jc w:val="left"/>
              <w:rPr>
                <w:sz w:val="28"/>
              </w:rPr>
            </w:pPr>
            <w:r>
              <w:rPr>
                <w:sz w:val="28"/>
              </w:rPr>
              <w:t>20-21</w:t>
            </w:r>
          </w:p>
        </w:tc>
      </w:tr>
      <w:tr w:rsidR="00B23B94">
        <w:trPr>
          <w:trHeight w:val="481"/>
        </w:trPr>
        <w:tc>
          <w:tcPr>
            <w:tcW w:w="2237" w:type="dxa"/>
            <w:vMerge/>
            <w:tcBorders>
              <w:top w:val="nil"/>
            </w:tcBorders>
          </w:tcPr>
          <w:p w:rsidR="00B23B94" w:rsidRDefault="00B23B94">
            <w:pPr>
              <w:rPr>
                <w:sz w:val="2"/>
                <w:szCs w:val="2"/>
              </w:rPr>
            </w:pPr>
          </w:p>
        </w:tc>
        <w:tc>
          <w:tcPr>
            <w:tcW w:w="691" w:type="dxa"/>
          </w:tcPr>
          <w:p w:rsidR="00B23B94" w:rsidRDefault="003B2D3B">
            <w:pPr>
              <w:pStyle w:val="TableParagraph"/>
              <w:ind w:left="86" w:right="74"/>
              <w:rPr>
                <w:sz w:val="28"/>
              </w:rPr>
            </w:pPr>
            <w:r>
              <w:rPr>
                <w:sz w:val="28"/>
              </w:rPr>
              <w:t>абс.</w:t>
            </w:r>
          </w:p>
        </w:tc>
        <w:tc>
          <w:tcPr>
            <w:tcW w:w="720" w:type="dxa"/>
          </w:tcPr>
          <w:p w:rsidR="00B23B94" w:rsidRDefault="003B2D3B">
            <w:pPr>
              <w:pStyle w:val="TableParagraph"/>
              <w:ind w:left="9"/>
              <w:rPr>
                <w:sz w:val="28"/>
              </w:rPr>
            </w:pPr>
            <w:r>
              <w:rPr>
                <w:sz w:val="28"/>
              </w:rPr>
              <w:t>%</w:t>
            </w:r>
          </w:p>
        </w:tc>
        <w:tc>
          <w:tcPr>
            <w:tcW w:w="732" w:type="dxa"/>
          </w:tcPr>
          <w:p w:rsidR="00B23B94" w:rsidRDefault="003B2D3B">
            <w:pPr>
              <w:pStyle w:val="TableParagraph"/>
              <w:ind w:left="115" w:right="105"/>
              <w:rPr>
                <w:sz w:val="28"/>
              </w:rPr>
            </w:pPr>
            <w:r>
              <w:rPr>
                <w:sz w:val="28"/>
              </w:rPr>
              <w:t>абс.</w:t>
            </w:r>
          </w:p>
        </w:tc>
        <w:tc>
          <w:tcPr>
            <w:tcW w:w="708" w:type="dxa"/>
          </w:tcPr>
          <w:p w:rsidR="00B23B94" w:rsidRDefault="003B2D3B">
            <w:pPr>
              <w:pStyle w:val="TableParagraph"/>
              <w:ind w:left="235"/>
              <w:jc w:val="left"/>
              <w:rPr>
                <w:sz w:val="28"/>
              </w:rPr>
            </w:pPr>
            <w:r>
              <w:rPr>
                <w:sz w:val="28"/>
              </w:rPr>
              <w:t>%</w:t>
            </w:r>
          </w:p>
        </w:tc>
        <w:tc>
          <w:tcPr>
            <w:tcW w:w="734" w:type="dxa"/>
          </w:tcPr>
          <w:p w:rsidR="00B23B94" w:rsidRDefault="003B2D3B">
            <w:pPr>
              <w:pStyle w:val="TableParagraph"/>
              <w:ind w:left="113" w:right="104"/>
              <w:rPr>
                <w:sz w:val="28"/>
              </w:rPr>
            </w:pPr>
            <w:r>
              <w:rPr>
                <w:sz w:val="28"/>
              </w:rPr>
              <w:t>абс.</w:t>
            </w:r>
          </w:p>
        </w:tc>
        <w:tc>
          <w:tcPr>
            <w:tcW w:w="706" w:type="dxa"/>
          </w:tcPr>
          <w:p w:rsidR="00B23B94" w:rsidRDefault="003B2D3B">
            <w:pPr>
              <w:pStyle w:val="TableParagraph"/>
              <w:ind w:left="236"/>
              <w:jc w:val="left"/>
              <w:rPr>
                <w:sz w:val="28"/>
              </w:rPr>
            </w:pPr>
            <w:r>
              <w:rPr>
                <w:sz w:val="28"/>
              </w:rPr>
              <w:t>%</w:t>
            </w:r>
          </w:p>
        </w:tc>
        <w:tc>
          <w:tcPr>
            <w:tcW w:w="734" w:type="dxa"/>
          </w:tcPr>
          <w:p w:rsidR="00B23B94" w:rsidRDefault="003B2D3B">
            <w:pPr>
              <w:pStyle w:val="TableParagraph"/>
              <w:ind w:left="116" w:right="101"/>
              <w:rPr>
                <w:sz w:val="28"/>
              </w:rPr>
            </w:pPr>
            <w:r>
              <w:rPr>
                <w:sz w:val="28"/>
              </w:rPr>
              <w:t>абс.</w:t>
            </w:r>
          </w:p>
        </w:tc>
        <w:tc>
          <w:tcPr>
            <w:tcW w:w="705" w:type="dxa"/>
          </w:tcPr>
          <w:p w:rsidR="00B23B94" w:rsidRDefault="003B2D3B">
            <w:pPr>
              <w:pStyle w:val="TableParagraph"/>
              <w:ind w:left="236"/>
              <w:jc w:val="left"/>
              <w:rPr>
                <w:sz w:val="28"/>
              </w:rPr>
            </w:pPr>
            <w:r>
              <w:rPr>
                <w:sz w:val="28"/>
              </w:rPr>
              <w:t>%</w:t>
            </w:r>
          </w:p>
        </w:tc>
        <w:tc>
          <w:tcPr>
            <w:tcW w:w="737" w:type="dxa"/>
          </w:tcPr>
          <w:p w:rsidR="00B23B94" w:rsidRDefault="003B2D3B">
            <w:pPr>
              <w:pStyle w:val="TableParagraph"/>
              <w:ind w:left="120" w:right="106"/>
              <w:rPr>
                <w:sz w:val="28"/>
              </w:rPr>
            </w:pPr>
            <w:r>
              <w:rPr>
                <w:sz w:val="28"/>
              </w:rPr>
              <w:t>абс.</w:t>
            </w:r>
          </w:p>
        </w:tc>
        <w:tc>
          <w:tcPr>
            <w:tcW w:w="705" w:type="dxa"/>
          </w:tcPr>
          <w:p w:rsidR="00B23B94" w:rsidRDefault="003B2D3B">
            <w:pPr>
              <w:pStyle w:val="TableParagraph"/>
              <w:ind w:right="223"/>
              <w:jc w:val="right"/>
              <w:rPr>
                <w:sz w:val="28"/>
              </w:rPr>
            </w:pPr>
            <w:r>
              <w:rPr>
                <w:sz w:val="28"/>
              </w:rPr>
              <w:t>%</w:t>
            </w:r>
          </w:p>
        </w:tc>
      </w:tr>
      <w:tr w:rsidR="00B23B94">
        <w:trPr>
          <w:trHeight w:val="484"/>
        </w:trPr>
        <w:tc>
          <w:tcPr>
            <w:tcW w:w="2237" w:type="dxa"/>
          </w:tcPr>
          <w:p w:rsidR="00B23B94" w:rsidRDefault="003B2D3B">
            <w:pPr>
              <w:pStyle w:val="TableParagraph"/>
              <w:spacing w:before="2"/>
              <w:ind w:left="107"/>
              <w:jc w:val="left"/>
              <w:rPr>
                <w:sz w:val="28"/>
              </w:rPr>
            </w:pPr>
            <w:r>
              <w:rPr>
                <w:sz w:val="28"/>
              </w:rPr>
              <w:t>Правобічний</w:t>
            </w:r>
          </w:p>
        </w:tc>
        <w:tc>
          <w:tcPr>
            <w:tcW w:w="691" w:type="dxa"/>
          </w:tcPr>
          <w:p w:rsidR="00B23B94" w:rsidRDefault="003B2D3B">
            <w:pPr>
              <w:pStyle w:val="TableParagraph"/>
              <w:spacing w:before="2"/>
              <w:ind w:left="11"/>
              <w:rPr>
                <w:sz w:val="28"/>
              </w:rPr>
            </w:pPr>
            <w:r>
              <w:rPr>
                <w:sz w:val="28"/>
              </w:rPr>
              <w:t>1</w:t>
            </w:r>
          </w:p>
        </w:tc>
        <w:tc>
          <w:tcPr>
            <w:tcW w:w="720" w:type="dxa"/>
          </w:tcPr>
          <w:p w:rsidR="00B23B94" w:rsidRDefault="003B2D3B">
            <w:pPr>
              <w:pStyle w:val="TableParagraph"/>
              <w:spacing w:before="2"/>
              <w:ind w:left="95" w:right="83"/>
              <w:rPr>
                <w:sz w:val="28"/>
              </w:rPr>
            </w:pPr>
            <w:r>
              <w:rPr>
                <w:sz w:val="28"/>
              </w:rPr>
              <w:t>4,3</w:t>
            </w:r>
          </w:p>
        </w:tc>
        <w:tc>
          <w:tcPr>
            <w:tcW w:w="732" w:type="dxa"/>
          </w:tcPr>
          <w:p w:rsidR="00B23B94" w:rsidRDefault="003B2D3B">
            <w:pPr>
              <w:pStyle w:val="TableParagraph"/>
              <w:spacing w:before="2"/>
              <w:ind w:left="10"/>
              <w:rPr>
                <w:sz w:val="28"/>
              </w:rPr>
            </w:pPr>
            <w:r>
              <w:rPr>
                <w:sz w:val="28"/>
              </w:rPr>
              <w:t>1</w:t>
            </w:r>
          </w:p>
        </w:tc>
        <w:tc>
          <w:tcPr>
            <w:tcW w:w="708" w:type="dxa"/>
          </w:tcPr>
          <w:p w:rsidR="00B23B94" w:rsidRDefault="003B2D3B">
            <w:pPr>
              <w:pStyle w:val="TableParagraph"/>
              <w:spacing w:before="2"/>
              <w:ind w:left="178"/>
              <w:jc w:val="left"/>
              <w:rPr>
                <w:sz w:val="28"/>
              </w:rPr>
            </w:pPr>
            <w:r>
              <w:rPr>
                <w:sz w:val="28"/>
              </w:rPr>
              <w:t>4,3</w:t>
            </w:r>
          </w:p>
        </w:tc>
        <w:tc>
          <w:tcPr>
            <w:tcW w:w="734" w:type="dxa"/>
          </w:tcPr>
          <w:p w:rsidR="00B23B94" w:rsidRDefault="003B2D3B">
            <w:pPr>
              <w:pStyle w:val="TableParagraph"/>
              <w:spacing w:before="2"/>
              <w:ind w:left="4"/>
              <w:rPr>
                <w:sz w:val="28"/>
              </w:rPr>
            </w:pPr>
            <w:r>
              <w:rPr>
                <w:sz w:val="28"/>
              </w:rPr>
              <w:t>-</w:t>
            </w:r>
          </w:p>
        </w:tc>
        <w:tc>
          <w:tcPr>
            <w:tcW w:w="706" w:type="dxa"/>
          </w:tcPr>
          <w:p w:rsidR="00B23B94" w:rsidRDefault="003B2D3B">
            <w:pPr>
              <w:pStyle w:val="TableParagraph"/>
              <w:spacing w:before="2"/>
              <w:ind w:left="9"/>
              <w:rPr>
                <w:sz w:val="28"/>
              </w:rPr>
            </w:pPr>
            <w:r>
              <w:rPr>
                <w:sz w:val="28"/>
              </w:rPr>
              <w:t>-</w:t>
            </w:r>
          </w:p>
        </w:tc>
        <w:tc>
          <w:tcPr>
            <w:tcW w:w="734" w:type="dxa"/>
          </w:tcPr>
          <w:p w:rsidR="00B23B94" w:rsidRDefault="003B2D3B">
            <w:pPr>
              <w:pStyle w:val="TableParagraph"/>
              <w:spacing w:before="2"/>
              <w:ind w:left="14"/>
              <w:rPr>
                <w:sz w:val="28"/>
              </w:rPr>
            </w:pPr>
            <w:r>
              <w:rPr>
                <w:sz w:val="28"/>
              </w:rPr>
              <w:t>2</w:t>
            </w:r>
          </w:p>
        </w:tc>
        <w:tc>
          <w:tcPr>
            <w:tcW w:w="705" w:type="dxa"/>
          </w:tcPr>
          <w:p w:rsidR="00B23B94" w:rsidRDefault="003B2D3B">
            <w:pPr>
              <w:pStyle w:val="TableParagraph"/>
              <w:spacing w:before="2"/>
              <w:ind w:left="179"/>
              <w:jc w:val="left"/>
              <w:rPr>
                <w:sz w:val="28"/>
              </w:rPr>
            </w:pPr>
            <w:r>
              <w:rPr>
                <w:sz w:val="28"/>
              </w:rPr>
              <w:t>8,7</w:t>
            </w:r>
          </w:p>
        </w:tc>
        <w:tc>
          <w:tcPr>
            <w:tcW w:w="737" w:type="dxa"/>
          </w:tcPr>
          <w:p w:rsidR="00B23B94" w:rsidRDefault="003B2D3B">
            <w:pPr>
              <w:pStyle w:val="TableParagraph"/>
              <w:spacing w:before="2"/>
              <w:ind w:left="9"/>
              <w:rPr>
                <w:sz w:val="28"/>
              </w:rPr>
            </w:pPr>
            <w:r>
              <w:rPr>
                <w:sz w:val="28"/>
              </w:rPr>
              <w:t>-</w:t>
            </w:r>
          </w:p>
        </w:tc>
        <w:tc>
          <w:tcPr>
            <w:tcW w:w="705" w:type="dxa"/>
          </w:tcPr>
          <w:p w:rsidR="00B23B94" w:rsidRDefault="003B2D3B">
            <w:pPr>
              <w:pStyle w:val="TableParagraph"/>
              <w:spacing w:before="2"/>
              <w:ind w:left="8"/>
              <w:rPr>
                <w:sz w:val="28"/>
              </w:rPr>
            </w:pPr>
            <w:r>
              <w:rPr>
                <w:sz w:val="28"/>
              </w:rPr>
              <w:t>-</w:t>
            </w:r>
          </w:p>
        </w:tc>
      </w:tr>
      <w:tr w:rsidR="00B23B94">
        <w:trPr>
          <w:trHeight w:val="482"/>
        </w:trPr>
        <w:tc>
          <w:tcPr>
            <w:tcW w:w="2237" w:type="dxa"/>
          </w:tcPr>
          <w:p w:rsidR="00B23B94" w:rsidRDefault="003B2D3B">
            <w:pPr>
              <w:pStyle w:val="TableParagraph"/>
              <w:ind w:left="107"/>
              <w:jc w:val="left"/>
              <w:rPr>
                <w:sz w:val="28"/>
              </w:rPr>
            </w:pPr>
            <w:r>
              <w:rPr>
                <w:sz w:val="28"/>
              </w:rPr>
              <w:t>Лівобічний</w:t>
            </w:r>
          </w:p>
        </w:tc>
        <w:tc>
          <w:tcPr>
            <w:tcW w:w="691" w:type="dxa"/>
          </w:tcPr>
          <w:p w:rsidR="00B23B94" w:rsidRDefault="003B2D3B">
            <w:pPr>
              <w:pStyle w:val="TableParagraph"/>
              <w:ind w:left="11"/>
              <w:rPr>
                <w:sz w:val="28"/>
              </w:rPr>
            </w:pPr>
            <w:r>
              <w:rPr>
                <w:sz w:val="28"/>
              </w:rPr>
              <w:t>2</w:t>
            </w:r>
          </w:p>
        </w:tc>
        <w:tc>
          <w:tcPr>
            <w:tcW w:w="720" w:type="dxa"/>
          </w:tcPr>
          <w:p w:rsidR="00B23B94" w:rsidRDefault="003B2D3B">
            <w:pPr>
              <w:pStyle w:val="TableParagraph"/>
              <w:ind w:left="95" w:right="83"/>
              <w:rPr>
                <w:sz w:val="28"/>
              </w:rPr>
            </w:pPr>
            <w:r>
              <w:rPr>
                <w:sz w:val="28"/>
              </w:rPr>
              <w:t>8,7</w:t>
            </w:r>
          </w:p>
        </w:tc>
        <w:tc>
          <w:tcPr>
            <w:tcW w:w="732" w:type="dxa"/>
          </w:tcPr>
          <w:p w:rsidR="00B23B94" w:rsidRDefault="003B2D3B">
            <w:pPr>
              <w:pStyle w:val="TableParagraph"/>
              <w:ind w:left="10"/>
              <w:rPr>
                <w:sz w:val="28"/>
              </w:rPr>
            </w:pPr>
            <w:r>
              <w:rPr>
                <w:sz w:val="28"/>
              </w:rPr>
              <w:t>2</w:t>
            </w:r>
          </w:p>
        </w:tc>
        <w:tc>
          <w:tcPr>
            <w:tcW w:w="708" w:type="dxa"/>
          </w:tcPr>
          <w:p w:rsidR="00B23B94" w:rsidRDefault="003B2D3B">
            <w:pPr>
              <w:pStyle w:val="TableParagraph"/>
              <w:ind w:left="178"/>
              <w:jc w:val="left"/>
              <w:rPr>
                <w:sz w:val="28"/>
              </w:rPr>
            </w:pPr>
            <w:r>
              <w:rPr>
                <w:sz w:val="28"/>
              </w:rPr>
              <w:t>8,7</w:t>
            </w:r>
          </w:p>
        </w:tc>
        <w:tc>
          <w:tcPr>
            <w:tcW w:w="734" w:type="dxa"/>
          </w:tcPr>
          <w:p w:rsidR="00B23B94" w:rsidRDefault="003B2D3B">
            <w:pPr>
              <w:pStyle w:val="TableParagraph"/>
              <w:ind w:left="8"/>
              <w:rPr>
                <w:sz w:val="28"/>
              </w:rPr>
            </w:pPr>
            <w:r>
              <w:rPr>
                <w:sz w:val="28"/>
              </w:rPr>
              <w:t>2</w:t>
            </w:r>
          </w:p>
        </w:tc>
        <w:tc>
          <w:tcPr>
            <w:tcW w:w="706" w:type="dxa"/>
          </w:tcPr>
          <w:p w:rsidR="00B23B94" w:rsidRDefault="003B2D3B">
            <w:pPr>
              <w:pStyle w:val="TableParagraph"/>
              <w:ind w:left="178"/>
              <w:jc w:val="left"/>
              <w:rPr>
                <w:sz w:val="28"/>
              </w:rPr>
            </w:pPr>
            <w:r>
              <w:rPr>
                <w:sz w:val="28"/>
              </w:rPr>
              <w:t>8,7</w:t>
            </w:r>
          </w:p>
        </w:tc>
        <w:tc>
          <w:tcPr>
            <w:tcW w:w="734" w:type="dxa"/>
          </w:tcPr>
          <w:p w:rsidR="00B23B94" w:rsidRDefault="003B2D3B">
            <w:pPr>
              <w:pStyle w:val="TableParagraph"/>
              <w:ind w:left="14"/>
              <w:rPr>
                <w:sz w:val="28"/>
              </w:rPr>
            </w:pPr>
            <w:r>
              <w:rPr>
                <w:sz w:val="28"/>
              </w:rPr>
              <w:t>2</w:t>
            </w:r>
          </w:p>
        </w:tc>
        <w:tc>
          <w:tcPr>
            <w:tcW w:w="705" w:type="dxa"/>
          </w:tcPr>
          <w:p w:rsidR="00B23B94" w:rsidRDefault="003B2D3B">
            <w:pPr>
              <w:pStyle w:val="TableParagraph"/>
              <w:ind w:left="179"/>
              <w:jc w:val="left"/>
              <w:rPr>
                <w:sz w:val="28"/>
              </w:rPr>
            </w:pPr>
            <w:r>
              <w:rPr>
                <w:sz w:val="28"/>
              </w:rPr>
              <w:t>8,7</w:t>
            </w:r>
          </w:p>
        </w:tc>
        <w:tc>
          <w:tcPr>
            <w:tcW w:w="737" w:type="dxa"/>
          </w:tcPr>
          <w:p w:rsidR="00B23B94" w:rsidRDefault="003B2D3B">
            <w:pPr>
              <w:pStyle w:val="TableParagraph"/>
              <w:ind w:left="13"/>
              <w:rPr>
                <w:sz w:val="28"/>
              </w:rPr>
            </w:pPr>
            <w:r>
              <w:rPr>
                <w:sz w:val="28"/>
              </w:rPr>
              <w:t>1</w:t>
            </w:r>
          </w:p>
        </w:tc>
        <w:tc>
          <w:tcPr>
            <w:tcW w:w="705" w:type="dxa"/>
          </w:tcPr>
          <w:p w:rsidR="00B23B94" w:rsidRDefault="003B2D3B">
            <w:pPr>
              <w:pStyle w:val="TableParagraph"/>
              <w:ind w:right="163"/>
              <w:jc w:val="right"/>
              <w:rPr>
                <w:sz w:val="28"/>
              </w:rPr>
            </w:pPr>
            <w:r>
              <w:rPr>
                <w:sz w:val="28"/>
              </w:rPr>
              <w:t>4,3</w:t>
            </w:r>
          </w:p>
        </w:tc>
      </w:tr>
      <w:tr w:rsidR="00B23B94">
        <w:trPr>
          <w:trHeight w:val="484"/>
        </w:trPr>
        <w:tc>
          <w:tcPr>
            <w:tcW w:w="2237" w:type="dxa"/>
          </w:tcPr>
          <w:p w:rsidR="00B23B94" w:rsidRDefault="003B2D3B">
            <w:pPr>
              <w:pStyle w:val="TableParagraph"/>
              <w:ind w:left="107"/>
              <w:jc w:val="left"/>
              <w:rPr>
                <w:sz w:val="28"/>
              </w:rPr>
            </w:pPr>
            <w:r>
              <w:rPr>
                <w:sz w:val="28"/>
              </w:rPr>
              <w:t>Двобічний</w:t>
            </w:r>
          </w:p>
        </w:tc>
        <w:tc>
          <w:tcPr>
            <w:tcW w:w="691" w:type="dxa"/>
          </w:tcPr>
          <w:p w:rsidR="00B23B94" w:rsidRDefault="003B2D3B">
            <w:pPr>
              <w:pStyle w:val="TableParagraph"/>
              <w:ind w:left="11"/>
              <w:rPr>
                <w:sz w:val="28"/>
              </w:rPr>
            </w:pPr>
            <w:r>
              <w:rPr>
                <w:sz w:val="28"/>
              </w:rPr>
              <w:t>2</w:t>
            </w:r>
          </w:p>
        </w:tc>
        <w:tc>
          <w:tcPr>
            <w:tcW w:w="720" w:type="dxa"/>
          </w:tcPr>
          <w:p w:rsidR="00B23B94" w:rsidRDefault="003B2D3B">
            <w:pPr>
              <w:pStyle w:val="TableParagraph"/>
              <w:ind w:left="95" w:right="83"/>
              <w:rPr>
                <w:sz w:val="28"/>
              </w:rPr>
            </w:pPr>
            <w:r>
              <w:rPr>
                <w:sz w:val="28"/>
              </w:rPr>
              <w:t>8,7</w:t>
            </w:r>
          </w:p>
        </w:tc>
        <w:tc>
          <w:tcPr>
            <w:tcW w:w="732" w:type="dxa"/>
          </w:tcPr>
          <w:p w:rsidR="00B23B94" w:rsidRDefault="003B2D3B">
            <w:pPr>
              <w:pStyle w:val="TableParagraph"/>
              <w:ind w:left="10"/>
              <w:rPr>
                <w:sz w:val="28"/>
              </w:rPr>
            </w:pPr>
            <w:r>
              <w:rPr>
                <w:sz w:val="28"/>
              </w:rPr>
              <w:t>2</w:t>
            </w:r>
          </w:p>
        </w:tc>
        <w:tc>
          <w:tcPr>
            <w:tcW w:w="708" w:type="dxa"/>
          </w:tcPr>
          <w:p w:rsidR="00B23B94" w:rsidRDefault="003B2D3B">
            <w:pPr>
              <w:pStyle w:val="TableParagraph"/>
              <w:ind w:left="178"/>
              <w:jc w:val="left"/>
              <w:rPr>
                <w:sz w:val="28"/>
              </w:rPr>
            </w:pPr>
            <w:r>
              <w:rPr>
                <w:sz w:val="28"/>
              </w:rPr>
              <w:t>8,7</w:t>
            </w:r>
          </w:p>
        </w:tc>
        <w:tc>
          <w:tcPr>
            <w:tcW w:w="734" w:type="dxa"/>
          </w:tcPr>
          <w:p w:rsidR="00B23B94" w:rsidRDefault="003B2D3B">
            <w:pPr>
              <w:pStyle w:val="TableParagraph"/>
              <w:ind w:left="8"/>
              <w:rPr>
                <w:sz w:val="28"/>
              </w:rPr>
            </w:pPr>
            <w:r>
              <w:rPr>
                <w:sz w:val="28"/>
              </w:rPr>
              <w:t>1</w:t>
            </w:r>
          </w:p>
        </w:tc>
        <w:tc>
          <w:tcPr>
            <w:tcW w:w="706" w:type="dxa"/>
          </w:tcPr>
          <w:p w:rsidR="00B23B94" w:rsidRDefault="003B2D3B">
            <w:pPr>
              <w:pStyle w:val="TableParagraph"/>
              <w:ind w:left="178"/>
              <w:jc w:val="left"/>
              <w:rPr>
                <w:sz w:val="28"/>
              </w:rPr>
            </w:pPr>
            <w:r>
              <w:rPr>
                <w:sz w:val="28"/>
              </w:rPr>
              <w:t>4,3</w:t>
            </w:r>
          </w:p>
        </w:tc>
        <w:tc>
          <w:tcPr>
            <w:tcW w:w="734" w:type="dxa"/>
          </w:tcPr>
          <w:p w:rsidR="00B23B94" w:rsidRDefault="003B2D3B">
            <w:pPr>
              <w:pStyle w:val="TableParagraph"/>
              <w:ind w:left="14"/>
              <w:rPr>
                <w:sz w:val="28"/>
              </w:rPr>
            </w:pPr>
            <w:r>
              <w:rPr>
                <w:sz w:val="28"/>
              </w:rPr>
              <w:t>2</w:t>
            </w:r>
          </w:p>
        </w:tc>
        <w:tc>
          <w:tcPr>
            <w:tcW w:w="705" w:type="dxa"/>
          </w:tcPr>
          <w:p w:rsidR="00B23B94" w:rsidRDefault="003B2D3B">
            <w:pPr>
              <w:pStyle w:val="TableParagraph"/>
              <w:ind w:left="179"/>
              <w:jc w:val="left"/>
              <w:rPr>
                <w:sz w:val="28"/>
              </w:rPr>
            </w:pPr>
            <w:r>
              <w:rPr>
                <w:sz w:val="28"/>
              </w:rPr>
              <w:t>8,7</w:t>
            </w:r>
          </w:p>
        </w:tc>
        <w:tc>
          <w:tcPr>
            <w:tcW w:w="737" w:type="dxa"/>
          </w:tcPr>
          <w:p w:rsidR="00B23B94" w:rsidRDefault="003B2D3B">
            <w:pPr>
              <w:pStyle w:val="TableParagraph"/>
              <w:ind w:left="9"/>
              <w:rPr>
                <w:sz w:val="28"/>
              </w:rPr>
            </w:pPr>
            <w:r>
              <w:rPr>
                <w:sz w:val="28"/>
              </w:rPr>
              <w:t>-</w:t>
            </w:r>
          </w:p>
        </w:tc>
        <w:tc>
          <w:tcPr>
            <w:tcW w:w="705" w:type="dxa"/>
          </w:tcPr>
          <w:p w:rsidR="00B23B94" w:rsidRDefault="003B2D3B">
            <w:pPr>
              <w:pStyle w:val="TableParagraph"/>
              <w:ind w:left="8"/>
              <w:rPr>
                <w:sz w:val="28"/>
              </w:rPr>
            </w:pPr>
            <w:r>
              <w:rPr>
                <w:sz w:val="28"/>
              </w:rPr>
              <w:t>-</w:t>
            </w:r>
          </w:p>
        </w:tc>
      </w:tr>
      <w:tr w:rsidR="00B23B94">
        <w:trPr>
          <w:trHeight w:val="482"/>
        </w:trPr>
        <w:tc>
          <w:tcPr>
            <w:tcW w:w="2237" w:type="dxa"/>
          </w:tcPr>
          <w:p w:rsidR="00B23B94" w:rsidRDefault="003B2D3B">
            <w:pPr>
              <w:pStyle w:val="TableParagraph"/>
              <w:ind w:left="107"/>
              <w:jc w:val="left"/>
              <w:rPr>
                <w:sz w:val="28"/>
              </w:rPr>
            </w:pPr>
            <w:r>
              <w:rPr>
                <w:sz w:val="28"/>
              </w:rPr>
              <w:t>Всього</w:t>
            </w:r>
          </w:p>
        </w:tc>
        <w:tc>
          <w:tcPr>
            <w:tcW w:w="691" w:type="dxa"/>
          </w:tcPr>
          <w:p w:rsidR="00B23B94" w:rsidRDefault="003B2D3B">
            <w:pPr>
              <w:pStyle w:val="TableParagraph"/>
              <w:ind w:left="11"/>
              <w:rPr>
                <w:sz w:val="28"/>
              </w:rPr>
            </w:pPr>
            <w:r>
              <w:rPr>
                <w:sz w:val="28"/>
              </w:rPr>
              <w:t>5</w:t>
            </w:r>
          </w:p>
        </w:tc>
        <w:tc>
          <w:tcPr>
            <w:tcW w:w="720" w:type="dxa"/>
          </w:tcPr>
          <w:p w:rsidR="00B23B94" w:rsidRDefault="003B2D3B">
            <w:pPr>
              <w:pStyle w:val="TableParagraph"/>
              <w:ind w:left="95" w:right="84"/>
              <w:rPr>
                <w:sz w:val="28"/>
              </w:rPr>
            </w:pPr>
            <w:r>
              <w:rPr>
                <w:sz w:val="28"/>
              </w:rPr>
              <w:t>21,7</w:t>
            </w:r>
          </w:p>
        </w:tc>
        <w:tc>
          <w:tcPr>
            <w:tcW w:w="732" w:type="dxa"/>
          </w:tcPr>
          <w:p w:rsidR="00B23B94" w:rsidRDefault="003B2D3B">
            <w:pPr>
              <w:pStyle w:val="TableParagraph"/>
              <w:ind w:left="10"/>
              <w:rPr>
                <w:sz w:val="28"/>
              </w:rPr>
            </w:pPr>
            <w:r>
              <w:rPr>
                <w:sz w:val="28"/>
              </w:rPr>
              <w:t>5</w:t>
            </w:r>
          </w:p>
        </w:tc>
        <w:tc>
          <w:tcPr>
            <w:tcW w:w="708" w:type="dxa"/>
          </w:tcPr>
          <w:p w:rsidR="00B23B94" w:rsidRDefault="003B2D3B">
            <w:pPr>
              <w:pStyle w:val="TableParagraph"/>
              <w:ind w:left="108"/>
              <w:jc w:val="left"/>
              <w:rPr>
                <w:sz w:val="28"/>
              </w:rPr>
            </w:pPr>
            <w:r>
              <w:rPr>
                <w:sz w:val="28"/>
              </w:rPr>
              <w:t>21,7</w:t>
            </w:r>
          </w:p>
        </w:tc>
        <w:tc>
          <w:tcPr>
            <w:tcW w:w="734" w:type="dxa"/>
          </w:tcPr>
          <w:p w:rsidR="00B23B94" w:rsidRDefault="003B2D3B">
            <w:pPr>
              <w:pStyle w:val="TableParagraph"/>
              <w:ind w:left="8"/>
              <w:rPr>
                <w:sz w:val="28"/>
              </w:rPr>
            </w:pPr>
            <w:r>
              <w:rPr>
                <w:sz w:val="28"/>
              </w:rPr>
              <w:t>3</w:t>
            </w:r>
          </w:p>
        </w:tc>
        <w:tc>
          <w:tcPr>
            <w:tcW w:w="706" w:type="dxa"/>
          </w:tcPr>
          <w:p w:rsidR="00B23B94" w:rsidRDefault="003B2D3B">
            <w:pPr>
              <w:pStyle w:val="TableParagraph"/>
              <w:ind w:left="109"/>
              <w:jc w:val="left"/>
              <w:rPr>
                <w:sz w:val="28"/>
              </w:rPr>
            </w:pPr>
            <w:r>
              <w:rPr>
                <w:sz w:val="28"/>
              </w:rPr>
              <w:t>13,0</w:t>
            </w:r>
          </w:p>
        </w:tc>
        <w:tc>
          <w:tcPr>
            <w:tcW w:w="734" w:type="dxa"/>
          </w:tcPr>
          <w:p w:rsidR="00B23B94" w:rsidRDefault="003B2D3B">
            <w:pPr>
              <w:pStyle w:val="TableParagraph"/>
              <w:ind w:left="14"/>
              <w:rPr>
                <w:sz w:val="28"/>
              </w:rPr>
            </w:pPr>
            <w:r>
              <w:rPr>
                <w:sz w:val="28"/>
              </w:rPr>
              <w:t>6</w:t>
            </w:r>
          </w:p>
        </w:tc>
        <w:tc>
          <w:tcPr>
            <w:tcW w:w="705" w:type="dxa"/>
          </w:tcPr>
          <w:p w:rsidR="00B23B94" w:rsidRDefault="003B2D3B">
            <w:pPr>
              <w:pStyle w:val="TableParagraph"/>
              <w:ind w:left="109"/>
              <w:jc w:val="left"/>
              <w:rPr>
                <w:sz w:val="28"/>
              </w:rPr>
            </w:pPr>
            <w:r>
              <w:rPr>
                <w:sz w:val="28"/>
              </w:rPr>
              <w:t>26,1</w:t>
            </w:r>
          </w:p>
        </w:tc>
        <w:tc>
          <w:tcPr>
            <w:tcW w:w="737" w:type="dxa"/>
          </w:tcPr>
          <w:p w:rsidR="00B23B94" w:rsidRDefault="003B2D3B">
            <w:pPr>
              <w:pStyle w:val="TableParagraph"/>
              <w:ind w:left="13"/>
              <w:rPr>
                <w:sz w:val="28"/>
              </w:rPr>
            </w:pPr>
            <w:r>
              <w:rPr>
                <w:sz w:val="28"/>
              </w:rPr>
              <w:t>1</w:t>
            </w:r>
          </w:p>
        </w:tc>
        <w:tc>
          <w:tcPr>
            <w:tcW w:w="705" w:type="dxa"/>
          </w:tcPr>
          <w:p w:rsidR="00B23B94" w:rsidRDefault="003B2D3B">
            <w:pPr>
              <w:pStyle w:val="TableParagraph"/>
              <w:ind w:right="163"/>
              <w:jc w:val="right"/>
              <w:rPr>
                <w:sz w:val="28"/>
              </w:rPr>
            </w:pPr>
            <w:r>
              <w:rPr>
                <w:sz w:val="28"/>
              </w:rPr>
              <w:t>4,3</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
        <w:ind w:left="0"/>
        <w:jc w:val="left"/>
        <w:rPr>
          <w:i/>
          <w:sz w:val="26"/>
        </w:rPr>
      </w:pPr>
    </w:p>
    <w:p w:rsidR="00B23B94" w:rsidRDefault="003B2D3B">
      <w:pPr>
        <w:pStyle w:val="a3"/>
        <w:spacing w:line="360" w:lineRule="auto"/>
        <w:ind w:left="542" w:right="783" w:firstLine="707"/>
      </w:pPr>
      <w:r>
        <w:t>Через 2 тижні від госпіталізації, за даними променевих методів обстеження, інфільтрація парапанкреатичної клітковини зберігалася у 1 (4,3%) хворого, рідинні скупчення виявлено у 10 (43,5%) хворих, наявність секвестрів виявлено у 12 (52,2%) хворих. Ознаки компресії верхніх відділів ШКТ відмічали у 8 (34,8%). Поширеність локальних ускладнень на 1 ЗППН діагностовано у 5 (21,7%) пацієнтів, на 2 ЗППН – у 8 (34,8%), залучення у процес більше трьох ЗППН виявлено у 10 (43,5%). Випіт в правій плевральній порожнині діагностовано у 2 хворих (8,7%), лівій плевральній порожнині – 2 хворих (8,7%), двобічний гідроторакс виявлено у 2 (8,7%) хворих.</w:t>
      </w:r>
    </w:p>
    <w:p w:rsidR="00B23B94" w:rsidRDefault="003B2D3B">
      <w:pPr>
        <w:pStyle w:val="a3"/>
        <w:spacing w:line="360" w:lineRule="auto"/>
        <w:ind w:left="542" w:right="790" w:firstLine="707"/>
      </w:pPr>
      <w:r>
        <w:t>Пацієнтам з локальними парапанкреатичними ускладненнями де констатували лише рідинний компонент виконували тонкоголкову пункцію під УЗ-контролем з подальшим обстеженням пунктату. Гній отримано у 6 (26,1%) пацієнтів, гній з детритом у 1 (4,3%) пацієнта, бурий «стерильний» ексудат у 3 (13,0%) пацієнтів.</w:t>
      </w:r>
    </w:p>
    <w:p w:rsidR="00B23B94" w:rsidRDefault="003B2D3B">
      <w:pPr>
        <w:pStyle w:val="a3"/>
        <w:spacing w:line="360" w:lineRule="auto"/>
        <w:ind w:left="542" w:right="795" w:firstLine="707"/>
      </w:pPr>
      <w:r>
        <w:t>Результати хірургічного лікування пацієнтів основної групи (підгрупа 2b) наведені в таблиці 4.16.</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spacing w:before="89"/>
        <w:ind w:left="8352" w:right="769"/>
        <w:jc w:val="center"/>
        <w:rPr>
          <w:i/>
          <w:sz w:val="28"/>
        </w:rPr>
      </w:pPr>
      <w:r>
        <w:rPr>
          <w:i/>
          <w:sz w:val="28"/>
        </w:rPr>
        <w:lastRenderedPageBreak/>
        <w:t>Таблиця 4.15</w:t>
      </w:r>
    </w:p>
    <w:p w:rsidR="00B23B94" w:rsidRDefault="003B2D3B">
      <w:pPr>
        <w:pStyle w:val="1"/>
        <w:spacing w:before="164" w:line="360" w:lineRule="auto"/>
        <w:ind w:left="1982" w:right="1518"/>
        <w:jc w:val="center"/>
      </w:pPr>
      <w:r>
        <w:t>Динаміка тяжкості хворих у пацієнтів основної групи (підгрупа 2b)</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21"/>
        <w:gridCol w:w="1210"/>
        <w:gridCol w:w="1210"/>
        <w:gridCol w:w="1213"/>
        <w:gridCol w:w="1210"/>
        <w:gridCol w:w="1210"/>
      </w:tblGrid>
      <w:tr w:rsidR="00B23B94">
        <w:trPr>
          <w:trHeight w:val="484"/>
        </w:trPr>
        <w:tc>
          <w:tcPr>
            <w:tcW w:w="3521" w:type="dxa"/>
            <w:vMerge w:val="restart"/>
          </w:tcPr>
          <w:p w:rsidR="00B23B94" w:rsidRDefault="00B23B94">
            <w:pPr>
              <w:pStyle w:val="TableParagraph"/>
              <w:jc w:val="left"/>
              <w:rPr>
                <w:sz w:val="26"/>
              </w:rPr>
            </w:pPr>
          </w:p>
        </w:tc>
        <w:tc>
          <w:tcPr>
            <w:tcW w:w="6053" w:type="dxa"/>
            <w:gridSpan w:val="5"/>
          </w:tcPr>
          <w:p w:rsidR="00B23B94" w:rsidRDefault="003B2D3B">
            <w:pPr>
              <w:pStyle w:val="TableParagraph"/>
              <w:ind w:left="978" w:right="968"/>
              <w:rPr>
                <w:sz w:val="28"/>
              </w:rPr>
            </w:pPr>
            <w:r>
              <w:rPr>
                <w:sz w:val="28"/>
              </w:rPr>
              <w:t>Доба*</w:t>
            </w:r>
          </w:p>
        </w:tc>
      </w:tr>
      <w:tr w:rsidR="00B23B94">
        <w:trPr>
          <w:trHeight w:val="482"/>
        </w:trPr>
        <w:tc>
          <w:tcPr>
            <w:tcW w:w="3521" w:type="dxa"/>
            <w:vMerge/>
            <w:tcBorders>
              <w:top w:val="nil"/>
            </w:tcBorders>
          </w:tcPr>
          <w:p w:rsidR="00B23B94" w:rsidRDefault="00B23B94">
            <w:pPr>
              <w:rPr>
                <w:sz w:val="2"/>
                <w:szCs w:val="2"/>
              </w:rPr>
            </w:pPr>
          </w:p>
        </w:tc>
        <w:tc>
          <w:tcPr>
            <w:tcW w:w="1210" w:type="dxa"/>
          </w:tcPr>
          <w:p w:rsidR="00B23B94" w:rsidRDefault="003B2D3B">
            <w:pPr>
              <w:pStyle w:val="TableParagraph"/>
              <w:ind w:left="11"/>
              <w:rPr>
                <w:sz w:val="28"/>
              </w:rPr>
            </w:pPr>
            <w:r>
              <w:rPr>
                <w:sz w:val="28"/>
              </w:rPr>
              <w:t>1</w:t>
            </w:r>
          </w:p>
        </w:tc>
        <w:tc>
          <w:tcPr>
            <w:tcW w:w="1210" w:type="dxa"/>
          </w:tcPr>
          <w:p w:rsidR="00B23B94" w:rsidRDefault="003B2D3B">
            <w:pPr>
              <w:pStyle w:val="TableParagraph"/>
              <w:ind w:left="11"/>
              <w:rPr>
                <w:sz w:val="28"/>
              </w:rPr>
            </w:pPr>
            <w:r>
              <w:rPr>
                <w:sz w:val="28"/>
              </w:rPr>
              <w:t>2</w:t>
            </w:r>
          </w:p>
        </w:tc>
        <w:tc>
          <w:tcPr>
            <w:tcW w:w="1213" w:type="dxa"/>
          </w:tcPr>
          <w:p w:rsidR="00B23B94" w:rsidRDefault="003B2D3B">
            <w:pPr>
              <w:pStyle w:val="TableParagraph"/>
              <w:ind w:left="87" w:right="79"/>
              <w:rPr>
                <w:sz w:val="28"/>
              </w:rPr>
            </w:pPr>
            <w:r>
              <w:rPr>
                <w:sz w:val="28"/>
              </w:rPr>
              <w:t>6-7</w:t>
            </w:r>
          </w:p>
        </w:tc>
        <w:tc>
          <w:tcPr>
            <w:tcW w:w="1210" w:type="dxa"/>
          </w:tcPr>
          <w:p w:rsidR="00B23B94" w:rsidRDefault="003B2D3B">
            <w:pPr>
              <w:pStyle w:val="TableParagraph"/>
              <w:ind w:left="81" w:right="78"/>
              <w:rPr>
                <w:sz w:val="28"/>
              </w:rPr>
            </w:pPr>
            <w:r>
              <w:rPr>
                <w:sz w:val="28"/>
              </w:rPr>
              <w:t>12-14</w:t>
            </w:r>
          </w:p>
        </w:tc>
        <w:tc>
          <w:tcPr>
            <w:tcW w:w="1210" w:type="dxa"/>
          </w:tcPr>
          <w:p w:rsidR="00B23B94" w:rsidRDefault="003B2D3B">
            <w:pPr>
              <w:pStyle w:val="TableParagraph"/>
              <w:ind w:left="81" w:right="78"/>
              <w:rPr>
                <w:sz w:val="28"/>
              </w:rPr>
            </w:pPr>
            <w:r>
              <w:rPr>
                <w:sz w:val="28"/>
              </w:rPr>
              <w:t>20-21</w:t>
            </w:r>
          </w:p>
        </w:tc>
      </w:tr>
      <w:tr w:rsidR="00B23B94">
        <w:trPr>
          <w:trHeight w:val="481"/>
        </w:trPr>
        <w:tc>
          <w:tcPr>
            <w:tcW w:w="3521" w:type="dxa"/>
          </w:tcPr>
          <w:p w:rsidR="00B23B94" w:rsidRDefault="003B2D3B">
            <w:pPr>
              <w:pStyle w:val="TableParagraph"/>
              <w:ind w:left="1014"/>
              <w:jc w:val="left"/>
              <w:rPr>
                <w:sz w:val="28"/>
              </w:rPr>
            </w:pPr>
            <w:r>
              <w:rPr>
                <w:sz w:val="28"/>
              </w:rPr>
              <w:t>BISAP, бали</w:t>
            </w:r>
          </w:p>
        </w:tc>
        <w:tc>
          <w:tcPr>
            <w:tcW w:w="1210" w:type="dxa"/>
          </w:tcPr>
          <w:p w:rsidR="00B23B94" w:rsidRDefault="003B2D3B">
            <w:pPr>
              <w:pStyle w:val="TableParagraph"/>
              <w:ind w:left="85" w:right="75"/>
              <w:rPr>
                <w:sz w:val="28"/>
              </w:rPr>
            </w:pPr>
            <w:r>
              <w:rPr>
                <w:sz w:val="28"/>
              </w:rPr>
              <w:t>3,1±0,30</w:t>
            </w:r>
          </w:p>
        </w:tc>
        <w:tc>
          <w:tcPr>
            <w:tcW w:w="1210" w:type="dxa"/>
          </w:tcPr>
          <w:p w:rsidR="00B23B94" w:rsidRDefault="003B2D3B">
            <w:pPr>
              <w:pStyle w:val="TableParagraph"/>
              <w:ind w:left="85" w:right="75"/>
              <w:rPr>
                <w:sz w:val="28"/>
              </w:rPr>
            </w:pPr>
            <w:r>
              <w:rPr>
                <w:sz w:val="28"/>
              </w:rPr>
              <w:t>3,1±0,30</w:t>
            </w:r>
          </w:p>
        </w:tc>
        <w:tc>
          <w:tcPr>
            <w:tcW w:w="1213" w:type="dxa"/>
          </w:tcPr>
          <w:p w:rsidR="00B23B94" w:rsidRDefault="003B2D3B">
            <w:pPr>
              <w:pStyle w:val="TableParagraph"/>
              <w:ind w:left="87" w:right="80"/>
              <w:rPr>
                <w:sz w:val="28"/>
              </w:rPr>
            </w:pPr>
            <w:r>
              <w:rPr>
                <w:sz w:val="28"/>
              </w:rPr>
              <w:t>2,6±0,26</w:t>
            </w:r>
          </w:p>
        </w:tc>
        <w:tc>
          <w:tcPr>
            <w:tcW w:w="1210" w:type="dxa"/>
          </w:tcPr>
          <w:p w:rsidR="00B23B94" w:rsidRDefault="003B2D3B">
            <w:pPr>
              <w:pStyle w:val="TableParagraph"/>
              <w:ind w:left="82" w:right="78"/>
              <w:rPr>
                <w:sz w:val="28"/>
              </w:rPr>
            </w:pPr>
            <w:r>
              <w:rPr>
                <w:sz w:val="28"/>
              </w:rPr>
              <w:t>2,8±0,27</w:t>
            </w:r>
          </w:p>
        </w:tc>
        <w:tc>
          <w:tcPr>
            <w:tcW w:w="1210" w:type="dxa"/>
          </w:tcPr>
          <w:p w:rsidR="00B23B94" w:rsidRDefault="003B2D3B">
            <w:pPr>
              <w:pStyle w:val="TableParagraph"/>
              <w:ind w:left="82" w:right="78"/>
              <w:rPr>
                <w:sz w:val="28"/>
              </w:rPr>
            </w:pPr>
            <w:r>
              <w:rPr>
                <w:sz w:val="28"/>
              </w:rPr>
              <w:t>2,5±0,24</w:t>
            </w:r>
          </w:p>
        </w:tc>
      </w:tr>
      <w:tr w:rsidR="00B23B94">
        <w:trPr>
          <w:trHeight w:val="1449"/>
        </w:trPr>
        <w:tc>
          <w:tcPr>
            <w:tcW w:w="3521" w:type="dxa"/>
          </w:tcPr>
          <w:p w:rsidR="00B23B94" w:rsidRDefault="003B2D3B">
            <w:pPr>
              <w:pStyle w:val="TableParagraph"/>
              <w:spacing w:before="2" w:line="360" w:lineRule="auto"/>
              <w:ind w:left="253" w:right="244"/>
              <w:rPr>
                <w:sz w:val="28"/>
              </w:rPr>
            </w:pPr>
            <w:r>
              <w:rPr>
                <w:sz w:val="28"/>
              </w:rPr>
              <w:t>Marshall (≥2балів у одній чи декількох системах із</w:t>
            </w:r>
          </w:p>
          <w:p w:rsidR="00B23B94" w:rsidRDefault="003B2D3B">
            <w:pPr>
              <w:pStyle w:val="TableParagraph"/>
              <w:tabs>
                <w:tab w:val="left" w:pos="1053"/>
              </w:tabs>
              <w:spacing w:line="321" w:lineRule="exact"/>
              <w:ind w:left="10"/>
              <w:rPr>
                <w:sz w:val="28"/>
              </w:rPr>
            </w:pPr>
            <w:r>
              <w:rPr>
                <w:sz w:val="28"/>
              </w:rPr>
              <w:t>трьох),</w:t>
            </w:r>
            <w:r>
              <w:rPr>
                <w:sz w:val="28"/>
              </w:rPr>
              <w:tab/>
              <w:t>абс.</w:t>
            </w:r>
            <w:r>
              <w:rPr>
                <w:spacing w:val="-1"/>
                <w:sz w:val="28"/>
              </w:rPr>
              <w:t xml:space="preserve"> </w:t>
            </w:r>
            <w:r>
              <w:rPr>
                <w:sz w:val="28"/>
              </w:rPr>
              <w:t>(%)</w:t>
            </w:r>
          </w:p>
        </w:tc>
        <w:tc>
          <w:tcPr>
            <w:tcW w:w="1210" w:type="dxa"/>
          </w:tcPr>
          <w:p w:rsidR="00B23B94" w:rsidRDefault="003B2D3B">
            <w:pPr>
              <w:pStyle w:val="TableParagraph"/>
              <w:spacing w:before="242"/>
              <w:ind w:left="85" w:right="75"/>
              <w:rPr>
                <w:sz w:val="28"/>
              </w:rPr>
            </w:pPr>
            <w:r>
              <w:rPr>
                <w:sz w:val="28"/>
              </w:rPr>
              <w:t>16</w:t>
            </w:r>
          </w:p>
          <w:p w:rsidR="00B23B94" w:rsidRDefault="003B2D3B">
            <w:pPr>
              <w:pStyle w:val="TableParagraph"/>
              <w:spacing w:before="161"/>
              <w:ind w:left="85" w:right="73"/>
              <w:rPr>
                <w:sz w:val="28"/>
              </w:rPr>
            </w:pPr>
            <w:r>
              <w:rPr>
                <w:sz w:val="28"/>
              </w:rPr>
              <w:t>(69,6)</w:t>
            </w:r>
          </w:p>
        </w:tc>
        <w:tc>
          <w:tcPr>
            <w:tcW w:w="1210" w:type="dxa"/>
          </w:tcPr>
          <w:p w:rsidR="00B23B94" w:rsidRDefault="003B2D3B">
            <w:pPr>
              <w:pStyle w:val="TableParagraph"/>
              <w:spacing w:before="242"/>
              <w:ind w:left="85" w:right="76"/>
              <w:rPr>
                <w:sz w:val="28"/>
              </w:rPr>
            </w:pPr>
            <w:r>
              <w:rPr>
                <w:sz w:val="28"/>
              </w:rPr>
              <w:t>15</w:t>
            </w:r>
          </w:p>
          <w:p w:rsidR="00B23B94" w:rsidRDefault="003B2D3B">
            <w:pPr>
              <w:pStyle w:val="TableParagraph"/>
              <w:spacing w:before="161"/>
              <w:ind w:left="85" w:right="73"/>
              <w:rPr>
                <w:sz w:val="28"/>
              </w:rPr>
            </w:pPr>
            <w:r>
              <w:rPr>
                <w:sz w:val="28"/>
              </w:rPr>
              <w:t>(65,2)</w:t>
            </w:r>
          </w:p>
        </w:tc>
        <w:tc>
          <w:tcPr>
            <w:tcW w:w="1213" w:type="dxa"/>
          </w:tcPr>
          <w:p w:rsidR="00B23B94" w:rsidRDefault="003B2D3B">
            <w:pPr>
              <w:pStyle w:val="TableParagraph"/>
              <w:spacing w:before="242"/>
              <w:ind w:left="3"/>
              <w:rPr>
                <w:sz w:val="28"/>
              </w:rPr>
            </w:pPr>
            <w:r>
              <w:rPr>
                <w:sz w:val="28"/>
              </w:rPr>
              <w:t>8</w:t>
            </w:r>
          </w:p>
          <w:p w:rsidR="00B23B94" w:rsidRDefault="003B2D3B">
            <w:pPr>
              <w:pStyle w:val="TableParagraph"/>
              <w:spacing w:before="161"/>
              <w:ind w:left="87" w:right="78"/>
              <w:rPr>
                <w:sz w:val="28"/>
              </w:rPr>
            </w:pPr>
            <w:r>
              <w:rPr>
                <w:sz w:val="28"/>
              </w:rPr>
              <w:t>(34,8)</w:t>
            </w:r>
          </w:p>
        </w:tc>
        <w:tc>
          <w:tcPr>
            <w:tcW w:w="1210" w:type="dxa"/>
          </w:tcPr>
          <w:p w:rsidR="00B23B94" w:rsidRDefault="003B2D3B">
            <w:pPr>
              <w:pStyle w:val="TableParagraph"/>
              <w:spacing w:before="242"/>
              <w:ind w:left="81" w:right="78"/>
              <w:rPr>
                <w:sz w:val="28"/>
              </w:rPr>
            </w:pPr>
            <w:r>
              <w:rPr>
                <w:sz w:val="28"/>
              </w:rPr>
              <w:t>13</w:t>
            </w:r>
          </w:p>
          <w:p w:rsidR="00B23B94" w:rsidRDefault="003B2D3B">
            <w:pPr>
              <w:pStyle w:val="TableParagraph"/>
              <w:spacing w:before="161"/>
              <w:ind w:left="83" w:right="78"/>
              <w:rPr>
                <w:sz w:val="28"/>
              </w:rPr>
            </w:pPr>
            <w:r>
              <w:rPr>
                <w:sz w:val="28"/>
              </w:rPr>
              <w:t>(56,5)</w:t>
            </w:r>
          </w:p>
        </w:tc>
        <w:tc>
          <w:tcPr>
            <w:tcW w:w="1210" w:type="dxa"/>
          </w:tcPr>
          <w:p w:rsidR="00B23B94" w:rsidRDefault="003B2D3B">
            <w:pPr>
              <w:pStyle w:val="TableParagraph"/>
              <w:spacing w:before="242"/>
              <w:ind w:left="4"/>
              <w:rPr>
                <w:sz w:val="28"/>
              </w:rPr>
            </w:pPr>
            <w:r>
              <w:rPr>
                <w:sz w:val="28"/>
              </w:rPr>
              <w:t>8</w:t>
            </w:r>
          </w:p>
          <w:p w:rsidR="00B23B94" w:rsidRDefault="003B2D3B">
            <w:pPr>
              <w:pStyle w:val="TableParagraph"/>
              <w:spacing w:before="161"/>
              <w:ind w:left="85" w:right="13"/>
              <w:rPr>
                <w:sz w:val="28"/>
              </w:rPr>
            </w:pPr>
            <w:r>
              <w:rPr>
                <w:sz w:val="28"/>
              </w:rPr>
              <w:t>(34,8)</w:t>
            </w:r>
          </w:p>
        </w:tc>
      </w:tr>
    </w:tbl>
    <w:p w:rsidR="00B23B94" w:rsidRDefault="003B2D3B">
      <w:pPr>
        <w:ind w:left="1250"/>
        <w:rPr>
          <w:i/>
          <w:sz w:val="28"/>
        </w:rPr>
      </w:pPr>
      <w:r>
        <w:rPr>
          <w:i/>
          <w:sz w:val="28"/>
        </w:rPr>
        <w:t>Примітка: * - доба від початку захворювання.</w:t>
      </w:r>
    </w:p>
    <w:p w:rsidR="00B23B94" w:rsidRDefault="00B23B94">
      <w:pPr>
        <w:pStyle w:val="a3"/>
        <w:ind w:left="0"/>
        <w:jc w:val="left"/>
        <w:rPr>
          <w:i/>
          <w:sz w:val="30"/>
        </w:rPr>
      </w:pPr>
    </w:p>
    <w:p w:rsidR="00B23B94" w:rsidRDefault="00B23B94">
      <w:pPr>
        <w:pStyle w:val="a3"/>
        <w:spacing w:before="1"/>
        <w:ind w:left="0"/>
        <w:jc w:val="left"/>
        <w:rPr>
          <w:i/>
          <w:sz w:val="26"/>
        </w:rPr>
      </w:pPr>
    </w:p>
    <w:p w:rsidR="00B23B94" w:rsidRDefault="003B2D3B">
      <w:pPr>
        <w:ind w:left="8352" w:right="769"/>
        <w:jc w:val="center"/>
        <w:rPr>
          <w:i/>
          <w:sz w:val="28"/>
        </w:rPr>
      </w:pPr>
      <w:r>
        <w:rPr>
          <w:i/>
          <w:sz w:val="28"/>
        </w:rPr>
        <w:t>Таблиця 4.16</w:t>
      </w:r>
    </w:p>
    <w:p w:rsidR="00B23B94" w:rsidRDefault="003B2D3B">
      <w:pPr>
        <w:pStyle w:val="1"/>
        <w:ind w:left="762" w:right="306"/>
        <w:jc w:val="center"/>
      </w:pPr>
      <w:r>
        <w:t>Результати хірургічного лікування пацієнтів основної групи</w:t>
      </w:r>
    </w:p>
    <w:p w:rsidR="00B23B94" w:rsidRDefault="003B2D3B">
      <w:pPr>
        <w:spacing w:before="161"/>
        <w:ind w:left="526" w:right="769"/>
        <w:jc w:val="center"/>
        <w:rPr>
          <w:b/>
          <w:sz w:val="28"/>
        </w:rPr>
      </w:pPr>
      <w:r>
        <w:rPr>
          <w:b/>
          <w:sz w:val="28"/>
        </w:rPr>
        <w:t>(підгрупа 2b)</w:t>
      </w:r>
    </w:p>
    <w:p w:rsidR="00B23B94" w:rsidRDefault="00B23B94">
      <w:pPr>
        <w:pStyle w:val="a3"/>
        <w:spacing w:before="1"/>
        <w:ind w:left="0"/>
        <w:jc w:val="left"/>
        <w:rPr>
          <w:b/>
          <w:sz w:val="14"/>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6"/>
        <w:gridCol w:w="709"/>
        <w:gridCol w:w="569"/>
        <w:gridCol w:w="708"/>
        <w:gridCol w:w="708"/>
        <w:gridCol w:w="708"/>
        <w:gridCol w:w="569"/>
        <w:gridCol w:w="709"/>
        <w:gridCol w:w="756"/>
        <w:gridCol w:w="694"/>
        <w:gridCol w:w="694"/>
        <w:gridCol w:w="692"/>
        <w:gridCol w:w="708"/>
      </w:tblGrid>
      <w:tr w:rsidR="00B23B94">
        <w:trPr>
          <w:trHeight w:val="321"/>
        </w:trPr>
        <w:tc>
          <w:tcPr>
            <w:tcW w:w="1846" w:type="dxa"/>
            <w:vMerge w:val="restart"/>
          </w:tcPr>
          <w:p w:rsidR="00B23B94" w:rsidRDefault="00B23B94">
            <w:pPr>
              <w:pStyle w:val="TableParagraph"/>
              <w:jc w:val="left"/>
              <w:rPr>
                <w:sz w:val="26"/>
              </w:rPr>
            </w:pPr>
          </w:p>
        </w:tc>
        <w:tc>
          <w:tcPr>
            <w:tcW w:w="8224" w:type="dxa"/>
            <w:gridSpan w:val="12"/>
          </w:tcPr>
          <w:p w:rsidR="00B23B94" w:rsidRDefault="003B2D3B">
            <w:pPr>
              <w:pStyle w:val="TableParagraph"/>
              <w:spacing w:line="301" w:lineRule="exact"/>
              <w:ind w:left="3163" w:right="3156"/>
              <w:rPr>
                <w:sz w:val="28"/>
              </w:rPr>
            </w:pPr>
            <w:r>
              <w:rPr>
                <w:sz w:val="28"/>
              </w:rPr>
              <w:t>2b група (n=22)</w:t>
            </w:r>
          </w:p>
        </w:tc>
      </w:tr>
      <w:tr w:rsidR="00B23B94">
        <w:trPr>
          <w:trHeight w:val="431"/>
        </w:trPr>
        <w:tc>
          <w:tcPr>
            <w:tcW w:w="1846" w:type="dxa"/>
            <w:vMerge/>
            <w:tcBorders>
              <w:top w:val="nil"/>
            </w:tcBorders>
          </w:tcPr>
          <w:p w:rsidR="00B23B94" w:rsidRDefault="00B23B94">
            <w:pPr>
              <w:rPr>
                <w:sz w:val="2"/>
                <w:szCs w:val="2"/>
              </w:rPr>
            </w:pPr>
          </w:p>
        </w:tc>
        <w:tc>
          <w:tcPr>
            <w:tcW w:w="2694" w:type="dxa"/>
            <w:gridSpan w:val="4"/>
          </w:tcPr>
          <w:p w:rsidR="00B23B94" w:rsidRDefault="003B2D3B">
            <w:pPr>
              <w:pStyle w:val="TableParagraph"/>
              <w:ind w:left="866"/>
              <w:jc w:val="left"/>
              <w:rPr>
                <w:sz w:val="28"/>
              </w:rPr>
            </w:pPr>
            <w:r>
              <w:rPr>
                <w:sz w:val="28"/>
              </w:rPr>
              <w:t>1 ЗППН</w:t>
            </w:r>
          </w:p>
        </w:tc>
        <w:tc>
          <w:tcPr>
            <w:tcW w:w="2742" w:type="dxa"/>
            <w:gridSpan w:val="4"/>
          </w:tcPr>
          <w:p w:rsidR="00B23B94" w:rsidRDefault="003B2D3B">
            <w:pPr>
              <w:pStyle w:val="TableParagraph"/>
              <w:ind w:left="889"/>
              <w:jc w:val="left"/>
              <w:rPr>
                <w:sz w:val="28"/>
              </w:rPr>
            </w:pPr>
            <w:r>
              <w:rPr>
                <w:sz w:val="28"/>
              </w:rPr>
              <w:t>2 ЗППН</w:t>
            </w:r>
          </w:p>
        </w:tc>
        <w:tc>
          <w:tcPr>
            <w:tcW w:w="2788" w:type="dxa"/>
            <w:gridSpan w:val="4"/>
          </w:tcPr>
          <w:p w:rsidR="00B23B94" w:rsidRDefault="003B2D3B">
            <w:pPr>
              <w:pStyle w:val="TableParagraph"/>
              <w:ind w:left="389"/>
              <w:jc w:val="left"/>
              <w:rPr>
                <w:sz w:val="28"/>
              </w:rPr>
            </w:pPr>
            <w:r>
              <w:rPr>
                <w:sz w:val="28"/>
              </w:rPr>
              <w:t>3 і більше ЗППН</w:t>
            </w:r>
          </w:p>
        </w:tc>
      </w:tr>
      <w:tr w:rsidR="00B23B94">
        <w:trPr>
          <w:trHeight w:val="321"/>
        </w:trPr>
        <w:tc>
          <w:tcPr>
            <w:tcW w:w="1846" w:type="dxa"/>
            <w:vMerge/>
            <w:tcBorders>
              <w:top w:val="nil"/>
            </w:tcBorders>
          </w:tcPr>
          <w:p w:rsidR="00B23B94" w:rsidRDefault="00B23B94">
            <w:pPr>
              <w:rPr>
                <w:sz w:val="2"/>
                <w:szCs w:val="2"/>
              </w:rPr>
            </w:pPr>
          </w:p>
        </w:tc>
        <w:tc>
          <w:tcPr>
            <w:tcW w:w="1278" w:type="dxa"/>
            <w:gridSpan w:val="2"/>
          </w:tcPr>
          <w:p w:rsidR="00B23B94" w:rsidRDefault="003B2D3B">
            <w:pPr>
              <w:pStyle w:val="TableParagraph"/>
              <w:spacing w:line="301" w:lineRule="exact"/>
              <w:ind w:left="445" w:right="439"/>
              <w:rPr>
                <w:sz w:val="28"/>
              </w:rPr>
            </w:pPr>
            <w:r>
              <w:rPr>
                <w:sz w:val="28"/>
              </w:rPr>
              <w:t>РС</w:t>
            </w:r>
          </w:p>
        </w:tc>
        <w:tc>
          <w:tcPr>
            <w:tcW w:w="1416" w:type="dxa"/>
            <w:gridSpan w:val="2"/>
          </w:tcPr>
          <w:p w:rsidR="00B23B94" w:rsidRDefault="003B2D3B">
            <w:pPr>
              <w:pStyle w:val="TableParagraph"/>
              <w:spacing w:line="301" w:lineRule="exact"/>
              <w:ind w:left="195"/>
              <w:jc w:val="left"/>
              <w:rPr>
                <w:sz w:val="28"/>
              </w:rPr>
            </w:pPr>
            <w:r>
              <w:rPr>
                <w:sz w:val="28"/>
              </w:rPr>
              <w:t>РС+секв</w:t>
            </w:r>
          </w:p>
        </w:tc>
        <w:tc>
          <w:tcPr>
            <w:tcW w:w="1277" w:type="dxa"/>
            <w:gridSpan w:val="2"/>
          </w:tcPr>
          <w:p w:rsidR="00B23B94" w:rsidRDefault="003B2D3B">
            <w:pPr>
              <w:pStyle w:val="TableParagraph"/>
              <w:spacing w:line="301" w:lineRule="exact"/>
              <w:ind w:left="382" w:right="377"/>
              <w:rPr>
                <w:sz w:val="28"/>
              </w:rPr>
            </w:pPr>
            <w:r>
              <w:rPr>
                <w:sz w:val="28"/>
              </w:rPr>
              <w:t>РС</w:t>
            </w:r>
          </w:p>
        </w:tc>
        <w:tc>
          <w:tcPr>
            <w:tcW w:w="1465" w:type="dxa"/>
            <w:gridSpan w:val="2"/>
          </w:tcPr>
          <w:p w:rsidR="00B23B94" w:rsidRDefault="003B2D3B">
            <w:pPr>
              <w:pStyle w:val="TableParagraph"/>
              <w:spacing w:line="301" w:lineRule="exact"/>
              <w:ind w:left="219"/>
              <w:jc w:val="left"/>
              <w:rPr>
                <w:sz w:val="28"/>
              </w:rPr>
            </w:pPr>
            <w:r>
              <w:rPr>
                <w:sz w:val="28"/>
              </w:rPr>
              <w:t>РС+секв</w:t>
            </w:r>
          </w:p>
        </w:tc>
        <w:tc>
          <w:tcPr>
            <w:tcW w:w="1388" w:type="dxa"/>
            <w:gridSpan w:val="2"/>
          </w:tcPr>
          <w:p w:rsidR="00B23B94" w:rsidRDefault="003B2D3B">
            <w:pPr>
              <w:pStyle w:val="TableParagraph"/>
              <w:spacing w:line="301" w:lineRule="exact"/>
              <w:ind w:left="499" w:right="496"/>
              <w:rPr>
                <w:sz w:val="28"/>
              </w:rPr>
            </w:pPr>
            <w:r>
              <w:rPr>
                <w:sz w:val="28"/>
              </w:rPr>
              <w:t>РС</w:t>
            </w:r>
          </w:p>
        </w:tc>
        <w:tc>
          <w:tcPr>
            <w:tcW w:w="1400" w:type="dxa"/>
            <w:gridSpan w:val="2"/>
          </w:tcPr>
          <w:p w:rsidR="00B23B94" w:rsidRDefault="003B2D3B">
            <w:pPr>
              <w:pStyle w:val="TableParagraph"/>
              <w:spacing w:line="301" w:lineRule="exact"/>
              <w:ind w:left="187"/>
              <w:jc w:val="left"/>
              <w:rPr>
                <w:sz w:val="28"/>
              </w:rPr>
            </w:pPr>
            <w:r>
              <w:rPr>
                <w:sz w:val="28"/>
              </w:rPr>
              <w:t>РС+секв</w:t>
            </w:r>
          </w:p>
        </w:tc>
      </w:tr>
      <w:tr w:rsidR="00B23B94">
        <w:trPr>
          <w:trHeight w:val="323"/>
        </w:trPr>
        <w:tc>
          <w:tcPr>
            <w:tcW w:w="1846" w:type="dxa"/>
            <w:vMerge/>
            <w:tcBorders>
              <w:top w:val="nil"/>
            </w:tcBorders>
          </w:tcPr>
          <w:p w:rsidR="00B23B94" w:rsidRDefault="00B23B94">
            <w:pPr>
              <w:rPr>
                <w:sz w:val="2"/>
                <w:szCs w:val="2"/>
              </w:rPr>
            </w:pPr>
          </w:p>
        </w:tc>
        <w:tc>
          <w:tcPr>
            <w:tcW w:w="709" w:type="dxa"/>
          </w:tcPr>
          <w:p w:rsidR="00B23B94" w:rsidRDefault="003B2D3B">
            <w:pPr>
              <w:pStyle w:val="TableParagraph"/>
              <w:spacing w:before="2" w:line="301" w:lineRule="exact"/>
              <w:ind w:left="85" w:right="174"/>
              <w:rPr>
                <w:sz w:val="28"/>
              </w:rPr>
            </w:pPr>
            <w:r>
              <w:rPr>
                <w:sz w:val="28"/>
              </w:rPr>
              <w:t>абс</w:t>
            </w:r>
          </w:p>
        </w:tc>
        <w:tc>
          <w:tcPr>
            <w:tcW w:w="569" w:type="dxa"/>
          </w:tcPr>
          <w:p w:rsidR="00B23B94" w:rsidRDefault="003B2D3B">
            <w:pPr>
              <w:pStyle w:val="TableParagraph"/>
              <w:spacing w:before="2" w:line="301" w:lineRule="exact"/>
              <w:ind w:right="109"/>
              <w:rPr>
                <w:sz w:val="28"/>
              </w:rPr>
            </w:pPr>
            <w:r>
              <w:rPr>
                <w:sz w:val="28"/>
              </w:rPr>
              <w:t>%</w:t>
            </w:r>
          </w:p>
        </w:tc>
        <w:tc>
          <w:tcPr>
            <w:tcW w:w="708" w:type="dxa"/>
          </w:tcPr>
          <w:p w:rsidR="00B23B94" w:rsidRDefault="003B2D3B">
            <w:pPr>
              <w:pStyle w:val="TableParagraph"/>
              <w:spacing w:before="2" w:line="301" w:lineRule="exact"/>
              <w:ind w:left="86" w:right="180"/>
              <w:rPr>
                <w:sz w:val="28"/>
              </w:rPr>
            </w:pPr>
            <w:r>
              <w:rPr>
                <w:sz w:val="28"/>
              </w:rPr>
              <w:t>абс</w:t>
            </w:r>
          </w:p>
        </w:tc>
        <w:tc>
          <w:tcPr>
            <w:tcW w:w="708" w:type="dxa"/>
          </w:tcPr>
          <w:p w:rsidR="00B23B94" w:rsidRDefault="003B2D3B">
            <w:pPr>
              <w:pStyle w:val="TableParagraph"/>
              <w:spacing w:before="2" w:line="301" w:lineRule="exact"/>
              <w:ind w:left="104"/>
              <w:jc w:val="left"/>
              <w:rPr>
                <w:sz w:val="28"/>
              </w:rPr>
            </w:pPr>
            <w:r>
              <w:rPr>
                <w:sz w:val="28"/>
              </w:rPr>
              <w:t>%</w:t>
            </w:r>
          </w:p>
        </w:tc>
        <w:tc>
          <w:tcPr>
            <w:tcW w:w="708" w:type="dxa"/>
          </w:tcPr>
          <w:p w:rsidR="00B23B94" w:rsidRDefault="003B2D3B">
            <w:pPr>
              <w:pStyle w:val="TableParagraph"/>
              <w:spacing w:before="2" w:line="301" w:lineRule="exact"/>
              <w:ind w:left="107"/>
              <w:jc w:val="left"/>
              <w:rPr>
                <w:sz w:val="28"/>
              </w:rPr>
            </w:pPr>
            <w:r>
              <w:rPr>
                <w:sz w:val="28"/>
              </w:rPr>
              <w:t>абс</w:t>
            </w:r>
          </w:p>
        </w:tc>
        <w:tc>
          <w:tcPr>
            <w:tcW w:w="569" w:type="dxa"/>
          </w:tcPr>
          <w:p w:rsidR="00B23B94" w:rsidRDefault="003B2D3B">
            <w:pPr>
              <w:pStyle w:val="TableParagraph"/>
              <w:spacing w:before="2" w:line="301" w:lineRule="exact"/>
              <w:ind w:left="107"/>
              <w:jc w:val="left"/>
              <w:rPr>
                <w:sz w:val="28"/>
              </w:rPr>
            </w:pPr>
            <w:r>
              <w:rPr>
                <w:sz w:val="28"/>
              </w:rPr>
              <w:t>%</w:t>
            </w:r>
          </w:p>
        </w:tc>
        <w:tc>
          <w:tcPr>
            <w:tcW w:w="709" w:type="dxa"/>
          </w:tcPr>
          <w:p w:rsidR="00B23B94" w:rsidRDefault="003B2D3B">
            <w:pPr>
              <w:pStyle w:val="TableParagraph"/>
              <w:spacing w:before="2" w:line="301" w:lineRule="exact"/>
              <w:ind w:left="104"/>
              <w:jc w:val="left"/>
              <w:rPr>
                <w:sz w:val="28"/>
              </w:rPr>
            </w:pPr>
            <w:r>
              <w:rPr>
                <w:sz w:val="28"/>
              </w:rPr>
              <w:t>абс</w:t>
            </w:r>
          </w:p>
        </w:tc>
        <w:tc>
          <w:tcPr>
            <w:tcW w:w="756" w:type="dxa"/>
          </w:tcPr>
          <w:p w:rsidR="00B23B94" w:rsidRDefault="003B2D3B">
            <w:pPr>
              <w:pStyle w:val="TableParagraph"/>
              <w:spacing w:before="2" w:line="301" w:lineRule="exact"/>
              <w:ind w:left="106"/>
              <w:jc w:val="left"/>
              <w:rPr>
                <w:sz w:val="28"/>
              </w:rPr>
            </w:pPr>
            <w:r>
              <w:rPr>
                <w:sz w:val="28"/>
              </w:rPr>
              <w:t>%</w:t>
            </w:r>
          </w:p>
        </w:tc>
        <w:tc>
          <w:tcPr>
            <w:tcW w:w="694" w:type="dxa"/>
          </w:tcPr>
          <w:p w:rsidR="00B23B94" w:rsidRDefault="003B2D3B">
            <w:pPr>
              <w:pStyle w:val="TableParagraph"/>
              <w:spacing w:before="2" w:line="301" w:lineRule="exact"/>
              <w:ind w:left="89" w:right="164"/>
              <w:rPr>
                <w:sz w:val="28"/>
              </w:rPr>
            </w:pPr>
            <w:r>
              <w:rPr>
                <w:sz w:val="28"/>
              </w:rPr>
              <w:t>абс</w:t>
            </w:r>
          </w:p>
        </w:tc>
        <w:tc>
          <w:tcPr>
            <w:tcW w:w="694" w:type="dxa"/>
          </w:tcPr>
          <w:p w:rsidR="00B23B94" w:rsidRDefault="003B2D3B">
            <w:pPr>
              <w:pStyle w:val="TableParagraph"/>
              <w:spacing w:before="2" w:line="301" w:lineRule="exact"/>
              <w:ind w:left="103"/>
              <w:jc w:val="left"/>
              <w:rPr>
                <w:sz w:val="28"/>
              </w:rPr>
            </w:pPr>
            <w:r>
              <w:rPr>
                <w:sz w:val="28"/>
              </w:rPr>
              <w:t>%</w:t>
            </w:r>
          </w:p>
        </w:tc>
        <w:tc>
          <w:tcPr>
            <w:tcW w:w="692" w:type="dxa"/>
          </w:tcPr>
          <w:p w:rsidR="00B23B94" w:rsidRDefault="003B2D3B">
            <w:pPr>
              <w:pStyle w:val="TableParagraph"/>
              <w:spacing w:before="2" w:line="301" w:lineRule="exact"/>
              <w:ind w:left="3" w:right="82"/>
              <w:rPr>
                <w:sz w:val="28"/>
              </w:rPr>
            </w:pPr>
            <w:r>
              <w:rPr>
                <w:sz w:val="28"/>
              </w:rPr>
              <w:t>абс</w:t>
            </w:r>
          </w:p>
        </w:tc>
        <w:tc>
          <w:tcPr>
            <w:tcW w:w="708" w:type="dxa"/>
          </w:tcPr>
          <w:p w:rsidR="00B23B94" w:rsidRDefault="003B2D3B">
            <w:pPr>
              <w:pStyle w:val="TableParagraph"/>
              <w:spacing w:before="2" w:line="301" w:lineRule="exact"/>
              <w:ind w:left="105"/>
              <w:jc w:val="left"/>
              <w:rPr>
                <w:sz w:val="28"/>
              </w:rPr>
            </w:pPr>
            <w:r>
              <w:rPr>
                <w:sz w:val="28"/>
              </w:rPr>
              <w:t>%</w:t>
            </w:r>
          </w:p>
        </w:tc>
      </w:tr>
      <w:tr w:rsidR="00B23B94">
        <w:trPr>
          <w:trHeight w:val="460"/>
        </w:trPr>
        <w:tc>
          <w:tcPr>
            <w:tcW w:w="1846" w:type="dxa"/>
          </w:tcPr>
          <w:p w:rsidR="00B23B94" w:rsidRDefault="003B2D3B">
            <w:pPr>
              <w:pStyle w:val="TableParagraph"/>
              <w:spacing w:line="230" w:lineRule="atLeast"/>
              <w:ind w:left="107" w:right="373"/>
              <w:jc w:val="left"/>
              <w:rPr>
                <w:sz w:val="20"/>
              </w:rPr>
            </w:pPr>
            <w:r>
              <w:rPr>
                <w:sz w:val="20"/>
              </w:rPr>
              <w:t>Дренування під УЗД контролем</w:t>
            </w:r>
          </w:p>
        </w:tc>
        <w:tc>
          <w:tcPr>
            <w:tcW w:w="709" w:type="dxa"/>
          </w:tcPr>
          <w:p w:rsidR="00B23B94" w:rsidRDefault="003B2D3B">
            <w:pPr>
              <w:pStyle w:val="TableParagraph"/>
              <w:spacing w:before="70"/>
              <w:ind w:left="7"/>
              <w:rPr>
                <w:sz w:val="28"/>
              </w:rPr>
            </w:pPr>
            <w:r>
              <w:rPr>
                <w:sz w:val="28"/>
              </w:rPr>
              <w:t>2</w:t>
            </w:r>
          </w:p>
        </w:tc>
        <w:tc>
          <w:tcPr>
            <w:tcW w:w="569" w:type="dxa"/>
          </w:tcPr>
          <w:p w:rsidR="00B23B94" w:rsidRDefault="003B2D3B">
            <w:pPr>
              <w:pStyle w:val="TableParagraph"/>
              <w:spacing w:before="70"/>
              <w:ind w:left="87" w:right="81"/>
              <w:rPr>
                <w:sz w:val="28"/>
              </w:rPr>
            </w:pPr>
            <w:r>
              <w:rPr>
                <w:sz w:val="28"/>
              </w:rPr>
              <w:t>9,1</w:t>
            </w:r>
          </w:p>
        </w:tc>
        <w:tc>
          <w:tcPr>
            <w:tcW w:w="708" w:type="dxa"/>
          </w:tcPr>
          <w:p w:rsidR="00B23B94" w:rsidRDefault="003B2D3B">
            <w:pPr>
              <w:pStyle w:val="TableParagraph"/>
              <w:spacing w:before="70"/>
              <w:ind w:left="1"/>
              <w:rPr>
                <w:sz w:val="28"/>
              </w:rPr>
            </w:pPr>
            <w:r>
              <w:rPr>
                <w:sz w:val="28"/>
              </w:rPr>
              <w:t>1</w:t>
            </w:r>
          </w:p>
        </w:tc>
        <w:tc>
          <w:tcPr>
            <w:tcW w:w="708" w:type="dxa"/>
          </w:tcPr>
          <w:p w:rsidR="00B23B94" w:rsidRDefault="003B2D3B">
            <w:pPr>
              <w:pStyle w:val="TableParagraph"/>
              <w:spacing w:before="70"/>
              <w:ind w:right="170"/>
              <w:jc w:val="right"/>
              <w:rPr>
                <w:sz w:val="28"/>
              </w:rPr>
            </w:pPr>
            <w:r>
              <w:rPr>
                <w:sz w:val="28"/>
              </w:rPr>
              <w:t>4,5</w:t>
            </w:r>
          </w:p>
        </w:tc>
        <w:tc>
          <w:tcPr>
            <w:tcW w:w="708" w:type="dxa"/>
          </w:tcPr>
          <w:p w:rsidR="00B23B94" w:rsidRDefault="003B2D3B">
            <w:pPr>
              <w:pStyle w:val="TableParagraph"/>
              <w:spacing w:before="70"/>
              <w:ind w:left="8"/>
              <w:rPr>
                <w:sz w:val="28"/>
              </w:rPr>
            </w:pPr>
            <w:r>
              <w:rPr>
                <w:sz w:val="28"/>
              </w:rPr>
              <w:t>-</w:t>
            </w:r>
          </w:p>
        </w:tc>
        <w:tc>
          <w:tcPr>
            <w:tcW w:w="569" w:type="dxa"/>
          </w:tcPr>
          <w:p w:rsidR="00B23B94" w:rsidRDefault="003B2D3B">
            <w:pPr>
              <w:pStyle w:val="TableParagraph"/>
              <w:spacing w:before="70"/>
              <w:ind w:left="3"/>
              <w:rPr>
                <w:sz w:val="28"/>
              </w:rPr>
            </w:pPr>
            <w:r>
              <w:rPr>
                <w:sz w:val="28"/>
              </w:rPr>
              <w:t>-</w:t>
            </w:r>
          </w:p>
        </w:tc>
        <w:tc>
          <w:tcPr>
            <w:tcW w:w="709" w:type="dxa"/>
          </w:tcPr>
          <w:p w:rsidR="00B23B94" w:rsidRDefault="003B2D3B">
            <w:pPr>
              <w:pStyle w:val="TableParagraph"/>
              <w:spacing w:before="70"/>
              <w:rPr>
                <w:sz w:val="28"/>
              </w:rPr>
            </w:pPr>
            <w:r>
              <w:rPr>
                <w:sz w:val="28"/>
              </w:rPr>
              <w:t>2</w:t>
            </w:r>
          </w:p>
        </w:tc>
        <w:tc>
          <w:tcPr>
            <w:tcW w:w="756" w:type="dxa"/>
          </w:tcPr>
          <w:p w:rsidR="00B23B94" w:rsidRDefault="003B2D3B">
            <w:pPr>
              <w:pStyle w:val="TableParagraph"/>
              <w:spacing w:before="70"/>
              <w:ind w:left="200"/>
              <w:jc w:val="left"/>
              <w:rPr>
                <w:sz w:val="28"/>
              </w:rPr>
            </w:pPr>
            <w:r>
              <w:rPr>
                <w:sz w:val="28"/>
              </w:rPr>
              <w:t>9,1</w:t>
            </w:r>
          </w:p>
        </w:tc>
        <w:tc>
          <w:tcPr>
            <w:tcW w:w="694" w:type="dxa"/>
          </w:tcPr>
          <w:p w:rsidR="00B23B94" w:rsidRDefault="003B2D3B">
            <w:pPr>
              <w:pStyle w:val="TableParagraph"/>
              <w:spacing w:before="70"/>
              <w:ind w:left="6"/>
              <w:rPr>
                <w:sz w:val="28"/>
              </w:rPr>
            </w:pPr>
            <w:r>
              <w:rPr>
                <w:sz w:val="28"/>
              </w:rPr>
              <w:t>-</w:t>
            </w:r>
          </w:p>
        </w:tc>
        <w:tc>
          <w:tcPr>
            <w:tcW w:w="694" w:type="dxa"/>
          </w:tcPr>
          <w:p w:rsidR="00B23B94" w:rsidRDefault="003B2D3B">
            <w:pPr>
              <w:pStyle w:val="TableParagraph"/>
              <w:spacing w:before="70"/>
              <w:rPr>
                <w:sz w:val="28"/>
              </w:rPr>
            </w:pPr>
            <w:r>
              <w:rPr>
                <w:sz w:val="28"/>
              </w:rPr>
              <w:t>-</w:t>
            </w:r>
          </w:p>
        </w:tc>
        <w:tc>
          <w:tcPr>
            <w:tcW w:w="692" w:type="dxa"/>
          </w:tcPr>
          <w:p w:rsidR="00B23B94" w:rsidRDefault="003B2D3B">
            <w:pPr>
              <w:pStyle w:val="TableParagraph"/>
              <w:spacing w:before="70"/>
              <w:ind w:left="2"/>
              <w:rPr>
                <w:sz w:val="28"/>
              </w:rPr>
            </w:pPr>
            <w:r>
              <w:rPr>
                <w:sz w:val="28"/>
              </w:rPr>
              <w:t>-</w:t>
            </w:r>
          </w:p>
        </w:tc>
        <w:tc>
          <w:tcPr>
            <w:tcW w:w="708" w:type="dxa"/>
          </w:tcPr>
          <w:p w:rsidR="00B23B94" w:rsidRDefault="003B2D3B">
            <w:pPr>
              <w:pStyle w:val="TableParagraph"/>
              <w:spacing w:before="70"/>
              <w:ind w:left="4"/>
              <w:rPr>
                <w:sz w:val="28"/>
              </w:rPr>
            </w:pPr>
            <w:r>
              <w:rPr>
                <w:sz w:val="28"/>
              </w:rPr>
              <w:t>-</w:t>
            </w:r>
          </w:p>
        </w:tc>
      </w:tr>
      <w:tr w:rsidR="00B23B94">
        <w:trPr>
          <w:trHeight w:val="321"/>
        </w:trPr>
        <w:tc>
          <w:tcPr>
            <w:tcW w:w="1846" w:type="dxa"/>
          </w:tcPr>
          <w:p w:rsidR="00B23B94" w:rsidRDefault="003B2D3B">
            <w:pPr>
              <w:pStyle w:val="TableParagraph"/>
              <w:spacing w:before="46"/>
              <w:ind w:left="107"/>
              <w:jc w:val="left"/>
              <w:rPr>
                <w:sz w:val="20"/>
              </w:rPr>
            </w:pPr>
            <w:r>
              <w:rPr>
                <w:sz w:val="20"/>
              </w:rPr>
              <w:t>Полідренування</w:t>
            </w:r>
          </w:p>
        </w:tc>
        <w:tc>
          <w:tcPr>
            <w:tcW w:w="709" w:type="dxa"/>
          </w:tcPr>
          <w:p w:rsidR="00B23B94" w:rsidRDefault="003B2D3B">
            <w:pPr>
              <w:pStyle w:val="TableParagraph"/>
              <w:spacing w:line="301" w:lineRule="exact"/>
              <w:ind w:left="8"/>
              <w:rPr>
                <w:sz w:val="28"/>
              </w:rPr>
            </w:pPr>
            <w:r>
              <w:rPr>
                <w:sz w:val="28"/>
              </w:rPr>
              <w:t>-</w:t>
            </w:r>
          </w:p>
        </w:tc>
        <w:tc>
          <w:tcPr>
            <w:tcW w:w="569"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7"/>
              <w:rPr>
                <w:sz w:val="28"/>
              </w:rPr>
            </w:pPr>
            <w:r>
              <w:rPr>
                <w:sz w:val="28"/>
              </w:rPr>
              <w:t>1</w:t>
            </w:r>
          </w:p>
        </w:tc>
        <w:tc>
          <w:tcPr>
            <w:tcW w:w="569" w:type="dxa"/>
          </w:tcPr>
          <w:p w:rsidR="00B23B94" w:rsidRDefault="003B2D3B">
            <w:pPr>
              <w:pStyle w:val="TableParagraph"/>
              <w:spacing w:line="301" w:lineRule="exact"/>
              <w:ind w:left="107"/>
              <w:jc w:val="left"/>
              <w:rPr>
                <w:sz w:val="28"/>
              </w:rPr>
            </w:pPr>
            <w:r>
              <w:rPr>
                <w:sz w:val="28"/>
              </w:rPr>
              <w:t>4,5</w:t>
            </w:r>
          </w:p>
        </w:tc>
        <w:tc>
          <w:tcPr>
            <w:tcW w:w="709" w:type="dxa"/>
          </w:tcPr>
          <w:p w:rsidR="00B23B94" w:rsidRDefault="003B2D3B">
            <w:pPr>
              <w:pStyle w:val="TableParagraph"/>
              <w:spacing w:line="301" w:lineRule="exact"/>
              <w:ind w:left="1"/>
              <w:rPr>
                <w:sz w:val="28"/>
              </w:rPr>
            </w:pPr>
            <w:r>
              <w:rPr>
                <w:sz w:val="28"/>
              </w:rPr>
              <w:t>-</w:t>
            </w:r>
          </w:p>
        </w:tc>
        <w:tc>
          <w:tcPr>
            <w:tcW w:w="756" w:type="dxa"/>
          </w:tcPr>
          <w:p w:rsidR="00B23B94" w:rsidRDefault="003B2D3B">
            <w:pPr>
              <w:pStyle w:val="TableParagraph"/>
              <w:spacing w:line="301" w:lineRule="exact"/>
              <w:ind w:left="6"/>
              <w:rPr>
                <w:sz w:val="28"/>
              </w:rPr>
            </w:pPr>
            <w:r>
              <w:rPr>
                <w:sz w:val="28"/>
              </w:rPr>
              <w:t>-</w:t>
            </w:r>
          </w:p>
        </w:tc>
        <w:tc>
          <w:tcPr>
            <w:tcW w:w="694" w:type="dxa"/>
          </w:tcPr>
          <w:p w:rsidR="00B23B94" w:rsidRDefault="003B2D3B">
            <w:pPr>
              <w:pStyle w:val="TableParagraph"/>
              <w:spacing w:line="301" w:lineRule="exact"/>
              <w:ind w:left="6"/>
              <w:rPr>
                <w:sz w:val="28"/>
              </w:rPr>
            </w:pPr>
            <w:r>
              <w:rPr>
                <w:sz w:val="28"/>
              </w:rPr>
              <w:t>-</w:t>
            </w:r>
          </w:p>
        </w:tc>
        <w:tc>
          <w:tcPr>
            <w:tcW w:w="694" w:type="dxa"/>
          </w:tcPr>
          <w:p w:rsidR="00B23B94" w:rsidRDefault="003B2D3B">
            <w:pPr>
              <w:pStyle w:val="TableParagraph"/>
              <w:spacing w:line="301" w:lineRule="exact"/>
              <w:rPr>
                <w:sz w:val="28"/>
              </w:rPr>
            </w:pPr>
            <w:r>
              <w:rPr>
                <w:sz w:val="28"/>
              </w:rPr>
              <w:t>-</w:t>
            </w:r>
          </w:p>
        </w:tc>
        <w:tc>
          <w:tcPr>
            <w:tcW w:w="692"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4"/>
              <w:rPr>
                <w:sz w:val="28"/>
              </w:rPr>
            </w:pPr>
            <w:r>
              <w:rPr>
                <w:sz w:val="28"/>
              </w:rPr>
              <w:t>-</w:t>
            </w:r>
          </w:p>
        </w:tc>
      </w:tr>
      <w:tr w:rsidR="00B23B94">
        <w:trPr>
          <w:trHeight w:val="623"/>
        </w:trPr>
        <w:tc>
          <w:tcPr>
            <w:tcW w:w="1846" w:type="dxa"/>
          </w:tcPr>
          <w:p w:rsidR="00B23B94" w:rsidRDefault="003B2D3B">
            <w:pPr>
              <w:pStyle w:val="TableParagraph"/>
              <w:spacing w:before="197"/>
              <w:ind w:left="107"/>
              <w:jc w:val="left"/>
              <w:rPr>
                <w:sz w:val="20"/>
              </w:rPr>
            </w:pPr>
            <w:r>
              <w:rPr>
                <w:sz w:val="20"/>
              </w:rPr>
              <w:t>Відкриті НСЕ</w:t>
            </w:r>
          </w:p>
        </w:tc>
        <w:tc>
          <w:tcPr>
            <w:tcW w:w="709" w:type="dxa"/>
          </w:tcPr>
          <w:p w:rsidR="00B23B94" w:rsidRDefault="003B2D3B">
            <w:pPr>
              <w:pStyle w:val="TableParagraph"/>
              <w:spacing w:before="151"/>
              <w:ind w:left="7"/>
              <w:rPr>
                <w:sz w:val="28"/>
              </w:rPr>
            </w:pPr>
            <w:r>
              <w:rPr>
                <w:sz w:val="28"/>
              </w:rPr>
              <w:t>1</w:t>
            </w:r>
          </w:p>
        </w:tc>
        <w:tc>
          <w:tcPr>
            <w:tcW w:w="569" w:type="dxa"/>
          </w:tcPr>
          <w:p w:rsidR="00B23B94" w:rsidRDefault="003B2D3B">
            <w:pPr>
              <w:pStyle w:val="TableParagraph"/>
              <w:spacing w:before="151"/>
              <w:ind w:left="87" w:right="81"/>
              <w:rPr>
                <w:sz w:val="28"/>
              </w:rPr>
            </w:pPr>
            <w:r>
              <w:rPr>
                <w:sz w:val="28"/>
              </w:rPr>
              <w:t>4,5</w:t>
            </w:r>
          </w:p>
        </w:tc>
        <w:tc>
          <w:tcPr>
            <w:tcW w:w="708" w:type="dxa"/>
          </w:tcPr>
          <w:p w:rsidR="00B23B94" w:rsidRDefault="003B2D3B">
            <w:pPr>
              <w:pStyle w:val="TableParagraph"/>
              <w:spacing w:before="151"/>
              <w:ind w:left="1"/>
              <w:rPr>
                <w:sz w:val="28"/>
              </w:rPr>
            </w:pPr>
            <w:r>
              <w:rPr>
                <w:sz w:val="28"/>
              </w:rPr>
              <w:t>1</w:t>
            </w:r>
          </w:p>
        </w:tc>
        <w:tc>
          <w:tcPr>
            <w:tcW w:w="708" w:type="dxa"/>
          </w:tcPr>
          <w:p w:rsidR="00B23B94" w:rsidRDefault="003B2D3B">
            <w:pPr>
              <w:pStyle w:val="TableParagraph"/>
              <w:spacing w:before="151"/>
              <w:ind w:right="170"/>
              <w:jc w:val="right"/>
              <w:rPr>
                <w:sz w:val="28"/>
              </w:rPr>
            </w:pPr>
            <w:r>
              <w:rPr>
                <w:sz w:val="28"/>
              </w:rPr>
              <w:t>4,5</w:t>
            </w:r>
          </w:p>
        </w:tc>
        <w:tc>
          <w:tcPr>
            <w:tcW w:w="708" w:type="dxa"/>
          </w:tcPr>
          <w:p w:rsidR="00B23B94" w:rsidRDefault="003B2D3B">
            <w:pPr>
              <w:pStyle w:val="TableParagraph"/>
              <w:spacing w:before="151"/>
              <w:ind w:left="7"/>
              <w:rPr>
                <w:sz w:val="28"/>
              </w:rPr>
            </w:pPr>
            <w:r>
              <w:rPr>
                <w:sz w:val="28"/>
              </w:rPr>
              <w:t>2</w:t>
            </w:r>
          </w:p>
        </w:tc>
        <w:tc>
          <w:tcPr>
            <w:tcW w:w="569" w:type="dxa"/>
          </w:tcPr>
          <w:p w:rsidR="00B23B94" w:rsidRDefault="003B2D3B">
            <w:pPr>
              <w:pStyle w:val="TableParagraph"/>
              <w:spacing w:before="151"/>
              <w:ind w:left="107"/>
              <w:jc w:val="left"/>
              <w:rPr>
                <w:sz w:val="28"/>
              </w:rPr>
            </w:pPr>
            <w:r>
              <w:rPr>
                <w:sz w:val="28"/>
              </w:rPr>
              <w:t>9,1</w:t>
            </w:r>
          </w:p>
        </w:tc>
        <w:tc>
          <w:tcPr>
            <w:tcW w:w="709" w:type="dxa"/>
          </w:tcPr>
          <w:p w:rsidR="00B23B94" w:rsidRDefault="003B2D3B">
            <w:pPr>
              <w:pStyle w:val="TableParagraph"/>
              <w:spacing w:before="151"/>
              <w:rPr>
                <w:sz w:val="28"/>
              </w:rPr>
            </w:pPr>
            <w:r>
              <w:rPr>
                <w:sz w:val="28"/>
              </w:rPr>
              <w:t>3</w:t>
            </w:r>
          </w:p>
        </w:tc>
        <w:tc>
          <w:tcPr>
            <w:tcW w:w="756" w:type="dxa"/>
          </w:tcPr>
          <w:p w:rsidR="00B23B94" w:rsidRDefault="003B2D3B">
            <w:pPr>
              <w:pStyle w:val="TableParagraph"/>
              <w:spacing w:before="151"/>
              <w:ind w:left="130"/>
              <w:jc w:val="left"/>
              <w:rPr>
                <w:sz w:val="28"/>
              </w:rPr>
            </w:pPr>
            <w:r>
              <w:rPr>
                <w:sz w:val="28"/>
              </w:rPr>
              <w:t>13,6</w:t>
            </w:r>
          </w:p>
        </w:tc>
        <w:tc>
          <w:tcPr>
            <w:tcW w:w="694" w:type="dxa"/>
          </w:tcPr>
          <w:p w:rsidR="00B23B94" w:rsidRDefault="003B2D3B">
            <w:pPr>
              <w:pStyle w:val="TableParagraph"/>
              <w:spacing w:before="151"/>
              <w:ind w:left="5"/>
              <w:rPr>
                <w:sz w:val="28"/>
              </w:rPr>
            </w:pPr>
            <w:r>
              <w:rPr>
                <w:sz w:val="28"/>
              </w:rPr>
              <w:t>2</w:t>
            </w:r>
          </w:p>
        </w:tc>
        <w:tc>
          <w:tcPr>
            <w:tcW w:w="694" w:type="dxa"/>
          </w:tcPr>
          <w:p w:rsidR="00B23B94" w:rsidRDefault="003B2D3B">
            <w:pPr>
              <w:pStyle w:val="TableParagraph"/>
              <w:spacing w:before="151"/>
              <w:ind w:left="166"/>
              <w:jc w:val="left"/>
              <w:rPr>
                <w:sz w:val="28"/>
              </w:rPr>
            </w:pPr>
            <w:r>
              <w:rPr>
                <w:sz w:val="28"/>
              </w:rPr>
              <w:t>9,1</w:t>
            </w:r>
          </w:p>
        </w:tc>
        <w:tc>
          <w:tcPr>
            <w:tcW w:w="692" w:type="dxa"/>
          </w:tcPr>
          <w:p w:rsidR="00B23B94" w:rsidRDefault="003B2D3B">
            <w:pPr>
              <w:pStyle w:val="TableParagraph"/>
              <w:spacing w:before="151"/>
              <w:ind w:left="1"/>
              <w:rPr>
                <w:sz w:val="28"/>
              </w:rPr>
            </w:pPr>
            <w:r>
              <w:rPr>
                <w:sz w:val="28"/>
              </w:rPr>
              <w:t>8</w:t>
            </w:r>
          </w:p>
        </w:tc>
        <w:tc>
          <w:tcPr>
            <w:tcW w:w="708" w:type="dxa"/>
          </w:tcPr>
          <w:p w:rsidR="00B23B94" w:rsidRDefault="003B2D3B">
            <w:pPr>
              <w:pStyle w:val="TableParagraph"/>
              <w:spacing w:before="151"/>
              <w:ind w:left="105"/>
              <w:jc w:val="left"/>
              <w:rPr>
                <w:sz w:val="28"/>
              </w:rPr>
            </w:pPr>
            <w:r>
              <w:rPr>
                <w:sz w:val="28"/>
              </w:rPr>
              <w:t>36,4</w:t>
            </w:r>
          </w:p>
        </w:tc>
      </w:tr>
      <w:tr w:rsidR="00B23B94">
        <w:trPr>
          <w:trHeight w:val="321"/>
        </w:trPr>
        <w:tc>
          <w:tcPr>
            <w:tcW w:w="1846" w:type="dxa"/>
          </w:tcPr>
          <w:p w:rsidR="00B23B94" w:rsidRDefault="003B2D3B">
            <w:pPr>
              <w:pStyle w:val="TableParagraph"/>
              <w:spacing w:before="46"/>
              <w:ind w:left="107"/>
              <w:jc w:val="left"/>
              <w:rPr>
                <w:sz w:val="20"/>
              </w:rPr>
            </w:pPr>
            <w:r>
              <w:rPr>
                <w:sz w:val="20"/>
              </w:rPr>
              <w:t>Етапні НСЕ</w:t>
            </w:r>
          </w:p>
        </w:tc>
        <w:tc>
          <w:tcPr>
            <w:tcW w:w="709" w:type="dxa"/>
          </w:tcPr>
          <w:p w:rsidR="00B23B94" w:rsidRDefault="003B2D3B">
            <w:pPr>
              <w:pStyle w:val="TableParagraph"/>
              <w:spacing w:line="301" w:lineRule="exact"/>
              <w:ind w:left="8"/>
              <w:rPr>
                <w:sz w:val="28"/>
              </w:rPr>
            </w:pPr>
            <w:r>
              <w:rPr>
                <w:sz w:val="28"/>
              </w:rPr>
              <w:t>-</w:t>
            </w:r>
          </w:p>
        </w:tc>
        <w:tc>
          <w:tcPr>
            <w:tcW w:w="569"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2"/>
              <w:rPr>
                <w:sz w:val="28"/>
              </w:rPr>
            </w:pPr>
            <w:r>
              <w:rPr>
                <w:sz w:val="28"/>
              </w:rPr>
              <w:t>-</w:t>
            </w:r>
          </w:p>
        </w:tc>
        <w:tc>
          <w:tcPr>
            <w:tcW w:w="708" w:type="dxa"/>
          </w:tcPr>
          <w:p w:rsidR="00B23B94" w:rsidRDefault="003B2D3B">
            <w:pPr>
              <w:pStyle w:val="TableParagraph"/>
              <w:spacing w:line="301" w:lineRule="exact"/>
              <w:ind w:left="7"/>
              <w:rPr>
                <w:sz w:val="28"/>
              </w:rPr>
            </w:pPr>
            <w:r>
              <w:rPr>
                <w:sz w:val="28"/>
              </w:rPr>
              <w:t>1</w:t>
            </w:r>
          </w:p>
        </w:tc>
        <w:tc>
          <w:tcPr>
            <w:tcW w:w="569" w:type="dxa"/>
          </w:tcPr>
          <w:p w:rsidR="00B23B94" w:rsidRDefault="003B2D3B">
            <w:pPr>
              <w:pStyle w:val="TableParagraph"/>
              <w:spacing w:line="301" w:lineRule="exact"/>
              <w:ind w:left="107"/>
              <w:jc w:val="left"/>
              <w:rPr>
                <w:sz w:val="28"/>
              </w:rPr>
            </w:pPr>
            <w:r>
              <w:rPr>
                <w:sz w:val="28"/>
              </w:rPr>
              <w:t>4,5</w:t>
            </w:r>
          </w:p>
        </w:tc>
        <w:tc>
          <w:tcPr>
            <w:tcW w:w="709" w:type="dxa"/>
          </w:tcPr>
          <w:p w:rsidR="00B23B94" w:rsidRDefault="003B2D3B">
            <w:pPr>
              <w:pStyle w:val="TableParagraph"/>
              <w:spacing w:line="301" w:lineRule="exact"/>
              <w:rPr>
                <w:sz w:val="28"/>
              </w:rPr>
            </w:pPr>
            <w:r>
              <w:rPr>
                <w:sz w:val="28"/>
              </w:rPr>
              <w:t>1</w:t>
            </w:r>
          </w:p>
        </w:tc>
        <w:tc>
          <w:tcPr>
            <w:tcW w:w="756" w:type="dxa"/>
          </w:tcPr>
          <w:p w:rsidR="00B23B94" w:rsidRDefault="003B2D3B">
            <w:pPr>
              <w:pStyle w:val="TableParagraph"/>
              <w:spacing w:line="301" w:lineRule="exact"/>
              <w:ind w:left="200"/>
              <w:jc w:val="left"/>
              <w:rPr>
                <w:sz w:val="28"/>
              </w:rPr>
            </w:pPr>
            <w:r>
              <w:rPr>
                <w:sz w:val="28"/>
              </w:rPr>
              <w:t>4,5</w:t>
            </w:r>
          </w:p>
        </w:tc>
        <w:tc>
          <w:tcPr>
            <w:tcW w:w="694" w:type="dxa"/>
          </w:tcPr>
          <w:p w:rsidR="00B23B94" w:rsidRDefault="003B2D3B">
            <w:pPr>
              <w:pStyle w:val="TableParagraph"/>
              <w:spacing w:line="301" w:lineRule="exact"/>
              <w:ind w:left="6"/>
              <w:rPr>
                <w:sz w:val="28"/>
              </w:rPr>
            </w:pPr>
            <w:r>
              <w:rPr>
                <w:sz w:val="28"/>
              </w:rPr>
              <w:t>-</w:t>
            </w:r>
          </w:p>
        </w:tc>
        <w:tc>
          <w:tcPr>
            <w:tcW w:w="694" w:type="dxa"/>
          </w:tcPr>
          <w:p w:rsidR="00B23B94" w:rsidRDefault="003B2D3B">
            <w:pPr>
              <w:pStyle w:val="TableParagraph"/>
              <w:spacing w:line="301" w:lineRule="exact"/>
              <w:rPr>
                <w:sz w:val="28"/>
              </w:rPr>
            </w:pPr>
            <w:r>
              <w:rPr>
                <w:sz w:val="28"/>
              </w:rPr>
              <w:t>-</w:t>
            </w:r>
          </w:p>
        </w:tc>
        <w:tc>
          <w:tcPr>
            <w:tcW w:w="692" w:type="dxa"/>
          </w:tcPr>
          <w:p w:rsidR="00B23B94" w:rsidRDefault="003B2D3B">
            <w:pPr>
              <w:pStyle w:val="TableParagraph"/>
              <w:spacing w:line="301" w:lineRule="exact"/>
              <w:ind w:left="1"/>
              <w:rPr>
                <w:sz w:val="28"/>
              </w:rPr>
            </w:pPr>
            <w:r>
              <w:rPr>
                <w:sz w:val="28"/>
              </w:rPr>
              <w:t>7</w:t>
            </w:r>
          </w:p>
        </w:tc>
        <w:tc>
          <w:tcPr>
            <w:tcW w:w="708" w:type="dxa"/>
          </w:tcPr>
          <w:p w:rsidR="00B23B94" w:rsidRDefault="003B2D3B">
            <w:pPr>
              <w:pStyle w:val="TableParagraph"/>
              <w:spacing w:line="301" w:lineRule="exact"/>
              <w:ind w:left="105"/>
              <w:jc w:val="left"/>
              <w:rPr>
                <w:sz w:val="28"/>
              </w:rPr>
            </w:pPr>
            <w:r>
              <w:rPr>
                <w:sz w:val="28"/>
              </w:rPr>
              <w:t>31,8</w:t>
            </w:r>
          </w:p>
        </w:tc>
      </w:tr>
    </w:tbl>
    <w:p w:rsidR="00B23B94" w:rsidRDefault="00B23B94">
      <w:pPr>
        <w:pStyle w:val="a3"/>
        <w:spacing w:before="11"/>
        <w:ind w:left="0"/>
        <w:jc w:val="left"/>
        <w:rPr>
          <w:b/>
          <w:sz w:val="41"/>
        </w:rPr>
      </w:pPr>
    </w:p>
    <w:p w:rsidR="00B23B94" w:rsidRDefault="003B2D3B">
      <w:pPr>
        <w:pStyle w:val="a3"/>
        <w:spacing w:line="360" w:lineRule="auto"/>
        <w:ind w:left="542" w:right="786" w:firstLine="707"/>
      </w:pPr>
      <w:r>
        <w:t>Первинно дренування під УЗД контролем виконано 5 пацієнтам (21,7%): 2 (9,1%) у яких діагностовано рідинні скупчення і 1 (4,5%) де було наявне рідинне скупчення з секвестральними масами, що поширюються на 1 анатомічну ділянку. У 2 (9,1%) пацієнтів було діагностовано рідинне скупчення з секвестральними масами що поширювалися на 2 анатомічні ділянки. У даному випадку вдалося задренувати дві порожнини одним катетером типу «pig tail» через бокову стінку (по типу «довгого шляху»). Полідренування виконано 1 (4,5%) пацієнту, при цьому у тканинний</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6"/>
      </w:pPr>
      <w:r>
        <w:lastRenderedPageBreak/>
        <w:t>компонент у даному випадку не визначався, дренажі видалили при зменшенні виділень по них до 15-30 мл/добу і пацієнт виписався зі стаціонару. У 4 пацієнтів (17,4%) після тонкоголкової пункції регресу високої кишкової непрохідності не спостерігали. Цим хворим виконували МРТ, за результатами якої у 3 (13,0%) випадках було виявлено переважання рідинного компоненту. У 1 (4,3%) хворого діагностовано наявність секвестрів, що являлось показанням до первинної НСЕ. Пацієнтам у яких за даними МРТ діагностовано переважання рідинного компоненту діагностували розвиток синдрому lowT</w:t>
      </w:r>
      <w:r>
        <w:rPr>
          <w:vertAlign w:val="subscript"/>
        </w:rPr>
        <w:t>3</w:t>
      </w:r>
      <w:r>
        <w:t xml:space="preserve"> – що було показанням до відкритої операції.</w:t>
      </w:r>
    </w:p>
    <w:p w:rsidR="00B23B94" w:rsidRDefault="00B23B94">
      <w:pPr>
        <w:pStyle w:val="a3"/>
        <w:spacing w:before="2"/>
        <w:ind w:left="0"/>
        <w:jc w:val="left"/>
        <w:rPr>
          <w:sz w:val="42"/>
        </w:rPr>
      </w:pPr>
    </w:p>
    <w:p w:rsidR="00B23B94" w:rsidRDefault="003B2D3B">
      <w:pPr>
        <w:spacing w:before="1"/>
        <w:ind w:left="1250"/>
        <w:jc w:val="both"/>
        <w:rPr>
          <w:i/>
          <w:sz w:val="28"/>
        </w:rPr>
      </w:pPr>
      <w:r>
        <w:rPr>
          <w:i/>
          <w:sz w:val="28"/>
        </w:rPr>
        <w:t>Клінічний приклад №2.</w:t>
      </w:r>
    </w:p>
    <w:p w:rsidR="00B23B94" w:rsidRDefault="003B2D3B">
      <w:pPr>
        <w:spacing w:before="160" w:line="362" w:lineRule="auto"/>
        <w:ind w:left="542" w:right="813" w:firstLine="707"/>
        <w:jc w:val="both"/>
        <w:rPr>
          <w:i/>
          <w:sz w:val="28"/>
        </w:rPr>
      </w:pPr>
      <w:r>
        <w:rPr>
          <w:i/>
          <w:sz w:val="28"/>
        </w:rPr>
        <w:t>Хвора Б., ІХ № 15488, 79 років, знаходилася на лікуванні в хірургічному відділенні «КП ПОР ПОКЛ» ім. М.В. Скліфосовського з 20.07.17 по 04.09.17р.</w:t>
      </w:r>
    </w:p>
    <w:p w:rsidR="00B23B94" w:rsidRDefault="003B2D3B">
      <w:pPr>
        <w:spacing w:line="360" w:lineRule="auto"/>
        <w:ind w:left="542" w:right="790" w:firstLine="707"/>
        <w:jc w:val="both"/>
        <w:rPr>
          <w:i/>
          <w:sz w:val="28"/>
        </w:rPr>
      </w:pPr>
      <w:r>
        <w:rPr>
          <w:i/>
          <w:sz w:val="28"/>
        </w:rPr>
        <w:t>Діагноз: Гострий тяжкий панкреатит. Панкреонекроз. Парапанкреатичні рідинні скупчення. Правобічний реактивний гідроторакс. Гіпертонічна хвороба ІІ ст., 2ст, ризик високий. ІХС: дифузний кардіосклероз, СН І.</w:t>
      </w:r>
    </w:p>
    <w:p w:rsidR="00B23B94" w:rsidRDefault="003B2D3B">
      <w:pPr>
        <w:spacing w:line="360" w:lineRule="auto"/>
        <w:ind w:left="542" w:right="781" w:firstLine="707"/>
        <w:jc w:val="both"/>
        <w:rPr>
          <w:i/>
          <w:sz w:val="28"/>
        </w:rPr>
      </w:pPr>
      <w:r>
        <w:rPr>
          <w:i/>
          <w:sz w:val="28"/>
        </w:rPr>
        <w:t>З анамнезу: захворіла гостро після погрішності в дієті (вживання смаженої риби) коли з’явився біль в епігастрії оперізуючого характеру, неоднократне блювання. Пацієнтка звернулася за медичною допомогою  через 14 годин після початку захворювання, госпіталізована в хірургічне відділення ЦРЛ за місцем проживання, звідки була переведена для подальшого лікування через 12 діб в хірургічне відділення КП ПОР «ПОКЛ ім. М.В.</w:t>
      </w:r>
      <w:r>
        <w:rPr>
          <w:i/>
          <w:spacing w:val="-2"/>
          <w:sz w:val="28"/>
        </w:rPr>
        <w:t xml:space="preserve"> </w:t>
      </w:r>
      <w:r>
        <w:rPr>
          <w:i/>
          <w:sz w:val="28"/>
        </w:rPr>
        <w:t>Скліфосовського».</w:t>
      </w:r>
    </w:p>
    <w:p w:rsidR="00B23B94" w:rsidRDefault="003B2D3B">
      <w:pPr>
        <w:spacing w:line="360" w:lineRule="auto"/>
        <w:ind w:left="542" w:right="784" w:firstLine="707"/>
        <w:jc w:val="both"/>
        <w:rPr>
          <w:i/>
          <w:sz w:val="28"/>
        </w:rPr>
      </w:pPr>
      <w:r>
        <w:rPr>
          <w:i/>
          <w:sz w:val="28"/>
        </w:rPr>
        <w:t>При госпіталізації: скарги на біль в верхніх відділах живота, періодичну нудоту, підвищення температури тіла до 37.7</w:t>
      </w:r>
      <w:r>
        <w:rPr>
          <w:i/>
          <w:sz w:val="28"/>
          <w:vertAlign w:val="superscript"/>
        </w:rPr>
        <w:t>0</w:t>
      </w:r>
      <w:r>
        <w:rPr>
          <w:i/>
          <w:sz w:val="28"/>
        </w:rPr>
        <w:t>С. При огляді: шкіра звичайного кольору. В легенях везикулярне дихання, дещо послаблене в нижніх відділах, більше праворуч. ЧДР – 21 за хвилину. Пульс 90 за хвилину, АТ 100/70 мм.рт.ст.Язик вологий, обкладений білим нальотом.</w:t>
      </w:r>
      <w:r>
        <w:rPr>
          <w:i/>
          <w:spacing w:val="29"/>
          <w:sz w:val="28"/>
        </w:rPr>
        <w:t xml:space="preserve"> </w:t>
      </w:r>
      <w:r>
        <w:rPr>
          <w:i/>
          <w:sz w:val="28"/>
        </w:rPr>
        <w:t>Живіт</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line="360" w:lineRule="auto"/>
        <w:ind w:left="542" w:right="785"/>
        <w:jc w:val="both"/>
        <w:rPr>
          <w:i/>
          <w:sz w:val="28"/>
        </w:rPr>
      </w:pPr>
      <w:r>
        <w:rPr>
          <w:i/>
          <w:sz w:val="28"/>
        </w:rPr>
        <w:lastRenderedPageBreak/>
        <w:t>симетричний, дещо піддутий, приймає участь в акті дихання. Пальпаторно болючий у верхніх відділах. Там же пальпується болісний інфільтрат, умовними розмірами до 10-12 см в діаметрі. Симптоми подразнення очеревини негативні. Кишкові шуми вислуховуються.</w:t>
      </w:r>
    </w:p>
    <w:p w:rsidR="00B23B94" w:rsidRDefault="003B2D3B">
      <w:pPr>
        <w:spacing w:before="1" w:line="362" w:lineRule="auto"/>
        <w:ind w:left="542" w:right="781" w:firstLine="707"/>
        <w:jc w:val="both"/>
        <w:rPr>
          <w:i/>
          <w:sz w:val="28"/>
        </w:rPr>
      </w:pPr>
      <w:r>
        <w:rPr>
          <w:i/>
          <w:sz w:val="28"/>
        </w:rPr>
        <w:t>Пацієнтці призначено базисну стандартну консервативну терапію (наказ МОЗ №297 від 02.04.2010р).</w:t>
      </w:r>
    </w:p>
    <w:p w:rsidR="00B23B94" w:rsidRDefault="003B2D3B">
      <w:pPr>
        <w:spacing w:line="360" w:lineRule="auto"/>
        <w:ind w:left="542" w:right="783" w:firstLine="707"/>
        <w:jc w:val="both"/>
        <w:rPr>
          <w:i/>
          <w:sz w:val="28"/>
        </w:rPr>
      </w:pPr>
      <w:r>
        <w:rPr>
          <w:i/>
          <w:sz w:val="28"/>
        </w:rPr>
        <w:t>На наступну добу стан хворої без вираженої динаміки, зберігалася гіпертермія, розміри інфільтрату черевної порожнини не змінювалися. Хворій виконано комп’ютерну томографію з в/в контрастуванням, за даними якої в сальниковій сумці наявне рідинне скупчення, неоднорідної структури, умовними розмірами 10*8*7</w:t>
      </w:r>
      <w:r>
        <w:rPr>
          <w:i/>
          <w:spacing w:val="-7"/>
          <w:sz w:val="28"/>
        </w:rPr>
        <w:t xml:space="preserve"> </w:t>
      </w:r>
      <w:r>
        <w:rPr>
          <w:i/>
          <w:sz w:val="28"/>
        </w:rPr>
        <w:t>см.</w:t>
      </w:r>
    </w:p>
    <w:p w:rsidR="00B23B94" w:rsidRDefault="003B2D3B">
      <w:pPr>
        <w:spacing w:line="360" w:lineRule="auto"/>
        <w:ind w:left="542" w:right="788" w:firstLine="707"/>
        <w:jc w:val="both"/>
        <w:rPr>
          <w:i/>
          <w:sz w:val="28"/>
        </w:rPr>
      </w:pPr>
      <w:r>
        <w:rPr>
          <w:i/>
          <w:sz w:val="28"/>
        </w:rPr>
        <w:t>Ознайомившись з результатами КТ ОЧП, хворій запропоновано оперативне втручання в об’ємі дренування рідинного скупчення під контролем УЗД, і після отримання інформованої згоди пацієнтці виконана дана маніпуляція. Одномоментно отримано близько 400 мл густого гною з детритом. Біологічний матеріал відправлено на бактеріологічне дослідження, на посів на мікрофлору та визначення чутливості до антибіотиків. Діастаза виділень становила 1024 Од.</w:t>
      </w:r>
    </w:p>
    <w:p w:rsidR="00B23B94" w:rsidRDefault="003B2D3B">
      <w:pPr>
        <w:spacing w:line="360" w:lineRule="auto"/>
        <w:ind w:left="542" w:right="785" w:firstLine="707"/>
        <w:jc w:val="both"/>
        <w:rPr>
          <w:i/>
          <w:sz w:val="28"/>
        </w:rPr>
      </w:pPr>
      <w:r>
        <w:rPr>
          <w:i/>
          <w:sz w:val="28"/>
        </w:rPr>
        <w:t>З кожним днем дебіт виділень зменшувався, відмивався густий гній з детритом. Проте гіпертермія зберігалася до цифр 37.7-38.0 С, тахікардія до 90-94 за хвилину, АТ – 130/70</w:t>
      </w:r>
      <w:r>
        <w:rPr>
          <w:i/>
          <w:spacing w:val="-5"/>
          <w:sz w:val="28"/>
        </w:rPr>
        <w:t xml:space="preserve"> </w:t>
      </w:r>
      <w:r>
        <w:rPr>
          <w:i/>
          <w:sz w:val="28"/>
        </w:rPr>
        <w:t>мм.рт.ст.</w:t>
      </w:r>
    </w:p>
    <w:p w:rsidR="00B23B94" w:rsidRDefault="003B2D3B">
      <w:pPr>
        <w:spacing w:line="360" w:lineRule="auto"/>
        <w:ind w:left="542" w:right="784" w:firstLine="707"/>
        <w:jc w:val="both"/>
        <w:rPr>
          <w:i/>
          <w:sz w:val="28"/>
        </w:rPr>
      </w:pPr>
      <w:r>
        <w:rPr>
          <w:i/>
          <w:sz w:val="28"/>
        </w:rPr>
        <w:t>Враховуючи відсутність регресу картини SIRS, а також попередньо діагностовано наявність секвестральних мас, пацієнтці виконано операцію – бужування порожнини абсцесу, за допомогою пристрою розробленого в клініці, під місцевою анестезією. Діаметр розширено до 26 мм. За допомогою корцанга видалений вільнолежачий секвестр загальним об’ємом близько 200см</w:t>
      </w:r>
      <w:r>
        <w:rPr>
          <w:i/>
          <w:sz w:val="28"/>
          <w:vertAlign w:val="superscript"/>
        </w:rPr>
        <w:t>3</w:t>
      </w:r>
      <w:r>
        <w:rPr>
          <w:i/>
          <w:sz w:val="28"/>
        </w:rPr>
        <w:t xml:space="preserve"> чорного кольору. Рана промита хлоргексидином, дренована двома ПХВ дренажами діаметром 1 см кожний. Виконували проточне промивання, і на 4 добу виділення були вже виключно прозорими. Виділення з дренажу взято на дослідження рівня амілази. Остання становила 4096 Од. Пацієнтці</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line="360" w:lineRule="auto"/>
        <w:ind w:left="542" w:right="786"/>
        <w:jc w:val="both"/>
        <w:rPr>
          <w:i/>
          <w:sz w:val="28"/>
        </w:rPr>
      </w:pPr>
      <w:r>
        <w:rPr>
          <w:i/>
          <w:sz w:val="28"/>
        </w:rPr>
        <w:lastRenderedPageBreak/>
        <w:t>призначено препарат сондастатин, і через 6 днів дебіт по дренажам становив близько 10-15 мл на добу. Пацієнтка виписана на амбулаторне доліковування. Через 14 днів хвора з’явилася на плановий огляд. Післяопераційна рана загоювалася, патологічних виділень не відмічали.</w:t>
      </w:r>
    </w:p>
    <w:p w:rsidR="00B23B94" w:rsidRDefault="00B23B94">
      <w:pPr>
        <w:pStyle w:val="a3"/>
        <w:spacing w:before="3"/>
        <w:ind w:left="0"/>
        <w:jc w:val="left"/>
        <w:rPr>
          <w:i/>
          <w:sz w:val="42"/>
        </w:rPr>
      </w:pPr>
    </w:p>
    <w:p w:rsidR="00B23B94" w:rsidRDefault="003B2D3B">
      <w:pPr>
        <w:ind w:left="1250"/>
        <w:jc w:val="both"/>
        <w:rPr>
          <w:i/>
          <w:sz w:val="28"/>
        </w:rPr>
      </w:pPr>
      <w:r>
        <w:rPr>
          <w:i/>
          <w:sz w:val="28"/>
        </w:rPr>
        <w:t>Клінічний приклад №3.</w:t>
      </w:r>
    </w:p>
    <w:p w:rsidR="00B23B94" w:rsidRDefault="003B2D3B">
      <w:pPr>
        <w:spacing w:before="160" w:line="360" w:lineRule="auto"/>
        <w:ind w:left="542" w:right="783" w:firstLine="707"/>
        <w:jc w:val="both"/>
        <w:rPr>
          <w:i/>
          <w:sz w:val="28"/>
        </w:rPr>
      </w:pPr>
      <w:r>
        <w:rPr>
          <w:i/>
          <w:sz w:val="28"/>
        </w:rPr>
        <w:t>Хвора О., ІХ № 9678, 44 років, знаходилася на стаціонарному лікуванні в</w:t>
      </w:r>
      <w:r>
        <w:rPr>
          <w:i/>
          <w:spacing w:val="27"/>
          <w:sz w:val="28"/>
        </w:rPr>
        <w:t xml:space="preserve"> </w:t>
      </w:r>
      <w:r>
        <w:rPr>
          <w:i/>
          <w:sz w:val="28"/>
        </w:rPr>
        <w:t>хірургічному</w:t>
      </w:r>
      <w:r>
        <w:rPr>
          <w:i/>
          <w:spacing w:val="28"/>
          <w:sz w:val="28"/>
        </w:rPr>
        <w:t xml:space="preserve"> </w:t>
      </w:r>
      <w:r>
        <w:rPr>
          <w:i/>
          <w:sz w:val="28"/>
        </w:rPr>
        <w:t>відділенні</w:t>
      </w:r>
      <w:r>
        <w:rPr>
          <w:i/>
          <w:spacing w:val="28"/>
          <w:sz w:val="28"/>
        </w:rPr>
        <w:t xml:space="preserve"> </w:t>
      </w:r>
      <w:r>
        <w:rPr>
          <w:i/>
          <w:sz w:val="28"/>
        </w:rPr>
        <w:t>«КП</w:t>
      </w:r>
      <w:r>
        <w:rPr>
          <w:i/>
          <w:spacing w:val="27"/>
          <w:sz w:val="28"/>
        </w:rPr>
        <w:t xml:space="preserve"> </w:t>
      </w:r>
      <w:r>
        <w:rPr>
          <w:i/>
          <w:sz w:val="28"/>
        </w:rPr>
        <w:t>ПОР</w:t>
      </w:r>
      <w:r>
        <w:rPr>
          <w:i/>
          <w:spacing w:val="29"/>
          <w:sz w:val="28"/>
        </w:rPr>
        <w:t xml:space="preserve"> </w:t>
      </w:r>
      <w:r>
        <w:rPr>
          <w:i/>
          <w:sz w:val="28"/>
        </w:rPr>
        <w:t>ПОКЛ»</w:t>
      </w:r>
      <w:r>
        <w:rPr>
          <w:i/>
          <w:spacing w:val="28"/>
          <w:sz w:val="28"/>
        </w:rPr>
        <w:t xml:space="preserve"> </w:t>
      </w:r>
      <w:r>
        <w:rPr>
          <w:i/>
          <w:sz w:val="28"/>
        </w:rPr>
        <w:t>ім.</w:t>
      </w:r>
      <w:r>
        <w:rPr>
          <w:i/>
          <w:spacing w:val="27"/>
          <w:sz w:val="28"/>
        </w:rPr>
        <w:t xml:space="preserve"> </w:t>
      </w:r>
      <w:r>
        <w:rPr>
          <w:i/>
          <w:sz w:val="28"/>
        </w:rPr>
        <w:t>М.В.</w:t>
      </w:r>
      <w:r>
        <w:rPr>
          <w:i/>
          <w:spacing w:val="29"/>
          <w:sz w:val="28"/>
        </w:rPr>
        <w:t xml:space="preserve"> </w:t>
      </w:r>
      <w:r>
        <w:rPr>
          <w:i/>
          <w:sz w:val="28"/>
        </w:rPr>
        <w:t>Скліфосовського</w:t>
      </w:r>
      <w:r>
        <w:rPr>
          <w:i/>
          <w:spacing w:val="36"/>
          <w:sz w:val="28"/>
        </w:rPr>
        <w:t xml:space="preserve"> </w:t>
      </w:r>
      <w:r>
        <w:rPr>
          <w:i/>
          <w:sz w:val="28"/>
        </w:rPr>
        <w:t>з</w:t>
      </w:r>
    </w:p>
    <w:p w:rsidR="00B23B94" w:rsidRDefault="003B2D3B">
      <w:pPr>
        <w:spacing w:line="321" w:lineRule="exact"/>
        <w:ind w:left="542"/>
        <w:jc w:val="both"/>
        <w:rPr>
          <w:i/>
          <w:sz w:val="28"/>
        </w:rPr>
      </w:pPr>
      <w:r>
        <w:rPr>
          <w:i/>
          <w:sz w:val="28"/>
        </w:rPr>
        <w:t>06.03.18 по 07.04.18р.</w:t>
      </w:r>
    </w:p>
    <w:p w:rsidR="00B23B94" w:rsidRDefault="003B2D3B">
      <w:pPr>
        <w:spacing w:before="164" w:line="360" w:lineRule="auto"/>
        <w:ind w:left="542" w:right="791" w:firstLine="707"/>
        <w:jc w:val="both"/>
        <w:rPr>
          <w:i/>
          <w:sz w:val="28"/>
        </w:rPr>
      </w:pPr>
      <w:r>
        <w:rPr>
          <w:i/>
          <w:sz w:val="28"/>
        </w:rPr>
        <w:t>Діагноз: Гострий тяжкий панкреатит. Панкреонекроз. Абсцес сальникової сумки. Заочеревинна флегмона зліва. Артеріальна гіпертензія. ІХС: кардіосклероз атеросклеротичний, СН І, ФК ІІ.</w:t>
      </w:r>
    </w:p>
    <w:p w:rsidR="00B23B94" w:rsidRDefault="003B2D3B">
      <w:pPr>
        <w:spacing w:line="360" w:lineRule="auto"/>
        <w:ind w:left="542" w:right="783" w:firstLine="707"/>
        <w:jc w:val="both"/>
        <w:rPr>
          <w:i/>
          <w:sz w:val="28"/>
        </w:rPr>
      </w:pPr>
      <w:r>
        <w:rPr>
          <w:i/>
          <w:sz w:val="28"/>
        </w:rPr>
        <w:t>З анамнезу: після погрішності в харчуванні з’явився біль в епігастрії, нудота, неоднократна рвота, що тимчасово приносило полегшення. Через добу пацієнтка звернулася за медичною допомогою в хірургічне відділення ЦРЛ за місцем проживання, де була госпіталізована. Для подальшого лікування направлена в «КП ПОР ПОКЛ» ім. М.В. Скліфосовського – госпіталізована в хірургічне відділення.</w:t>
      </w:r>
    </w:p>
    <w:p w:rsidR="00B23B94" w:rsidRDefault="003B2D3B">
      <w:pPr>
        <w:spacing w:line="360" w:lineRule="auto"/>
        <w:ind w:left="542" w:right="784" w:firstLine="707"/>
        <w:jc w:val="both"/>
        <w:rPr>
          <w:i/>
          <w:sz w:val="28"/>
        </w:rPr>
      </w:pPr>
      <w:r>
        <w:rPr>
          <w:i/>
          <w:sz w:val="28"/>
        </w:rPr>
        <w:t>При госпіталізації відмічено скарги на біль в верхніх відділах живота, виражену загальну слабкість, періодичну нудоту, підвищення температури тіла до 37,4</w:t>
      </w:r>
      <w:r>
        <w:rPr>
          <w:i/>
          <w:sz w:val="28"/>
          <w:vertAlign w:val="superscript"/>
        </w:rPr>
        <w:t>0</w:t>
      </w:r>
      <w:r>
        <w:rPr>
          <w:i/>
          <w:sz w:val="28"/>
        </w:rPr>
        <w:t>С. При огляді: шкіра блідо-рожевого кольору, дихання самостійне, кисневонезалежна, аускультативно дещо ослаблене в нижніх відділах з обох сторін, ЧДР – 16 за хв. Пульс задовільних властивостей, ритмічний, ЧСС – 80 за 1 хв., АТ – 140/80 мм.рт.ст. Язик підсушений, обкладений білим нальотом біля кореня, живіт симетричний, помірно піддутий, бере участь в акті дихання. Пальпаторно м’який, болючий в епігастрії, лівому підребер’ї. Інфільтрат в епігастрії не визначався. Симптоми подразнення очеревини негативні. Перистальтика вислуховується, ослаблена.</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line="360" w:lineRule="auto"/>
        <w:ind w:left="542" w:right="785" w:firstLine="707"/>
        <w:jc w:val="both"/>
        <w:rPr>
          <w:i/>
          <w:sz w:val="28"/>
        </w:rPr>
      </w:pPr>
      <w:r>
        <w:rPr>
          <w:i/>
          <w:sz w:val="28"/>
        </w:rPr>
        <w:lastRenderedPageBreak/>
        <w:t>За даними УЗ-діагностики визначалася інфільтрація парапанкреатичної клітковини в проекції сальникової сумки. Кореня брижі тонкої кишки.</w:t>
      </w:r>
    </w:p>
    <w:p w:rsidR="00B23B94" w:rsidRDefault="003B2D3B">
      <w:pPr>
        <w:spacing w:before="2" w:line="360" w:lineRule="auto"/>
        <w:ind w:left="542" w:right="784" w:firstLine="707"/>
        <w:jc w:val="both"/>
        <w:rPr>
          <w:i/>
          <w:sz w:val="28"/>
        </w:rPr>
      </w:pPr>
      <w:r>
        <w:rPr>
          <w:i/>
          <w:sz w:val="28"/>
        </w:rPr>
        <w:t>Хворій призначено базисну консервативну терапію (наказ МОЗ №297 від 02.04.2010р).</w:t>
      </w:r>
    </w:p>
    <w:p w:rsidR="00B23B94" w:rsidRDefault="003B2D3B">
      <w:pPr>
        <w:spacing w:before="1" w:line="360" w:lineRule="auto"/>
        <w:ind w:left="542" w:right="784" w:firstLine="707"/>
        <w:jc w:val="both"/>
        <w:rPr>
          <w:i/>
          <w:sz w:val="28"/>
        </w:rPr>
      </w:pPr>
      <w:r>
        <w:rPr>
          <w:i/>
          <w:sz w:val="28"/>
        </w:rPr>
        <w:t>На 10 добу перебування в стаціонарі стан хворої погіршився ознаки компресії ШКТ у зв’язку з чим виконано КТ ОГК і ОЧП з в/в контрастуванням, за результатами якої в сальниковії сумці визначалося рідинне однорідне скупчення розміром близько 15см в діаметрі, а також двобічний гідроторакс: справа – близько 200 мл, зліва – 600мл.</w:t>
      </w:r>
    </w:p>
    <w:p w:rsidR="00B23B94" w:rsidRDefault="003B2D3B">
      <w:pPr>
        <w:spacing w:line="360" w:lineRule="auto"/>
        <w:ind w:left="542" w:right="788" w:firstLine="707"/>
        <w:jc w:val="both"/>
        <w:rPr>
          <w:i/>
          <w:sz w:val="28"/>
        </w:rPr>
      </w:pPr>
      <w:r>
        <w:rPr>
          <w:i/>
          <w:sz w:val="28"/>
        </w:rPr>
        <w:t>Хворій, після отримання інформованої згоди, виконано пункція вищеописаного утворення. Отримано близько 300 мл бурого густого ексудату, який відправлений на дослідження. За результатами бактеріологічного дослідження росту аеробної флори не виявлено. У пацієнтки залишалися ознаки високої непрохідності, що було показанням до виконання МРТ обстеження.</w:t>
      </w:r>
    </w:p>
    <w:p w:rsidR="00B23B94" w:rsidRDefault="003B2D3B">
      <w:pPr>
        <w:spacing w:line="321" w:lineRule="exact"/>
        <w:ind w:left="1250"/>
        <w:jc w:val="both"/>
        <w:rPr>
          <w:i/>
          <w:sz w:val="28"/>
        </w:rPr>
      </w:pPr>
      <w:r>
        <w:rPr>
          <w:i/>
          <w:sz w:val="28"/>
        </w:rPr>
        <w:t>Результати представлені на рис.2 і рис.3.</w:t>
      </w:r>
    </w:p>
    <w:p w:rsidR="00B23B94" w:rsidRDefault="003B2D3B">
      <w:pPr>
        <w:pStyle w:val="a3"/>
        <w:spacing w:before="6"/>
        <w:ind w:left="0"/>
        <w:jc w:val="left"/>
        <w:rPr>
          <w:i/>
          <w:sz w:val="10"/>
        </w:rPr>
      </w:pPr>
      <w:r>
        <w:rPr>
          <w:noProof/>
          <w:lang w:eastAsia="uk-UA"/>
        </w:rPr>
        <w:drawing>
          <wp:anchor distT="0" distB="0" distL="0" distR="0" simplePos="0" relativeHeight="13" behindDoc="0" locked="0" layoutInCell="1" allowOverlap="1">
            <wp:simplePos x="0" y="0"/>
            <wp:positionH relativeFrom="page">
              <wp:posOffset>2170176</wp:posOffset>
            </wp:positionH>
            <wp:positionV relativeFrom="paragraph">
              <wp:posOffset>102131</wp:posOffset>
            </wp:positionV>
            <wp:extent cx="3781015" cy="2454021"/>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5" cstate="print"/>
                    <a:stretch>
                      <a:fillRect/>
                    </a:stretch>
                  </pic:blipFill>
                  <pic:spPr>
                    <a:xfrm>
                      <a:off x="0" y="0"/>
                      <a:ext cx="3781015" cy="2454021"/>
                    </a:xfrm>
                    <a:prstGeom prst="rect">
                      <a:avLst/>
                    </a:prstGeom>
                  </pic:spPr>
                </pic:pic>
              </a:graphicData>
            </a:graphic>
          </wp:anchor>
        </w:drawing>
      </w:r>
    </w:p>
    <w:p w:rsidR="00B23B94" w:rsidRDefault="003B2D3B">
      <w:pPr>
        <w:spacing w:before="113"/>
        <w:ind w:left="762" w:right="300"/>
        <w:jc w:val="center"/>
        <w:rPr>
          <w:i/>
          <w:sz w:val="28"/>
        </w:rPr>
      </w:pPr>
      <w:r>
        <w:rPr>
          <w:i/>
          <w:sz w:val="28"/>
        </w:rPr>
        <w:t>Рис.2.</w:t>
      </w:r>
    </w:p>
    <w:p w:rsidR="00B23B94" w:rsidRDefault="003B2D3B">
      <w:pPr>
        <w:pStyle w:val="2"/>
        <w:rPr>
          <w:sz w:val="18"/>
        </w:rPr>
      </w:pPr>
      <w:r>
        <w:rPr>
          <w:position w:val="2"/>
        </w:rPr>
        <w:t>МРТ хворої О., режим Т</w:t>
      </w:r>
      <w:r>
        <w:rPr>
          <w:sz w:val="18"/>
        </w:rPr>
        <w:t>1</w:t>
      </w:r>
    </w:p>
    <w:p w:rsidR="00B23B94" w:rsidRDefault="00B23B94">
      <w:pPr>
        <w:pStyle w:val="a3"/>
        <w:ind w:left="0"/>
        <w:jc w:val="left"/>
        <w:rPr>
          <w:b/>
          <w:i/>
          <w:sz w:val="30"/>
        </w:rPr>
      </w:pPr>
    </w:p>
    <w:p w:rsidR="00B23B94" w:rsidRDefault="00B23B94">
      <w:pPr>
        <w:pStyle w:val="a3"/>
        <w:spacing w:before="2"/>
        <w:ind w:left="0"/>
        <w:jc w:val="left"/>
        <w:rPr>
          <w:b/>
          <w:i/>
          <w:sz w:val="26"/>
        </w:rPr>
      </w:pPr>
    </w:p>
    <w:p w:rsidR="00B23B94" w:rsidRDefault="003B2D3B">
      <w:pPr>
        <w:spacing w:line="360" w:lineRule="auto"/>
        <w:ind w:left="542" w:right="786" w:firstLine="707"/>
        <w:jc w:val="both"/>
        <w:rPr>
          <w:i/>
          <w:sz w:val="28"/>
        </w:rPr>
      </w:pPr>
      <w:r>
        <w:rPr>
          <w:i/>
          <w:sz w:val="28"/>
        </w:rPr>
        <w:t>Як видно з даного знімку МРТ в режимі Т</w:t>
      </w:r>
      <w:r>
        <w:rPr>
          <w:i/>
          <w:sz w:val="28"/>
          <w:vertAlign w:val="subscript"/>
        </w:rPr>
        <w:t>1</w:t>
      </w:r>
      <w:r>
        <w:rPr>
          <w:i/>
          <w:sz w:val="28"/>
        </w:rPr>
        <w:t xml:space="preserve"> спостерігається однорідна інфільтрація в ділянці тіла-хвоста підшлункової залози, що не є показанням</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line="360" w:lineRule="auto"/>
        <w:ind w:left="542" w:right="785"/>
        <w:jc w:val="both"/>
        <w:rPr>
          <w:i/>
          <w:sz w:val="28"/>
        </w:rPr>
      </w:pPr>
      <w:r>
        <w:rPr>
          <w:i/>
          <w:sz w:val="28"/>
        </w:rPr>
        <w:lastRenderedPageBreak/>
        <w:t>до оперативного втручання. Проте звертаючи увагу на знімок МРТ в режимі Т</w:t>
      </w:r>
      <w:r>
        <w:rPr>
          <w:i/>
          <w:sz w:val="28"/>
          <w:vertAlign w:val="subscript"/>
        </w:rPr>
        <w:t>2</w:t>
      </w:r>
      <w:r>
        <w:rPr>
          <w:i/>
          <w:sz w:val="28"/>
        </w:rPr>
        <w:t xml:space="preserve"> (рис.3), визначається неоднорідність в даній ділянці, що вказує на наявність секвестральних мас – що і було показанням до відкрито НСЕ у даної</w:t>
      </w:r>
      <w:r>
        <w:rPr>
          <w:i/>
          <w:spacing w:val="-1"/>
          <w:sz w:val="28"/>
        </w:rPr>
        <w:t xml:space="preserve"> </w:t>
      </w:r>
      <w:r>
        <w:rPr>
          <w:i/>
          <w:sz w:val="28"/>
        </w:rPr>
        <w:t>пацієнтки.</w:t>
      </w:r>
    </w:p>
    <w:p w:rsidR="00B23B94" w:rsidRDefault="003B2D3B">
      <w:pPr>
        <w:spacing w:before="1" w:line="360" w:lineRule="auto"/>
        <w:ind w:left="542" w:right="786" w:firstLine="707"/>
        <w:jc w:val="both"/>
        <w:rPr>
          <w:i/>
          <w:sz w:val="28"/>
        </w:rPr>
      </w:pPr>
      <w:r>
        <w:rPr>
          <w:i/>
          <w:sz w:val="28"/>
        </w:rPr>
        <w:t>На наступну добу хворій виконане оперативне втручання в об’ємі лапаротомія, розкриття сальникової сумки з некрсеквестректомією з подальшим дренуванням останньої, а також дренування лівої плевральної порожнини і пункція правої плевральної порожнини.</w:t>
      </w:r>
    </w:p>
    <w:p w:rsidR="00B23B94" w:rsidRDefault="00B23B94">
      <w:pPr>
        <w:pStyle w:val="a3"/>
        <w:ind w:left="0"/>
        <w:jc w:val="left"/>
        <w:rPr>
          <w:i/>
          <w:sz w:val="20"/>
        </w:rPr>
      </w:pPr>
    </w:p>
    <w:p w:rsidR="00B23B94" w:rsidRDefault="003B2D3B">
      <w:pPr>
        <w:pStyle w:val="a3"/>
        <w:spacing w:before="8"/>
        <w:ind w:left="0"/>
        <w:jc w:val="left"/>
        <w:rPr>
          <w:i/>
          <w:sz w:val="18"/>
        </w:rPr>
      </w:pPr>
      <w:r>
        <w:rPr>
          <w:noProof/>
          <w:lang w:eastAsia="uk-UA"/>
        </w:rPr>
        <w:drawing>
          <wp:anchor distT="0" distB="0" distL="0" distR="0" simplePos="0" relativeHeight="14" behindDoc="0" locked="0" layoutInCell="1" allowOverlap="1">
            <wp:simplePos x="0" y="0"/>
            <wp:positionH relativeFrom="page">
              <wp:posOffset>2247645</wp:posOffset>
            </wp:positionH>
            <wp:positionV relativeFrom="paragraph">
              <wp:posOffset>161765</wp:posOffset>
            </wp:positionV>
            <wp:extent cx="3586920" cy="2766060"/>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6" cstate="print"/>
                    <a:stretch>
                      <a:fillRect/>
                    </a:stretch>
                  </pic:blipFill>
                  <pic:spPr>
                    <a:xfrm>
                      <a:off x="0" y="0"/>
                      <a:ext cx="3586920" cy="2766060"/>
                    </a:xfrm>
                    <a:prstGeom prst="rect">
                      <a:avLst/>
                    </a:prstGeom>
                  </pic:spPr>
                </pic:pic>
              </a:graphicData>
            </a:graphic>
          </wp:anchor>
        </w:drawing>
      </w:r>
    </w:p>
    <w:p w:rsidR="00B23B94" w:rsidRDefault="003B2D3B">
      <w:pPr>
        <w:spacing w:before="157"/>
        <w:ind w:left="762" w:right="300"/>
        <w:jc w:val="center"/>
        <w:rPr>
          <w:i/>
          <w:sz w:val="28"/>
        </w:rPr>
      </w:pPr>
      <w:r>
        <w:rPr>
          <w:i/>
          <w:sz w:val="28"/>
        </w:rPr>
        <w:t>Рис.3.</w:t>
      </w:r>
    </w:p>
    <w:p w:rsidR="00B23B94" w:rsidRDefault="003B2D3B">
      <w:pPr>
        <w:pStyle w:val="2"/>
        <w:spacing w:before="160"/>
        <w:rPr>
          <w:sz w:val="18"/>
        </w:rPr>
      </w:pPr>
      <w:r>
        <w:rPr>
          <w:position w:val="2"/>
        </w:rPr>
        <w:t>МРТ хворої О., режим Т</w:t>
      </w:r>
      <w:r>
        <w:rPr>
          <w:sz w:val="18"/>
        </w:rPr>
        <w:t>2</w:t>
      </w:r>
    </w:p>
    <w:p w:rsidR="00B23B94" w:rsidRDefault="00B23B94">
      <w:pPr>
        <w:pStyle w:val="a3"/>
        <w:ind w:left="0"/>
        <w:jc w:val="left"/>
        <w:rPr>
          <w:b/>
          <w:i/>
          <w:sz w:val="30"/>
        </w:rPr>
      </w:pPr>
    </w:p>
    <w:p w:rsidR="00B23B94" w:rsidRDefault="00B23B94">
      <w:pPr>
        <w:pStyle w:val="a3"/>
        <w:spacing w:before="11"/>
        <w:ind w:left="0"/>
        <w:jc w:val="left"/>
        <w:rPr>
          <w:b/>
          <w:i/>
          <w:sz w:val="25"/>
        </w:rPr>
      </w:pPr>
    </w:p>
    <w:p w:rsidR="00B23B94" w:rsidRDefault="003B2D3B">
      <w:pPr>
        <w:pStyle w:val="a3"/>
        <w:spacing w:line="360" w:lineRule="auto"/>
        <w:ind w:left="542" w:right="792" w:firstLine="707"/>
      </w:pPr>
      <w:r>
        <w:t>Післяопераційний період хвора знаходилася у ВАІТ, звідки була переведена до хірургічного відділення через 3 доби. На 11 добу перебування в хірургічному відділені виділень по дренажам не спостерігали, дренажі видалено, хвора виписана з хірургічного</w:t>
      </w:r>
      <w:r>
        <w:rPr>
          <w:spacing w:val="-6"/>
        </w:rPr>
        <w:t xml:space="preserve"> </w:t>
      </w:r>
      <w:r>
        <w:t>стаціонару.</w:t>
      </w:r>
    </w:p>
    <w:p w:rsidR="00B23B94" w:rsidRDefault="003B2D3B">
      <w:pPr>
        <w:pStyle w:val="a3"/>
        <w:spacing w:before="1" w:line="360" w:lineRule="auto"/>
        <w:ind w:left="542" w:right="789" w:firstLine="707"/>
      </w:pPr>
      <w:r>
        <w:t>Первинно відкриті НСЕ виконано 16 пацієнтам (72,7%). З них лапаротомія з некректомією виконано 4 (18,2%) хворим, лапаротомія з некрсеквестректомією</w:t>
      </w:r>
      <w:r>
        <w:rPr>
          <w:spacing w:val="16"/>
        </w:rPr>
        <w:t xml:space="preserve"> </w:t>
      </w:r>
      <w:r>
        <w:t>–</w:t>
      </w:r>
      <w:r>
        <w:rPr>
          <w:spacing w:val="16"/>
        </w:rPr>
        <w:t xml:space="preserve"> </w:t>
      </w:r>
      <w:r>
        <w:t>6</w:t>
      </w:r>
      <w:r>
        <w:rPr>
          <w:spacing w:val="17"/>
        </w:rPr>
        <w:t xml:space="preserve"> </w:t>
      </w:r>
      <w:r>
        <w:t>(27,3%),</w:t>
      </w:r>
      <w:r>
        <w:rPr>
          <w:spacing w:val="16"/>
        </w:rPr>
        <w:t xml:space="preserve"> </w:t>
      </w:r>
      <w:r>
        <w:t>лапаротомія</w:t>
      </w:r>
      <w:r>
        <w:rPr>
          <w:spacing w:val="15"/>
        </w:rPr>
        <w:t xml:space="preserve"> </w:t>
      </w:r>
      <w:r>
        <w:t>з</w:t>
      </w:r>
      <w:r>
        <w:rPr>
          <w:spacing w:val="16"/>
        </w:rPr>
        <w:t xml:space="preserve"> </w:t>
      </w:r>
      <w:r>
        <w:t>правобічною</w:t>
      </w:r>
      <w:r>
        <w:rPr>
          <w:spacing w:val="16"/>
        </w:rPr>
        <w:t xml:space="preserve"> </w:t>
      </w:r>
      <w:r>
        <w:t>люмботомією</w:t>
      </w:r>
    </w:p>
    <w:p w:rsidR="00B23B94" w:rsidRDefault="003B2D3B">
      <w:pPr>
        <w:pStyle w:val="a3"/>
        <w:ind w:left="542"/>
      </w:pPr>
      <w:r>
        <w:t>– 1 (4,5%), лапаротомія з лівобічною люмботомією – 3 (13,6%), лапаротомія</w:t>
      </w:r>
      <w:r>
        <w:rPr>
          <w:spacing w:val="18"/>
        </w:rPr>
        <w:t xml:space="preserve"> </w:t>
      </w:r>
      <w:r>
        <w:t>з</w:t>
      </w:r>
    </w:p>
    <w:p w:rsidR="00B23B94" w:rsidRDefault="003B2D3B">
      <w:pPr>
        <w:pStyle w:val="a3"/>
        <w:spacing w:before="161"/>
        <w:ind w:left="542"/>
      </w:pPr>
      <w:r>
        <w:t>двобічною люмботомією – 2 (9,1%) хворим (табл. 4.18).</w:t>
      </w:r>
    </w:p>
    <w:p w:rsidR="00B23B94" w:rsidRDefault="00B23B94">
      <w:pPr>
        <w:sectPr w:rsidR="00B23B94">
          <w:pgSz w:w="11910" w:h="16840"/>
          <w:pgMar w:top="1040" w:right="60" w:bottom="280" w:left="1160" w:header="719" w:footer="0" w:gutter="0"/>
          <w:cols w:space="720"/>
        </w:sectPr>
      </w:pPr>
    </w:p>
    <w:p w:rsidR="00B23B94" w:rsidRDefault="003B2D3B">
      <w:pPr>
        <w:spacing w:before="89"/>
        <w:ind w:left="8370"/>
        <w:rPr>
          <w:i/>
          <w:sz w:val="28"/>
        </w:rPr>
      </w:pPr>
      <w:r>
        <w:rPr>
          <w:i/>
          <w:sz w:val="28"/>
        </w:rPr>
        <w:lastRenderedPageBreak/>
        <w:t>Таблиця 4.18</w:t>
      </w:r>
    </w:p>
    <w:p w:rsidR="00B23B94" w:rsidRDefault="003B2D3B">
      <w:pPr>
        <w:pStyle w:val="1"/>
        <w:spacing w:before="164" w:line="360" w:lineRule="auto"/>
        <w:ind w:left="4745" w:right="1437" w:hanging="2831"/>
      </w:pPr>
      <w:r>
        <w:t>Відкриті хірургічні втручання у пацієнтів основної групи (підгрупа 2b)</w:t>
      </w: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22"/>
        <w:gridCol w:w="1986"/>
        <w:gridCol w:w="1667"/>
      </w:tblGrid>
      <w:tr w:rsidR="00B23B94">
        <w:trPr>
          <w:trHeight w:val="484"/>
        </w:trPr>
        <w:tc>
          <w:tcPr>
            <w:tcW w:w="5922" w:type="dxa"/>
          </w:tcPr>
          <w:p w:rsidR="00B23B94" w:rsidRDefault="003B2D3B">
            <w:pPr>
              <w:pStyle w:val="TableParagraph"/>
              <w:ind w:left="2065" w:right="2058"/>
              <w:rPr>
                <w:sz w:val="28"/>
              </w:rPr>
            </w:pPr>
            <w:r>
              <w:rPr>
                <w:sz w:val="28"/>
              </w:rPr>
              <w:t>Назва операції</w:t>
            </w:r>
          </w:p>
        </w:tc>
        <w:tc>
          <w:tcPr>
            <w:tcW w:w="1986" w:type="dxa"/>
          </w:tcPr>
          <w:p w:rsidR="00B23B94" w:rsidRDefault="003B2D3B">
            <w:pPr>
              <w:pStyle w:val="TableParagraph"/>
              <w:ind w:left="213" w:right="211"/>
              <w:rPr>
                <w:sz w:val="18"/>
              </w:rPr>
            </w:pPr>
            <w:r>
              <w:rPr>
                <w:sz w:val="28"/>
              </w:rPr>
              <w:t xml:space="preserve">Кількість, </w:t>
            </w:r>
            <w:r>
              <w:rPr>
                <w:sz w:val="18"/>
              </w:rPr>
              <w:t>абс</w:t>
            </w:r>
          </w:p>
        </w:tc>
        <w:tc>
          <w:tcPr>
            <w:tcW w:w="1667" w:type="dxa"/>
          </w:tcPr>
          <w:p w:rsidR="00B23B94" w:rsidRDefault="003B2D3B">
            <w:pPr>
              <w:pStyle w:val="TableParagraph"/>
              <w:ind w:left="5"/>
              <w:rPr>
                <w:sz w:val="28"/>
              </w:rPr>
            </w:pPr>
            <w:r>
              <w:rPr>
                <w:sz w:val="28"/>
              </w:rPr>
              <w:t>%</w:t>
            </w:r>
          </w:p>
        </w:tc>
      </w:tr>
      <w:tr w:rsidR="00B23B94">
        <w:trPr>
          <w:trHeight w:val="482"/>
        </w:trPr>
        <w:tc>
          <w:tcPr>
            <w:tcW w:w="5922" w:type="dxa"/>
          </w:tcPr>
          <w:p w:rsidR="00B23B94" w:rsidRDefault="003B2D3B">
            <w:pPr>
              <w:pStyle w:val="TableParagraph"/>
              <w:ind w:left="107"/>
              <w:jc w:val="left"/>
              <w:rPr>
                <w:sz w:val="28"/>
              </w:rPr>
            </w:pPr>
            <w:r>
              <w:rPr>
                <w:sz w:val="28"/>
              </w:rPr>
              <w:t>лапаротомія з некректомією</w:t>
            </w:r>
          </w:p>
        </w:tc>
        <w:tc>
          <w:tcPr>
            <w:tcW w:w="1986" w:type="dxa"/>
          </w:tcPr>
          <w:p w:rsidR="00B23B94" w:rsidRDefault="003B2D3B">
            <w:pPr>
              <w:pStyle w:val="TableParagraph"/>
              <w:ind w:left="3"/>
              <w:rPr>
                <w:sz w:val="28"/>
              </w:rPr>
            </w:pPr>
            <w:r>
              <w:rPr>
                <w:sz w:val="28"/>
              </w:rPr>
              <w:t>4</w:t>
            </w:r>
          </w:p>
        </w:tc>
        <w:tc>
          <w:tcPr>
            <w:tcW w:w="1667" w:type="dxa"/>
          </w:tcPr>
          <w:p w:rsidR="00B23B94" w:rsidRDefault="003B2D3B">
            <w:pPr>
              <w:pStyle w:val="TableParagraph"/>
              <w:ind w:left="587"/>
              <w:jc w:val="left"/>
              <w:rPr>
                <w:sz w:val="28"/>
              </w:rPr>
            </w:pPr>
            <w:r>
              <w:rPr>
                <w:sz w:val="28"/>
              </w:rPr>
              <w:t>18,2</w:t>
            </w:r>
          </w:p>
        </w:tc>
      </w:tr>
      <w:tr w:rsidR="00B23B94">
        <w:trPr>
          <w:trHeight w:val="481"/>
        </w:trPr>
        <w:tc>
          <w:tcPr>
            <w:tcW w:w="5922" w:type="dxa"/>
          </w:tcPr>
          <w:p w:rsidR="00B23B94" w:rsidRDefault="003B2D3B">
            <w:pPr>
              <w:pStyle w:val="TableParagraph"/>
              <w:ind w:left="107"/>
              <w:jc w:val="left"/>
              <w:rPr>
                <w:sz w:val="28"/>
              </w:rPr>
            </w:pPr>
            <w:r>
              <w:rPr>
                <w:sz w:val="28"/>
              </w:rPr>
              <w:t>лапаротомія з некрсеквестректомією</w:t>
            </w:r>
          </w:p>
        </w:tc>
        <w:tc>
          <w:tcPr>
            <w:tcW w:w="1986" w:type="dxa"/>
          </w:tcPr>
          <w:p w:rsidR="00B23B94" w:rsidRDefault="003B2D3B">
            <w:pPr>
              <w:pStyle w:val="TableParagraph"/>
              <w:ind w:left="3"/>
              <w:rPr>
                <w:sz w:val="28"/>
              </w:rPr>
            </w:pPr>
            <w:r>
              <w:rPr>
                <w:sz w:val="28"/>
              </w:rPr>
              <w:t>6</w:t>
            </w:r>
          </w:p>
        </w:tc>
        <w:tc>
          <w:tcPr>
            <w:tcW w:w="1667" w:type="dxa"/>
          </w:tcPr>
          <w:p w:rsidR="00B23B94" w:rsidRDefault="003B2D3B">
            <w:pPr>
              <w:pStyle w:val="TableParagraph"/>
              <w:ind w:left="587"/>
              <w:jc w:val="left"/>
              <w:rPr>
                <w:sz w:val="28"/>
              </w:rPr>
            </w:pPr>
            <w:r>
              <w:rPr>
                <w:sz w:val="28"/>
              </w:rPr>
              <w:t>27,3</w:t>
            </w:r>
          </w:p>
        </w:tc>
      </w:tr>
      <w:tr w:rsidR="00B23B94">
        <w:trPr>
          <w:trHeight w:val="484"/>
        </w:trPr>
        <w:tc>
          <w:tcPr>
            <w:tcW w:w="5922" w:type="dxa"/>
          </w:tcPr>
          <w:p w:rsidR="00B23B94" w:rsidRDefault="003B2D3B">
            <w:pPr>
              <w:pStyle w:val="TableParagraph"/>
              <w:spacing w:before="2"/>
              <w:ind w:left="107"/>
              <w:jc w:val="left"/>
              <w:rPr>
                <w:sz w:val="28"/>
              </w:rPr>
            </w:pPr>
            <w:r>
              <w:rPr>
                <w:sz w:val="28"/>
              </w:rPr>
              <w:t>лапаротомія з правобічною люмботомією</w:t>
            </w:r>
          </w:p>
        </w:tc>
        <w:tc>
          <w:tcPr>
            <w:tcW w:w="1986" w:type="dxa"/>
          </w:tcPr>
          <w:p w:rsidR="00B23B94" w:rsidRDefault="003B2D3B">
            <w:pPr>
              <w:pStyle w:val="TableParagraph"/>
              <w:spacing w:before="2"/>
              <w:ind w:left="3"/>
              <w:rPr>
                <w:sz w:val="28"/>
              </w:rPr>
            </w:pPr>
            <w:r>
              <w:rPr>
                <w:sz w:val="28"/>
              </w:rPr>
              <w:t>3</w:t>
            </w:r>
          </w:p>
        </w:tc>
        <w:tc>
          <w:tcPr>
            <w:tcW w:w="1667" w:type="dxa"/>
          </w:tcPr>
          <w:p w:rsidR="00B23B94" w:rsidRDefault="003B2D3B">
            <w:pPr>
              <w:pStyle w:val="TableParagraph"/>
              <w:spacing w:before="2"/>
              <w:ind w:left="656"/>
              <w:jc w:val="left"/>
              <w:rPr>
                <w:sz w:val="28"/>
              </w:rPr>
            </w:pPr>
            <w:r>
              <w:rPr>
                <w:sz w:val="28"/>
              </w:rPr>
              <w:t>4,5</w:t>
            </w:r>
          </w:p>
        </w:tc>
      </w:tr>
      <w:tr w:rsidR="00B23B94">
        <w:trPr>
          <w:trHeight w:val="482"/>
        </w:trPr>
        <w:tc>
          <w:tcPr>
            <w:tcW w:w="5922" w:type="dxa"/>
          </w:tcPr>
          <w:p w:rsidR="00B23B94" w:rsidRDefault="003B2D3B">
            <w:pPr>
              <w:pStyle w:val="TableParagraph"/>
              <w:ind w:left="107"/>
              <w:jc w:val="left"/>
              <w:rPr>
                <w:sz w:val="28"/>
              </w:rPr>
            </w:pPr>
            <w:r>
              <w:rPr>
                <w:sz w:val="28"/>
              </w:rPr>
              <w:t>лапаротомія з лівобічною люмботомією</w:t>
            </w:r>
          </w:p>
        </w:tc>
        <w:tc>
          <w:tcPr>
            <w:tcW w:w="1986" w:type="dxa"/>
          </w:tcPr>
          <w:p w:rsidR="00B23B94" w:rsidRDefault="003B2D3B">
            <w:pPr>
              <w:pStyle w:val="TableParagraph"/>
              <w:ind w:left="3"/>
              <w:rPr>
                <w:sz w:val="28"/>
              </w:rPr>
            </w:pPr>
            <w:r>
              <w:rPr>
                <w:sz w:val="28"/>
              </w:rPr>
              <w:t>2</w:t>
            </w:r>
          </w:p>
        </w:tc>
        <w:tc>
          <w:tcPr>
            <w:tcW w:w="1667" w:type="dxa"/>
          </w:tcPr>
          <w:p w:rsidR="00B23B94" w:rsidRDefault="003B2D3B">
            <w:pPr>
              <w:pStyle w:val="TableParagraph"/>
              <w:ind w:left="587"/>
              <w:jc w:val="left"/>
              <w:rPr>
                <w:sz w:val="28"/>
              </w:rPr>
            </w:pPr>
            <w:r>
              <w:rPr>
                <w:sz w:val="28"/>
              </w:rPr>
              <w:t>13,6</w:t>
            </w:r>
          </w:p>
        </w:tc>
      </w:tr>
      <w:tr w:rsidR="00B23B94">
        <w:trPr>
          <w:trHeight w:val="484"/>
        </w:trPr>
        <w:tc>
          <w:tcPr>
            <w:tcW w:w="5922" w:type="dxa"/>
          </w:tcPr>
          <w:p w:rsidR="00B23B94" w:rsidRDefault="003B2D3B">
            <w:pPr>
              <w:pStyle w:val="TableParagraph"/>
              <w:ind w:left="107"/>
              <w:jc w:val="left"/>
              <w:rPr>
                <w:sz w:val="28"/>
              </w:rPr>
            </w:pPr>
            <w:r>
              <w:rPr>
                <w:sz w:val="28"/>
              </w:rPr>
              <w:t>лапаротомія з двобічною люмботомією</w:t>
            </w:r>
          </w:p>
        </w:tc>
        <w:tc>
          <w:tcPr>
            <w:tcW w:w="1986" w:type="dxa"/>
          </w:tcPr>
          <w:p w:rsidR="00B23B94" w:rsidRDefault="003B2D3B">
            <w:pPr>
              <w:pStyle w:val="TableParagraph"/>
              <w:ind w:left="3"/>
              <w:rPr>
                <w:sz w:val="28"/>
              </w:rPr>
            </w:pPr>
            <w:r>
              <w:rPr>
                <w:sz w:val="28"/>
              </w:rPr>
              <w:t>1</w:t>
            </w:r>
          </w:p>
        </w:tc>
        <w:tc>
          <w:tcPr>
            <w:tcW w:w="1667" w:type="dxa"/>
          </w:tcPr>
          <w:p w:rsidR="00B23B94" w:rsidRDefault="003B2D3B">
            <w:pPr>
              <w:pStyle w:val="TableParagraph"/>
              <w:ind w:left="656"/>
              <w:jc w:val="left"/>
              <w:rPr>
                <w:sz w:val="28"/>
              </w:rPr>
            </w:pPr>
            <w:r>
              <w:rPr>
                <w:sz w:val="28"/>
              </w:rPr>
              <w:t>9,1</w:t>
            </w:r>
          </w:p>
        </w:tc>
      </w:tr>
    </w:tbl>
    <w:p w:rsidR="00B23B94" w:rsidRDefault="00B23B94">
      <w:pPr>
        <w:pStyle w:val="a3"/>
        <w:spacing w:before="10"/>
        <w:ind w:left="0"/>
        <w:jc w:val="left"/>
        <w:rPr>
          <w:b/>
          <w:sz w:val="41"/>
        </w:rPr>
      </w:pPr>
    </w:p>
    <w:p w:rsidR="00B23B94" w:rsidRDefault="003B2D3B">
      <w:pPr>
        <w:pStyle w:val="a3"/>
        <w:spacing w:line="360" w:lineRule="auto"/>
        <w:ind w:left="542" w:right="783" w:firstLine="707"/>
      </w:pPr>
      <w:r>
        <w:t>Таким чином, 4 (18,2%) пацієнтам виконували відкриту операцію не діагностувавши у них наявність секвестральних мас. У 1 випадку це було пов’язано з відсутністю «ехо-вікна» для дренування під УЗД-контролем. Проте у 3 пацієнтів (13,6%) рішення прийняте на підставі розробленого протоколу, через розвиток у них синдрому низького трийодтироніну.</w:t>
      </w:r>
    </w:p>
    <w:p w:rsidR="00B23B94" w:rsidRDefault="003B2D3B">
      <w:pPr>
        <w:pStyle w:val="a3"/>
        <w:spacing w:line="360" w:lineRule="auto"/>
        <w:ind w:left="542" w:right="789" w:firstLine="707"/>
      </w:pPr>
      <w:r>
        <w:t>Через 4-5 діб після операції, всім пацієнтам проводили повторне визначення рівня тиреоїдних гормонів. Встановлено відсутність синдрому lowT</w:t>
      </w:r>
      <w:r>
        <w:rPr>
          <w:vertAlign w:val="subscript"/>
        </w:rPr>
        <w:t>3</w:t>
      </w:r>
      <w:r>
        <w:t xml:space="preserve"> у 1 пацієнта (4,3%) і наявність останнього у 2 (8,6%) хворих з тяжким перебігом деструктивного панкреатиту, що потребувало в подальшому проведення етапних хірургічних втручань у цих пацієнтів.</w:t>
      </w:r>
    </w:p>
    <w:p w:rsidR="00B23B94" w:rsidRDefault="003B2D3B">
      <w:pPr>
        <w:pStyle w:val="a3"/>
        <w:spacing w:line="360" w:lineRule="auto"/>
        <w:ind w:left="542" w:right="790" w:firstLine="707"/>
      </w:pPr>
      <w:r>
        <w:t>Загалом етапні некрсеквестректомії виконано 9 пацієнтам (40,9%). Післяопераційні ускладнення виникли у 2 пацієнтів (8,7%) і були представлені арозивною кровотечею після етапних хірургічних втручань. Померлих в підгрупі 2b основної групи було 6 хворих, що склало 26,1%. Середній ліжко-день у даній групі – 31,2±2,8 діб.</w:t>
      </w:r>
    </w:p>
    <w:p w:rsidR="00B23B94" w:rsidRDefault="003B2D3B">
      <w:pPr>
        <w:pStyle w:val="a3"/>
        <w:spacing w:line="360" w:lineRule="auto"/>
        <w:ind w:left="542" w:right="784" w:firstLine="707"/>
      </w:pPr>
      <w:r>
        <w:t>Завдяки застосуванню розробленого алгоритму диференційованої хірургічної тактики при парапанкреатичних інфекційно-септичних ускладненнях деструктивного панкреатиту, впровадженню нової методики малоінвазивного лікування хворих з інфекційно-септичними парапанкреатичними ускладненнями гострого тяжкого панкреатиту, вдалося</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90"/>
      </w:pPr>
      <w:r>
        <w:lastRenderedPageBreak/>
        <w:t>покращити результати їх лікування. Так вдалося зменшити частоту післяопераційних ускладнень на 1,6% та рівень летальності знизився на 13,0%. (табл. 4.19)</w:t>
      </w:r>
    </w:p>
    <w:p w:rsidR="00B23B94" w:rsidRDefault="003B2D3B">
      <w:pPr>
        <w:spacing w:before="2"/>
        <w:ind w:left="8370"/>
        <w:rPr>
          <w:i/>
          <w:sz w:val="28"/>
        </w:rPr>
      </w:pPr>
      <w:r>
        <w:rPr>
          <w:i/>
          <w:sz w:val="28"/>
        </w:rPr>
        <w:t>Таблиця 4.19</w:t>
      </w:r>
    </w:p>
    <w:p w:rsidR="00B23B94" w:rsidRDefault="003B2D3B">
      <w:pPr>
        <w:pStyle w:val="1"/>
        <w:spacing w:line="362" w:lineRule="auto"/>
        <w:ind w:left="2541" w:right="1108" w:hanging="963"/>
      </w:pPr>
      <w:r>
        <w:t>Частота етапних хірургічних втручань, середній ліжко-день та рівень смертності у досліджуваних групах</w:t>
      </w:r>
    </w:p>
    <w:p w:rsidR="00B23B94" w:rsidRDefault="00B23B94">
      <w:pPr>
        <w:pStyle w:val="a3"/>
        <w:ind w:left="0"/>
        <w:jc w:val="left"/>
        <w:rPr>
          <w:b/>
          <w:sz w:val="20"/>
        </w:rPr>
      </w:pPr>
    </w:p>
    <w:p w:rsidR="00B23B94" w:rsidRDefault="00B23B94">
      <w:pPr>
        <w:pStyle w:val="a3"/>
        <w:spacing w:before="5" w:after="1"/>
        <w:ind w:left="0"/>
        <w:jc w:val="left"/>
        <w:rPr>
          <w:b/>
          <w:sz w:val="21"/>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5"/>
        <w:gridCol w:w="2690"/>
        <w:gridCol w:w="2688"/>
        <w:gridCol w:w="863"/>
      </w:tblGrid>
      <w:tr w:rsidR="00B23B94">
        <w:trPr>
          <w:trHeight w:val="645"/>
        </w:trPr>
        <w:tc>
          <w:tcPr>
            <w:tcW w:w="3365" w:type="dxa"/>
          </w:tcPr>
          <w:p w:rsidR="00B23B94" w:rsidRDefault="00B23B94">
            <w:pPr>
              <w:pStyle w:val="TableParagraph"/>
              <w:jc w:val="left"/>
              <w:rPr>
                <w:sz w:val="28"/>
              </w:rPr>
            </w:pPr>
          </w:p>
        </w:tc>
        <w:tc>
          <w:tcPr>
            <w:tcW w:w="2690" w:type="dxa"/>
          </w:tcPr>
          <w:p w:rsidR="00B23B94" w:rsidRDefault="003B2D3B">
            <w:pPr>
              <w:pStyle w:val="TableParagraph"/>
              <w:spacing w:before="81"/>
              <w:ind w:left="256" w:right="251"/>
              <w:rPr>
                <w:sz w:val="28"/>
              </w:rPr>
            </w:pPr>
            <w:r>
              <w:rPr>
                <w:sz w:val="28"/>
              </w:rPr>
              <w:t>Група порівняння</w:t>
            </w:r>
          </w:p>
        </w:tc>
        <w:tc>
          <w:tcPr>
            <w:tcW w:w="2688" w:type="dxa"/>
          </w:tcPr>
          <w:p w:rsidR="00B23B94" w:rsidRDefault="003B2D3B">
            <w:pPr>
              <w:pStyle w:val="TableParagraph"/>
              <w:spacing w:before="4" w:line="322" w:lineRule="exact"/>
              <w:ind w:left="553" w:right="437" w:hanging="94"/>
              <w:jc w:val="left"/>
              <w:rPr>
                <w:sz w:val="28"/>
              </w:rPr>
            </w:pPr>
            <w:r>
              <w:rPr>
                <w:sz w:val="28"/>
              </w:rPr>
              <w:t>Основна група (підгрупа 2b)</w:t>
            </w:r>
          </w:p>
        </w:tc>
        <w:tc>
          <w:tcPr>
            <w:tcW w:w="863" w:type="dxa"/>
          </w:tcPr>
          <w:p w:rsidR="00B23B94" w:rsidRDefault="003B2D3B">
            <w:pPr>
              <w:pStyle w:val="TableParagraph"/>
              <w:spacing w:before="81"/>
              <w:ind w:left="11"/>
              <w:rPr>
                <w:sz w:val="28"/>
              </w:rPr>
            </w:pPr>
            <w:r>
              <w:rPr>
                <w:sz w:val="28"/>
              </w:rPr>
              <w:t>р</w:t>
            </w:r>
          </w:p>
        </w:tc>
      </w:tr>
      <w:tr w:rsidR="00B23B94">
        <w:trPr>
          <w:trHeight w:val="479"/>
        </w:trPr>
        <w:tc>
          <w:tcPr>
            <w:tcW w:w="3365" w:type="dxa"/>
          </w:tcPr>
          <w:p w:rsidR="00B23B94" w:rsidRDefault="003B2D3B">
            <w:pPr>
              <w:pStyle w:val="TableParagraph"/>
              <w:spacing w:line="319" w:lineRule="exact"/>
              <w:ind w:left="416" w:right="408"/>
              <w:rPr>
                <w:sz w:val="28"/>
              </w:rPr>
            </w:pPr>
            <w:r>
              <w:rPr>
                <w:sz w:val="28"/>
              </w:rPr>
              <w:t>Середній ліжко-день</w:t>
            </w:r>
          </w:p>
        </w:tc>
        <w:tc>
          <w:tcPr>
            <w:tcW w:w="2690" w:type="dxa"/>
          </w:tcPr>
          <w:p w:rsidR="00B23B94" w:rsidRDefault="003B2D3B">
            <w:pPr>
              <w:pStyle w:val="TableParagraph"/>
              <w:spacing w:line="319" w:lineRule="exact"/>
              <w:ind w:left="256" w:right="249"/>
              <w:rPr>
                <w:sz w:val="28"/>
              </w:rPr>
            </w:pPr>
            <w:r>
              <w:rPr>
                <w:sz w:val="28"/>
              </w:rPr>
              <w:t>33,4±3,2 доби</w:t>
            </w:r>
          </w:p>
        </w:tc>
        <w:tc>
          <w:tcPr>
            <w:tcW w:w="2688" w:type="dxa"/>
          </w:tcPr>
          <w:p w:rsidR="00B23B94" w:rsidRDefault="003B2D3B">
            <w:pPr>
              <w:pStyle w:val="TableParagraph"/>
              <w:spacing w:line="319" w:lineRule="exact"/>
              <w:ind w:left="503" w:right="496"/>
              <w:rPr>
                <w:sz w:val="28"/>
              </w:rPr>
            </w:pPr>
            <w:r>
              <w:rPr>
                <w:sz w:val="28"/>
              </w:rPr>
              <w:t>31,2±2,8 доби</w:t>
            </w:r>
          </w:p>
        </w:tc>
        <w:tc>
          <w:tcPr>
            <w:tcW w:w="863" w:type="dxa"/>
          </w:tcPr>
          <w:p w:rsidR="00B23B94" w:rsidRDefault="003B2D3B">
            <w:pPr>
              <w:pStyle w:val="TableParagraph"/>
              <w:spacing w:line="319" w:lineRule="exact"/>
              <w:ind w:left="87" w:right="77"/>
              <w:rPr>
                <w:sz w:val="28"/>
              </w:rPr>
            </w:pPr>
            <w:r>
              <w:rPr>
                <w:sz w:val="28"/>
              </w:rPr>
              <w:t>&gt;0,05</w:t>
            </w:r>
          </w:p>
        </w:tc>
      </w:tr>
      <w:tr w:rsidR="00B23B94">
        <w:trPr>
          <w:trHeight w:val="642"/>
        </w:trPr>
        <w:tc>
          <w:tcPr>
            <w:tcW w:w="3365" w:type="dxa"/>
          </w:tcPr>
          <w:p w:rsidR="00B23B94" w:rsidRDefault="003B2D3B">
            <w:pPr>
              <w:pStyle w:val="TableParagraph"/>
              <w:spacing w:before="4" w:line="322" w:lineRule="exact"/>
              <w:ind w:left="1002" w:right="93" w:hanging="886"/>
              <w:jc w:val="left"/>
              <w:rPr>
                <w:sz w:val="28"/>
              </w:rPr>
            </w:pPr>
            <w:r>
              <w:rPr>
                <w:sz w:val="28"/>
              </w:rPr>
              <w:t>Частота післяопераційних ускладнень</w:t>
            </w:r>
          </w:p>
        </w:tc>
        <w:tc>
          <w:tcPr>
            <w:tcW w:w="2690" w:type="dxa"/>
          </w:tcPr>
          <w:p w:rsidR="00B23B94" w:rsidRDefault="003B2D3B">
            <w:pPr>
              <w:pStyle w:val="TableParagraph"/>
              <w:spacing w:before="81"/>
              <w:ind w:left="256" w:right="249"/>
              <w:rPr>
                <w:sz w:val="28"/>
              </w:rPr>
            </w:pPr>
            <w:r>
              <w:rPr>
                <w:sz w:val="28"/>
              </w:rPr>
              <w:t>10,3 %</w:t>
            </w:r>
          </w:p>
        </w:tc>
        <w:tc>
          <w:tcPr>
            <w:tcW w:w="2688" w:type="dxa"/>
          </w:tcPr>
          <w:p w:rsidR="00B23B94" w:rsidRDefault="003B2D3B">
            <w:pPr>
              <w:pStyle w:val="TableParagraph"/>
              <w:spacing w:before="81"/>
              <w:ind w:left="503" w:right="492"/>
              <w:rPr>
                <w:sz w:val="28"/>
              </w:rPr>
            </w:pPr>
            <w:r>
              <w:rPr>
                <w:sz w:val="28"/>
              </w:rPr>
              <w:t>8,7 %</w:t>
            </w:r>
          </w:p>
        </w:tc>
        <w:tc>
          <w:tcPr>
            <w:tcW w:w="863" w:type="dxa"/>
          </w:tcPr>
          <w:p w:rsidR="00B23B94" w:rsidRDefault="003B2D3B">
            <w:pPr>
              <w:pStyle w:val="TableParagraph"/>
              <w:spacing w:before="81"/>
              <w:ind w:left="87" w:right="77"/>
              <w:rPr>
                <w:sz w:val="28"/>
              </w:rPr>
            </w:pPr>
            <w:r>
              <w:rPr>
                <w:sz w:val="28"/>
              </w:rPr>
              <w:t>&gt;0,05</w:t>
            </w:r>
          </w:p>
        </w:tc>
      </w:tr>
      <w:tr w:rsidR="00B23B94">
        <w:trPr>
          <w:trHeight w:val="479"/>
        </w:trPr>
        <w:tc>
          <w:tcPr>
            <w:tcW w:w="3365" w:type="dxa"/>
          </w:tcPr>
          <w:p w:rsidR="00B23B94" w:rsidRDefault="003B2D3B">
            <w:pPr>
              <w:pStyle w:val="TableParagraph"/>
              <w:spacing w:line="319" w:lineRule="exact"/>
              <w:ind w:left="416" w:right="404"/>
              <w:rPr>
                <w:sz w:val="28"/>
              </w:rPr>
            </w:pPr>
            <w:r>
              <w:rPr>
                <w:sz w:val="28"/>
              </w:rPr>
              <w:t>Летальність</w:t>
            </w:r>
          </w:p>
        </w:tc>
        <w:tc>
          <w:tcPr>
            <w:tcW w:w="2690" w:type="dxa"/>
          </w:tcPr>
          <w:p w:rsidR="00B23B94" w:rsidRDefault="003B2D3B">
            <w:pPr>
              <w:pStyle w:val="TableParagraph"/>
              <w:spacing w:line="319" w:lineRule="exact"/>
              <w:ind w:left="256" w:right="249"/>
              <w:rPr>
                <w:sz w:val="28"/>
              </w:rPr>
            </w:pPr>
            <w:r>
              <w:rPr>
                <w:sz w:val="28"/>
              </w:rPr>
              <w:t>39,1 %</w:t>
            </w:r>
          </w:p>
        </w:tc>
        <w:tc>
          <w:tcPr>
            <w:tcW w:w="2688" w:type="dxa"/>
          </w:tcPr>
          <w:p w:rsidR="00B23B94" w:rsidRDefault="003B2D3B">
            <w:pPr>
              <w:pStyle w:val="TableParagraph"/>
              <w:spacing w:line="319" w:lineRule="exact"/>
              <w:ind w:left="502" w:right="496"/>
              <w:rPr>
                <w:sz w:val="28"/>
              </w:rPr>
            </w:pPr>
            <w:r>
              <w:rPr>
                <w:sz w:val="28"/>
              </w:rPr>
              <w:t>26,1 %</w:t>
            </w:r>
          </w:p>
        </w:tc>
        <w:tc>
          <w:tcPr>
            <w:tcW w:w="863" w:type="dxa"/>
          </w:tcPr>
          <w:p w:rsidR="00B23B94" w:rsidRDefault="003B2D3B">
            <w:pPr>
              <w:pStyle w:val="TableParagraph"/>
              <w:spacing w:line="319" w:lineRule="exact"/>
              <w:ind w:left="87" w:right="77"/>
              <w:rPr>
                <w:sz w:val="28"/>
              </w:rPr>
            </w:pPr>
            <w:r>
              <w:rPr>
                <w:sz w:val="28"/>
              </w:rPr>
              <w:t>&gt;0,05</w:t>
            </w:r>
          </w:p>
        </w:tc>
      </w:tr>
    </w:tbl>
    <w:p w:rsidR="00B23B94" w:rsidRDefault="00B23B94">
      <w:pPr>
        <w:pStyle w:val="a3"/>
        <w:ind w:left="0"/>
        <w:jc w:val="left"/>
        <w:rPr>
          <w:b/>
          <w:sz w:val="20"/>
        </w:rPr>
      </w:pPr>
    </w:p>
    <w:p w:rsidR="00B23B94" w:rsidRDefault="003B2D3B">
      <w:pPr>
        <w:pStyle w:val="a3"/>
        <w:spacing w:before="252" w:line="360" w:lineRule="auto"/>
        <w:ind w:left="542" w:right="787" w:firstLine="707"/>
      </w:pPr>
      <w:r>
        <w:t>Отже, використання розробленого алгоритму диференційованої хірургічної тактики дозволяє знизити частоту повторних операцій та рівень смертності при лікуванні інфекційно-септичних ускладнень деструктивного панкреатиту на 13,0%.</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1"/>
        <w:spacing w:before="89"/>
        <w:ind w:left="526" w:right="769"/>
        <w:jc w:val="center"/>
      </w:pPr>
      <w:r>
        <w:lastRenderedPageBreak/>
        <w:t>АНАЛАЗ ТА УЗАГАЛЬНЕННЯ РЕЗУЛЬТАТІВ</w:t>
      </w:r>
    </w:p>
    <w:p w:rsidR="00B23B94" w:rsidRDefault="003B2D3B">
      <w:pPr>
        <w:pStyle w:val="a3"/>
        <w:spacing w:before="164" w:line="360" w:lineRule="auto"/>
        <w:ind w:left="542" w:right="786" w:firstLine="707"/>
      </w:pPr>
      <w:r>
        <w:t>Гострий панкреатит займає провідну позицію серед структури ургентних абдомінальних захворювань, у деяких регіонах відтіснивши на другий план гострий апендицит. За даними різних авторів захворюваність на ГП</w:t>
      </w:r>
      <w:r>
        <w:rPr>
          <w:spacing w:val="49"/>
        </w:rPr>
        <w:t xml:space="preserve"> </w:t>
      </w:r>
      <w:r>
        <w:t>складає</w:t>
      </w:r>
      <w:r>
        <w:rPr>
          <w:spacing w:val="50"/>
        </w:rPr>
        <w:t xml:space="preserve"> </w:t>
      </w:r>
      <w:r>
        <w:t>від</w:t>
      </w:r>
      <w:r>
        <w:rPr>
          <w:spacing w:val="52"/>
        </w:rPr>
        <w:t xml:space="preserve"> </w:t>
      </w:r>
      <w:r>
        <w:t>8,6</w:t>
      </w:r>
      <w:r>
        <w:rPr>
          <w:spacing w:val="49"/>
        </w:rPr>
        <w:t xml:space="preserve"> </w:t>
      </w:r>
      <w:r>
        <w:t>до</w:t>
      </w:r>
      <w:r>
        <w:rPr>
          <w:spacing w:val="53"/>
        </w:rPr>
        <w:t xml:space="preserve"> </w:t>
      </w:r>
      <w:r>
        <w:t>47</w:t>
      </w:r>
      <w:r>
        <w:rPr>
          <w:spacing w:val="52"/>
        </w:rPr>
        <w:t xml:space="preserve"> </w:t>
      </w:r>
      <w:r>
        <w:t>на</w:t>
      </w:r>
      <w:r>
        <w:rPr>
          <w:spacing w:val="51"/>
        </w:rPr>
        <w:t xml:space="preserve"> </w:t>
      </w:r>
      <w:r>
        <w:t>10</w:t>
      </w:r>
      <w:r>
        <w:rPr>
          <w:spacing w:val="52"/>
        </w:rPr>
        <w:t xml:space="preserve"> </w:t>
      </w:r>
      <w:r>
        <w:t>000</w:t>
      </w:r>
      <w:r>
        <w:rPr>
          <w:spacing w:val="52"/>
        </w:rPr>
        <w:t xml:space="preserve"> </w:t>
      </w:r>
      <w:r>
        <w:t>населення.</w:t>
      </w:r>
      <w:r>
        <w:rPr>
          <w:spacing w:val="51"/>
        </w:rPr>
        <w:t xml:space="preserve"> </w:t>
      </w:r>
      <w:r>
        <w:t>Деструктивні</w:t>
      </w:r>
      <w:r>
        <w:rPr>
          <w:spacing w:val="52"/>
        </w:rPr>
        <w:t xml:space="preserve"> </w:t>
      </w:r>
      <w:r>
        <w:t>форми</w:t>
      </w:r>
      <w:r>
        <w:rPr>
          <w:spacing w:val="51"/>
        </w:rPr>
        <w:t xml:space="preserve"> </w:t>
      </w:r>
      <w:r>
        <w:t>цього</w:t>
      </w:r>
    </w:p>
    <w:p w:rsidR="00B23B94" w:rsidRDefault="003B2D3B">
      <w:pPr>
        <w:pStyle w:val="a3"/>
        <w:spacing w:line="360" w:lineRule="auto"/>
        <w:ind w:left="542" w:right="782"/>
      </w:pPr>
      <w:r>
        <w:t>захворювання розвиваються у 15-25% пацієнтів [2, 15, 22, 28, 40, 46, 68]. Згідно даних закордонних авторів, летальність при ДГП коливається в межах 27-45%</w:t>
      </w:r>
      <w:r>
        <w:rPr>
          <w:spacing w:val="33"/>
        </w:rPr>
        <w:t xml:space="preserve"> </w:t>
      </w:r>
      <w:r>
        <w:t>[3,</w:t>
      </w:r>
      <w:r>
        <w:rPr>
          <w:spacing w:val="33"/>
        </w:rPr>
        <w:t xml:space="preserve"> </w:t>
      </w:r>
      <w:r>
        <w:t>36,</w:t>
      </w:r>
      <w:r>
        <w:rPr>
          <w:spacing w:val="36"/>
        </w:rPr>
        <w:t xml:space="preserve"> </w:t>
      </w:r>
      <w:r>
        <w:t>37,</w:t>
      </w:r>
      <w:r>
        <w:rPr>
          <w:spacing w:val="33"/>
        </w:rPr>
        <w:t xml:space="preserve"> </w:t>
      </w:r>
      <w:r>
        <w:t>68-70,</w:t>
      </w:r>
      <w:r>
        <w:rPr>
          <w:spacing w:val="33"/>
        </w:rPr>
        <w:t xml:space="preserve"> </w:t>
      </w:r>
      <w:r>
        <w:t>73,</w:t>
      </w:r>
      <w:r>
        <w:rPr>
          <w:spacing w:val="34"/>
        </w:rPr>
        <w:t xml:space="preserve"> </w:t>
      </w:r>
      <w:r>
        <w:t>83,</w:t>
      </w:r>
      <w:r>
        <w:rPr>
          <w:spacing w:val="33"/>
        </w:rPr>
        <w:t xml:space="preserve"> </w:t>
      </w:r>
      <w:r>
        <w:t>111,</w:t>
      </w:r>
      <w:r>
        <w:rPr>
          <w:spacing w:val="33"/>
        </w:rPr>
        <w:t xml:space="preserve"> </w:t>
      </w:r>
      <w:r>
        <w:t>125].</w:t>
      </w:r>
      <w:r>
        <w:rPr>
          <w:spacing w:val="34"/>
        </w:rPr>
        <w:t xml:space="preserve"> </w:t>
      </w:r>
      <w:r>
        <w:t>В</w:t>
      </w:r>
      <w:r>
        <w:rPr>
          <w:spacing w:val="34"/>
        </w:rPr>
        <w:t xml:space="preserve"> </w:t>
      </w:r>
      <w:r>
        <w:t>Україні</w:t>
      </w:r>
      <w:r>
        <w:rPr>
          <w:spacing w:val="36"/>
        </w:rPr>
        <w:t xml:space="preserve"> </w:t>
      </w:r>
      <w:r>
        <w:t>захворюваність</w:t>
      </w:r>
      <w:r>
        <w:rPr>
          <w:spacing w:val="33"/>
        </w:rPr>
        <w:t xml:space="preserve"> </w:t>
      </w:r>
      <w:r>
        <w:t>на</w:t>
      </w:r>
      <w:r>
        <w:rPr>
          <w:spacing w:val="34"/>
        </w:rPr>
        <w:t xml:space="preserve"> </w:t>
      </w:r>
      <w:r>
        <w:t>ГП</w:t>
      </w:r>
    </w:p>
    <w:p w:rsidR="00B23B94" w:rsidRDefault="003B2D3B">
      <w:pPr>
        <w:pStyle w:val="a3"/>
        <w:spacing w:line="360" w:lineRule="auto"/>
        <w:ind w:left="542" w:right="783"/>
      </w:pPr>
      <w:r>
        <w:t>коливається в межах 9-17 на 10 000 населення [3, 21, 70, 73]. В свою чергу, ДГП розвивається приблизно у 15-20%, а в деяких регіонах — до 30% хворих на ГП [33, 56].</w:t>
      </w:r>
    </w:p>
    <w:p w:rsidR="00B23B94" w:rsidRDefault="003B2D3B">
      <w:pPr>
        <w:pStyle w:val="a3"/>
        <w:spacing w:line="360" w:lineRule="auto"/>
        <w:ind w:left="542" w:right="791" w:firstLine="707"/>
      </w:pPr>
      <w:r>
        <w:t>Незважаючи на наявність великої кількості інформації щодо лікування ГТП, летальність при даному захворюванні залишається доволі високою. Незважаючи на те, що майже кожен третій хворий на ГТП помирає від розвитку ГСУ, оптимальні терміни оперативного втручання і сама хірургічна тактика лікування цієї категорії пацієнтів залишається чітко не визначеною.</w:t>
      </w:r>
    </w:p>
    <w:p w:rsidR="00B23B94" w:rsidRDefault="003B2D3B">
      <w:pPr>
        <w:pStyle w:val="a3"/>
        <w:spacing w:line="360" w:lineRule="auto"/>
        <w:ind w:left="542" w:right="786" w:firstLine="707"/>
      </w:pPr>
      <w:r>
        <w:t>Тому метою нашого дослідження було поліпшити результати лікування хворих з ускладненим перебігом деструктивного панкреатиту шляхом визначення оптимальних термінів та методів хірургічних втручань в залежності від форми та локалізації інфікованого парапанкреатичного осередку.</w:t>
      </w:r>
    </w:p>
    <w:p w:rsidR="00B23B94" w:rsidRDefault="003B2D3B">
      <w:pPr>
        <w:pStyle w:val="a3"/>
        <w:spacing w:line="360" w:lineRule="auto"/>
        <w:ind w:left="542" w:right="783" w:firstLine="707"/>
      </w:pPr>
      <w:r>
        <w:t>Для досягнення поставленої мети було проведено двоетапний ретро- і проспективний аналіз лікування 127 хворих з інфекційно-септичними ускладненнями гострого деструктивного панкреатиту, які знаходилися на лікуванні на базі Комунального підприємства "Полтавська обласна клінічна лікарня ім. М.В. Скліфосовського Полтавської обласної ради" з 2010 по 2018 роки. В дослідження увійшли хворі з тяжким та середній ступенем тяжкості гострого панкреатиту згідно з класифікацією Атланта (2012).</w:t>
      </w:r>
    </w:p>
    <w:p w:rsidR="00B23B94" w:rsidRDefault="003B2D3B">
      <w:pPr>
        <w:pStyle w:val="a3"/>
        <w:spacing w:before="1" w:line="360" w:lineRule="auto"/>
        <w:ind w:left="542" w:right="782" w:firstLine="707"/>
      </w:pPr>
      <w:r>
        <w:t>До дослідження не потрапили пацієнти з прогресуючою (фульмінантною формою) ПОН, термінальним станом при госпіталізації,</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91"/>
      </w:pPr>
      <w:r>
        <w:lastRenderedPageBreak/>
        <w:t>наявністю хронічних захворювань в стадії декомпенсації, вагітні, онкохворі, діти до 18 років, а також у разі відмови пацієнта від обстеження.</w:t>
      </w:r>
    </w:p>
    <w:p w:rsidR="00B23B94" w:rsidRDefault="003B2D3B">
      <w:pPr>
        <w:pStyle w:val="a3"/>
        <w:spacing w:line="360" w:lineRule="auto"/>
        <w:ind w:left="542" w:right="783" w:firstLine="707"/>
      </w:pPr>
      <w:r>
        <w:t>Під час першого етапу дослідження було проаналізовано діагностичну та лікувальну тактику у 87 пацієнтів (група порівняння) з парапанкреатичними інфекційно-септичними ускладненнями деструктивного панкреатиту. Визначено ключові діагностичні та лікувальні ознаки, які в деяких випадках призводили до несприятливих результатів лікування.</w:t>
      </w:r>
    </w:p>
    <w:p w:rsidR="00B23B94" w:rsidRDefault="003B2D3B">
      <w:pPr>
        <w:pStyle w:val="a3"/>
        <w:spacing w:line="360" w:lineRule="auto"/>
        <w:ind w:left="542" w:right="786" w:firstLine="707"/>
      </w:pPr>
      <w:r>
        <w:t>На другому етапі дослідження проведено аналіз лікування 40 хворих (основна група) з розподілом їх на 2 підгрупи. Першу підгрупу (2а, n=17) склали пацієнти, у яких окрім стандартних методів обстеження додатково проводилося визначення гормонів щитоподібної залози (прокальцитоніну, трийодтироніну, вільного трийодтироніну, тетрайодтироніну, тиреотропного гормону, С-реактивного білку) з метою прогнозування несприятливого перебігу у пацієнтів з ГСУ при гострому тяжкому панкреатиті. Розроблено алгоритм диференційованої хірургічної тактики в залежності від локалізації та характеру інфікованого септичного осередку. До другої підгрупи включено 23 пацієнти (2b, n=23), тактика лікування яких була змінена з врахуванням даних, отриманих на попередньому етапі дослідження. Після цього було проведено порівняння результатів лікування групи пацієнтів що лікувалися за традиційними підходами, та пацієнтів основної</w:t>
      </w:r>
      <w:r>
        <w:rPr>
          <w:spacing w:val="-14"/>
        </w:rPr>
        <w:t xml:space="preserve"> </w:t>
      </w:r>
      <w:r>
        <w:t>групи.</w:t>
      </w:r>
    </w:p>
    <w:p w:rsidR="00B23B94" w:rsidRDefault="003B2D3B">
      <w:pPr>
        <w:pStyle w:val="a3"/>
        <w:spacing w:line="360" w:lineRule="auto"/>
        <w:ind w:left="542" w:right="783" w:firstLine="707"/>
      </w:pPr>
      <w:r>
        <w:t>Середній вік досліджуваних груп складав 47,87±14,53 роки – що визначає цих пацієнтів як осіб працездатного віку, що ще більше робить тему дослідження актуальною. Чоловіків було в 2,3 більше ніж жінок, переважна більшість пацієнтів була госпіталізована до стаціонару через 24-48 годин від дебюту захворювання (64% - ретроспективна група і 60,8% - проспективна відповідно).</w:t>
      </w:r>
    </w:p>
    <w:p w:rsidR="00B23B94" w:rsidRDefault="003B2D3B">
      <w:pPr>
        <w:pStyle w:val="a3"/>
        <w:spacing w:line="360" w:lineRule="auto"/>
        <w:ind w:left="542" w:right="789" w:firstLine="707"/>
      </w:pPr>
      <w:r>
        <w:t>В обох групах етіологічним чинником переважно було зловживання алкоголем (43,6% і 45,5% ретро- і проспективна група відповідно).</w:t>
      </w:r>
    </w:p>
    <w:p w:rsidR="00B23B94" w:rsidRDefault="003B2D3B">
      <w:pPr>
        <w:pStyle w:val="a3"/>
        <w:spacing w:line="360" w:lineRule="auto"/>
        <w:ind w:left="542" w:right="787" w:firstLine="707"/>
      </w:pPr>
      <w:r>
        <w:t>У групі порівняння тяжкість стану пацієнта оцінювали за шкалою BISAP (Bedside index for severity in acute pancreatitis) при госпіталізації, через</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6"/>
      </w:pPr>
      <w:r>
        <w:lastRenderedPageBreak/>
        <w:t>48 годин, і в динаміці в залежності від перебігу захворювання. Критеріями на які звертали увагу було: рівень сечовини в крові понад 8,9 ммоль/л, порушення ментально статусу, дві і більше ознаки SIRS, вік хворого понад 60 років і наявність реактивного плевриту. Кожен показник оцінювали в 1 бал. Три і більше балів свідчило про високий ризик розвитку ПОН і високий ризик летальності (таблиця 2.7). Наявність поліорганної недостатності констатували за шкалою Marshal (модифікація 2012</w:t>
      </w:r>
      <w:r>
        <w:rPr>
          <w:spacing w:val="-7"/>
        </w:rPr>
        <w:t xml:space="preserve"> </w:t>
      </w:r>
      <w:r>
        <w:t>року).</w:t>
      </w:r>
    </w:p>
    <w:p w:rsidR="00B23B94" w:rsidRDefault="003B2D3B">
      <w:pPr>
        <w:pStyle w:val="a3"/>
        <w:spacing w:before="2" w:line="360" w:lineRule="auto"/>
        <w:ind w:left="542" w:right="785" w:firstLine="707"/>
      </w:pPr>
      <w:r>
        <w:t>Градацію тяжкості гострого панкреатиту визначали згідно з класифікацією Атланти третього перегляду 2012 року. Результати представлені в таблиці 2.6.</w:t>
      </w:r>
    </w:p>
    <w:p w:rsidR="00B23B94" w:rsidRDefault="003B2D3B">
      <w:pPr>
        <w:pStyle w:val="a3"/>
        <w:spacing w:before="1" w:line="360" w:lineRule="auto"/>
        <w:ind w:left="542" w:right="782" w:firstLine="707"/>
      </w:pPr>
      <w:r>
        <w:t>Для зручності визначення поширеності локальних парапанкреатичних інфекційно-септичних ускладнень гострого тяжкого панкреатиту, черевна порожнина була умовно поділена на 8 ЗППН: 1 – парапанкреатична клітковина, сальникова сумка; 2 – ділянка селезінкового кута ободової кишки; 3 – клітковина панкреато-дуоденальної зони; 4 – ліва піддіафрагмальна ділянка; 5 – права ретрокалярна ділянка; 6 – ліва ретрокалярна ділянка; 7 – корінь брижі тонкої кишки; 8 – клітковина малого тазу. Поширеність та характер парапанкреатичних скупчень визначала за допомогою УЗ-діагностики або комп’ютерної томографії при госпіталізації, через 48 годин після госпіталізації, а також на 6-7, 12-14, 20-21 добу, в залежності від перебігу захворювання</w:t>
      </w:r>
      <w:r>
        <w:rPr>
          <w:spacing w:val="-7"/>
        </w:rPr>
        <w:t xml:space="preserve"> </w:t>
      </w:r>
      <w:r>
        <w:t>(табл.3.1).</w:t>
      </w:r>
    </w:p>
    <w:p w:rsidR="00B23B94" w:rsidRDefault="003B2D3B">
      <w:pPr>
        <w:pStyle w:val="a3"/>
        <w:spacing w:line="360" w:lineRule="auto"/>
        <w:ind w:left="542" w:right="787" w:firstLine="707"/>
      </w:pPr>
      <w:r>
        <w:t>На початку дослідження було встановлено пряму залежність між поширеністю локальних парапанкреатичних ускладнень та перебігом органної дисфункції у пацієнтів з гострим тяжким панкреатитом. Так при поширеності парапанкреатичних локальних ускладнень на 1 чи 2 ЗППН, тривалість ПОД спостерігалося лише у 12,5% пацієнтів, при поширеності на 3-4 ЗППН – 30-44% хворих, а при поширеності локальних ускладнень більше ніж 5 ЗППН, персистуюча ПОД спостерігалася майже у всіх пацієнтів (&gt;80%).</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0" w:firstLine="707"/>
      </w:pPr>
      <w:r>
        <w:lastRenderedPageBreak/>
        <w:t>Всі пацієнти при госпіталізації отримували базисну консервативну терапію, яка включала в себе антибактеріальну терапію (наказ МОЗ №297 від 02.04.2010р), відновлення дефіциту ОЦК, знеболюючу та спазмолітичну терапію, а також профілактику тромбоемболічних ускладнень. Надавали перевагу ранньому ентеральному харчуванню.</w:t>
      </w:r>
    </w:p>
    <w:p w:rsidR="00B23B94" w:rsidRDefault="003B2D3B">
      <w:pPr>
        <w:pStyle w:val="a3"/>
        <w:spacing w:before="3" w:line="360" w:lineRule="auto"/>
        <w:ind w:left="542" w:right="783" w:firstLine="707"/>
      </w:pPr>
      <w:r>
        <w:t>Хірургічна тактика лікування хворих ретроспективної групи в цілому відповідала загальноприйнятим стандартам і спиралася переважно на характер парапанкреатичних ускладнень і поширеність локального процесу. Так при поширеності рідинних скупчень без секвестральних мас на 1 чи 2 ЗППН, хворим виконували дренування під УЗ-контролем. Отримані виділення під час дренування відправляли на дообстеження: бактеріоскопію, рівень амілази, посів на мікрофлору та на дослідження чутливості до антибактеріальних препаратів. Показанням до полідренування було поширення рідинних скупчень на 2-4 ЗППН, з переважанням рідинного компоненту (5 пацієнтів – 5,7%), при цьому завершальним етапом лікування воно було у 1 пацієнта (1,1%). Всі інші потребували подальшого дообстеження та відкритих оперативних втручань.</w:t>
      </w:r>
    </w:p>
    <w:p w:rsidR="00B23B94" w:rsidRDefault="003B2D3B">
      <w:pPr>
        <w:pStyle w:val="a3"/>
        <w:spacing w:line="360" w:lineRule="auto"/>
        <w:ind w:left="542" w:right="782" w:firstLine="707"/>
      </w:pPr>
      <w:r>
        <w:t>У разі поширення процесу на 3 та більше ЗППН або за даними променевих методів обстеження констатували наявність секвестральних мас, в переважній більшості випадків виконували лапаротомію з НСЕ (47 пацієнтів – 54,0%). Об’єм втручання прямо залежав від поширеності гнійно- запального процесу, частіше за все виконувалася лапаротомія з одно- чи двобічною люмботомією (табл. 3.7). Було встановлено, що частота повторний (етапних) НСЕ була майже однаковою у пацієнтів шо оперовані на 12-14 і 20- 21 добу, і складала майже</w:t>
      </w:r>
      <w:r>
        <w:rPr>
          <w:spacing w:val="-8"/>
        </w:rPr>
        <w:t xml:space="preserve"> </w:t>
      </w:r>
      <w:r>
        <w:t>40%.</w:t>
      </w:r>
    </w:p>
    <w:p w:rsidR="00B23B94" w:rsidRDefault="003B2D3B">
      <w:pPr>
        <w:pStyle w:val="a3"/>
        <w:spacing w:line="360" w:lineRule="auto"/>
        <w:ind w:left="542" w:right="783" w:firstLine="707"/>
      </w:pPr>
      <w:r>
        <w:t>Однак незважаючи на проведене лікування, у даній групі пацієнтів спостерігалося високий рівень післяопераційних ускладнень – 9 (10,3%) пацієнтів. Слід відмітити, що всі ускладнення виникали після відкритих операцій, ускладнень після дренування/полідренування не спостерігалося. Самим поширеним ускладненням було арозивна кровотеча (5,7%), кишкова</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pPr>
      <w:r>
        <w:lastRenderedPageBreak/>
        <w:t>нориця (4,5%). Окрім цього, рівень летальності склав 39,1%, а частота повторних хірургічних втручань – 46%. При цьому відмічено, що частіше етапні НСЕ виконували пацієнтам, у яких патологічний процес поширювався на 3 і більше ЗППН. Таким чином, тяжкість стану, а також перебіг органної дисфункції не дають оптимальних термінів і показань до відкритої хірургічної тактики.</w:t>
      </w:r>
    </w:p>
    <w:p w:rsidR="00B23B94" w:rsidRDefault="003B2D3B">
      <w:pPr>
        <w:pStyle w:val="a3"/>
        <w:spacing w:before="2" w:line="360" w:lineRule="auto"/>
        <w:ind w:left="542" w:right="784" w:firstLine="707"/>
      </w:pPr>
      <w:r>
        <w:t xml:space="preserve">Весь біологічний матеріал (174 аналіза: 87 – первинний пасаж, 87 – вторинний пасаж), отриманий після дренування/полідренування, відкритих НСЕ відправлявся на бактеріологічне та бактеріоскопічне дослідження, виконувалися посіви матеріалу на живильне середовище з визначенням збудника та чутливості до антибактеріальних препаратів. Так з’ясовано, </w:t>
      </w:r>
      <w:r>
        <w:rPr>
          <w:spacing w:val="-3"/>
        </w:rPr>
        <w:t xml:space="preserve">що </w:t>
      </w:r>
      <w:r>
        <w:t>при первинному бактеріальному пасажі після дренування парапанкреатичних рідинних скупчень (49 випадків) ріст мікрофлори спостерігався лише у 14 пацієнтів (28,6%), відсутність аеробної флори – 35 пацієнтів (71,4%). При бактеріологічному дослідженні виявлено переважання грам позитивної флори (58,2%) що була представлена переважно трьома збудниками: S.epidermidis (23,0%), S. аureus (5,3%), Streptococcus spp. (14,9%), Enterococcus spp. (16,1%). Тоді як грам-негативна флора була представлена єдиним представником – E. сoli</w:t>
      </w:r>
      <w:r>
        <w:rPr>
          <w:spacing w:val="-4"/>
        </w:rPr>
        <w:t xml:space="preserve"> </w:t>
      </w:r>
      <w:r>
        <w:t>(41,8%).</w:t>
      </w:r>
    </w:p>
    <w:p w:rsidR="00B23B94" w:rsidRDefault="003B2D3B">
      <w:pPr>
        <w:pStyle w:val="a3"/>
        <w:spacing w:before="1" w:line="360" w:lineRule="auto"/>
        <w:ind w:left="542" w:right="782" w:firstLine="707"/>
      </w:pPr>
      <w:r>
        <w:t>У повторному бактеріальному пасажі ріст мікрофлори виявляли уже у 77,6% випадках (38 пацієнтів), тоді як стерильними аналізи були всього у 11 пацієнтів. Також відмічено видову зміну збудників, а саме в повторному бактеріальному пасажі уже переважала грам-негативна флора (E. coli  – 21,8% та Klebsiella ssp. – 9,2%), а також виявлено різкий приріст внутрішньолікарняних грам-негативних штамів – збудників ГСУ при гострому тяжкому панкреатиті, таких як Enterobacter spp. (4,6%), Proteus spp. (5,7%), Pseudomonas aeruginosae (6,9%), Citrobacter spp. (2,3%), Acinetobacter spp. (4,6%). Окрім цього, слід відмітити приріст більше ніж у 3 рази S. аureus (16,1%). Визначали концентрацію мікробних тіл в досліджуваному ексудаті, якщо</w:t>
      </w:r>
      <w:r>
        <w:rPr>
          <w:spacing w:val="16"/>
        </w:rPr>
        <w:t xml:space="preserve"> </w:t>
      </w:r>
      <w:r>
        <w:t>при</w:t>
      </w:r>
      <w:r>
        <w:rPr>
          <w:spacing w:val="16"/>
        </w:rPr>
        <w:t xml:space="preserve"> </w:t>
      </w:r>
      <w:r>
        <w:t>первинному</w:t>
      </w:r>
      <w:r>
        <w:rPr>
          <w:spacing w:val="11"/>
        </w:rPr>
        <w:t xml:space="preserve"> </w:t>
      </w:r>
      <w:r>
        <w:t>бактеріальному</w:t>
      </w:r>
      <w:r>
        <w:rPr>
          <w:spacing w:val="12"/>
        </w:rPr>
        <w:t xml:space="preserve"> </w:t>
      </w:r>
      <w:r>
        <w:t>пасажі</w:t>
      </w:r>
      <w:r>
        <w:rPr>
          <w:spacing w:val="17"/>
        </w:rPr>
        <w:t xml:space="preserve"> </w:t>
      </w:r>
      <w:r>
        <w:t>відзначали</w:t>
      </w:r>
      <w:r>
        <w:rPr>
          <w:spacing w:val="15"/>
        </w:rPr>
        <w:t xml:space="preserve"> </w:t>
      </w:r>
      <w:r>
        <w:t>невелику</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pPr>
      <w:r>
        <w:lastRenderedPageBreak/>
        <w:t>концентрацію мікроорганізмів (&lt;10</w:t>
      </w:r>
      <w:r>
        <w:rPr>
          <w:vertAlign w:val="superscript"/>
        </w:rPr>
        <w:t>3</w:t>
      </w:r>
      <w:r>
        <w:t xml:space="preserve"> КУО/мл) у переважній більшості посівів (70,4%), то уже у повторному бактеріальному посіві виявлялася діаметрально-протилежна картина – 66,4% пацієнтів з високим (&gt;10</w:t>
      </w:r>
      <w:r>
        <w:rPr>
          <w:vertAlign w:val="superscript"/>
        </w:rPr>
        <w:t>5</w:t>
      </w:r>
      <w:r>
        <w:t xml:space="preserve"> КУО/мл) вмістом мікробних тіл (табл.</w:t>
      </w:r>
      <w:r>
        <w:rPr>
          <w:spacing w:val="-2"/>
        </w:rPr>
        <w:t xml:space="preserve"> </w:t>
      </w:r>
      <w:r>
        <w:t>3.11).</w:t>
      </w:r>
    </w:p>
    <w:p w:rsidR="00B23B94" w:rsidRDefault="003B2D3B">
      <w:pPr>
        <w:pStyle w:val="a3"/>
        <w:spacing w:before="1" w:line="362" w:lineRule="auto"/>
        <w:ind w:left="542" w:right="784" w:firstLine="707"/>
      </w:pPr>
      <w:r>
        <w:t>Проводили визначення чутливості мікроорганізмів до антибактеріальних препаратів. Результати представлені в таблицях 3.11 і</w:t>
      </w:r>
    </w:p>
    <w:p w:rsidR="00B23B94" w:rsidRDefault="003B2D3B">
      <w:pPr>
        <w:pStyle w:val="a3"/>
        <w:spacing w:line="360" w:lineRule="auto"/>
        <w:ind w:left="542" w:right="787"/>
      </w:pPr>
      <w:r>
        <w:t>3.12. Слід зазначити, що при первинному бактеріальному пасажі відмічалося високий рівень чутливості до переважної більшості антибактеріальних препаратів (лише 5 препаратів із 24 досліджуваних мали чутливість менше 50%), тоді як при визначенні чутливості до антибактеріальних препаратів повторного бактеріального пасажу визначалося зниження даного показника (14 із 24 мали чутливість менше 50%).</w:t>
      </w:r>
    </w:p>
    <w:p w:rsidR="00B23B94" w:rsidRDefault="003B2D3B">
      <w:pPr>
        <w:pStyle w:val="a3"/>
        <w:spacing w:line="360" w:lineRule="auto"/>
        <w:ind w:left="542" w:right="784" w:firstLine="707"/>
      </w:pPr>
      <w:r>
        <w:t>Окремо слід зазначити, що спостерігалася тенденція до зниження чутливості до антибіотиків резерву. Так чутливість до меропенему знизилася з 67,1% до 51,7%, а також до тігецикліну – з 85,7% до 65,2%.</w:t>
      </w:r>
    </w:p>
    <w:p w:rsidR="00B23B94" w:rsidRDefault="003B2D3B">
      <w:pPr>
        <w:pStyle w:val="a3"/>
        <w:spacing w:line="360" w:lineRule="auto"/>
        <w:ind w:left="542" w:right="783" w:firstLine="707"/>
      </w:pPr>
      <w:r>
        <w:t>Таким чином, рутинне первинне дренування парапанкреатичних локальних ускладнень гострого тяжкого панкреатиту під УЗ-контролем призводить до раннього інфікування даних скупчень та збільшення майже на третину госпітальних штамів та S.aureus. як насліок, раннє призначення антибактеріальних препаратів резерву призводить до розвитку мультирезистентності госпітальної інфекції, що в подальшому негативно позначається на антибіотикотерапії після відкритих НСЕ і погіршує прогноз даних пацієнтів.</w:t>
      </w:r>
    </w:p>
    <w:p w:rsidR="00B23B94" w:rsidRDefault="003B2D3B">
      <w:pPr>
        <w:pStyle w:val="a3"/>
        <w:spacing w:line="360" w:lineRule="auto"/>
        <w:ind w:left="542" w:right="784" w:firstLine="707"/>
      </w:pPr>
      <w:r>
        <w:t>На другому етапі дослідження окрім стандартного обстеження, додатково проводили визначення рівня прокальцитоніну, С-реактивного білка, а також гормонів тиреоїдного профілю: Т</w:t>
      </w:r>
      <w:r>
        <w:rPr>
          <w:vertAlign w:val="subscript"/>
        </w:rPr>
        <w:t>3</w:t>
      </w:r>
      <w:r>
        <w:t>, Т</w:t>
      </w:r>
      <w:r>
        <w:rPr>
          <w:vertAlign w:val="subscript"/>
        </w:rPr>
        <w:t>4</w:t>
      </w:r>
      <w:r>
        <w:t>, ТТГ, Т</w:t>
      </w:r>
      <w:r>
        <w:rPr>
          <w:vertAlign w:val="subscript"/>
        </w:rPr>
        <w:t>3вільного</w:t>
      </w:r>
      <w:r>
        <w:t xml:space="preserve"> у пацієнтів 2а підрупи (n=17) основної групи. Обстеження проводили перед запланованим оперативним втручанням. Інфікованим парапанкреатичне рідинне скупчення вважали при підвищенні рівня прокальцитоніну вище 3,8 нг/мл, С-реактивний білок вважали маркером розвитку гнійно-септичних</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93"/>
      </w:pPr>
      <w:r>
        <w:lastRenderedPageBreak/>
        <w:t>ускладнень при гострому тяжкому панкреатиті при підвищенні концентрації вище 100,0 мг/л (згідно рекомендацій WSES 2019р).</w:t>
      </w:r>
    </w:p>
    <w:p w:rsidR="00B23B94" w:rsidRDefault="003B2D3B">
      <w:pPr>
        <w:pStyle w:val="a3"/>
        <w:spacing w:line="360" w:lineRule="auto"/>
        <w:ind w:left="542" w:right="783" w:firstLine="707"/>
      </w:pPr>
      <w:r>
        <w:t>Розвиток синдрому низького трийодтироніну вважали коли рівень Т</w:t>
      </w:r>
      <w:r>
        <w:rPr>
          <w:vertAlign w:val="subscript"/>
        </w:rPr>
        <w:t>3вільного</w:t>
      </w:r>
      <w:r>
        <w:t xml:space="preserve"> складав менше 2,5 нмоль/л. Обов’язково визначали рівень гормонів трийодтироніну, тетрайодтироніну та тиреотропного гормону для виключення захворювань щитоподібної залози, що могло дати хибні результати (табл.4.5). У 2а підгрупі основної групи, відхилень нормальному рівні тиреоїдних гормонів не спостерігалося. Проведений аналіз потенційних маркерів ГСУ у пацієнтів 2а підгрупи основної групи і було встановлено, що у пацієнтів з середньо-важким панкреатитом, підвищення рівня проСа більше 3,8 нг/мл відмічалося у 10% пацієнтів, підвищення рівня СРБ вище 100,0</w:t>
      </w:r>
      <w:r>
        <w:rPr>
          <w:spacing w:val="-9"/>
        </w:rPr>
        <w:t xml:space="preserve"> </w:t>
      </w:r>
      <w:r>
        <w:t>мг/л</w:t>
      </w:r>
    </w:p>
    <w:p w:rsidR="00B23B94" w:rsidRDefault="003B2D3B">
      <w:pPr>
        <w:pStyle w:val="a3"/>
        <w:spacing w:line="360" w:lineRule="auto"/>
        <w:ind w:left="542" w:right="783"/>
      </w:pPr>
      <w:r>
        <w:t>– у жодного з пацієнтів, розвиток синдрому low T</w:t>
      </w:r>
      <w:r>
        <w:rPr>
          <w:vertAlign w:val="subscript"/>
        </w:rPr>
        <w:t>3</w:t>
      </w:r>
      <w:r>
        <w:t xml:space="preserve"> спостерігався у 10% пацієнтів. Тоді як у пацієнтів з тяжким перебігом ГТП – підвищення рівня СРБ також не визначали, підвищення рівня проСа вище порогового у 42,9% пацієнтів, розвиток синдрому low T</w:t>
      </w:r>
      <w:r>
        <w:rPr>
          <w:vertAlign w:val="subscript"/>
        </w:rPr>
        <w:t>3</w:t>
      </w:r>
      <w:r>
        <w:t xml:space="preserve"> відмічено у всіх пацієнтів (100%) (табл. 4.6).</w:t>
      </w:r>
    </w:p>
    <w:p w:rsidR="00B23B94" w:rsidRDefault="003B2D3B">
      <w:pPr>
        <w:pStyle w:val="a3"/>
        <w:spacing w:line="360" w:lineRule="auto"/>
        <w:ind w:left="542" w:right="794" w:firstLine="707"/>
      </w:pPr>
      <w:r>
        <w:t>На 4-5 добу після проведено оперативного лікування хворим повторно визначали рівень вищеописаних гормонів. Результати висвітлено в таблиці</w:t>
      </w:r>
    </w:p>
    <w:p w:rsidR="00B23B94" w:rsidRDefault="003B2D3B">
      <w:pPr>
        <w:pStyle w:val="a3"/>
        <w:spacing w:line="360" w:lineRule="auto"/>
        <w:ind w:left="542" w:right="785"/>
      </w:pPr>
      <w:r>
        <w:t>4.7. Рівень проСа нижче 3,8 нг/мл визначали лише у 5.9% пацієнтів з тяжким перебігом гострого панкреатиту. Показник СРБ визначили к неінформативний. Тоді як синдром low T</w:t>
      </w:r>
      <w:r>
        <w:rPr>
          <w:vertAlign w:val="subscript"/>
        </w:rPr>
        <w:t>3</w:t>
      </w:r>
      <w:r>
        <w:t xml:space="preserve"> зберігається лише у 6 пацієнтів (85,7%) з тяжким перебігом гострого панкреатиту.</w:t>
      </w:r>
    </w:p>
    <w:p w:rsidR="00B23B94" w:rsidRDefault="003B2D3B">
      <w:pPr>
        <w:pStyle w:val="a3"/>
        <w:spacing w:line="360" w:lineRule="auto"/>
        <w:ind w:left="542" w:right="787" w:firstLine="707"/>
      </w:pPr>
      <w:r>
        <w:t>Померлих у 2а підгрупі основної групи було 6 пацієнтів. Було виявлено, що у всіх 6 пацієнтів регресу синдрому low T</w:t>
      </w:r>
      <w:r>
        <w:rPr>
          <w:vertAlign w:val="subscript"/>
        </w:rPr>
        <w:t>3</w:t>
      </w:r>
      <w:r>
        <w:t xml:space="preserve"> не спостерігалося (табл.4.8).</w:t>
      </w:r>
    </w:p>
    <w:p w:rsidR="00B23B94" w:rsidRDefault="003B2D3B">
      <w:pPr>
        <w:pStyle w:val="a3"/>
        <w:spacing w:line="360" w:lineRule="auto"/>
        <w:ind w:left="542" w:right="784" w:firstLine="707"/>
      </w:pPr>
      <w:r>
        <w:t>Отже, розвиток синдрому low T</w:t>
      </w:r>
      <w:r>
        <w:rPr>
          <w:vertAlign w:val="subscript"/>
        </w:rPr>
        <w:t>3</w:t>
      </w:r>
      <w:r>
        <w:t xml:space="preserve"> є предиктором несприятливого перебігу захворювання з чутливістю 85,7% та специфічністю 80,1%, що дає змогу використовувати даний маркер у плануванні оперативних втручань з метою попередження розвитку незворотної органної дисфункції.</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2" w:firstLine="707"/>
      </w:pPr>
      <w:r>
        <w:lastRenderedPageBreak/>
        <w:t xml:space="preserve">Враховуючи результати первинного і повторного бактеріального пасажу у пацієнтів ретроспективної групи, була проведена корекція хірургічної тактики у пацієнтів з ГСУ гострого тяжкого панкреатиту. Так за наявності рідинного компоненту, наявності ознак компресії верхніх відділів ШКТ та ознак SIRS, первинно всім пацієнтам виконували пункцію під </w:t>
      </w:r>
      <w:r>
        <w:rPr>
          <w:spacing w:val="2"/>
        </w:rPr>
        <w:t xml:space="preserve">УЗ- </w:t>
      </w:r>
      <w:r>
        <w:t>контролем. Так при первинному бактеріальному пасажі аеробна бак флора виявлена лише у 6 (35,3%) пацієнтів, тоді як стерильними бак.посіви визначалися у 64,7% пацієнтів. Показанням до дренування було наявність гною, отриманого при пункції. Загалом дренування виконано 5 пацієнтам (29,4%). Для 3 з них дана маніпуляція була завершальним етапом у їх лікуванні. Двоє пацієнтів (11,8%) потребували дообстеження у зв’язку з відсутністю регресу клініки SIRS у одному випадку, а в іншому зберігалися ознаки компресії верхніх відділів ШКТ. Тут було змінено методи</w:t>
      </w:r>
      <w:r>
        <w:rPr>
          <w:spacing w:val="-17"/>
        </w:rPr>
        <w:t xml:space="preserve"> </w:t>
      </w:r>
      <w:r>
        <w:t>діагностики</w:t>
      </w:r>
    </w:p>
    <w:p w:rsidR="00B23B94" w:rsidRDefault="003B2D3B">
      <w:pPr>
        <w:pStyle w:val="a3"/>
        <w:spacing w:before="4" w:line="360" w:lineRule="auto"/>
        <w:ind w:left="542" w:right="790"/>
      </w:pPr>
      <w:r>
        <w:t>– хворим виконана магнітно-резонансна терапія, за даними якої було виявлено вільні секвестральні маси, що не візуалізовувалися раніше за допомогою УЗД/КТ діагностики, що і визначило показання до відкритих НСЕ.</w:t>
      </w:r>
    </w:p>
    <w:p w:rsidR="00B23B94" w:rsidRDefault="003B2D3B">
      <w:pPr>
        <w:pStyle w:val="a3"/>
        <w:spacing w:line="360" w:lineRule="auto"/>
        <w:ind w:left="542" w:right="781" w:firstLine="707"/>
      </w:pPr>
      <w:r>
        <w:t>У 1 пацієнта (5,9%) дренування парапанкреатичних рідинних скупчень, які поширювалися на 2 анатомічні ділянки (сальникова сумка і лівий ретрокалярний простір) виконано одним дренажем типу «pig tail» («нанизуючий дренаж») через обидва скучпення. Отримано під час дренування гній з детритом, і коли дебіт по дренажу складав близько 20-30 мл за добу, за допомогою пристрою розробленого в клініці проведено мініінвазивне оперативне втручання – бужування порожнини гнійника з подальшою некрсеквестректомією та дренуванням двома ПХВ дренажами (діаметр≈1см) для проточного промивання під місцевою анестезією. Дане втручання дозволило уникнути додаткової анестезіологічної травми у даного пацієнта, та досягти позитивного результату за допомогою</w:t>
      </w:r>
      <w:r>
        <w:rPr>
          <w:spacing w:val="-21"/>
        </w:rPr>
        <w:t xml:space="preserve"> </w:t>
      </w:r>
      <w:r>
        <w:t>міні-доступу.</w:t>
      </w:r>
    </w:p>
    <w:p w:rsidR="00B23B94" w:rsidRDefault="003B2D3B">
      <w:pPr>
        <w:pStyle w:val="a3"/>
        <w:spacing w:line="360" w:lineRule="auto"/>
        <w:ind w:left="542" w:right="784" w:firstLine="707"/>
      </w:pPr>
      <w:r>
        <w:t>За результатами повторного БП у пацієнтів 2а підгрупи основної групи видовий спектр грам негативної флори був представлений лише E. Coli</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2" w:lineRule="auto"/>
        <w:ind w:left="542" w:right="782"/>
      </w:pPr>
      <w:r>
        <w:lastRenderedPageBreak/>
        <w:t>(47,1%), тоді як грам-позитивна флора була представлена S. Aureus (5,9%), S.epidermidis (17,6%), Streptococcus spp. (17,6%), Enterococcus spp. (11,8%).</w:t>
      </w:r>
    </w:p>
    <w:p w:rsidR="00B23B94" w:rsidRDefault="003B2D3B">
      <w:pPr>
        <w:pStyle w:val="a3"/>
        <w:spacing w:line="360" w:lineRule="auto"/>
        <w:ind w:left="542" w:right="784" w:firstLine="707"/>
      </w:pPr>
      <w:r>
        <w:t>Відзначали доволі низький рівень високої (&gt;10</w:t>
      </w:r>
      <w:r>
        <w:rPr>
          <w:vertAlign w:val="superscript"/>
        </w:rPr>
        <w:t>5</w:t>
      </w:r>
      <w:r>
        <w:t xml:space="preserve"> КУО/мл) концентрації мікробних тіл у повторному БП (29,4%), що на 36,5% краще ніж було у пацієнтів ретроспективної групи. Також відмічали високий рівень антибіотикочутливості, найвищий рівень спостерігали до цефалоспоринів (цефепім – 89,7%), глікопептидів (ванкоміцин – 92,2%), оксазолідінонів (лінезолід – 92,2%), а також гліцилциклінів (тігециклін – 83,6%).</w:t>
      </w:r>
    </w:p>
    <w:p w:rsidR="00B23B94" w:rsidRDefault="003B2D3B">
      <w:pPr>
        <w:pStyle w:val="a3"/>
        <w:spacing w:line="360" w:lineRule="auto"/>
        <w:ind w:left="542" w:right="792" w:firstLine="707"/>
      </w:pPr>
      <w:r>
        <w:t>Таким чином, висока антибіотикочутливість до препаратів широкого спектру дії дозволяє відмовитися від призначення на початкових стадія від антибіотиків резерву. Відмова від раннього призначення антибіотиків резерву, в свою чергу сприятиме зменшенню антибіотикорезистентності госпітальних штамів серед збудників ГСУ у пацієнтів з ГТП.</w:t>
      </w:r>
    </w:p>
    <w:p w:rsidR="00B23B94" w:rsidRDefault="003B2D3B">
      <w:pPr>
        <w:pStyle w:val="a3"/>
        <w:spacing w:line="360" w:lineRule="auto"/>
        <w:ind w:left="542" w:right="792" w:firstLine="707"/>
      </w:pPr>
      <w:r>
        <w:t>Для оптимізації хірургічної тактики було розроблено алгоритм диференційованої хірургічної тактики (рис.1).</w:t>
      </w:r>
    </w:p>
    <w:p w:rsidR="00B23B94" w:rsidRDefault="003B2D3B">
      <w:pPr>
        <w:pStyle w:val="a3"/>
        <w:spacing w:line="360" w:lineRule="auto"/>
        <w:ind w:left="542" w:right="782" w:firstLine="707"/>
      </w:pPr>
      <w:r>
        <w:t>Пацієнтам в перші 4 тижні захворювання проводиться контроль лабораторних показників, оцінюється тяжкість стану та наявність органної дисфункції в динаміці. За допомогою променевих методів обстеження виконують контроль за локальними парапанкреатичними ускладненнями. За наявності рідинного компоненту в останніх, слід першочергово виконувати пункцію скупчень, з метою декомпресії а також визначення збудника, якщо він наявний. За умов отримання гною в пунктаті – показано дренування даного рідинного скупчення. У випадку відсутності позитивного ефекту від діагностичної пункції пі УЗ-контролем або формуванню повторних рідинних скупчень – пацієнту показане МРТ-дослідження для потенційного визначення секвестральних мас низької щільності, які не вдалося візуалізувати при раніше виконаних УЗД/КТ-дослідженнях. За результатами МРТ визначають переважання рідинного чи тканинного компонентів – з подальшим визначенням хірургічної тактики. За можливості потрібно надавати перевагу дренуванню через фланки – з подальшим</w:t>
      </w:r>
      <w:r>
        <w:rPr>
          <w:spacing w:val="15"/>
        </w:rPr>
        <w:t xml:space="preserve"> </w:t>
      </w:r>
      <w:r>
        <w:t>бужуванням</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3"/>
        <w:spacing w:before="89" w:line="360" w:lineRule="auto"/>
        <w:ind w:left="542" w:right="784"/>
      </w:pPr>
      <w:r>
        <w:lastRenderedPageBreak/>
        <w:t>порожнини гнійників за допомогою розробленого в клініці пристрою. У випадку коли за даними МРТ переважає рідинний компонент, і немає ефекту від тонкоголкової пункції, паралельно обов’язковим є визначення рівня вільного Т</w:t>
      </w:r>
      <w:r>
        <w:rPr>
          <w:vertAlign w:val="subscript"/>
        </w:rPr>
        <w:t>3</w:t>
      </w:r>
      <w:r>
        <w:t>. У випадку діагностики синдрому lowT</w:t>
      </w:r>
      <w:r>
        <w:rPr>
          <w:vertAlign w:val="subscript"/>
        </w:rPr>
        <w:t>3</w:t>
      </w:r>
      <w:r>
        <w:t xml:space="preserve"> пацієнту показане відкрите оперативне втручання. Обов’язковим є переоцінка рівня тиреоїдних гормонів на 4-5 добу. Показаннями до етапних хірургічних втручань є персистенція синдрому низького трийодтироніну і/або діагностика вільнолежачих секвестрів за даними інструментальних методів дослідження.</w:t>
      </w:r>
    </w:p>
    <w:p w:rsidR="00B23B94" w:rsidRDefault="003B2D3B">
      <w:pPr>
        <w:pStyle w:val="a3"/>
        <w:spacing w:before="1" w:line="360" w:lineRule="auto"/>
        <w:ind w:left="542" w:right="782" w:firstLine="707"/>
      </w:pPr>
      <w:r>
        <w:t>У терміні захворювання більше 4-х тижнів, за наявності ознак SIRS хворим показане проведення КТ з в/в контрастуванням для діагностики сформованих парапанкреатичних скупчень, з подальшим визначенням об’єму хірургічного прийому.</w:t>
      </w:r>
    </w:p>
    <w:p w:rsidR="00B23B94" w:rsidRDefault="003B2D3B">
      <w:pPr>
        <w:pStyle w:val="a3"/>
        <w:spacing w:before="1" w:line="360" w:lineRule="auto"/>
        <w:ind w:left="542" w:right="785" w:firstLine="707"/>
      </w:pPr>
      <w:r>
        <w:t>Лікування проводили згідно розробленого алгоритму. Дренування під УЗ-контролем виконано 22,7% пацієнтів, у яких за результатами тонкоголкової пункції діагностували гній. Полідренування було показане 4,5% пацієнтам, яке і було остаточним етапом у їх лікуванні. Відкриті НСЕ виконували 77,2% пацієнтам, при цьому етапні НСЕ були показані 40,9%. Післяопераційні ускладнення розвинулися у 5,9% пацієнтів і були представлені арозивною кровотечею. Виконано 17,6% операцій через міні- доступи після попереднього дренування через 2 суміжних рідинних скопичення («нанизуючий дренаж»), після яких післяопераційні ускладнення не спостерігалися.</w:t>
      </w:r>
    </w:p>
    <w:p w:rsidR="00B23B94" w:rsidRDefault="003B2D3B">
      <w:pPr>
        <w:pStyle w:val="a3"/>
        <w:spacing w:before="2" w:line="360" w:lineRule="auto"/>
        <w:ind w:left="542" w:right="787" w:firstLine="707"/>
      </w:pPr>
      <w:r>
        <w:t>Таким чином, застосування алгоритму диференційованої хірургічної тактики дозволило знизити число післяопераційних ускладнень завдяки використанню міні-доступів на 4,4%, а також рівень летальності у пацієнтів з ГСУ гострого тяжкого панкреатиту на 13,0%.</w:t>
      </w:r>
    </w:p>
    <w:p w:rsidR="00B23B94" w:rsidRDefault="00B23B94">
      <w:pPr>
        <w:spacing w:line="360" w:lineRule="auto"/>
        <w:sectPr w:rsidR="00B23B94">
          <w:pgSz w:w="11910" w:h="16840"/>
          <w:pgMar w:top="1040" w:right="60" w:bottom="280" w:left="1160" w:header="719" w:footer="0" w:gutter="0"/>
          <w:cols w:space="720"/>
        </w:sectPr>
      </w:pPr>
    </w:p>
    <w:p w:rsidR="003B2D3B" w:rsidRPr="003B2D3B" w:rsidRDefault="003B2D3B" w:rsidP="003B2D3B">
      <w:pPr>
        <w:spacing w:line="360" w:lineRule="auto"/>
        <w:jc w:val="center"/>
        <w:rPr>
          <w:b/>
          <w:sz w:val="28"/>
          <w:szCs w:val="28"/>
        </w:rPr>
      </w:pPr>
      <w:bookmarkStart w:id="14" w:name="_TOC_250002"/>
      <w:bookmarkEnd w:id="14"/>
      <w:r w:rsidRPr="003B2D3B">
        <w:rPr>
          <w:b/>
          <w:sz w:val="28"/>
          <w:szCs w:val="28"/>
        </w:rPr>
        <w:lastRenderedPageBreak/>
        <w:t>ВИСНОВКИ</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t>Лікування пацієнтів з інфекційно-септичними ускладненнями гострого тяжкого панкреатиту є найактуальнішою проблемою хірургії. Тяжкість первинної органної чи поліорганної дисфункції у пацієнтів з ІСУ деструктивного панкреатиту пропорційна поширеності локальних парапанкреатичних ускладнень; при поширеності інфекції на 5 і більше зон перипанкреатичних некрозів, рівень персистуючої органної чи поліорганної дисфункції складає більше 80%, а летальність перевищує 34%.</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t>Виникнення другої хвилі органної чи поліорганної дисфункції після 10 доби захворювання у 13,8% пацієнтів групи порівняння та 22,5% основної групи прямопропорційно залежало від поширеності інфікованих перипанкреатичних некрозів. При розповсюдженні локального процесу на 5 і більше ЗППН – друга хвиля ПОД розвивається більше ніж у 65% хворих, летальність складає близько 28%.</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t>Розвиток синдрому LowT</w:t>
      </w:r>
      <w:r w:rsidRPr="003B2D3B">
        <w:rPr>
          <w:sz w:val="28"/>
          <w:szCs w:val="28"/>
          <w:vertAlign w:val="subscript"/>
        </w:rPr>
        <w:t>3</w:t>
      </w:r>
      <w:r w:rsidRPr="003B2D3B">
        <w:rPr>
          <w:sz w:val="28"/>
          <w:szCs w:val="28"/>
        </w:rPr>
        <w:softHyphen/>
        <w:t xml:space="preserve"> у 32,5% пацієнтів з інфекційно-септичними ускладненнями гострого тяжкого панкреатиту на фоні етапного хірургічного лікування свідчить про тенденцію до декомпенсації органної дисфункції і є предиктором несприятливого перебігу (чутливість – 85,7% та специфічність – 80,1%) і потребує ранньої НСЕ.</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t>При відсутності декомпресійного ефекту від пункційно-дренуючих втручань у пацієнтів з інфекційно-септичними ускладненнями гострого тяжкого панкреатиту МРТ дозволяє оптимізувати тактику лікування у 16,7% пацієнтів за рахунок раннього виявлення УЗД/КТ-негативних секвестральних мас</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t>Раннє емпіричне застосування антибактеріальних препаратів резерву та рутинне дренування парапанкретичних рідинних скупчень під УЗ-контролем сприяє збільшенню на 32,7% мультирезистентних штамів збудників та підвищенню їх антибіотикорезистентності майже на 20% у пацієнтів з інфекційно-септичними ускладненнями тяжкого гострого панкреатиту.</w:t>
      </w:r>
    </w:p>
    <w:p w:rsidR="003B2D3B" w:rsidRPr="003B2D3B" w:rsidRDefault="003B2D3B" w:rsidP="003B2D3B">
      <w:pPr>
        <w:widowControl/>
        <w:numPr>
          <w:ilvl w:val="0"/>
          <w:numId w:val="17"/>
        </w:numPr>
        <w:autoSpaceDE/>
        <w:autoSpaceDN/>
        <w:spacing w:line="360" w:lineRule="auto"/>
        <w:ind w:right="767"/>
        <w:contextualSpacing/>
        <w:jc w:val="both"/>
        <w:rPr>
          <w:sz w:val="28"/>
          <w:szCs w:val="28"/>
        </w:rPr>
      </w:pPr>
      <w:r w:rsidRPr="003B2D3B">
        <w:rPr>
          <w:sz w:val="28"/>
          <w:szCs w:val="28"/>
        </w:rPr>
        <w:lastRenderedPageBreak/>
        <w:t>Застосування «нанизуючих» дренажів проведених через суміжні осередки рідинних скупчень та розробленого пристрою для бужування дозволило підвищити ефективність хірургічного лікування за рахунок міні-доступів у 17,6% пацієнтів з інфекційно-септичними ускладненнями гострого тяжкого панкреатиту.</w:t>
      </w:r>
    </w:p>
    <w:p w:rsidR="003B2D3B" w:rsidRPr="003B2D3B" w:rsidRDefault="003B2D3B" w:rsidP="003B2D3B">
      <w:pPr>
        <w:pStyle w:val="a4"/>
        <w:widowControl/>
        <w:numPr>
          <w:ilvl w:val="0"/>
          <w:numId w:val="17"/>
        </w:numPr>
        <w:autoSpaceDE/>
        <w:autoSpaceDN/>
        <w:spacing w:line="360" w:lineRule="auto"/>
        <w:ind w:right="767"/>
        <w:contextualSpacing/>
        <w:rPr>
          <w:sz w:val="28"/>
          <w:szCs w:val="28"/>
        </w:rPr>
      </w:pPr>
      <w:r w:rsidRPr="003B2D3B">
        <w:rPr>
          <w:sz w:val="28"/>
          <w:szCs w:val="28"/>
        </w:rPr>
        <w:t xml:space="preserve">Запропонована хірургічна тактика у пацієнтів з гнійно-септичними ускладненнями гострого тяжкого панкреатиту дозволила підвищити ефективність лікування за рахунок зниження частоти повторних операцій на 5,1%, зменшення післяопераційних ускладнень на 4,4% та летальності на 13,0%. (39,1% </w:t>
      </w:r>
      <w:r w:rsidRPr="003B2D3B">
        <w:rPr>
          <w:sz w:val="28"/>
          <w:szCs w:val="28"/>
          <w:lang w:val="en-US"/>
        </w:rPr>
        <w:t>vs</w:t>
      </w:r>
      <w:r w:rsidRPr="003B2D3B">
        <w:rPr>
          <w:sz w:val="28"/>
          <w:szCs w:val="28"/>
        </w:rPr>
        <w:t xml:space="preserve"> 26,1%).</w:t>
      </w:r>
    </w:p>
    <w:p w:rsidR="00B23B94" w:rsidRDefault="00B23B94">
      <w:pPr>
        <w:pStyle w:val="a3"/>
        <w:spacing w:before="10"/>
        <w:ind w:left="0"/>
        <w:jc w:val="left"/>
        <w:rPr>
          <w:sz w:val="41"/>
        </w:rPr>
      </w:pPr>
    </w:p>
    <w:p w:rsidR="00B23B94" w:rsidRDefault="003B2D3B">
      <w:pPr>
        <w:pStyle w:val="1"/>
        <w:spacing w:before="0"/>
        <w:ind w:left="1250"/>
      </w:pPr>
      <w:bookmarkStart w:id="15" w:name="_TOC_250001"/>
      <w:bookmarkEnd w:id="15"/>
      <w:r>
        <w:t>ПРАКТИЧНІ РЕКОМЕНДАЦІЇ</w:t>
      </w:r>
    </w:p>
    <w:p w:rsidR="00B23B94" w:rsidRDefault="003B2D3B">
      <w:pPr>
        <w:pStyle w:val="a4"/>
        <w:numPr>
          <w:ilvl w:val="1"/>
          <w:numId w:val="3"/>
        </w:numPr>
        <w:tabs>
          <w:tab w:val="left" w:pos="1958"/>
        </w:tabs>
        <w:spacing w:before="163" w:line="360" w:lineRule="auto"/>
        <w:ind w:right="786" w:firstLine="707"/>
        <w:rPr>
          <w:sz w:val="28"/>
        </w:rPr>
      </w:pPr>
      <w:r>
        <w:rPr>
          <w:sz w:val="28"/>
        </w:rPr>
        <w:t>Пункційно-дренуючі втручання слід застосовувати у пацієнтів з підозрою на інфекційно-септичні ускладнення гострого тяжкого панкреатиту за наявності стійких ознак SIRS та компресії ШКТ, при цьому методом вибору є пункція, метою якої є декомпресія та бактеріологічне дослідження пунктату. Дренування показане лише за наявності гною, отриманого після первинної</w:t>
      </w:r>
      <w:r>
        <w:rPr>
          <w:spacing w:val="-3"/>
          <w:sz w:val="28"/>
        </w:rPr>
        <w:t xml:space="preserve"> </w:t>
      </w:r>
      <w:r>
        <w:rPr>
          <w:sz w:val="28"/>
        </w:rPr>
        <w:t>пункції.</w:t>
      </w:r>
    </w:p>
    <w:p w:rsidR="00B23B94" w:rsidRDefault="003B2D3B">
      <w:pPr>
        <w:pStyle w:val="a4"/>
        <w:numPr>
          <w:ilvl w:val="1"/>
          <w:numId w:val="3"/>
        </w:numPr>
        <w:tabs>
          <w:tab w:val="left" w:pos="1958"/>
        </w:tabs>
        <w:spacing w:line="360" w:lineRule="auto"/>
        <w:ind w:firstLine="707"/>
        <w:rPr>
          <w:sz w:val="28"/>
        </w:rPr>
      </w:pPr>
      <w:r>
        <w:rPr>
          <w:sz w:val="28"/>
        </w:rPr>
        <w:t>У випадку відсутності декомпресійного ефекту після пункційно- дренуючих втручань рекомендовано рання МРТ з метою виявлення УЗД/КТ негативних секвестральних мас та корекції хірургічної</w:t>
      </w:r>
      <w:r>
        <w:rPr>
          <w:spacing w:val="-2"/>
          <w:sz w:val="28"/>
        </w:rPr>
        <w:t xml:space="preserve"> </w:t>
      </w:r>
      <w:r>
        <w:rPr>
          <w:sz w:val="28"/>
        </w:rPr>
        <w:t>тактики.</w:t>
      </w:r>
    </w:p>
    <w:p w:rsidR="00B23B94" w:rsidRDefault="003B2D3B">
      <w:pPr>
        <w:pStyle w:val="a4"/>
        <w:numPr>
          <w:ilvl w:val="1"/>
          <w:numId w:val="3"/>
        </w:numPr>
        <w:tabs>
          <w:tab w:val="left" w:pos="2028"/>
        </w:tabs>
        <w:spacing w:before="1" w:line="360" w:lineRule="auto"/>
        <w:ind w:right="790" w:firstLine="707"/>
        <w:rPr>
          <w:sz w:val="28"/>
        </w:rPr>
      </w:pPr>
      <w:r>
        <w:rPr>
          <w:sz w:val="28"/>
        </w:rPr>
        <w:t>Застосування розробленого пристрою для бужування порожнини абсцесу рекомендовано для оптимізації хірургічного лікування локальних інфекційно-септичних</w:t>
      </w:r>
      <w:r>
        <w:rPr>
          <w:spacing w:val="28"/>
          <w:sz w:val="28"/>
        </w:rPr>
        <w:t xml:space="preserve"> </w:t>
      </w:r>
      <w:r>
        <w:rPr>
          <w:sz w:val="28"/>
        </w:rPr>
        <w:t>ускладнень</w:t>
      </w:r>
      <w:r>
        <w:rPr>
          <w:spacing w:val="28"/>
          <w:sz w:val="28"/>
        </w:rPr>
        <w:t xml:space="preserve"> </w:t>
      </w:r>
      <w:r>
        <w:rPr>
          <w:sz w:val="28"/>
        </w:rPr>
        <w:t>гострого</w:t>
      </w:r>
      <w:r>
        <w:rPr>
          <w:spacing w:val="29"/>
          <w:sz w:val="28"/>
        </w:rPr>
        <w:t xml:space="preserve"> </w:t>
      </w:r>
      <w:r>
        <w:rPr>
          <w:sz w:val="28"/>
        </w:rPr>
        <w:t>тяжкого</w:t>
      </w:r>
      <w:r>
        <w:rPr>
          <w:spacing w:val="26"/>
          <w:sz w:val="28"/>
        </w:rPr>
        <w:t xml:space="preserve"> </w:t>
      </w:r>
      <w:r>
        <w:rPr>
          <w:sz w:val="28"/>
        </w:rPr>
        <w:t>панкреатиту</w:t>
      </w:r>
      <w:r>
        <w:rPr>
          <w:spacing w:val="25"/>
          <w:sz w:val="28"/>
        </w:rPr>
        <w:t xml:space="preserve"> </w:t>
      </w:r>
      <w:r>
        <w:rPr>
          <w:sz w:val="28"/>
        </w:rPr>
        <w:t>за</w:t>
      </w:r>
      <w:r>
        <w:rPr>
          <w:spacing w:val="28"/>
          <w:sz w:val="28"/>
        </w:rPr>
        <w:t xml:space="preserve"> </w:t>
      </w:r>
      <w:r>
        <w:rPr>
          <w:sz w:val="28"/>
        </w:rPr>
        <w:t>рахунок</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2" w:lineRule="auto"/>
        <w:ind w:left="542" w:right="788"/>
      </w:pPr>
      <w:r>
        <w:lastRenderedPageBreak/>
        <w:t>формування міні-доступів, що в свою чергу дозволяє зменшити рівень післяопераційних ускладнень.</w:t>
      </w:r>
    </w:p>
    <w:p w:rsidR="00B23B94" w:rsidRDefault="003B2D3B">
      <w:pPr>
        <w:pStyle w:val="a4"/>
        <w:numPr>
          <w:ilvl w:val="1"/>
          <w:numId w:val="3"/>
        </w:numPr>
        <w:tabs>
          <w:tab w:val="left" w:pos="1958"/>
        </w:tabs>
        <w:spacing w:line="360" w:lineRule="auto"/>
        <w:ind w:right="780" w:firstLine="707"/>
        <w:rPr>
          <w:sz w:val="28"/>
        </w:rPr>
      </w:pPr>
      <w:r>
        <w:rPr>
          <w:sz w:val="28"/>
        </w:rPr>
        <w:t>Діагностика синдрому lowT3 у пацієнтів з інфекційно- септичними ускладненнями гострого тяжкого панкреатиту потребує виконання ранньої НСЕ з оптимального хірургічного</w:t>
      </w:r>
      <w:r>
        <w:rPr>
          <w:spacing w:val="-5"/>
          <w:sz w:val="28"/>
        </w:rPr>
        <w:t xml:space="preserve"> </w:t>
      </w:r>
      <w:r>
        <w:rPr>
          <w:sz w:val="28"/>
        </w:rPr>
        <w:t>доступу.</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1"/>
        <w:spacing w:before="89"/>
        <w:ind w:left="762" w:right="300"/>
        <w:jc w:val="center"/>
      </w:pPr>
      <w:bookmarkStart w:id="16" w:name="_TOC_250000"/>
      <w:bookmarkEnd w:id="16"/>
      <w:r>
        <w:lastRenderedPageBreak/>
        <w:t>СПИСОК ВИКОРИСТАНИХ ДЖЕРЕЛ</w:t>
      </w:r>
    </w:p>
    <w:p w:rsidR="00B23B94" w:rsidRDefault="003B2D3B">
      <w:pPr>
        <w:pStyle w:val="a4"/>
        <w:numPr>
          <w:ilvl w:val="0"/>
          <w:numId w:val="2"/>
        </w:numPr>
        <w:tabs>
          <w:tab w:val="left" w:pos="1262"/>
        </w:tabs>
        <w:spacing w:before="164" w:line="360" w:lineRule="auto"/>
        <w:ind w:left="1261" w:right="784"/>
        <w:rPr>
          <w:sz w:val="28"/>
        </w:rPr>
      </w:pPr>
      <w:r>
        <w:rPr>
          <w:sz w:val="28"/>
        </w:rPr>
        <w:t>Авакимян В. А. Прогноз и тактика лечения острого панкреатита в зависимости от тяжести патологического процеса: автореф.</w:t>
      </w:r>
      <w:r>
        <w:rPr>
          <w:spacing w:val="57"/>
          <w:sz w:val="28"/>
        </w:rPr>
        <w:t xml:space="preserve"> </w:t>
      </w:r>
      <w:r>
        <w:rPr>
          <w:sz w:val="28"/>
        </w:rPr>
        <w:t xml:space="preserve">дис. </w:t>
      </w:r>
      <w:r>
        <w:rPr>
          <w:spacing w:val="3"/>
          <w:sz w:val="28"/>
        </w:rPr>
        <w:t>д–р</w:t>
      </w:r>
    </w:p>
    <w:p w:rsidR="00B23B94" w:rsidRDefault="003B2D3B">
      <w:pPr>
        <w:pStyle w:val="a3"/>
        <w:spacing w:line="321" w:lineRule="exact"/>
        <w:ind w:left="1261"/>
      </w:pPr>
      <w:r>
        <w:t>мед. наук / В. А. Авакимян. – Краснодар, 2015. – 45 с.</w:t>
      </w:r>
    </w:p>
    <w:p w:rsidR="00B23B94" w:rsidRDefault="003B2D3B">
      <w:pPr>
        <w:pStyle w:val="a4"/>
        <w:numPr>
          <w:ilvl w:val="0"/>
          <w:numId w:val="2"/>
        </w:numPr>
        <w:tabs>
          <w:tab w:val="left" w:pos="1262"/>
        </w:tabs>
        <w:spacing w:before="160" w:line="360" w:lineRule="auto"/>
        <w:ind w:left="1261" w:right="788"/>
        <w:rPr>
          <w:sz w:val="28"/>
        </w:rPr>
      </w:pPr>
      <w:r>
        <w:rPr>
          <w:sz w:val="28"/>
        </w:rPr>
        <w:t>Андрющенко В. П. Гострий панкреатит: аналіз пріоритетних складових комплексного хірургічного лікування з позиції сучасних наукових досліджень / В. П. Андрющенко, Д.В. Андрющенко, В.А. Магльований [та ін.] // Український журнал хірургії. – 2011. №5 (14). – С.</w:t>
      </w:r>
      <w:r>
        <w:rPr>
          <w:spacing w:val="-14"/>
          <w:sz w:val="28"/>
        </w:rPr>
        <w:t xml:space="preserve"> </w:t>
      </w:r>
      <w:r>
        <w:rPr>
          <w:sz w:val="28"/>
        </w:rPr>
        <w:t>83-86.</w:t>
      </w:r>
    </w:p>
    <w:p w:rsidR="00B23B94" w:rsidRDefault="003B2D3B">
      <w:pPr>
        <w:pStyle w:val="a4"/>
        <w:numPr>
          <w:ilvl w:val="0"/>
          <w:numId w:val="2"/>
        </w:numPr>
        <w:tabs>
          <w:tab w:val="left" w:pos="1262"/>
        </w:tabs>
        <w:spacing w:line="360" w:lineRule="auto"/>
        <w:ind w:left="1261"/>
        <w:rPr>
          <w:sz w:val="28"/>
        </w:rPr>
      </w:pPr>
      <w:r>
        <w:rPr>
          <w:sz w:val="28"/>
        </w:rPr>
        <w:t>Андрющенко Д.В. Особливості термінології та класифікації гострого панкреатиту / Д.В. Андрющенко // Клін. хірургія. – 2014. – № 11. – С. 35-37.</w:t>
      </w:r>
    </w:p>
    <w:p w:rsidR="00B23B94" w:rsidRDefault="003B2D3B">
      <w:pPr>
        <w:pStyle w:val="a4"/>
        <w:numPr>
          <w:ilvl w:val="0"/>
          <w:numId w:val="2"/>
        </w:numPr>
        <w:tabs>
          <w:tab w:val="left" w:pos="1262"/>
        </w:tabs>
        <w:spacing w:before="2" w:line="360" w:lineRule="auto"/>
        <w:ind w:left="1261" w:right="787"/>
        <w:rPr>
          <w:sz w:val="28"/>
        </w:rPr>
      </w:pPr>
      <w:r>
        <w:rPr>
          <w:sz w:val="28"/>
        </w:rPr>
        <w:t>Андрющенко Д.В. Реалізація концепції хірургії «швидкого шляху» в лікуванні хворих з приводу гострого панкреатиту/ Д.В. Андрющенко // Клін. хірургія. – 2014. – № 9. – С.</w:t>
      </w:r>
      <w:r>
        <w:rPr>
          <w:spacing w:val="-11"/>
          <w:sz w:val="28"/>
        </w:rPr>
        <w:t xml:space="preserve"> </w:t>
      </w:r>
      <w:r>
        <w:rPr>
          <w:sz w:val="28"/>
        </w:rPr>
        <w:t>25-27.</w:t>
      </w:r>
    </w:p>
    <w:p w:rsidR="00B23B94" w:rsidRDefault="003B2D3B">
      <w:pPr>
        <w:pStyle w:val="a4"/>
        <w:numPr>
          <w:ilvl w:val="0"/>
          <w:numId w:val="2"/>
        </w:numPr>
        <w:tabs>
          <w:tab w:val="left" w:pos="1262"/>
        </w:tabs>
        <w:spacing w:line="360" w:lineRule="auto"/>
        <w:ind w:left="1261"/>
        <w:rPr>
          <w:sz w:val="28"/>
        </w:rPr>
      </w:pPr>
      <w:r>
        <w:rPr>
          <w:sz w:val="28"/>
        </w:rPr>
        <w:t>Арсенюк В.В. Епідуральна анестезія як ефективний компонент мультимодальної аналгезії при гострому панкреатиті / В.В. Арсенюк, Л.В. Гайсенюк, Д.В. Петрук [та ін.] // Клін. хірургія. – 2016. – № 6. – С. 20-23.</w:t>
      </w:r>
    </w:p>
    <w:p w:rsidR="00B23B94" w:rsidRDefault="003B2D3B">
      <w:pPr>
        <w:pStyle w:val="a4"/>
        <w:numPr>
          <w:ilvl w:val="0"/>
          <w:numId w:val="2"/>
        </w:numPr>
        <w:tabs>
          <w:tab w:val="left" w:pos="1262"/>
        </w:tabs>
        <w:spacing w:before="1" w:line="360" w:lineRule="auto"/>
        <w:ind w:left="1261" w:right="791"/>
        <w:rPr>
          <w:sz w:val="28"/>
        </w:rPr>
      </w:pPr>
      <w:r>
        <w:rPr>
          <w:sz w:val="28"/>
        </w:rPr>
        <w:t>Белобородова Ю. С. Возможности современных методов лучевой диагностики в лечении больных острым панкреатитом / Ю. С. Белобородова, Е. П. Данилина, А. А. Бемилобородов // Cб.</w:t>
      </w:r>
      <w:r>
        <w:rPr>
          <w:spacing w:val="23"/>
          <w:sz w:val="28"/>
        </w:rPr>
        <w:t xml:space="preserve"> </w:t>
      </w:r>
      <w:r>
        <w:rPr>
          <w:sz w:val="28"/>
        </w:rPr>
        <w:t>тез.</w:t>
      </w:r>
    </w:p>
    <w:p w:rsidR="00B23B94" w:rsidRDefault="003B2D3B">
      <w:pPr>
        <w:pStyle w:val="a3"/>
        <w:spacing w:line="362" w:lineRule="auto"/>
        <w:ind w:left="1261" w:right="782"/>
      </w:pPr>
      <w:r>
        <w:t>«Актуальные вопросы современной хирургии» – Красноярск, 2013 – С. 31 –</w:t>
      </w:r>
      <w:r>
        <w:rPr>
          <w:spacing w:val="-2"/>
        </w:rPr>
        <w:t xml:space="preserve"> </w:t>
      </w:r>
      <w:r>
        <w:t>32.</w:t>
      </w:r>
    </w:p>
    <w:p w:rsidR="00B23B94" w:rsidRDefault="003B2D3B">
      <w:pPr>
        <w:pStyle w:val="a4"/>
        <w:numPr>
          <w:ilvl w:val="0"/>
          <w:numId w:val="2"/>
        </w:numPr>
        <w:tabs>
          <w:tab w:val="left" w:pos="1262"/>
        </w:tabs>
        <w:spacing w:line="360" w:lineRule="auto"/>
        <w:ind w:left="1261" w:right="789"/>
        <w:rPr>
          <w:sz w:val="28"/>
        </w:rPr>
      </w:pPr>
      <w:r>
        <w:rPr>
          <w:sz w:val="28"/>
        </w:rPr>
        <w:t>Бенсман В. М. Выбор тактических решений в хирургии крупноочагового инфицированного панкреонекроза / Ю. П. Савченко, И. В. Голиков, В. В. Чайкин // Хирургия. – 2013. – № 4. – С. 38 –</w:t>
      </w:r>
      <w:r>
        <w:rPr>
          <w:spacing w:val="-20"/>
          <w:sz w:val="28"/>
        </w:rPr>
        <w:t xml:space="preserve"> </w:t>
      </w:r>
      <w:r>
        <w:rPr>
          <w:sz w:val="28"/>
        </w:rPr>
        <w:t>42.</w:t>
      </w:r>
    </w:p>
    <w:p w:rsidR="00B23B94" w:rsidRDefault="003B2D3B">
      <w:pPr>
        <w:pStyle w:val="a4"/>
        <w:numPr>
          <w:ilvl w:val="0"/>
          <w:numId w:val="2"/>
        </w:numPr>
        <w:tabs>
          <w:tab w:val="left" w:pos="1262"/>
        </w:tabs>
        <w:spacing w:line="360" w:lineRule="auto"/>
        <w:ind w:left="1261" w:right="788"/>
        <w:rPr>
          <w:sz w:val="28"/>
        </w:rPr>
      </w:pPr>
      <w:r>
        <w:rPr>
          <w:sz w:val="28"/>
        </w:rPr>
        <w:t>Березницький Я.С. Результати лікування пацієнтів з гострим панкреатитом в умовах багатопрофільного  хірургічного стаціонару /  Я. С. Березницький, Р. В. Дука, [та ін.] // Зб. наук. праць співробіт. НМАПО імені П. Л. Шупика. – 2014. - №23 (2). - С. 54 –</w:t>
      </w:r>
      <w:r>
        <w:rPr>
          <w:spacing w:val="-14"/>
          <w:sz w:val="28"/>
        </w:rPr>
        <w:t xml:space="preserve"> </w:t>
      </w:r>
      <w:r>
        <w:rPr>
          <w:sz w:val="28"/>
        </w:rPr>
        <w:t>61.</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91"/>
        <w:rPr>
          <w:sz w:val="28"/>
        </w:rPr>
      </w:pPr>
      <w:r>
        <w:rPr>
          <w:sz w:val="28"/>
        </w:rPr>
        <w:lastRenderedPageBreak/>
        <w:t>Богданов С. Н. Дифференцированная тактика хирургического лечения деструктивного панкреатита: автореф. дис. … канд. мед. наук 14.01.17 / С. Н. Богданов. Ин–т ФСБ РФ, Нижний Новгород. – 2012. – 21</w:t>
      </w:r>
      <w:r>
        <w:rPr>
          <w:spacing w:val="-16"/>
          <w:sz w:val="28"/>
        </w:rPr>
        <w:t xml:space="preserve"> </w:t>
      </w:r>
      <w:r>
        <w:rPr>
          <w:sz w:val="28"/>
        </w:rPr>
        <w:t>с.</w:t>
      </w:r>
    </w:p>
    <w:p w:rsidR="00B23B94" w:rsidRDefault="003B2D3B">
      <w:pPr>
        <w:pStyle w:val="a4"/>
        <w:numPr>
          <w:ilvl w:val="0"/>
          <w:numId w:val="2"/>
        </w:numPr>
        <w:tabs>
          <w:tab w:val="left" w:pos="1262"/>
        </w:tabs>
        <w:spacing w:before="2" w:line="360" w:lineRule="auto"/>
        <w:ind w:left="1261" w:right="783"/>
        <w:rPr>
          <w:sz w:val="28"/>
        </w:rPr>
      </w:pPr>
      <w:r>
        <w:rPr>
          <w:sz w:val="28"/>
        </w:rPr>
        <w:t>Богданов С.Н. Дифференцированная хирургическая тактика лечения распространенного инфицированного панкреонекроза: материалы межрегион. науч.–практ. конф. «Острый деструктивный панкреатит и его осложнения» / С. Н. Богданов, А. Ц. Буткевич, С. Г. Измайлов [и др.]. – КГМА. – Казань, 2012. – С. 4 –</w:t>
      </w:r>
      <w:r>
        <w:rPr>
          <w:spacing w:val="-11"/>
          <w:sz w:val="28"/>
        </w:rPr>
        <w:t xml:space="preserve"> </w:t>
      </w:r>
      <w:r>
        <w:rPr>
          <w:sz w:val="28"/>
        </w:rPr>
        <w:t>6.</w:t>
      </w:r>
    </w:p>
    <w:p w:rsidR="00B23B94" w:rsidRDefault="003B2D3B">
      <w:pPr>
        <w:pStyle w:val="a4"/>
        <w:numPr>
          <w:ilvl w:val="0"/>
          <w:numId w:val="2"/>
        </w:numPr>
        <w:tabs>
          <w:tab w:val="left" w:pos="1262"/>
        </w:tabs>
        <w:spacing w:line="360" w:lineRule="auto"/>
        <w:ind w:left="1261" w:right="787"/>
        <w:rPr>
          <w:sz w:val="28"/>
        </w:rPr>
      </w:pPr>
      <w:r>
        <w:rPr>
          <w:sz w:val="28"/>
        </w:rPr>
        <w:t>Василюк С.М. Значення шкали BISAP для оцінки перебігу гострого біліарного панкреатиту / С.М. Василюк, В.В. Іванина // Науковий вісник</w:t>
      </w:r>
      <w:r>
        <w:rPr>
          <w:spacing w:val="18"/>
          <w:sz w:val="28"/>
        </w:rPr>
        <w:t xml:space="preserve"> </w:t>
      </w:r>
      <w:r>
        <w:rPr>
          <w:sz w:val="28"/>
        </w:rPr>
        <w:t>Ужгородського</w:t>
      </w:r>
      <w:r>
        <w:rPr>
          <w:spacing w:val="19"/>
          <w:sz w:val="28"/>
        </w:rPr>
        <w:t xml:space="preserve"> </w:t>
      </w:r>
      <w:r>
        <w:rPr>
          <w:sz w:val="28"/>
        </w:rPr>
        <w:t>університету,</w:t>
      </w:r>
      <w:r>
        <w:rPr>
          <w:spacing w:val="17"/>
          <w:sz w:val="28"/>
        </w:rPr>
        <w:t xml:space="preserve"> </w:t>
      </w:r>
      <w:r>
        <w:rPr>
          <w:sz w:val="28"/>
        </w:rPr>
        <w:t>серія</w:t>
      </w:r>
      <w:r>
        <w:rPr>
          <w:spacing w:val="18"/>
          <w:sz w:val="28"/>
        </w:rPr>
        <w:t xml:space="preserve"> </w:t>
      </w:r>
      <w:r>
        <w:rPr>
          <w:sz w:val="28"/>
        </w:rPr>
        <w:t>«Медицина».</w:t>
      </w:r>
      <w:r>
        <w:rPr>
          <w:spacing w:val="17"/>
          <w:sz w:val="28"/>
        </w:rPr>
        <w:t xml:space="preserve"> </w:t>
      </w:r>
      <w:r>
        <w:rPr>
          <w:sz w:val="28"/>
        </w:rPr>
        <w:t>Випуск</w:t>
      </w:r>
      <w:r>
        <w:rPr>
          <w:spacing w:val="18"/>
          <w:sz w:val="28"/>
        </w:rPr>
        <w:t xml:space="preserve"> </w:t>
      </w:r>
      <w:r>
        <w:rPr>
          <w:sz w:val="28"/>
        </w:rPr>
        <w:t>2</w:t>
      </w:r>
      <w:r>
        <w:rPr>
          <w:spacing w:val="18"/>
          <w:sz w:val="28"/>
        </w:rPr>
        <w:t xml:space="preserve"> </w:t>
      </w:r>
      <w:r>
        <w:rPr>
          <w:sz w:val="28"/>
        </w:rPr>
        <w:t>(41).</w:t>
      </w:r>
    </w:p>
    <w:p w:rsidR="00B23B94" w:rsidRDefault="003B2D3B">
      <w:pPr>
        <w:pStyle w:val="a3"/>
        <w:spacing w:before="1"/>
        <w:ind w:left="1261"/>
      </w:pPr>
      <w:r>
        <w:t>– 2011. – С. 36-38.</w:t>
      </w:r>
    </w:p>
    <w:p w:rsidR="00B23B94" w:rsidRDefault="003B2D3B">
      <w:pPr>
        <w:pStyle w:val="a4"/>
        <w:numPr>
          <w:ilvl w:val="0"/>
          <w:numId w:val="2"/>
        </w:numPr>
        <w:tabs>
          <w:tab w:val="left" w:pos="1262"/>
        </w:tabs>
        <w:spacing w:before="160" w:line="360" w:lineRule="auto"/>
        <w:ind w:left="1261" w:right="784"/>
        <w:rPr>
          <w:sz w:val="28"/>
        </w:rPr>
      </w:pPr>
      <w:r>
        <w:rPr>
          <w:sz w:val="28"/>
        </w:rPr>
        <w:t>Ващенко Р. В. Патогенез и патоморфология панкреатитов / Р. В. Ващенко, К. С. Кремнев // Cб. тез. «Актуальные вопросы современной хирургии». – Красноярск, 2013. – С. 46 –</w:t>
      </w:r>
      <w:r>
        <w:rPr>
          <w:spacing w:val="-10"/>
          <w:sz w:val="28"/>
        </w:rPr>
        <w:t xml:space="preserve"> </w:t>
      </w:r>
      <w:r>
        <w:rPr>
          <w:sz w:val="28"/>
        </w:rPr>
        <w:t>48.</w:t>
      </w:r>
    </w:p>
    <w:p w:rsidR="00B23B94" w:rsidRDefault="003B2D3B">
      <w:pPr>
        <w:pStyle w:val="a4"/>
        <w:numPr>
          <w:ilvl w:val="0"/>
          <w:numId w:val="2"/>
        </w:numPr>
        <w:tabs>
          <w:tab w:val="left" w:pos="1262"/>
        </w:tabs>
        <w:spacing w:before="1" w:line="360" w:lineRule="auto"/>
        <w:ind w:left="1261" w:right="791"/>
        <w:rPr>
          <w:sz w:val="28"/>
        </w:rPr>
      </w:pPr>
      <w:r>
        <w:rPr>
          <w:sz w:val="28"/>
        </w:rPr>
        <w:t>Велигоцкий Н. Н. Современные подходы к лечению острого деструктивного панкреатита / Н. Н. Велигоцкий, А. Н. Велигоцкий // Сучасні мед. технології. – 2010. – № 1. – С. 67 –</w:t>
      </w:r>
      <w:r>
        <w:rPr>
          <w:spacing w:val="-12"/>
          <w:sz w:val="28"/>
        </w:rPr>
        <w:t xml:space="preserve"> </w:t>
      </w:r>
      <w:r>
        <w:rPr>
          <w:sz w:val="28"/>
        </w:rPr>
        <w:t>70.</w:t>
      </w:r>
    </w:p>
    <w:p w:rsidR="00B23B94" w:rsidRDefault="003B2D3B">
      <w:pPr>
        <w:pStyle w:val="a4"/>
        <w:numPr>
          <w:ilvl w:val="0"/>
          <w:numId w:val="2"/>
        </w:numPr>
        <w:tabs>
          <w:tab w:val="left" w:pos="1262"/>
        </w:tabs>
        <w:spacing w:before="1" w:line="360" w:lineRule="auto"/>
        <w:ind w:left="1261" w:right="784"/>
        <w:rPr>
          <w:sz w:val="28"/>
        </w:rPr>
      </w:pPr>
      <w:r>
        <w:rPr>
          <w:sz w:val="28"/>
        </w:rPr>
        <w:t>Велигоцкий Н. Н. Дифференцированный подход к выбору оперативных вмешательств при тяжелых формах острого панкреатита / Н. Н. Велигоцкий, С. Э. Арутюнов, А. В. Козаченко [и др.] // Харківська хірургічна школа. – 2013. – № 2. – С. 56 –</w:t>
      </w:r>
      <w:r>
        <w:rPr>
          <w:spacing w:val="-14"/>
          <w:sz w:val="28"/>
        </w:rPr>
        <w:t xml:space="preserve"> </w:t>
      </w:r>
      <w:r>
        <w:rPr>
          <w:sz w:val="28"/>
        </w:rPr>
        <w:t>58.</w:t>
      </w:r>
    </w:p>
    <w:p w:rsidR="00B23B94" w:rsidRDefault="003B2D3B">
      <w:pPr>
        <w:pStyle w:val="a4"/>
        <w:numPr>
          <w:ilvl w:val="0"/>
          <w:numId w:val="2"/>
        </w:numPr>
        <w:tabs>
          <w:tab w:val="left" w:pos="1262"/>
        </w:tabs>
        <w:spacing w:line="360" w:lineRule="auto"/>
        <w:ind w:left="1261" w:right="784"/>
        <w:rPr>
          <w:sz w:val="28"/>
        </w:rPr>
      </w:pPr>
      <w:r>
        <w:rPr>
          <w:sz w:val="28"/>
        </w:rPr>
        <w:t>Верхулецкий И. Е. Раннее энтеральное питание в комплексном лечении острого деструктивного панкреатита / И. Е. Верхулецкий // Хирург. – 2011. – № 2. – С. 248 –</w:t>
      </w:r>
      <w:r>
        <w:rPr>
          <w:spacing w:val="-10"/>
          <w:sz w:val="28"/>
        </w:rPr>
        <w:t xml:space="preserve"> </w:t>
      </w:r>
      <w:r>
        <w:rPr>
          <w:sz w:val="28"/>
        </w:rPr>
        <w:t>251.</w:t>
      </w:r>
    </w:p>
    <w:p w:rsidR="00B23B94" w:rsidRDefault="003B2D3B">
      <w:pPr>
        <w:pStyle w:val="a4"/>
        <w:numPr>
          <w:ilvl w:val="0"/>
          <w:numId w:val="2"/>
        </w:numPr>
        <w:tabs>
          <w:tab w:val="left" w:pos="1262"/>
        </w:tabs>
        <w:spacing w:line="360" w:lineRule="auto"/>
        <w:ind w:left="1261"/>
        <w:rPr>
          <w:sz w:val="28"/>
        </w:rPr>
      </w:pPr>
      <w:r>
        <w:rPr>
          <w:sz w:val="28"/>
        </w:rPr>
        <w:t>Винник Ю.С. Диагностическая ценность интегральных шкал в оценке степени тяжести острого панкреатита и состояния больного / Ю.С. Винник, С.С. Дунаевская, Д.А. Антюфриева // Вестник РАМН. –</w:t>
      </w:r>
      <w:r>
        <w:rPr>
          <w:spacing w:val="23"/>
          <w:sz w:val="28"/>
        </w:rPr>
        <w:t xml:space="preserve"> </w:t>
      </w:r>
      <w:r>
        <w:rPr>
          <w:sz w:val="28"/>
        </w:rPr>
        <w:t>2015.</w:t>
      </w:r>
    </w:p>
    <w:p w:rsidR="00B23B94" w:rsidRDefault="003B2D3B">
      <w:pPr>
        <w:pStyle w:val="a3"/>
        <w:ind w:left="1261"/>
      </w:pPr>
      <w:r>
        <w:t>– №1. – С. 90-94.</w:t>
      </w:r>
    </w:p>
    <w:p w:rsidR="00B23B94" w:rsidRDefault="00B23B94">
      <w:p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Pr>
          <w:sz w:val="28"/>
        </w:rPr>
      </w:pPr>
      <w:r>
        <w:rPr>
          <w:sz w:val="28"/>
        </w:rPr>
        <w:lastRenderedPageBreak/>
        <w:t>Воробей А. В. Аррозивно-геморагические осложнения острого некротизирующего панкреатита / А. В. Воробей, В. Н. Лурье, А. Н. Шулейко // Актуальные проблемы хирургической гепатологии: материалы</w:t>
      </w:r>
      <w:r>
        <w:rPr>
          <w:spacing w:val="23"/>
          <w:sz w:val="28"/>
        </w:rPr>
        <w:t xml:space="preserve"> </w:t>
      </w:r>
      <w:r>
        <w:rPr>
          <w:sz w:val="28"/>
        </w:rPr>
        <w:t>конгресса</w:t>
      </w:r>
      <w:r>
        <w:rPr>
          <w:spacing w:val="26"/>
          <w:sz w:val="28"/>
        </w:rPr>
        <w:t xml:space="preserve"> </w:t>
      </w:r>
      <w:r>
        <w:rPr>
          <w:sz w:val="28"/>
        </w:rPr>
        <w:t>18-20</w:t>
      </w:r>
      <w:r>
        <w:rPr>
          <w:spacing w:val="25"/>
          <w:sz w:val="28"/>
        </w:rPr>
        <w:t xml:space="preserve"> </w:t>
      </w:r>
      <w:r>
        <w:rPr>
          <w:sz w:val="28"/>
        </w:rPr>
        <w:t>сентября</w:t>
      </w:r>
      <w:r>
        <w:rPr>
          <w:spacing w:val="25"/>
          <w:sz w:val="28"/>
        </w:rPr>
        <w:t xml:space="preserve"> </w:t>
      </w:r>
      <w:r>
        <w:rPr>
          <w:sz w:val="28"/>
        </w:rPr>
        <w:t>2013</w:t>
      </w:r>
      <w:r>
        <w:rPr>
          <w:spacing w:val="25"/>
          <w:sz w:val="28"/>
        </w:rPr>
        <w:t xml:space="preserve"> </w:t>
      </w:r>
      <w:r>
        <w:rPr>
          <w:sz w:val="28"/>
        </w:rPr>
        <w:t>г.</w:t>
      </w:r>
      <w:r>
        <w:rPr>
          <w:spacing w:val="27"/>
          <w:sz w:val="28"/>
        </w:rPr>
        <w:t xml:space="preserve"> </w:t>
      </w:r>
      <w:r>
        <w:rPr>
          <w:sz w:val="28"/>
        </w:rPr>
        <w:t>–</w:t>
      </w:r>
      <w:r>
        <w:rPr>
          <w:spacing w:val="26"/>
          <w:sz w:val="28"/>
        </w:rPr>
        <w:t xml:space="preserve"> </w:t>
      </w:r>
      <w:r>
        <w:rPr>
          <w:sz w:val="28"/>
        </w:rPr>
        <w:t>Донецк,</w:t>
      </w:r>
      <w:r>
        <w:rPr>
          <w:spacing w:val="24"/>
          <w:sz w:val="28"/>
        </w:rPr>
        <w:t xml:space="preserve"> </w:t>
      </w:r>
      <w:r>
        <w:rPr>
          <w:sz w:val="28"/>
        </w:rPr>
        <w:t>2013.</w:t>
      </w:r>
      <w:r>
        <w:rPr>
          <w:spacing w:val="25"/>
          <w:sz w:val="28"/>
        </w:rPr>
        <w:t xml:space="preserve"> </w:t>
      </w:r>
      <w:r>
        <w:rPr>
          <w:sz w:val="28"/>
        </w:rPr>
        <w:t>–</w:t>
      </w:r>
      <w:r>
        <w:rPr>
          <w:spacing w:val="26"/>
          <w:sz w:val="28"/>
        </w:rPr>
        <w:t xml:space="preserve"> </w:t>
      </w:r>
      <w:r>
        <w:rPr>
          <w:sz w:val="28"/>
        </w:rPr>
        <w:t>C.</w:t>
      </w:r>
      <w:r>
        <w:rPr>
          <w:spacing w:val="23"/>
          <w:sz w:val="28"/>
        </w:rPr>
        <w:t xml:space="preserve"> </w:t>
      </w:r>
      <w:r>
        <w:rPr>
          <w:sz w:val="28"/>
        </w:rPr>
        <w:t>157-</w:t>
      </w:r>
    </w:p>
    <w:p w:rsidR="00B23B94" w:rsidRDefault="003B2D3B">
      <w:pPr>
        <w:pStyle w:val="a3"/>
        <w:spacing w:before="1"/>
        <w:ind w:left="1261"/>
        <w:jc w:val="left"/>
      </w:pPr>
      <w:r>
        <w:t>158.</w:t>
      </w:r>
    </w:p>
    <w:p w:rsidR="00B23B94" w:rsidRDefault="003B2D3B">
      <w:pPr>
        <w:pStyle w:val="a4"/>
        <w:numPr>
          <w:ilvl w:val="0"/>
          <w:numId w:val="2"/>
        </w:numPr>
        <w:tabs>
          <w:tab w:val="left" w:pos="1262"/>
        </w:tabs>
        <w:spacing w:before="163" w:line="360" w:lineRule="auto"/>
        <w:ind w:left="1261" w:right="783"/>
        <w:rPr>
          <w:sz w:val="28"/>
        </w:rPr>
      </w:pPr>
      <w:r>
        <w:rPr>
          <w:sz w:val="28"/>
        </w:rPr>
        <w:t>Глабай В.П. Инфицированный панкреонекроз: принципы хирургического лечения / В. П. Глабай, А. В. Архаров, В. Г. Зурабиани [и др.] // Актуальные проблемы хирургической гепатологии: Материалы ХХ междунар. конгр. Ассоциации хирургов—гепатологов стран СНГ (Донецк, 18 — 20 сент. 2013 г.). — Донецк: Издатель Заславский А. Ю., 2013. — С.</w:t>
      </w:r>
      <w:r>
        <w:rPr>
          <w:spacing w:val="-5"/>
          <w:sz w:val="28"/>
        </w:rPr>
        <w:t xml:space="preserve"> </w:t>
      </w:r>
      <w:r>
        <w:rPr>
          <w:sz w:val="28"/>
        </w:rPr>
        <w:t>160.</w:t>
      </w:r>
    </w:p>
    <w:p w:rsidR="00B23B94" w:rsidRDefault="003B2D3B">
      <w:pPr>
        <w:pStyle w:val="a4"/>
        <w:numPr>
          <w:ilvl w:val="0"/>
          <w:numId w:val="2"/>
        </w:numPr>
        <w:tabs>
          <w:tab w:val="left" w:pos="1262"/>
        </w:tabs>
        <w:spacing w:line="360" w:lineRule="auto"/>
        <w:ind w:left="1261" w:right="786"/>
        <w:rPr>
          <w:sz w:val="28"/>
        </w:rPr>
      </w:pPr>
      <w:r>
        <w:rPr>
          <w:sz w:val="28"/>
        </w:rPr>
        <w:t>Гниденко Ю. П. Пункционно–дренажные вмешательства при жидкостных образованиях у больных острым панкреатитом / Ю. П. Гниденко // Актуальні питання невідкладної хірургії. – 2011. –</w:t>
      </w:r>
      <w:r>
        <w:rPr>
          <w:spacing w:val="33"/>
          <w:sz w:val="28"/>
        </w:rPr>
        <w:t xml:space="preserve"> </w:t>
      </w:r>
      <w:r>
        <w:rPr>
          <w:sz w:val="28"/>
        </w:rPr>
        <w:t>№ 1(5).</w:t>
      </w:r>
    </w:p>
    <w:p w:rsidR="00B23B94" w:rsidRDefault="003B2D3B">
      <w:pPr>
        <w:pStyle w:val="a3"/>
        <w:ind w:left="1261"/>
      </w:pPr>
      <w:r>
        <w:t>– С. 19 – 22.</w:t>
      </w:r>
    </w:p>
    <w:p w:rsidR="00B23B94" w:rsidRDefault="003B2D3B">
      <w:pPr>
        <w:pStyle w:val="a4"/>
        <w:numPr>
          <w:ilvl w:val="0"/>
          <w:numId w:val="2"/>
        </w:numPr>
        <w:tabs>
          <w:tab w:val="left" w:pos="1262"/>
        </w:tabs>
        <w:spacing w:before="161" w:line="360" w:lineRule="auto"/>
        <w:ind w:left="1261"/>
        <w:rPr>
          <w:sz w:val="28"/>
        </w:rPr>
      </w:pPr>
      <w:r>
        <w:rPr>
          <w:sz w:val="28"/>
        </w:rPr>
        <w:t>Губергриц Н.Б. Новости европейской панкреатологии (по материалам 49-й встречи европейского Клуба Панкреатологов, Будапешт, июнь – июль 2017 г.) / Н. Б. Губергриц, Н. В. Беляева, Г. М. Лукашевич, А. Е. Клочков, П. Г. Фоменко, А. В. Ротар // Вісник Клубу Панкреатологів. - 2017. - № 4. - С. 4 –</w:t>
      </w:r>
      <w:r>
        <w:rPr>
          <w:spacing w:val="-9"/>
          <w:sz w:val="28"/>
        </w:rPr>
        <w:t xml:space="preserve"> </w:t>
      </w:r>
      <w:r>
        <w:rPr>
          <w:sz w:val="28"/>
        </w:rPr>
        <w:t>15.</w:t>
      </w:r>
    </w:p>
    <w:p w:rsidR="00B23B94" w:rsidRDefault="003B2D3B">
      <w:pPr>
        <w:pStyle w:val="a4"/>
        <w:numPr>
          <w:ilvl w:val="0"/>
          <w:numId w:val="2"/>
        </w:numPr>
        <w:tabs>
          <w:tab w:val="left" w:pos="1262"/>
        </w:tabs>
        <w:spacing w:line="360" w:lineRule="auto"/>
        <w:ind w:left="1261"/>
        <w:rPr>
          <w:sz w:val="28"/>
        </w:rPr>
      </w:pPr>
      <w:r>
        <w:rPr>
          <w:sz w:val="28"/>
        </w:rPr>
        <w:t>Дацюк О.І. Особливості інфузійної терапії у хворих за тяжкого гострого деструктивного панкреатиту / О.І. Дацюк, В.О. Шапринський , І.П. Шлапак // Клін. хірургія. – 2013. – № 9. – С.</w:t>
      </w:r>
      <w:r>
        <w:rPr>
          <w:spacing w:val="-11"/>
          <w:sz w:val="28"/>
        </w:rPr>
        <w:t xml:space="preserve"> </w:t>
      </w:r>
      <w:r>
        <w:rPr>
          <w:sz w:val="28"/>
        </w:rPr>
        <w:t>22-25.</w:t>
      </w:r>
    </w:p>
    <w:p w:rsidR="00B23B94" w:rsidRDefault="003B2D3B">
      <w:pPr>
        <w:pStyle w:val="a4"/>
        <w:numPr>
          <w:ilvl w:val="0"/>
          <w:numId w:val="2"/>
        </w:numPr>
        <w:tabs>
          <w:tab w:val="left" w:pos="1262"/>
        </w:tabs>
        <w:spacing w:line="360" w:lineRule="auto"/>
        <w:ind w:left="1261"/>
        <w:rPr>
          <w:sz w:val="28"/>
        </w:rPr>
      </w:pPr>
      <w:r>
        <w:rPr>
          <w:sz w:val="28"/>
        </w:rPr>
        <w:t>Должковий С. В. Вивчення динаміки вироблення бета-лактамаз збудниками інтраабдомінальних хірургічних інфекцій / С.В. Должковий, О.Ю. Черкун // Актуальні проблеми сучасної медицини: Вісник української медичної стоматологічної академії, 2015. – Т. 15, № 1 (49). – С.</w:t>
      </w:r>
      <w:r>
        <w:rPr>
          <w:spacing w:val="-3"/>
          <w:sz w:val="28"/>
        </w:rPr>
        <w:t xml:space="preserve"> </w:t>
      </w:r>
      <w:r>
        <w:rPr>
          <w:sz w:val="28"/>
        </w:rPr>
        <w:t>74-76.</w:t>
      </w:r>
    </w:p>
    <w:p w:rsidR="00B23B94" w:rsidRDefault="003B2D3B">
      <w:pPr>
        <w:pStyle w:val="a4"/>
        <w:numPr>
          <w:ilvl w:val="0"/>
          <w:numId w:val="2"/>
        </w:numPr>
        <w:tabs>
          <w:tab w:val="left" w:pos="1262"/>
        </w:tabs>
        <w:spacing w:before="1" w:line="360" w:lineRule="auto"/>
        <w:ind w:left="1261" w:right="785"/>
        <w:rPr>
          <w:sz w:val="28"/>
        </w:rPr>
      </w:pPr>
      <w:r>
        <w:rPr>
          <w:sz w:val="28"/>
        </w:rPr>
        <w:t>Должковий С. В. Прогнозування та профілактика гнійно–септичних ускладнень у хворих з тяжкою формою гострого панкреатиту:</w:t>
      </w:r>
      <w:r>
        <w:rPr>
          <w:spacing w:val="52"/>
          <w:sz w:val="28"/>
        </w:rPr>
        <w:t xml:space="preserve"> </w:t>
      </w:r>
      <w:r>
        <w:rPr>
          <w:sz w:val="28"/>
        </w:rPr>
        <w:t>автореф.</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1261" w:right="783"/>
      </w:pPr>
      <w:r>
        <w:lastRenderedPageBreak/>
        <w:t>дис. ... канд. мед. наук : 14.01.03 / С. В. Должковий; Держ. заклад "Запоріз. мед. акад. післядиплом. освіти МОЗ України". – Запоріжжя, 2014. – 20 с.</w:t>
      </w:r>
    </w:p>
    <w:p w:rsidR="00B23B94" w:rsidRDefault="003B2D3B">
      <w:pPr>
        <w:pStyle w:val="a4"/>
        <w:numPr>
          <w:ilvl w:val="0"/>
          <w:numId w:val="2"/>
        </w:numPr>
        <w:tabs>
          <w:tab w:val="left" w:pos="1262"/>
        </w:tabs>
        <w:spacing w:before="2" w:line="360" w:lineRule="auto"/>
        <w:ind w:left="1261"/>
        <w:rPr>
          <w:sz w:val="28"/>
        </w:rPr>
      </w:pPr>
      <w:r>
        <w:rPr>
          <w:sz w:val="28"/>
        </w:rPr>
        <w:t>Дронов О.І. Вплив апаратного плазмаферезу на бар’єрну і моторно- евакуаторну функції кишечнику у хворих на гострий некротичний панкреатит / О.І. Дронов, І.О. Ковальська, В.Ю. Уваров [та ін.] // Клін. хірургія. – 2013. – № 4. – С.</w:t>
      </w:r>
      <w:r>
        <w:rPr>
          <w:spacing w:val="-8"/>
          <w:sz w:val="28"/>
        </w:rPr>
        <w:t xml:space="preserve"> </w:t>
      </w:r>
      <w:r>
        <w:rPr>
          <w:sz w:val="28"/>
        </w:rPr>
        <w:t>24-27.</w:t>
      </w:r>
    </w:p>
    <w:p w:rsidR="00B23B94" w:rsidRDefault="003B2D3B">
      <w:pPr>
        <w:pStyle w:val="a4"/>
        <w:numPr>
          <w:ilvl w:val="0"/>
          <w:numId w:val="2"/>
        </w:numPr>
        <w:tabs>
          <w:tab w:val="left" w:pos="1262"/>
        </w:tabs>
        <w:spacing w:line="360" w:lineRule="auto"/>
        <w:ind w:left="1261" w:right="789"/>
        <w:rPr>
          <w:sz w:val="28"/>
        </w:rPr>
      </w:pPr>
      <w:r>
        <w:rPr>
          <w:sz w:val="28"/>
        </w:rPr>
        <w:t>Дронов О.І. Застосування пункційно–дренуючих втручань під ультразвуковим контролем в лікуванні гострого некротичного панкреатиту / О. І. Дронов, І. О. Ковальська, С. І. Пахолюк, Т. В. Лубенець // Укр. журн. хірургії. – 2009. – № 5. – С. 87 –</w:t>
      </w:r>
      <w:r>
        <w:rPr>
          <w:spacing w:val="-18"/>
          <w:sz w:val="28"/>
        </w:rPr>
        <w:t xml:space="preserve"> </w:t>
      </w:r>
      <w:r>
        <w:rPr>
          <w:sz w:val="28"/>
        </w:rPr>
        <w:t>89.</w:t>
      </w:r>
    </w:p>
    <w:p w:rsidR="00B23B94" w:rsidRDefault="003B2D3B">
      <w:pPr>
        <w:pStyle w:val="a4"/>
        <w:numPr>
          <w:ilvl w:val="0"/>
          <w:numId w:val="2"/>
        </w:numPr>
        <w:tabs>
          <w:tab w:val="left" w:pos="1262"/>
        </w:tabs>
        <w:spacing w:before="1" w:line="360" w:lineRule="auto"/>
        <w:ind w:left="1261" w:right="784"/>
        <w:rPr>
          <w:sz w:val="24"/>
        </w:rPr>
      </w:pPr>
      <w:r>
        <w:rPr>
          <w:sz w:val="28"/>
        </w:rPr>
        <w:t>Дронов О.І. Комбінована лапароскопічно та ретроперитонеоскопічно асистована панкреатонекрсеквестректомія / О.І. Дронов, І.О. Ковальська, К.С. Бурміч [та ін.] // Клін. хірургія.  –  2016.  –  №  12. –  С.</w:t>
      </w:r>
      <w:r>
        <w:rPr>
          <w:spacing w:val="-1"/>
          <w:sz w:val="28"/>
        </w:rPr>
        <w:t xml:space="preserve"> </w:t>
      </w:r>
      <w:r>
        <w:rPr>
          <w:sz w:val="28"/>
        </w:rPr>
        <w:t>5-8.</w:t>
      </w:r>
    </w:p>
    <w:p w:rsidR="00B23B94" w:rsidRDefault="003B2D3B">
      <w:pPr>
        <w:pStyle w:val="a4"/>
        <w:numPr>
          <w:ilvl w:val="0"/>
          <w:numId w:val="2"/>
        </w:numPr>
        <w:tabs>
          <w:tab w:val="left" w:pos="1262"/>
        </w:tabs>
        <w:spacing w:line="360" w:lineRule="auto"/>
        <w:ind w:left="1261"/>
        <w:rPr>
          <w:sz w:val="28"/>
        </w:rPr>
      </w:pPr>
      <w:r>
        <w:rPr>
          <w:sz w:val="28"/>
        </w:rPr>
        <w:t>Дюжева Т.Г. Узловые вопросы диагностики и лечения тяжелого острого панкреатита, определяющие дифференцированную тактику ведения больных / Т. Г. Дюжева, А. В. Шефер, Е. В. Джус [и др.] // Актуальные проблемы хирургической гепатологии: Материалы ХХ междунар. конгр. Ассоциации хирургов—гепатологов стран СНГ (Донецк, 18—20 сент., 2013 г.). — Донецк: Издатель Заславский А. Ю., 2013. — С. 171 —</w:t>
      </w:r>
      <w:r>
        <w:rPr>
          <w:spacing w:val="-6"/>
          <w:sz w:val="28"/>
        </w:rPr>
        <w:t xml:space="preserve"> </w:t>
      </w:r>
      <w:r>
        <w:rPr>
          <w:sz w:val="28"/>
        </w:rPr>
        <w:t>172.</w:t>
      </w:r>
    </w:p>
    <w:p w:rsidR="00B23B94" w:rsidRDefault="003B2D3B">
      <w:pPr>
        <w:pStyle w:val="a4"/>
        <w:numPr>
          <w:ilvl w:val="0"/>
          <w:numId w:val="2"/>
        </w:numPr>
        <w:tabs>
          <w:tab w:val="left" w:pos="1262"/>
        </w:tabs>
        <w:spacing w:before="1" w:line="360" w:lineRule="auto"/>
        <w:ind w:left="1261"/>
        <w:rPr>
          <w:sz w:val="28"/>
        </w:rPr>
      </w:pPr>
      <w:r>
        <w:rPr>
          <w:sz w:val="28"/>
        </w:rPr>
        <w:t>Запорожченко Б.С. Вплив мембранного плазмаферезу на перебіг ендотоксикозу при гострому деструктивному панкреатиті / Б.С. Запорожченко, Г.Ю. Коритна, П.Т. Муравйов, І.В. Шарапов // Клін. хірургія. – 2013. – № 9. – С.</w:t>
      </w:r>
      <w:r>
        <w:rPr>
          <w:spacing w:val="-9"/>
          <w:sz w:val="28"/>
        </w:rPr>
        <w:t xml:space="preserve"> </w:t>
      </w:r>
      <w:r>
        <w:rPr>
          <w:sz w:val="28"/>
        </w:rPr>
        <w:t>26-28.</w:t>
      </w:r>
    </w:p>
    <w:p w:rsidR="00B23B94" w:rsidRDefault="003B2D3B">
      <w:pPr>
        <w:pStyle w:val="a4"/>
        <w:numPr>
          <w:ilvl w:val="0"/>
          <w:numId w:val="2"/>
        </w:numPr>
        <w:tabs>
          <w:tab w:val="left" w:pos="1262"/>
        </w:tabs>
        <w:spacing w:before="1" w:line="360" w:lineRule="auto"/>
        <w:ind w:left="1261" w:right="787"/>
        <w:rPr>
          <w:sz w:val="28"/>
        </w:rPr>
      </w:pPr>
      <w:r>
        <w:rPr>
          <w:sz w:val="28"/>
        </w:rPr>
        <w:t>Запорожченко Б.С. Комплексное лечение осложненного острого некротического панкреатита на различных этапах развития</w:t>
      </w:r>
      <w:r>
        <w:rPr>
          <w:spacing w:val="-19"/>
          <w:sz w:val="28"/>
        </w:rPr>
        <w:t xml:space="preserve"> </w:t>
      </w:r>
      <w:r>
        <w:rPr>
          <w:sz w:val="28"/>
        </w:rPr>
        <w:t>заболевания</w:t>
      </w:r>
    </w:p>
    <w:p w:rsidR="00B23B94" w:rsidRDefault="003B2D3B">
      <w:pPr>
        <w:pStyle w:val="a3"/>
        <w:spacing w:line="360" w:lineRule="auto"/>
        <w:ind w:left="1261" w:right="792"/>
      </w:pPr>
      <w:r>
        <w:t>/ Б. С. Запорожченко, И. Е. Бородаев, О. Б. Зубков [и др.] // Сучаснi мед. технології. – 2010. – № 1. – С. 18 –</w:t>
      </w:r>
      <w:r>
        <w:rPr>
          <w:spacing w:val="-12"/>
        </w:rPr>
        <w:t xml:space="preserve"> </w:t>
      </w:r>
      <w:r>
        <w:t>21.</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3"/>
        <w:rPr>
          <w:sz w:val="28"/>
        </w:rPr>
      </w:pPr>
      <w:r>
        <w:rPr>
          <w:sz w:val="28"/>
        </w:rPr>
        <w:lastRenderedPageBreak/>
        <w:t>Кас’ян В.В. Хірургічна тактика при гострому панкреатиті, що ускладнений асцит-перитонітом / В.В. Кас’ян, О.Ю. Черкун, Д.А. Ситнік, В.Д. Шейко // Запорожский медицинский журнал, 2019. – Т.</w:t>
      </w:r>
      <w:r>
        <w:rPr>
          <w:spacing w:val="6"/>
          <w:sz w:val="28"/>
        </w:rPr>
        <w:t xml:space="preserve"> </w:t>
      </w:r>
      <w:r>
        <w:rPr>
          <w:sz w:val="28"/>
        </w:rPr>
        <w:t>21,</w:t>
      </w:r>
    </w:p>
    <w:p w:rsidR="00B23B94" w:rsidRDefault="003B2D3B">
      <w:pPr>
        <w:pStyle w:val="a3"/>
        <w:spacing w:before="2"/>
        <w:ind w:left="1261"/>
      </w:pPr>
      <w:r>
        <w:t>№4(115). – С. 522-527.</w:t>
      </w:r>
    </w:p>
    <w:p w:rsidR="00B23B94" w:rsidRDefault="003B2D3B">
      <w:pPr>
        <w:pStyle w:val="a4"/>
        <w:numPr>
          <w:ilvl w:val="0"/>
          <w:numId w:val="2"/>
        </w:numPr>
        <w:tabs>
          <w:tab w:val="left" w:pos="1262"/>
        </w:tabs>
        <w:spacing w:before="160" w:line="360" w:lineRule="auto"/>
        <w:ind w:left="1261" w:right="788"/>
        <w:rPr>
          <w:sz w:val="28"/>
        </w:rPr>
      </w:pPr>
      <w:r>
        <w:rPr>
          <w:sz w:val="28"/>
        </w:rPr>
        <w:t>Кас’ян В.В. Перспективи вивчення тиреоїдного профілю у пацієнтів з органними дисіункціями при гострому панкреатиті / В.В. Кас’ян, О.Ю. Черкун, Д.А. Ситнік, В.Д. Шейко // Вісник проблем біології і медицини, 2019. – Вип.1. – Т.1 (148).-С.</w:t>
      </w:r>
      <w:r>
        <w:rPr>
          <w:spacing w:val="-5"/>
          <w:sz w:val="28"/>
        </w:rPr>
        <w:t xml:space="preserve"> </w:t>
      </w:r>
      <w:r>
        <w:rPr>
          <w:sz w:val="28"/>
        </w:rPr>
        <w:t>43-47.</w:t>
      </w:r>
    </w:p>
    <w:p w:rsidR="00B23B94" w:rsidRDefault="003B2D3B">
      <w:pPr>
        <w:pStyle w:val="a4"/>
        <w:numPr>
          <w:ilvl w:val="0"/>
          <w:numId w:val="2"/>
        </w:numPr>
        <w:tabs>
          <w:tab w:val="left" w:pos="1262"/>
        </w:tabs>
        <w:spacing w:line="360" w:lineRule="auto"/>
        <w:ind w:left="1261" w:right="790"/>
        <w:rPr>
          <w:sz w:val="28"/>
        </w:rPr>
      </w:pPr>
      <w:r>
        <w:rPr>
          <w:sz w:val="28"/>
        </w:rPr>
        <w:t>Кондратенко П. Г. Комплексное лечение острого небилиарного инфицированного некротического панкреатита / П. Г. Кондратенко, И. В. Ширшов // Сучасні мед. технології. – 2011. – № 3–4. – С. 165 –</w:t>
      </w:r>
      <w:r>
        <w:rPr>
          <w:spacing w:val="-24"/>
          <w:sz w:val="28"/>
        </w:rPr>
        <w:t xml:space="preserve"> </w:t>
      </w:r>
      <w:r>
        <w:rPr>
          <w:sz w:val="28"/>
        </w:rPr>
        <w:t>169.</w:t>
      </w:r>
    </w:p>
    <w:p w:rsidR="00B23B94" w:rsidRDefault="003B2D3B">
      <w:pPr>
        <w:pStyle w:val="a4"/>
        <w:numPr>
          <w:ilvl w:val="0"/>
          <w:numId w:val="2"/>
        </w:numPr>
        <w:tabs>
          <w:tab w:val="left" w:pos="1262"/>
        </w:tabs>
        <w:spacing w:before="2" w:line="360" w:lineRule="auto"/>
        <w:ind w:left="1261" w:right="791"/>
        <w:rPr>
          <w:sz w:val="28"/>
        </w:rPr>
      </w:pPr>
      <w:r>
        <w:rPr>
          <w:sz w:val="28"/>
        </w:rPr>
        <w:t>Кондратенко П.Г. Общие принципы консервативной терапии острого панкреатита / П. Г. Кондратенко, М. В. Конькова, А. А. Васильев [и др.] // Украинский журнал хирургии. – 2014. – №3-4. – С. 26 –</w:t>
      </w:r>
      <w:r>
        <w:rPr>
          <w:spacing w:val="-17"/>
          <w:sz w:val="28"/>
        </w:rPr>
        <w:t xml:space="preserve"> </w:t>
      </w:r>
      <w:r>
        <w:rPr>
          <w:sz w:val="28"/>
        </w:rPr>
        <w:t>27.</w:t>
      </w:r>
    </w:p>
    <w:p w:rsidR="00B23B94" w:rsidRDefault="003B2D3B">
      <w:pPr>
        <w:pStyle w:val="a4"/>
        <w:numPr>
          <w:ilvl w:val="0"/>
          <w:numId w:val="2"/>
        </w:numPr>
        <w:tabs>
          <w:tab w:val="left" w:pos="1262"/>
        </w:tabs>
        <w:spacing w:line="360" w:lineRule="auto"/>
        <w:ind w:left="1261" w:right="783"/>
        <w:rPr>
          <w:sz w:val="28"/>
        </w:rPr>
      </w:pPr>
      <w:r>
        <w:rPr>
          <w:sz w:val="28"/>
        </w:rPr>
        <w:t>Кондратенко П.Г. Хирургическая тактика при остром некротическом панкреатите / П. Г. Кондратенко, М. В. Конькова, А. А. Васильева [и др.] // Укр. Журнал хірургії. – 2013. – № 3(22). – С. 150 –</w:t>
      </w:r>
      <w:r>
        <w:rPr>
          <w:spacing w:val="-20"/>
          <w:sz w:val="28"/>
        </w:rPr>
        <w:t xml:space="preserve"> </w:t>
      </w:r>
      <w:r>
        <w:rPr>
          <w:sz w:val="28"/>
        </w:rPr>
        <w:t>155.</w:t>
      </w:r>
    </w:p>
    <w:p w:rsidR="00B23B94" w:rsidRDefault="003B2D3B">
      <w:pPr>
        <w:pStyle w:val="a4"/>
        <w:numPr>
          <w:ilvl w:val="0"/>
          <w:numId w:val="2"/>
        </w:numPr>
        <w:tabs>
          <w:tab w:val="left" w:pos="1262"/>
        </w:tabs>
        <w:spacing w:line="360" w:lineRule="auto"/>
        <w:ind w:left="1261" w:right="786"/>
        <w:rPr>
          <w:sz w:val="28"/>
        </w:rPr>
      </w:pPr>
      <w:r>
        <w:rPr>
          <w:sz w:val="28"/>
        </w:rPr>
        <w:t>Копчак В.М. Сучасне індивідуалізоване покрокове хірургічне лікування гострого некротичного панкреатиту / В. М. Копчак, І. В. Хомяк, О. В. Ротар [та ін.] // ХХІV з‘їзд хірургів України, м. Київ, 24 – 28 вересня 2018 р.: тези доповіді. Київ, 2018. С. 190 –</w:t>
      </w:r>
      <w:r>
        <w:rPr>
          <w:spacing w:val="-8"/>
          <w:sz w:val="28"/>
        </w:rPr>
        <w:t xml:space="preserve"> </w:t>
      </w:r>
      <w:r>
        <w:rPr>
          <w:sz w:val="28"/>
        </w:rPr>
        <w:t>191.</w:t>
      </w:r>
    </w:p>
    <w:p w:rsidR="00B23B94" w:rsidRDefault="003B2D3B">
      <w:pPr>
        <w:pStyle w:val="a4"/>
        <w:numPr>
          <w:ilvl w:val="0"/>
          <w:numId w:val="2"/>
        </w:numPr>
        <w:tabs>
          <w:tab w:val="left" w:pos="1262"/>
        </w:tabs>
        <w:spacing w:line="360" w:lineRule="auto"/>
        <w:ind w:left="1261" w:right="790"/>
        <w:rPr>
          <w:sz w:val="28"/>
        </w:rPr>
      </w:pPr>
      <w:r>
        <w:rPr>
          <w:sz w:val="28"/>
        </w:rPr>
        <w:t>Копчак В.М. Хирургическая анатомия поджелудочной железы: Монография / В. М. Копчак, А. Ю. Усенко, К. В. Копчак, А. И. Зелинский. — К.: Издательский дом «Аскания», 2011. — 141</w:t>
      </w:r>
      <w:r>
        <w:rPr>
          <w:spacing w:val="-8"/>
          <w:sz w:val="28"/>
        </w:rPr>
        <w:t xml:space="preserve"> </w:t>
      </w:r>
      <w:r>
        <w:rPr>
          <w:sz w:val="28"/>
        </w:rPr>
        <w:t>с.</w:t>
      </w:r>
    </w:p>
    <w:p w:rsidR="00B23B94" w:rsidRDefault="003B2D3B">
      <w:pPr>
        <w:pStyle w:val="a4"/>
        <w:numPr>
          <w:ilvl w:val="0"/>
          <w:numId w:val="2"/>
        </w:numPr>
        <w:tabs>
          <w:tab w:val="left" w:pos="1262"/>
        </w:tabs>
        <w:spacing w:line="360" w:lineRule="auto"/>
        <w:ind w:left="1261" w:right="784"/>
        <w:rPr>
          <w:sz w:val="28"/>
        </w:rPr>
      </w:pPr>
      <w:r>
        <w:rPr>
          <w:sz w:val="28"/>
        </w:rPr>
        <w:t>Корымасов Е. А. Эффективность малоинвазивных пункционно– дренажных вмешательств в лечении панкреонекроза / Е. А. Корымасов, А. М. Кричмар, Р. М. Джарар //  Казан.  мед.  журн.  – 2013.  –  №  1. – С. 1 –</w:t>
      </w:r>
      <w:r>
        <w:rPr>
          <w:spacing w:val="-2"/>
          <w:sz w:val="28"/>
        </w:rPr>
        <w:t xml:space="preserve"> </w:t>
      </w:r>
      <w:r>
        <w:rPr>
          <w:sz w:val="28"/>
        </w:rPr>
        <w:t>6.</w:t>
      </w:r>
    </w:p>
    <w:p w:rsidR="00B23B94" w:rsidRDefault="003B2D3B">
      <w:pPr>
        <w:pStyle w:val="a4"/>
        <w:numPr>
          <w:ilvl w:val="0"/>
          <w:numId w:val="2"/>
        </w:numPr>
        <w:tabs>
          <w:tab w:val="left" w:pos="1262"/>
        </w:tabs>
        <w:spacing w:before="1" w:line="360" w:lineRule="auto"/>
        <w:ind w:left="1261"/>
        <w:rPr>
          <w:sz w:val="24"/>
        </w:rPr>
      </w:pPr>
      <w:r>
        <w:rPr>
          <w:sz w:val="28"/>
        </w:rPr>
        <w:t>Кулезнева Ю. В. Чрезкожные вмешательства при гнойно- некротических</w:t>
      </w:r>
      <w:r>
        <w:rPr>
          <w:spacing w:val="34"/>
          <w:sz w:val="28"/>
        </w:rPr>
        <w:t xml:space="preserve"> </w:t>
      </w:r>
      <w:r>
        <w:rPr>
          <w:sz w:val="28"/>
        </w:rPr>
        <w:t>осложнениях</w:t>
      </w:r>
      <w:r>
        <w:rPr>
          <w:spacing w:val="34"/>
          <w:sz w:val="28"/>
        </w:rPr>
        <w:t xml:space="preserve"> </w:t>
      </w:r>
      <w:r>
        <w:rPr>
          <w:sz w:val="28"/>
        </w:rPr>
        <w:t>панкреонекроза</w:t>
      </w:r>
      <w:r>
        <w:rPr>
          <w:spacing w:val="35"/>
          <w:sz w:val="28"/>
        </w:rPr>
        <w:t xml:space="preserve"> </w:t>
      </w:r>
      <w:r>
        <w:rPr>
          <w:sz w:val="28"/>
        </w:rPr>
        <w:t>/</w:t>
      </w:r>
      <w:r>
        <w:rPr>
          <w:spacing w:val="36"/>
          <w:sz w:val="28"/>
        </w:rPr>
        <w:t xml:space="preserve"> </w:t>
      </w:r>
      <w:r>
        <w:rPr>
          <w:sz w:val="28"/>
        </w:rPr>
        <w:t>Ю.</w:t>
      </w:r>
      <w:r>
        <w:rPr>
          <w:spacing w:val="34"/>
          <w:sz w:val="28"/>
        </w:rPr>
        <w:t xml:space="preserve"> </w:t>
      </w:r>
      <w:r>
        <w:rPr>
          <w:sz w:val="28"/>
        </w:rPr>
        <w:t>В.</w:t>
      </w:r>
      <w:r>
        <w:rPr>
          <w:spacing w:val="34"/>
          <w:sz w:val="28"/>
        </w:rPr>
        <w:t xml:space="preserve"> </w:t>
      </w:r>
      <w:r>
        <w:rPr>
          <w:sz w:val="28"/>
        </w:rPr>
        <w:t>Кулезнева,</w:t>
      </w:r>
      <w:r>
        <w:rPr>
          <w:spacing w:val="35"/>
          <w:sz w:val="28"/>
        </w:rPr>
        <w:t xml:space="preserve"> </w:t>
      </w:r>
      <w:r>
        <w:rPr>
          <w:sz w:val="28"/>
        </w:rPr>
        <w:t>О.</w:t>
      </w:r>
      <w:r>
        <w:rPr>
          <w:spacing w:val="34"/>
          <w:sz w:val="28"/>
        </w:rPr>
        <w:t xml:space="preserve"> </w:t>
      </w:r>
      <w:r>
        <w:rPr>
          <w:sz w:val="28"/>
        </w:rPr>
        <w:t>В.</w:t>
      </w:r>
    </w:p>
    <w:p w:rsidR="00B23B94" w:rsidRDefault="00B23B94">
      <w:pPr>
        <w:spacing w:line="360" w:lineRule="auto"/>
        <w:jc w:val="both"/>
        <w:rPr>
          <w:sz w:val="24"/>
        </w:rPr>
        <w:sectPr w:rsidR="00B23B94">
          <w:pgSz w:w="11910" w:h="16840"/>
          <w:pgMar w:top="1040" w:right="60" w:bottom="280" w:left="1160" w:header="719" w:footer="0" w:gutter="0"/>
          <w:cols w:space="720"/>
        </w:sectPr>
      </w:pPr>
    </w:p>
    <w:p w:rsidR="00B23B94" w:rsidRDefault="003B2D3B">
      <w:pPr>
        <w:pStyle w:val="a3"/>
        <w:spacing w:before="89" w:line="362" w:lineRule="auto"/>
        <w:ind w:left="1261" w:right="784"/>
      </w:pPr>
      <w:r>
        <w:lastRenderedPageBreak/>
        <w:t>Мороз, Р. Е. Изралов // Анналы хирургической гепатологии. – 2015. – Т. 20. - № 2. – С. 24 –</w:t>
      </w:r>
      <w:r>
        <w:rPr>
          <w:spacing w:val="-10"/>
        </w:rPr>
        <w:t xml:space="preserve"> </w:t>
      </w:r>
      <w:r>
        <w:t>27.</w:t>
      </w:r>
    </w:p>
    <w:p w:rsidR="00B23B94" w:rsidRDefault="003B2D3B">
      <w:pPr>
        <w:pStyle w:val="a4"/>
        <w:numPr>
          <w:ilvl w:val="0"/>
          <w:numId w:val="2"/>
        </w:numPr>
        <w:tabs>
          <w:tab w:val="left" w:pos="1262"/>
        </w:tabs>
        <w:spacing w:line="360" w:lineRule="auto"/>
        <w:ind w:left="1261" w:right="784"/>
        <w:rPr>
          <w:sz w:val="28"/>
        </w:rPr>
      </w:pPr>
      <w:r>
        <w:rPr>
          <w:sz w:val="28"/>
        </w:rPr>
        <w:t>Литвиненко О.М. Альтернативний метод прогнозування гострого панкреатиту / О.М. Литвиненко, І.В. Гомоляко, А.С. Калюжка // Клін. хірургія. – 2013. – № 4. – С.</w:t>
      </w:r>
      <w:r>
        <w:rPr>
          <w:spacing w:val="-9"/>
          <w:sz w:val="28"/>
        </w:rPr>
        <w:t xml:space="preserve"> </w:t>
      </w:r>
      <w:r>
        <w:rPr>
          <w:sz w:val="28"/>
        </w:rPr>
        <w:t>28-31.</w:t>
      </w:r>
    </w:p>
    <w:p w:rsidR="00B23B94" w:rsidRDefault="003B2D3B">
      <w:pPr>
        <w:pStyle w:val="a4"/>
        <w:numPr>
          <w:ilvl w:val="0"/>
          <w:numId w:val="2"/>
        </w:numPr>
        <w:tabs>
          <w:tab w:val="left" w:pos="1262"/>
        </w:tabs>
        <w:spacing w:line="360" w:lineRule="auto"/>
        <w:ind w:left="1261" w:right="789"/>
        <w:rPr>
          <w:sz w:val="28"/>
        </w:rPr>
      </w:pPr>
      <w:r>
        <w:rPr>
          <w:sz w:val="28"/>
        </w:rPr>
        <w:t>Лігоненко О.В. Обмін кальцію і стан перекисного окиснення ліпідів при</w:t>
      </w:r>
      <w:r>
        <w:rPr>
          <w:spacing w:val="14"/>
          <w:sz w:val="28"/>
        </w:rPr>
        <w:t xml:space="preserve"> </w:t>
      </w:r>
      <w:r>
        <w:rPr>
          <w:sz w:val="28"/>
        </w:rPr>
        <w:t>гострому</w:t>
      </w:r>
      <w:r>
        <w:rPr>
          <w:spacing w:val="10"/>
          <w:sz w:val="28"/>
        </w:rPr>
        <w:t xml:space="preserve"> </w:t>
      </w:r>
      <w:r>
        <w:rPr>
          <w:sz w:val="28"/>
        </w:rPr>
        <w:t>панкреатиті</w:t>
      </w:r>
      <w:r>
        <w:rPr>
          <w:spacing w:val="17"/>
          <w:sz w:val="28"/>
        </w:rPr>
        <w:t xml:space="preserve"> </w:t>
      </w:r>
      <w:r>
        <w:rPr>
          <w:sz w:val="28"/>
        </w:rPr>
        <w:t>/</w:t>
      </w:r>
      <w:r>
        <w:rPr>
          <w:spacing w:val="15"/>
          <w:sz w:val="28"/>
        </w:rPr>
        <w:t xml:space="preserve"> </w:t>
      </w:r>
      <w:r>
        <w:rPr>
          <w:sz w:val="28"/>
        </w:rPr>
        <w:t>О.В.</w:t>
      </w:r>
      <w:r>
        <w:rPr>
          <w:spacing w:val="13"/>
          <w:sz w:val="28"/>
        </w:rPr>
        <w:t xml:space="preserve"> </w:t>
      </w:r>
      <w:r>
        <w:rPr>
          <w:sz w:val="28"/>
        </w:rPr>
        <w:t>Лігоненко,</w:t>
      </w:r>
      <w:r>
        <w:rPr>
          <w:spacing w:val="13"/>
          <w:sz w:val="28"/>
        </w:rPr>
        <w:t xml:space="preserve"> </w:t>
      </w:r>
      <w:r>
        <w:rPr>
          <w:sz w:val="28"/>
        </w:rPr>
        <w:t>І.І.</w:t>
      </w:r>
      <w:r>
        <w:rPr>
          <w:spacing w:val="13"/>
          <w:sz w:val="28"/>
        </w:rPr>
        <w:t xml:space="preserve"> </w:t>
      </w:r>
      <w:r>
        <w:rPr>
          <w:sz w:val="28"/>
        </w:rPr>
        <w:t>Дігтяр</w:t>
      </w:r>
      <w:r>
        <w:rPr>
          <w:spacing w:val="13"/>
          <w:sz w:val="28"/>
        </w:rPr>
        <w:t xml:space="preserve"> </w:t>
      </w:r>
      <w:r>
        <w:rPr>
          <w:sz w:val="28"/>
        </w:rPr>
        <w:t>//</w:t>
      </w:r>
      <w:r>
        <w:rPr>
          <w:spacing w:val="15"/>
          <w:sz w:val="28"/>
        </w:rPr>
        <w:t xml:space="preserve"> </w:t>
      </w:r>
      <w:r>
        <w:rPr>
          <w:sz w:val="28"/>
        </w:rPr>
        <w:t>Клін.</w:t>
      </w:r>
      <w:r>
        <w:rPr>
          <w:spacing w:val="11"/>
          <w:sz w:val="28"/>
        </w:rPr>
        <w:t xml:space="preserve"> </w:t>
      </w:r>
      <w:r>
        <w:rPr>
          <w:sz w:val="28"/>
        </w:rPr>
        <w:t>хірургія.</w:t>
      </w:r>
    </w:p>
    <w:p w:rsidR="00B23B94" w:rsidRDefault="003B2D3B">
      <w:pPr>
        <w:pStyle w:val="a3"/>
        <w:spacing w:line="321" w:lineRule="exact"/>
        <w:ind w:left="1261"/>
      </w:pPr>
      <w:r>
        <w:t>– 2009. – № 7-8. – С. 86-88.</w:t>
      </w:r>
    </w:p>
    <w:p w:rsidR="00B23B94" w:rsidRDefault="003B2D3B">
      <w:pPr>
        <w:pStyle w:val="a4"/>
        <w:numPr>
          <w:ilvl w:val="0"/>
          <w:numId w:val="2"/>
        </w:numPr>
        <w:tabs>
          <w:tab w:val="left" w:pos="1262"/>
        </w:tabs>
        <w:spacing w:before="157" w:line="360" w:lineRule="auto"/>
        <w:ind w:left="1261" w:right="790"/>
        <w:rPr>
          <w:sz w:val="28"/>
        </w:rPr>
      </w:pPr>
      <w:r>
        <w:rPr>
          <w:sz w:val="28"/>
        </w:rPr>
        <w:t>Маккормик Б. Основы интенсивной терапии (Руководство Всемирной федерации обществ анестезиологов). Под ред. Б. Маккормик. Архангельск: СГМУ. – 2014. – 464</w:t>
      </w:r>
      <w:r>
        <w:rPr>
          <w:spacing w:val="-2"/>
          <w:sz w:val="28"/>
        </w:rPr>
        <w:t xml:space="preserve"> </w:t>
      </w:r>
      <w:r>
        <w:rPr>
          <w:sz w:val="28"/>
        </w:rPr>
        <w:t>с.</w:t>
      </w:r>
    </w:p>
    <w:p w:rsidR="00B23B94" w:rsidRDefault="003B2D3B">
      <w:pPr>
        <w:pStyle w:val="a4"/>
        <w:numPr>
          <w:ilvl w:val="0"/>
          <w:numId w:val="2"/>
        </w:numPr>
        <w:tabs>
          <w:tab w:val="left" w:pos="1262"/>
        </w:tabs>
        <w:spacing w:before="1" w:line="360" w:lineRule="auto"/>
        <w:ind w:left="1261" w:right="783"/>
        <w:rPr>
          <w:sz w:val="28"/>
        </w:rPr>
      </w:pPr>
      <w:r>
        <w:rPr>
          <w:sz w:val="28"/>
        </w:rPr>
        <w:t>Миллер С. В. Лечение больных острым деструктивным панкреатитом / С. В. Миллер, Ю. С. Винник, О. В. Теплякова // Хирургия. – 2012. – № 5. – С. 24 –</w:t>
      </w:r>
      <w:r>
        <w:rPr>
          <w:spacing w:val="-4"/>
          <w:sz w:val="28"/>
        </w:rPr>
        <w:t xml:space="preserve"> </w:t>
      </w:r>
      <w:r>
        <w:rPr>
          <w:sz w:val="28"/>
        </w:rPr>
        <w:t>30.</w:t>
      </w:r>
    </w:p>
    <w:p w:rsidR="00B23B94" w:rsidRDefault="003B2D3B">
      <w:pPr>
        <w:pStyle w:val="a4"/>
        <w:numPr>
          <w:ilvl w:val="0"/>
          <w:numId w:val="2"/>
        </w:numPr>
        <w:tabs>
          <w:tab w:val="left" w:pos="1262"/>
        </w:tabs>
        <w:spacing w:before="1" w:line="360" w:lineRule="auto"/>
        <w:ind w:left="1261" w:right="784"/>
        <w:rPr>
          <w:sz w:val="28"/>
        </w:rPr>
      </w:pPr>
      <w:r>
        <w:rPr>
          <w:sz w:val="28"/>
        </w:rPr>
        <w:t>Мішалов В. Г. Результати лікування пацієнтів з гострим панкреатитом / В. Г. Мішалов, Л. Ю. Маркулан, Р. М. Матвеєв // Хірургія України. – 2015. – № 1. – С. 84 –</w:t>
      </w:r>
      <w:r>
        <w:rPr>
          <w:spacing w:val="-10"/>
          <w:sz w:val="28"/>
        </w:rPr>
        <w:t xml:space="preserve"> </w:t>
      </w:r>
      <w:r>
        <w:rPr>
          <w:sz w:val="28"/>
        </w:rPr>
        <w:t>89.</w:t>
      </w:r>
    </w:p>
    <w:p w:rsidR="00B23B94" w:rsidRDefault="003B2D3B">
      <w:pPr>
        <w:pStyle w:val="a4"/>
        <w:numPr>
          <w:ilvl w:val="0"/>
          <w:numId w:val="2"/>
        </w:numPr>
        <w:tabs>
          <w:tab w:val="left" w:pos="1262"/>
        </w:tabs>
        <w:spacing w:line="360" w:lineRule="auto"/>
        <w:ind w:left="1261" w:right="784"/>
        <w:rPr>
          <w:sz w:val="28"/>
        </w:rPr>
      </w:pPr>
      <w:r>
        <w:rPr>
          <w:sz w:val="28"/>
        </w:rPr>
        <w:t>Міщенко В. В. Тактичні підходи до лікування гострого інфікованого некротичного панкреатиту / В. В. Міщенко, Б. М. Даценко, Р.Ю. Вододюк</w:t>
      </w:r>
      <w:r>
        <w:rPr>
          <w:spacing w:val="9"/>
          <w:sz w:val="28"/>
        </w:rPr>
        <w:t xml:space="preserve"> </w:t>
      </w:r>
      <w:r>
        <w:rPr>
          <w:sz w:val="28"/>
        </w:rPr>
        <w:t>//</w:t>
      </w:r>
      <w:r>
        <w:rPr>
          <w:spacing w:val="11"/>
          <w:sz w:val="28"/>
        </w:rPr>
        <w:t xml:space="preserve"> </w:t>
      </w:r>
      <w:r>
        <w:rPr>
          <w:sz w:val="28"/>
        </w:rPr>
        <w:t>Український</w:t>
      </w:r>
      <w:r>
        <w:rPr>
          <w:spacing w:val="10"/>
          <w:sz w:val="28"/>
        </w:rPr>
        <w:t xml:space="preserve"> </w:t>
      </w:r>
      <w:r>
        <w:rPr>
          <w:sz w:val="28"/>
        </w:rPr>
        <w:t>журнал</w:t>
      </w:r>
      <w:r>
        <w:rPr>
          <w:spacing w:val="11"/>
          <w:sz w:val="28"/>
        </w:rPr>
        <w:t xml:space="preserve"> </w:t>
      </w:r>
      <w:r>
        <w:rPr>
          <w:sz w:val="28"/>
        </w:rPr>
        <w:t>хірургії.</w:t>
      </w:r>
      <w:r>
        <w:rPr>
          <w:spacing w:val="18"/>
          <w:sz w:val="28"/>
        </w:rPr>
        <w:t xml:space="preserve"> </w:t>
      </w:r>
      <w:r>
        <w:rPr>
          <w:sz w:val="28"/>
        </w:rPr>
        <w:t>–</w:t>
      </w:r>
      <w:r>
        <w:rPr>
          <w:spacing w:val="11"/>
          <w:sz w:val="28"/>
        </w:rPr>
        <w:t xml:space="preserve"> </w:t>
      </w:r>
      <w:r>
        <w:rPr>
          <w:sz w:val="28"/>
        </w:rPr>
        <w:t>2013.</w:t>
      </w:r>
      <w:r>
        <w:rPr>
          <w:spacing w:val="11"/>
          <w:sz w:val="28"/>
        </w:rPr>
        <w:t xml:space="preserve"> </w:t>
      </w:r>
      <w:r>
        <w:rPr>
          <w:sz w:val="28"/>
        </w:rPr>
        <w:t>–</w:t>
      </w:r>
      <w:r>
        <w:rPr>
          <w:spacing w:val="14"/>
          <w:sz w:val="28"/>
        </w:rPr>
        <w:t xml:space="preserve"> </w:t>
      </w:r>
      <w:r>
        <w:rPr>
          <w:sz w:val="28"/>
        </w:rPr>
        <w:t>Т.</w:t>
      </w:r>
      <w:r>
        <w:rPr>
          <w:spacing w:val="12"/>
          <w:sz w:val="28"/>
        </w:rPr>
        <w:t xml:space="preserve"> </w:t>
      </w:r>
      <w:r>
        <w:rPr>
          <w:sz w:val="28"/>
        </w:rPr>
        <w:t>22.</w:t>
      </w:r>
      <w:r>
        <w:rPr>
          <w:spacing w:val="12"/>
          <w:sz w:val="28"/>
        </w:rPr>
        <w:t xml:space="preserve"> </w:t>
      </w:r>
      <w:r>
        <w:rPr>
          <w:sz w:val="28"/>
        </w:rPr>
        <w:t>-</w:t>
      </w:r>
      <w:r>
        <w:rPr>
          <w:spacing w:val="10"/>
          <w:sz w:val="28"/>
        </w:rPr>
        <w:t xml:space="preserve"> </w:t>
      </w:r>
      <w:r>
        <w:rPr>
          <w:sz w:val="28"/>
        </w:rPr>
        <w:t>№</w:t>
      </w:r>
      <w:r>
        <w:rPr>
          <w:spacing w:val="12"/>
          <w:sz w:val="28"/>
        </w:rPr>
        <w:t xml:space="preserve"> </w:t>
      </w:r>
      <w:r>
        <w:rPr>
          <w:sz w:val="28"/>
        </w:rPr>
        <w:t>3.</w:t>
      </w:r>
      <w:r>
        <w:rPr>
          <w:spacing w:val="11"/>
          <w:sz w:val="28"/>
        </w:rPr>
        <w:t xml:space="preserve"> </w:t>
      </w:r>
      <w:r>
        <w:rPr>
          <w:sz w:val="28"/>
        </w:rPr>
        <w:t>–</w:t>
      </w:r>
      <w:r>
        <w:rPr>
          <w:spacing w:val="14"/>
          <w:sz w:val="28"/>
        </w:rPr>
        <w:t xml:space="preserve"> </w:t>
      </w:r>
      <w:r>
        <w:rPr>
          <w:sz w:val="28"/>
        </w:rPr>
        <w:t>С.</w:t>
      </w:r>
      <w:r>
        <w:rPr>
          <w:spacing w:val="9"/>
          <w:sz w:val="28"/>
        </w:rPr>
        <w:t xml:space="preserve"> </w:t>
      </w:r>
      <w:r>
        <w:rPr>
          <w:sz w:val="28"/>
        </w:rPr>
        <w:t>46</w:t>
      </w:r>
    </w:p>
    <w:p w:rsidR="00B23B94" w:rsidRDefault="003B2D3B">
      <w:pPr>
        <w:pStyle w:val="a3"/>
        <w:ind w:left="1261"/>
        <w:jc w:val="left"/>
      </w:pPr>
      <w:r>
        <w:t>–49.</w:t>
      </w:r>
    </w:p>
    <w:p w:rsidR="00B23B94" w:rsidRDefault="003B2D3B">
      <w:pPr>
        <w:pStyle w:val="a4"/>
        <w:numPr>
          <w:ilvl w:val="0"/>
          <w:numId w:val="2"/>
        </w:numPr>
        <w:tabs>
          <w:tab w:val="left" w:pos="1262"/>
        </w:tabs>
        <w:spacing w:before="160" w:line="360" w:lineRule="auto"/>
        <w:ind w:left="1261" w:right="789"/>
        <w:rPr>
          <w:sz w:val="28"/>
        </w:rPr>
      </w:pPr>
      <w:r>
        <w:rPr>
          <w:sz w:val="28"/>
        </w:rPr>
        <w:t>Ничитайло М. Е. Эволюция хирургической тактики лечения больных по поводу панкреонекроза / М. Е. Ничитайло, Э. Э. Аблаев // Клін. хірургія. – 2012. – № 3. – С. 43 –</w:t>
      </w:r>
      <w:r>
        <w:rPr>
          <w:spacing w:val="-13"/>
          <w:sz w:val="28"/>
        </w:rPr>
        <w:t xml:space="preserve"> </w:t>
      </w:r>
      <w:r>
        <w:rPr>
          <w:sz w:val="28"/>
        </w:rPr>
        <w:t>46.</w:t>
      </w:r>
    </w:p>
    <w:p w:rsidR="00B23B94" w:rsidRDefault="003B2D3B">
      <w:pPr>
        <w:pStyle w:val="a4"/>
        <w:numPr>
          <w:ilvl w:val="0"/>
          <w:numId w:val="2"/>
        </w:numPr>
        <w:tabs>
          <w:tab w:val="left" w:pos="1262"/>
        </w:tabs>
        <w:spacing w:before="1" w:line="360" w:lineRule="auto"/>
        <w:ind w:left="1261" w:right="785"/>
        <w:rPr>
          <w:sz w:val="28"/>
        </w:rPr>
      </w:pPr>
      <w:r>
        <w:rPr>
          <w:sz w:val="28"/>
        </w:rPr>
        <w:t>Ничитайло М. Ю. Хірургічне лікування хворих на гострий панкреатит на підставі клінічної оцінки сучасних характеристик панкреатичної інфекції / М. Ю. Ничитайло, Д. В. Андрющенко, В. А. Магльований // Методичні рекомендації МОЗ України. - 2015. - 19</w:t>
      </w:r>
      <w:r>
        <w:rPr>
          <w:spacing w:val="-4"/>
          <w:sz w:val="28"/>
        </w:rPr>
        <w:t xml:space="preserve"> </w:t>
      </w:r>
      <w:r>
        <w:rPr>
          <w:sz w:val="28"/>
        </w:rPr>
        <w:t>с..</w:t>
      </w:r>
    </w:p>
    <w:p w:rsidR="00B23B94" w:rsidRDefault="003B2D3B">
      <w:pPr>
        <w:pStyle w:val="a4"/>
        <w:numPr>
          <w:ilvl w:val="0"/>
          <w:numId w:val="2"/>
        </w:numPr>
        <w:tabs>
          <w:tab w:val="left" w:pos="1262"/>
        </w:tabs>
        <w:spacing w:line="360" w:lineRule="auto"/>
        <w:ind w:left="1261" w:right="790"/>
        <w:rPr>
          <w:sz w:val="28"/>
        </w:rPr>
      </w:pPr>
      <w:r>
        <w:rPr>
          <w:sz w:val="28"/>
        </w:rPr>
        <w:t>Оганезян А. Г. Ефективність мініінвазивних втручань під ультразвуковим</w:t>
      </w:r>
      <w:r>
        <w:rPr>
          <w:spacing w:val="32"/>
          <w:sz w:val="28"/>
        </w:rPr>
        <w:t xml:space="preserve"> </w:t>
      </w:r>
      <w:r>
        <w:rPr>
          <w:sz w:val="28"/>
        </w:rPr>
        <w:t>контролем</w:t>
      </w:r>
      <w:r>
        <w:rPr>
          <w:spacing w:val="29"/>
          <w:sz w:val="28"/>
        </w:rPr>
        <w:t xml:space="preserve"> </w:t>
      </w:r>
      <w:r>
        <w:rPr>
          <w:sz w:val="28"/>
        </w:rPr>
        <w:t>при</w:t>
      </w:r>
      <w:r>
        <w:rPr>
          <w:spacing w:val="30"/>
          <w:sz w:val="28"/>
        </w:rPr>
        <w:t xml:space="preserve"> </w:t>
      </w:r>
      <w:r>
        <w:rPr>
          <w:sz w:val="28"/>
        </w:rPr>
        <w:t>обмежених</w:t>
      </w:r>
      <w:r>
        <w:rPr>
          <w:spacing w:val="30"/>
          <w:sz w:val="28"/>
        </w:rPr>
        <w:t xml:space="preserve"> </w:t>
      </w:r>
      <w:r>
        <w:rPr>
          <w:sz w:val="28"/>
        </w:rPr>
        <w:t>рідинних</w:t>
      </w:r>
      <w:r>
        <w:rPr>
          <w:spacing w:val="30"/>
          <w:sz w:val="28"/>
        </w:rPr>
        <w:t xml:space="preserve"> </w:t>
      </w:r>
      <w:r>
        <w:rPr>
          <w:sz w:val="28"/>
        </w:rPr>
        <w:t>скупченнях</w:t>
      </w:r>
      <w:r>
        <w:rPr>
          <w:spacing w:val="34"/>
          <w:sz w:val="28"/>
        </w:rPr>
        <w:t xml:space="preserve"> </w:t>
      </w:r>
      <w:r>
        <w:rPr>
          <w:sz w:val="28"/>
        </w:rPr>
        <w:t>у</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2" w:lineRule="auto"/>
        <w:ind w:left="1261" w:right="792"/>
      </w:pPr>
      <w:r>
        <w:lastRenderedPageBreak/>
        <w:t>хворих на тяжкий гострий панкреатит / А. Г. Оганезян // Український журнал хірургії. – 2011. – № 2. – С. 254 – 256.</w:t>
      </w:r>
    </w:p>
    <w:p w:rsidR="00B23B94" w:rsidRDefault="003B2D3B">
      <w:pPr>
        <w:pStyle w:val="a4"/>
        <w:numPr>
          <w:ilvl w:val="0"/>
          <w:numId w:val="2"/>
        </w:numPr>
        <w:tabs>
          <w:tab w:val="left" w:pos="1262"/>
        </w:tabs>
        <w:spacing w:line="360" w:lineRule="auto"/>
        <w:ind w:left="1261" w:right="784"/>
        <w:rPr>
          <w:sz w:val="28"/>
        </w:rPr>
      </w:pPr>
      <w:r>
        <w:rPr>
          <w:sz w:val="28"/>
        </w:rPr>
        <w:t>Оганезян А.Г. Можливості мініінвазивних технологій при лікуванні обмежених</w:t>
      </w:r>
      <w:r>
        <w:rPr>
          <w:spacing w:val="13"/>
          <w:sz w:val="28"/>
        </w:rPr>
        <w:t xml:space="preserve"> </w:t>
      </w:r>
      <w:r>
        <w:rPr>
          <w:sz w:val="28"/>
        </w:rPr>
        <w:t>рідинних</w:t>
      </w:r>
      <w:r>
        <w:rPr>
          <w:spacing w:val="13"/>
          <w:sz w:val="28"/>
        </w:rPr>
        <w:t xml:space="preserve"> </w:t>
      </w:r>
      <w:r>
        <w:rPr>
          <w:sz w:val="28"/>
        </w:rPr>
        <w:t>скупчень</w:t>
      </w:r>
      <w:r>
        <w:rPr>
          <w:spacing w:val="11"/>
          <w:sz w:val="28"/>
        </w:rPr>
        <w:t xml:space="preserve"> </w:t>
      </w:r>
      <w:r>
        <w:rPr>
          <w:sz w:val="28"/>
        </w:rPr>
        <w:t>у</w:t>
      </w:r>
      <w:r>
        <w:rPr>
          <w:spacing w:val="10"/>
          <w:sz w:val="28"/>
        </w:rPr>
        <w:t xml:space="preserve"> </w:t>
      </w:r>
      <w:r>
        <w:rPr>
          <w:sz w:val="28"/>
        </w:rPr>
        <w:t>хворих</w:t>
      </w:r>
      <w:r>
        <w:rPr>
          <w:spacing w:val="13"/>
          <w:sz w:val="28"/>
        </w:rPr>
        <w:t xml:space="preserve"> </w:t>
      </w:r>
      <w:r>
        <w:rPr>
          <w:sz w:val="28"/>
        </w:rPr>
        <w:t>на</w:t>
      </w:r>
      <w:r>
        <w:rPr>
          <w:spacing w:val="13"/>
          <w:sz w:val="28"/>
        </w:rPr>
        <w:t xml:space="preserve"> </w:t>
      </w:r>
      <w:r>
        <w:rPr>
          <w:sz w:val="28"/>
        </w:rPr>
        <w:t>тяжкий</w:t>
      </w:r>
      <w:r>
        <w:rPr>
          <w:spacing w:val="13"/>
          <w:sz w:val="28"/>
        </w:rPr>
        <w:t xml:space="preserve"> </w:t>
      </w:r>
      <w:r>
        <w:rPr>
          <w:sz w:val="28"/>
        </w:rPr>
        <w:t>гострий</w:t>
      </w:r>
      <w:r>
        <w:rPr>
          <w:spacing w:val="14"/>
          <w:sz w:val="28"/>
        </w:rPr>
        <w:t xml:space="preserve"> </w:t>
      </w:r>
      <w:r>
        <w:rPr>
          <w:sz w:val="28"/>
        </w:rPr>
        <w:t>панкреатит</w:t>
      </w:r>
    </w:p>
    <w:p w:rsidR="00B23B94" w:rsidRDefault="003B2D3B">
      <w:pPr>
        <w:pStyle w:val="a3"/>
        <w:spacing w:line="360" w:lineRule="auto"/>
        <w:ind w:left="1261" w:right="784"/>
      </w:pPr>
      <w:r>
        <w:t>/ А.Г. Оганезян // Актуальні проблеми сучасної медицини: Вісник української медичної стоматологічної академії. – 2011. – Том 11. – № 2 (34). – С. 178 – 180.</w:t>
      </w:r>
    </w:p>
    <w:p w:rsidR="00B23B94" w:rsidRDefault="003B2D3B">
      <w:pPr>
        <w:pStyle w:val="a4"/>
        <w:numPr>
          <w:ilvl w:val="0"/>
          <w:numId w:val="2"/>
        </w:numPr>
        <w:tabs>
          <w:tab w:val="left" w:pos="1262"/>
        </w:tabs>
        <w:spacing w:line="360" w:lineRule="auto"/>
        <w:ind w:left="1261" w:right="785"/>
        <w:rPr>
          <w:sz w:val="28"/>
        </w:rPr>
      </w:pPr>
      <w:r>
        <w:rPr>
          <w:sz w:val="28"/>
        </w:rPr>
        <w:t>Оганезян А. Г. Хірургічна тактика при обмежених рідинних скупченнях</w:t>
      </w:r>
      <w:r>
        <w:rPr>
          <w:spacing w:val="42"/>
          <w:sz w:val="28"/>
        </w:rPr>
        <w:t xml:space="preserve"> </w:t>
      </w:r>
      <w:r>
        <w:rPr>
          <w:sz w:val="28"/>
        </w:rPr>
        <w:t>у</w:t>
      </w:r>
      <w:r>
        <w:rPr>
          <w:spacing w:val="36"/>
          <w:sz w:val="28"/>
        </w:rPr>
        <w:t xml:space="preserve"> </w:t>
      </w:r>
      <w:r>
        <w:rPr>
          <w:sz w:val="28"/>
        </w:rPr>
        <w:t>хворих</w:t>
      </w:r>
      <w:r>
        <w:rPr>
          <w:spacing w:val="41"/>
          <w:sz w:val="28"/>
        </w:rPr>
        <w:t xml:space="preserve"> </w:t>
      </w:r>
      <w:r>
        <w:rPr>
          <w:sz w:val="28"/>
        </w:rPr>
        <w:t>на</w:t>
      </w:r>
      <w:r>
        <w:rPr>
          <w:spacing w:val="40"/>
          <w:sz w:val="28"/>
        </w:rPr>
        <w:t xml:space="preserve"> </w:t>
      </w:r>
      <w:r>
        <w:rPr>
          <w:sz w:val="28"/>
        </w:rPr>
        <w:t>тяжкий</w:t>
      </w:r>
      <w:r>
        <w:rPr>
          <w:spacing w:val="40"/>
          <w:sz w:val="28"/>
        </w:rPr>
        <w:t xml:space="preserve"> </w:t>
      </w:r>
      <w:r>
        <w:rPr>
          <w:sz w:val="28"/>
        </w:rPr>
        <w:t>гострий</w:t>
      </w:r>
      <w:r>
        <w:rPr>
          <w:spacing w:val="41"/>
          <w:sz w:val="28"/>
        </w:rPr>
        <w:t xml:space="preserve"> </w:t>
      </w:r>
      <w:r>
        <w:rPr>
          <w:sz w:val="28"/>
        </w:rPr>
        <w:t>панкреатит:</w:t>
      </w:r>
      <w:r>
        <w:rPr>
          <w:spacing w:val="42"/>
          <w:sz w:val="28"/>
        </w:rPr>
        <w:t xml:space="preserve"> </w:t>
      </w:r>
      <w:r>
        <w:rPr>
          <w:sz w:val="28"/>
        </w:rPr>
        <w:t>автореф.</w:t>
      </w:r>
      <w:r>
        <w:rPr>
          <w:spacing w:val="40"/>
          <w:sz w:val="28"/>
        </w:rPr>
        <w:t xml:space="preserve"> </w:t>
      </w:r>
      <w:r>
        <w:rPr>
          <w:sz w:val="28"/>
        </w:rPr>
        <w:t>дис.</w:t>
      </w:r>
      <w:r>
        <w:rPr>
          <w:spacing w:val="40"/>
          <w:sz w:val="28"/>
        </w:rPr>
        <w:t xml:space="preserve"> </w:t>
      </w:r>
      <w:r>
        <w:rPr>
          <w:sz w:val="28"/>
        </w:rPr>
        <w:t>...</w:t>
      </w:r>
    </w:p>
    <w:p w:rsidR="00B23B94" w:rsidRDefault="003B2D3B">
      <w:pPr>
        <w:pStyle w:val="a3"/>
        <w:spacing w:line="360" w:lineRule="auto"/>
        <w:ind w:left="1261" w:right="796"/>
      </w:pPr>
      <w:r>
        <w:t>канд. мед. наук: 14.01.03 / А. Г. Оганезян; Нац. мед. акад. післядиплом. освіти ім. П. Л. Шупика. – К., 2014. – 21 с.</w:t>
      </w:r>
    </w:p>
    <w:p w:rsidR="00B23B94" w:rsidRDefault="003B2D3B">
      <w:pPr>
        <w:pStyle w:val="a4"/>
        <w:numPr>
          <w:ilvl w:val="0"/>
          <w:numId w:val="2"/>
        </w:numPr>
        <w:tabs>
          <w:tab w:val="left" w:pos="1262"/>
        </w:tabs>
        <w:spacing w:line="360" w:lineRule="auto"/>
        <w:ind w:left="1261" w:right="783"/>
        <w:rPr>
          <w:sz w:val="28"/>
        </w:rPr>
      </w:pPr>
      <w:r>
        <w:rPr>
          <w:sz w:val="28"/>
        </w:rPr>
        <w:t>Пат. 79514 Україна, МПК (2013.01) А61В 17/00. Спосіб прогнозування виникнення гнійносептичних ускладнень у хворих з тяжкою формою гострого панкреатиту / В.Д. Шейко, С. В. Должковий, А.Г. Оганезян; заявник та патентовласник Вищий державний навчальний заклад України</w:t>
      </w:r>
      <w:r>
        <w:rPr>
          <w:spacing w:val="25"/>
          <w:sz w:val="28"/>
        </w:rPr>
        <w:t xml:space="preserve"> </w:t>
      </w:r>
      <w:r>
        <w:rPr>
          <w:sz w:val="28"/>
        </w:rPr>
        <w:t>“Українська</w:t>
      </w:r>
      <w:r>
        <w:rPr>
          <w:spacing w:val="25"/>
          <w:sz w:val="28"/>
        </w:rPr>
        <w:t xml:space="preserve"> </w:t>
      </w:r>
      <w:r>
        <w:rPr>
          <w:sz w:val="28"/>
        </w:rPr>
        <w:t>медична</w:t>
      </w:r>
      <w:r>
        <w:rPr>
          <w:spacing w:val="24"/>
          <w:sz w:val="28"/>
        </w:rPr>
        <w:t xml:space="preserve"> </w:t>
      </w:r>
      <w:r>
        <w:rPr>
          <w:sz w:val="28"/>
        </w:rPr>
        <w:t>стоматологічна</w:t>
      </w:r>
      <w:r>
        <w:rPr>
          <w:spacing w:val="25"/>
          <w:sz w:val="28"/>
        </w:rPr>
        <w:t xml:space="preserve"> </w:t>
      </w:r>
      <w:r>
        <w:rPr>
          <w:sz w:val="28"/>
        </w:rPr>
        <w:t>академія”,</w:t>
      </w:r>
      <w:r>
        <w:rPr>
          <w:spacing w:val="24"/>
          <w:sz w:val="28"/>
        </w:rPr>
        <w:t xml:space="preserve"> </w:t>
      </w:r>
      <w:r>
        <w:rPr>
          <w:sz w:val="28"/>
        </w:rPr>
        <w:t>м.</w:t>
      </w:r>
      <w:r>
        <w:rPr>
          <w:spacing w:val="25"/>
          <w:sz w:val="28"/>
        </w:rPr>
        <w:t xml:space="preserve"> </w:t>
      </w:r>
      <w:r>
        <w:rPr>
          <w:sz w:val="28"/>
        </w:rPr>
        <w:t>Полтава.</w:t>
      </w:r>
      <w:r>
        <w:rPr>
          <w:spacing w:val="24"/>
          <w:sz w:val="28"/>
        </w:rPr>
        <w:t xml:space="preserve"> </w:t>
      </w:r>
      <w:r>
        <w:rPr>
          <w:sz w:val="28"/>
        </w:rPr>
        <w:t>–</w:t>
      </w:r>
    </w:p>
    <w:p w:rsidR="00B23B94" w:rsidRDefault="003B2D3B">
      <w:pPr>
        <w:pStyle w:val="a3"/>
        <w:spacing w:line="322" w:lineRule="exact"/>
        <w:ind w:left="1261"/>
      </w:pPr>
      <w:r>
        <w:t>№ u 2012 12033; заявл. 19.10.2012; опубл. 25.04.2013. – Бюл. № 8, 2013.</w:t>
      </w:r>
    </w:p>
    <w:p w:rsidR="00B23B94" w:rsidRDefault="003B2D3B">
      <w:pPr>
        <w:pStyle w:val="a4"/>
        <w:numPr>
          <w:ilvl w:val="0"/>
          <w:numId w:val="2"/>
        </w:numPr>
        <w:tabs>
          <w:tab w:val="left" w:pos="1262"/>
        </w:tabs>
        <w:spacing w:before="157" w:line="360" w:lineRule="auto"/>
        <w:ind w:left="1261" w:right="792"/>
        <w:rPr>
          <w:sz w:val="28"/>
        </w:rPr>
      </w:pPr>
      <w:r>
        <w:rPr>
          <w:sz w:val="28"/>
        </w:rPr>
        <w:t>Пивовар С.М. Синдром «низького трийодтироніну» та його  частота при серцевій недостатності. / С.М. Пивовар // Український терапевтичний журнал. – 2018. - №1. – С.</w:t>
      </w:r>
      <w:r>
        <w:rPr>
          <w:spacing w:val="-12"/>
          <w:sz w:val="28"/>
        </w:rPr>
        <w:t xml:space="preserve"> </w:t>
      </w:r>
      <w:r>
        <w:rPr>
          <w:sz w:val="28"/>
        </w:rPr>
        <w:t>46-51.</w:t>
      </w:r>
    </w:p>
    <w:p w:rsidR="00B23B94" w:rsidRDefault="003B2D3B">
      <w:pPr>
        <w:pStyle w:val="a4"/>
        <w:numPr>
          <w:ilvl w:val="0"/>
          <w:numId w:val="2"/>
        </w:numPr>
        <w:tabs>
          <w:tab w:val="left" w:pos="1262"/>
        </w:tabs>
        <w:spacing w:before="1" w:line="360" w:lineRule="auto"/>
        <w:ind w:left="1261" w:right="789"/>
        <w:rPr>
          <w:sz w:val="28"/>
        </w:rPr>
      </w:pPr>
      <w:r>
        <w:rPr>
          <w:sz w:val="28"/>
        </w:rPr>
        <w:t>Пиптюк О. В. Інфузійна антибіотикотерапія у хворих із панкреонекрозом / О. В. Пиптюк, С. Б. Телемуха // Наук. вісн. Ужгород. ун–ту. Серія: Медицина. – 2014. – Вип. 1. – С. 130 –</w:t>
      </w:r>
      <w:r>
        <w:rPr>
          <w:spacing w:val="-15"/>
          <w:sz w:val="28"/>
        </w:rPr>
        <w:t xml:space="preserve"> </w:t>
      </w:r>
      <w:r>
        <w:rPr>
          <w:sz w:val="28"/>
        </w:rPr>
        <w:t>132.</w:t>
      </w:r>
    </w:p>
    <w:p w:rsidR="00B23B94" w:rsidRDefault="003B2D3B">
      <w:pPr>
        <w:pStyle w:val="a4"/>
        <w:numPr>
          <w:ilvl w:val="0"/>
          <w:numId w:val="2"/>
        </w:numPr>
        <w:tabs>
          <w:tab w:val="left" w:pos="1262"/>
        </w:tabs>
        <w:spacing w:line="360" w:lineRule="auto"/>
        <w:ind w:left="1261" w:right="789"/>
        <w:rPr>
          <w:sz w:val="28"/>
        </w:rPr>
      </w:pPr>
      <w:r>
        <w:rPr>
          <w:sz w:val="28"/>
        </w:rPr>
        <w:t>Ротар В.І. Бактеріальна флора підшлункової залози при гострому деструктивному панкреатиті / В. І. Ротар, І. Й. Сидорчук, Д. В. Ротар, В. М. Коновчук, В. В. Халатурник, С. Є. Дейнека, О. В. Ротар // Клін. та експеримент. патологія. – 2008. - Т.7. - №4. - С. 37 –</w:t>
      </w:r>
      <w:r>
        <w:rPr>
          <w:spacing w:val="-15"/>
          <w:sz w:val="28"/>
        </w:rPr>
        <w:t xml:space="preserve"> </w:t>
      </w:r>
      <w:r>
        <w:rPr>
          <w:sz w:val="28"/>
        </w:rPr>
        <w:t>41.</w:t>
      </w:r>
    </w:p>
    <w:p w:rsidR="00B23B94" w:rsidRDefault="003B2D3B">
      <w:pPr>
        <w:pStyle w:val="a4"/>
        <w:numPr>
          <w:ilvl w:val="0"/>
          <w:numId w:val="2"/>
        </w:numPr>
        <w:tabs>
          <w:tab w:val="left" w:pos="1262"/>
        </w:tabs>
        <w:spacing w:before="1" w:line="360" w:lineRule="auto"/>
        <w:ind w:left="1261"/>
        <w:rPr>
          <w:sz w:val="28"/>
        </w:rPr>
      </w:pPr>
      <w:r>
        <w:rPr>
          <w:sz w:val="28"/>
        </w:rPr>
        <w:t>Ротар О. В. Factors associated with outcome of acute necrotizing pancreatitis / О. В. Ротар // Буковинський медичний вісник. - 2017. - Т. 21. - №2. - С. 67 -</w:t>
      </w:r>
      <w:r>
        <w:rPr>
          <w:spacing w:val="-9"/>
          <w:sz w:val="28"/>
        </w:rPr>
        <w:t xml:space="preserve"> </w:t>
      </w:r>
      <w:r>
        <w:rPr>
          <w:sz w:val="28"/>
        </w:rPr>
        <w:t>70.</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6"/>
        <w:rPr>
          <w:sz w:val="28"/>
        </w:rPr>
      </w:pPr>
      <w:r>
        <w:rPr>
          <w:sz w:val="28"/>
        </w:rPr>
        <w:lastRenderedPageBreak/>
        <w:t>Ротар О. В. Порушення функцій шлунково-кишкового тракту при гострому некротичному панкреатиті / О. В. Ротар // Клінічна анатомія та оперативна хірургія. - 2018. - Т. 17. - № 3. - С. 11 -</w:t>
      </w:r>
      <w:r>
        <w:rPr>
          <w:spacing w:val="-15"/>
          <w:sz w:val="28"/>
        </w:rPr>
        <w:t xml:space="preserve"> </w:t>
      </w:r>
      <w:r>
        <w:rPr>
          <w:sz w:val="28"/>
        </w:rPr>
        <w:t>14.</w:t>
      </w:r>
    </w:p>
    <w:p w:rsidR="00B23B94" w:rsidRDefault="003B2D3B">
      <w:pPr>
        <w:pStyle w:val="a4"/>
        <w:numPr>
          <w:ilvl w:val="0"/>
          <w:numId w:val="2"/>
        </w:numPr>
        <w:tabs>
          <w:tab w:val="left" w:pos="1262"/>
        </w:tabs>
        <w:spacing w:before="2" w:line="360" w:lineRule="auto"/>
        <w:ind w:left="1261" w:right="784"/>
        <w:rPr>
          <w:sz w:val="28"/>
        </w:rPr>
      </w:pPr>
      <w:r>
        <w:rPr>
          <w:sz w:val="28"/>
        </w:rPr>
        <w:t>Русин В.І. Гідроторакс – предиктор важкості протікання гострого панкреатиту / В.І. Русин, С.С. Філіп // Український журнал хірургії. – 2012. – Т. 3. – С.</w:t>
      </w:r>
      <w:r>
        <w:rPr>
          <w:spacing w:val="-7"/>
          <w:sz w:val="28"/>
        </w:rPr>
        <w:t xml:space="preserve"> </w:t>
      </w:r>
      <w:r>
        <w:rPr>
          <w:sz w:val="28"/>
        </w:rPr>
        <w:t>5-8.</w:t>
      </w:r>
    </w:p>
    <w:p w:rsidR="00B23B94" w:rsidRDefault="003B2D3B">
      <w:pPr>
        <w:pStyle w:val="a4"/>
        <w:numPr>
          <w:ilvl w:val="0"/>
          <w:numId w:val="2"/>
        </w:numPr>
        <w:tabs>
          <w:tab w:val="left" w:pos="1262"/>
        </w:tabs>
        <w:spacing w:line="360" w:lineRule="auto"/>
        <w:ind w:left="1261" w:right="783"/>
        <w:rPr>
          <w:sz w:val="28"/>
        </w:rPr>
      </w:pPr>
      <w:r>
        <w:rPr>
          <w:sz w:val="28"/>
        </w:rPr>
        <w:t>Савельев В.С. Роль прокальцитонинового теста в диагностике и оценке тяжести инфицированных форм панкреонекроза / В. С. Савельев, Б. Р. Гельфанд,</w:t>
      </w:r>
      <w:r>
        <w:rPr>
          <w:spacing w:val="9"/>
          <w:sz w:val="28"/>
        </w:rPr>
        <w:t xml:space="preserve"> </w:t>
      </w:r>
      <w:r>
        <w:rPr>
          <w:sz w:val="28"/>
        </w:rPr>
        <w:t>М.И.</w:t>
      </w:r>
      <w:r>
        <w:rPr>
          <w:spacing w:val="10"/>
          <w:sz w:val="28"/>
        </w:rPr>
        <w:t xml:space="preserve"> </w:t>
      </w:r>
      <w:r>
        <w:rPr>
          <w:sz w:val="28"/>
        </w:rPr>
        <w:t>Филимонов</w:t>
      </w:r>
      <w:r>
        <w:rPr>
          <w:spacing w:val="7"/>
          <w:sz w:val="28"/>
        </w:rPr>
        <w:t xml:space="preserve"> </w:t>
      </w:r>
      <w:r>
        <w:rPr>
          <w:sz w:val="28"/>
        </w:rPr>
        <w:t>//</w:t>
      </w:r>
      <w:r>
        <w:rPr>
          <w:spacing w:val="12"/>
          <w:sz w:val="28"/>
        </w:rPr>
        <w:t xml:space="preserve"> </w:t>
      </w:r>
      <w:r>
        <w:rPr>
          <w:sz w:val="28"/>
        </w:rPr>
        <w:t>Анналы</w:t>
      </w:r>
      <w:r>
        <w:rPr>
          <w:spacing w:val="6"/>
          <w:sz w:val="28"/>
        </w:rPr>
        <w:t xml:space="preserve"> </w:t>
      </w:r>
      <w:r>
        <w:rPr>
          <w:sz w:val="28"/>
        </w:rPr>
        <w:t>хирургии.</w:t>
      </w:r>
      <w:r>
        <w:rPr>
          <w:spacing w:val="8"/>
          <w:sz w:val="28"/>
        </w:rPr>
        <w:t xml:space="preserve"> </w:t>
      </w:r>
      <w:r>
        <w:rPr>
          <w:sz w:val="28"/>
        </w:rPr>
        <w:t>–</w:t>
      </w:r>
      <w:r>
        <w:rPr>
          <w:spacing w:val="10"/>
          <w:sz w:val="28"/>
        </w:rPr>
        <w:t xml:space="preserve"> </w:t>
      </w:r>
      <w:r>
        <w:rPr>
          <w:sz w:val="28"/>
        </w:rPr>
        <w:t>2001.</w:t>
      </w:r>
      <w:r>
        <w:rPr>
          <w:spacing w:val="8"/>
          <w:sz w:val="28"/>
        </w:rPr>
        <w:t xml:space="preserve"> </w:t>
      </w:r>
      <w:r>
        <w:rPr>
          <w:sz w:val="28"/>
        </w:rPr>
        <w:t>–</w:t>
      </w:r>
      <w:r>
        <w:rPr>
          <w:spacing w:val="10"/>
          <w:sz w:val="28"/>
        </w:rPr>
        <w:t xml:space="preserve"> </w:t>
      </w:r>
      <w:r>
        <w:rPr>
          <w:sz w:val="28"/>
        </w:rPr>
        <w:t>№</w:t>
      </w:r>
      <w:r>
        <w:rPr>
          <w:spacing w:val="9"/>
          <w:sz w:val="28"/>
        </w:rPr>
        <w:t xml:space="preserve"> </w:t>
      </w:r>
      <w:r>
        <w:rPr>
          <w:sz w:val="28"/>
        </w:rPr>
        <w:t>4.</w:t>
      </w:r>
      <w:r>
        <w:rPr>
          <w:spacing w:val="11"/>
          <w:sz w:val="28"/>
        </w:rPr>
        <w:t xml:space="preserve"> </w:t>
      </w:r>
      <w:r>
        <w:rPr>
          <w:sz w:val="28"/>
        </w:rPr>
        <w:t>–</w:t>
      </w:r>
      <w:r>
        <w:rPr>
          <w:spacing w:val="10"/>
          <w:sz w:val="28"/>
        </w:rPr>
        <w:t xml:space="preserve"> </w:t>
      </w:r>
      <w:r>
        <w:rPr>
          <w:sz w:val="28"/>
        </w:rPr>
        <w:t>C.</w:t>
      </w:r>
      <w:r>
        <w:rPr>
          <w:spacing w:val="9"/>
          <w:sz w:val="28"/>
        </w:rPr>
        <w:t xml:space="preserve"> </w:t>
      </w:r>
      <w:r>
        <w:rPr>
          <w:sz w:val="28"/>
        </w:rPr>
        <w:t>44</w:t>
      </w:r>
    </w:p>
    <w:p w:rsidR="00B23B94" w:rsidRDefault="003B2D3B">
      <w:pPr>
        <w:pStyle w:val="a3"/>
        <w:spacing w:before="2"/>
        <w:ind w:left="1261"/>
      </w:pPr>
      <w:r>
        <w:t>– 49.</w:t>
      </w:r>
    </w:p>
    <w:p w:rsidR="00B23B94" w:rsidRDefault="003B2D3B">
      <w:pPr>
        <w:pStyle w:val="a4"/>
        <w:numPr>
          <w:ilvl w:val="0"/>
          <w:numId w:val="2"/>
        </w:numPr>
        <w:tabs>
          <w:tab w:val="left" w:pos="1262"/>
        </w:tabs>
        <w:spacing w:before="160" w:line="360" w:lineRule="auto"/>
        <w:ind w:left="1261" w:right="788"/>
        <w:rPr>
          <w:sz w:val="28"/>
        </w:rPr>
      </w:pPr>
      <w:r>
        <w:rPr>
          <w:sz w:val="28"/>
        </w:rPr>
        <w:t xml:space="preserve">Семёнов Д.Ю. Малоинвазивные вмешательства в лечении острого деструктивного панкреатита / Д. Ю. Семёнов, А. </w:t>
      </w:r>
      <w:r>
        <w:rPr>
          <w:spacing w:val="2"/>
          <w:sz w:val="28"/>
        </w:rPr>
        <w:t xml:space="preserve">А. </w:t>
      </w:r>
      <w:r>
        <w:rPr>
          <w:sz w:val="28"/>
        </w:rPr>
        <w:t>Ребров, В. В. Васильев [и др.] // РЖГГК. – 2011. – № 3. – С. 41 –</w:t>
      </w:r>
      <w:r>
        <w:rPr>
          <w:spacing w:val="-17"/>
          <w:sz w:val="28"/>
        </w:rPr>
        <w:t xml:space="preserve"> </w:t>
      </w:r>
      <w:r>
        <w:rPr>
          <w:sz w:val="28"/>
        </w:rPr>
        <w:t>46.</w:t>
      </w:r>
    </w:p>
    <w:p w:rsidR="00B23B94" w:rsidRDefault="003B2D3B">
      <w:pPr>
        <w:pStyle w:val="a4"/>
        <w:numPr>
          <w:ilvl w:val="0"/>
          <w:numId w:val="2"/>
        </w:numPr>
        <w:tabs>
          <w:tab w:val="left" w:pos="1262"/>
        </w:tabs>
        <w:spacing w:before="1" w:line="360" w:lineRule="auto"/>
        <w:ind w:left="1261" w:right="786"/>
        <w:rPr>
          <w:sz w:val="28"/>
        </w:rPr>
      </w:pPr>
      <w:r>
        <w:rPr>
          <w:sz w:val="28"/>
        </w:rPr>
        <w:t>Скиба В. В. Нерешённые тактические и технические пробемы хирургического лечения острого деструктивного панкреатита / В. В. Скиба, С. Е. Бондарев, А. Б. Токунов // ХХІІІ з‘їзд хірургів України (Київ): зб. наук. робіт. – К. 2015. – С. 185 – 186.</w:t>
      </w:r>
      <w:r>
        <w:rPr>
          <w:spacing w:val="-16"/>
          <w:sz w:val="28"/>
        </w:rPr>
        <w:t xml:space="preserve"> </w:t>
      </w:r>
      <w:r>
        <w:rPr>
          <w:sz w:val="28"/>
        </w:rPr>
        <w:t>382</w:t>
      </w:r>
    </w:p>
    <w:p w:rsidR="00B23B94" w:rsidRDefault="003B2D3B">
      <w:pPr>
        <w:pStyle w:val="a4"/>
        <w:numPr>
          <w:ilvl w:val="0"/>
          <w:numId w:val="2"/>
        </w:numPr>
        <w:tabs>
          <w:tab w:val="left" w:pos="1262"/>
        </w:tabs>
        <w:spacing w:line="360" w:lineRule="auto"/>
        <w:ind w:left="1261"/>
        <w:rPr>
          <w:sz w:val="28"/>
        </w:rPr>
      </w:pPr>
      <w:r>
        <w:rPr>
          <w:sz w:val="28"/>
        </w:rPr>
        <w:t>Сусак Я.М. Прогнозування перебігу та лікування перипанкреатичного інфільтрату у хворих на гострий некротичний панкреатит/ Я.М. Сусак, О.А. Ткаченко, І.Р. Малиш, О.О. Дирда, О.Г. Федорчук // Клін.  хірургія. – 2014. – № 4. – С.</w:t>
      </w:r>
      <w:r>
        <w:rPr>
          <w:spacing w:val="-9"/>
          <w:sz w:val="28"/>
        </w:rPr>
        <w:t xml:space="preserve"> </w:t>
      </w:r>
      <w:r>
        <w:rPr>
          <w:sz w:val="28"/>
        </w:rPr>
        <w:t>20-22.</w:t>
      </w:r>
    </w:p>
    <w:p w:rsidR="00B23B94" w:rsidRDefault="003B2D3B">
      <w:pPr>
        <w:pStyle w:val="a4"/>
        <w:numPr>
          <w:ilvl w:val="0"/>
          <w:numId w:val="2"/>
        </w:numPr>
        <w:tabs>
          <w:tab w:val="left" w:pos="1262"/>
        </w:tabs>
        <w:spacing w:line="360" w:lineRule="auto"/>
        <w:ind w:left="1261" w:right="785"/>
        <w:rPr>
          <w:sz w:val="28"/>
        </w:rPr>
      </w:pPr>
      <w:r>
        <w:rPr>
          <w:sz w:val="28"/>
        </w:rPr>
        <w:t>Уваров В. Ю. Профілактика та лікування ускладнень гострого панкреатиту: автореф. дис. на здобуття наук. ступеня канд. мед. наук: спец 14.01.03 «Хірургія» / В. Ю. Уваров – К, 2015. – 21</w:t>
      </w:r>
      <w:r>
        <w:rPr>
          <w:spacing w:val="-12"/>
          <w:sz w:val="28"/>
        </w:rPr>
        <w:t xml:space="preserve"> </w:t>
      </w:r>
      <w:r>
        <w:rPr>
          <w:sz w:val="28"/>
        </w:rPr>
        <w:t>с.</w:t>
      </w:r>
    </w:p>
    <w:p w:rsidR="00B23B94" w:rsidRDefault="003B2D3B">
      <w:pPr>
        <w:pStyle w:val="a4"/>
        <w:numPr>
          <w:ilvl w:val="0"/>
          <w:numId w:val="2"/>
        </w:numPr>
        <w:tabs>
          <w:tab w:val="left" w:pos="1262"/>
        </w:tabs>
        <w:spacing w:line="360" w:lineRule="auto"/>
        <w:ind w:left="1261" w:right="788"/>
        <w:rPr>
          <w:sz w:val="28"/>
        </w:rPr>
      </w:pPr>
      <w:r>
        <w:rPr>
          <w:sz w:val="28"/>
        </w:rPr>
        <w:t>Федорків М.Б. Аналіз смертності у хворих з гострим панкреатитом / М. Б. Федорків // Шпитальна хірургія. – 2014. – Т. 66. - № 2. – С. 66 –</w:t>
      </w:r>
      <w:r>
        <w:rPr>
          <w:spacing w:val="-24"/>
          <w:sz w:val="28"/>
        </w:rPr>
        <w:t xml:space="preserve"> </w:t>
      </w:r>
      <w:r>
        <w:rPr>
          <w:sz w:val="28"/>
        </w:rPr>
        <w:t>69.</w:t>
      </w:r>
    </w:p>
    <w:p w:rsidR="00B23B94" w:rsidRDefault="003B2D3B">
      <w:pPr>
        <w:pStyle w:val="a4"/>
        <w:numPr>
          <w:ilvl w:val="0"/>
          <w:numId w:val="2"/>
        </w:numPr>
        <w:tabs>
          <w:tab w:val="left" w:pos="1262"/>
        </w:tabs>
        <w:spacing w:before="1" w:line="360" w:lineRule="auto"/>
        <w:ind w:left="1261"/>
        <w:rPr>
          <w:sz w:val="28"/>
        </w:rPr>
      </w:pPr>
      <w:r>
        <w:rPr>
          <w:sz w:val="28"/>
        </w:rPr>
        <w:t>Федорків М.Б. Профілактика та корекція легеневих ускладнень за тяжкого гострого панкреатиту / М.Б. Федорків // Клін. хірургія.</w:t>
      </w:r>
      <w:r>
        <w:rPr>
          <w:spacing w:val="21"/>
          <w:sz w:val="28"/>
        </w:rPr>
        <w:t xml:space="preserve"> </w:t>
      </w:r>
      <w:r>
        <w:rPr>
          <w:sz w:val="28"/>
        </w:rPr>
        <w:t>– 2015.</w:t>
      </w:r>
    </w:p>
    <w:p w:rsidR="00B23B94" w:rsidRDefault="003B2D3B">
      <w:pPr>
        <w:pStyle w:val="a3"/>
        <w:spacing w:line="321" w:lineRule="exact"/>
        <w:ind w:left="1261"/>
      </w:pPr>
      <w:r>
        <w:t>– № 6. – С. 22-24.</w:t>
      </w:r>
    </w:p>
    <w:p w:rsidR="00B23B94" w:rsidRDefault="00B23B94">
      <w:pPr>
        <w:spacing w:line="321" w:lineRule="exact"/>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4"/>
        <w:rPr>
          <w:sz w:val="28"/>
        </w:rPr>
      </w:pPr>
      <w:r>
        <w:rPr>
          <w:sz w:val="28"/>
        </w:rPr>
        <w:lastRenderedPageBreak/>
        <w:t>Хомяк І.В. Сучасний алгоритм хірургічного лікування хворих на гострий некротичний панкреатит / І. В. Хомяк, О. В. Ротар, І. С. Терешкевич, В. І. Ротар, А. І. Хомяк // Одеський медичний журнал. – 2017. - №3 (171). – С. 52 –</w:t>
      </w:r>
      <w:r>
        <w:rPr>
          <w:spacing w:val="-7"/>
          <w:sz w:val="28"/>
        </w:rPr>
        <w:t xml:space="preserve"> </w:t>
      </w:r>
      <w:r>
        <w:rPr>
          <w:sz w:val="28"/>
        </w:rPr>
        <w:t>55.</w:t>
      </w:r>
    </w:p>
    <w:p w:rsidR="00B23B94" w:rsidRDefault="003B2D3B">
      <w:pPr>
        <w:pStyle w:val="a4"/>
        <w:numPr>
          <w:ilvl w:val="0"/>
          <w:numId w:val="2"/>
        </w:numPr>
        <w:tabs>
          <w:tab w:val="left" w:pos="1262"/>
        </w:tabs>
        <w:spacing w:before="1" w:line="360" w:lineRule="auto"/>
        <w:ind w:left="1261" w:right="790"/>
        <w:rPr>
          <w:sz w:val="28"/>
        </w:rPr>
      </w:pPr>
      <w:r>
        <w:rPr>
          <w:sz w:val="28"/>
        </w:rPr>
        <w:t>Хомяк І.В. Вплив підвищеного внутрішньочеревного тиску на виникнення поліорганної недостатності при гострому панкреатиті / І.В. Хомяк, О.Ю. Фураманов, І.М. Савицька, О.В. Кіт, А.І. Хомяк // Клін. хірургія. – 2015. – № 10. – С.</w:t>
      </w:r>
      <w:r>
        <w:rPr>
          <w:spacing w:val="-7"/>
          <w:sz w:val="28"/>
        </w:rPr>
        <w:t xml:space="preserve"> </w:t>
      </w:r>
      <w:r>
        <w:rPr>
          <w:sz w:val="28"/>
        </w:rPr>
        <w:t>77-79.</w:t>
      </w:r>
    </w:p>
    <w:p w:rsidR="00B23B94" w:rsidRDefault="003B2D3B">
      <w:pPr>
        <w:pStyle w:val="a4"/>
        <w:numPr>
          <w:ilvl w:val="0"/>
          <w:numId w:val="2"/>
        </w:numPr>
        <w:tabs>
          <w:tab w:val="left" w:pos="1262"/>
        </w:tabs>
        <w:spacing w:line="360" w:lineRule="auto"/>
        <w:ind w:left="1261" w:right="787"/>
        <w:rPr>
          <w:sz w:val="28"/>
        </w:rPr>
      </w:pPr>
      <w:r>
        <w:rPr>
          <w:sz w:val="28"/>
        </w:rPr>
        <w:t>Хомяк І.В. Етапні малоінвазивні втручання та відкрита панкреатонекректомія в хірургічному лікуванні хворих на гострий некротичний панкреатиту / І.В. Хомяк, О.В. Ротар, І.С. Терешкевич, В.І. Ротар // Хірургія України. – 2017.- № 2. - С.</w:t>
      </w:r>
      <w:r>
        <w:rPr>
          <w:spacing w:val="-10"/>
          <w:sz w:val="28"/>
        </w:rPr>
        <w:t xml:space="preserve"> </w:t>
      </w:r>
      <w:r>
        <w:rPr>
          <w:sz w:val="28"/>
        </w:rPr>
        <w:t>25-29.</w:t>
      </w:r>
    </w:p>
    <w:p w:rsidR="00B23B94" w:rsidRDefault="003B2D3B">
      <w:pPr>
        <w:pStyle w:val="a4"/>
        <w:numPr>
          <w:ilvl w:val="0"/>
          <w:numId w:val="2"/>
        </w:numPr>
        <w:tabs>
          <w:tab w:val="left" w:pos="1262"/>
        </w:tabs>
        <w:spacing w:before="1" w:line="360" w:lineRule="auto"/>
        <w:ind w:left="1261" w:right="786"/>
        <w:rPr>
          <w:sz w:val="28"/>
        </w:rPr>
      </w:pPr>
      <w:r>
        <w:rPr>
          <w:sz w:val="28"/>
        </w:rPr>
        <w:t>Хомяк І.В. Комбінований відеоендоскопічно-черезшкірний доступ у хірургічному лікуванні інфікованого гострого некротичного панкреатиту/ І.В. Хомяк, М.В. Костилєв, О.В. Ротар [та ін.] // Клінічна хірургія. – 2018.- № 2. - С.</w:t>
      </w:r>
      <w:r>
        <w:rPr>
          <w:spacing w:val="-9"/>
          <w:sz w:val="28"/>
        </w:rPr>
        <w:t xml:space="preserve"> </w:t>
      </w:r>
      <w:r>
        <w:rPr>
          <w:sz w:val="28"/>
        </w:rPr>
        <w:t>20-23.</w:t>
      </w:r>
    </w:p>
    <w:p w:rsidR="00B23B94" w:rsidRDefault="003B2D3B">
      <w:pPr>
        <w:pStyle w:val="a4"/>
        <w:numPr>
          <w:ilvl w:val="0"/>
          <w:numId w:val="2"/>
        </w:numPr>
        <w:tabs>
          <w:tab w:val="left" w:pos="1262"/>
        </w:tabs>
        <w:spacing w:line="360" w:lineRule="auto"/>
        <w:ind w:left="1261" w:right="784"/>
        <w:rPr>
          <w:sz w:val="28"/>
        </w:rPr>
      </w:pPr>
      <w:r>
        <w:rPr>
          <w:sz w:val="28"/>
        </w:rPr>
        <w:t>Хомяк І.В. Роль біологічних маркерів у діагностиці гнійно-септичних ускладнень гострого некротичного панкреатиту / І.В. Хомяк, В.І. Ротар, О.В. Ротар, М.Ф. Назарчук, Г.Г. Петровський, І.І. Чермак // Клінічна хірургія. – 2016. – Т.10, – С.</w:t>
      </w:r>
      <w:r>
        <w:rPr>
          <w:spacing w:val="-8"/>
          <w:sz w:val="28"/>
        </w:rPr>
        <w:t xml:space="preserve"> </w:t>
      </w:r>
      <w:r>
        <w:rPr>
          <w:sz w:val="28"/>
        </w:rPr>
        <w:t>31-33.</w:t>
      </w:r>
    </w:p>
    <w:p w:rsidR="00B23B94" w:rsidRDefault="003B2D3B">
      <w:pPr>
        <w:pStyle w:val="a4"/>
        <w:numPr>
          <w:ilvl w:val="0"/>
          <w:numId w:val="2"/>
        </w:numPr>
        <w:tabs>
          <w:tab w:val="left" w:pos="1262"/>
        </w:tabs>
        <w:spacing w:before="1" w:line="360" w:lineRule="auto"/>
        <w:ind w:left="1261" w:right="791"/>
        <w:rPr>
          <w:sz w:val="28"/>
        </w:rPr>
      </w:pPr>
      <w:r>
        <w:rPr>
          <w:sz w:val="28"/>
        </w:rPr>
        <w:t>Хомяк І.В. Прогнозування та рання діагностика ускладнень гострого некротичного панкреатита / І. В. Хомяк, О. В. Ротар, В. І. Ротар, А. І. Хомяк // Харківська хірургічна школа. – 2018. - № 2. - С. 68 –</w:t>
      </w:r>
      <w:r>
        <w:rPr>
          <w:spacing w:val="-18"/>
          <w:sz w:val="28"/>
        </w:rPr>
        <w:t xml:space="preserve"> </w:t>
      </w:r>
      <w:r>
        <w:rPr>
          <w:sz w:val="28"/>
        </w:rPr>
        <w:t>73.</w:t>
      </w:r>
    </w:p>
    <w:p w:rsidR="00B23B94" w:rsidRDefault="003B2D3B">
      <w:pPr>
        <w:pStyle w:val="a4"/>
        <w:numPr>
          <w:ilvl w:val="0"/>
          <w:numId w:val="2"/>
        </w:numPr>
        <w:tabs>
          <w:tab w:val="left" w:pos="1262"/>
        </w:tabs>
        <w:spacing w:line="360" w:lineRule="auto"/>
        <w:ind w:left="1261" w:right="785"/>
        <w:rPr>
          <w:sz w:val="28"/>
        </w:rPr>
      </w:pPr>
      <w:r>
        <w:rPr>
          <w:sz w:val="28"/>
        </w:rPr>
        <w:t>Черкун О.Ю. Прогнозування етапних хірургічних втручань при інфекційно-септичних укладненнях деструктивного панкреатиту / О.Ю. Черкун, В.В. Кас’ян, А.С. Калюжка, В.Д. Шейко // Актуальні проблеми сучасної медицини, 2017.- Т. 17, Вип.3 (59).-С.</w:t>
      </w:r>
      <w:r>
        <w:rPr>
          <w:spacing w:val="-9"/>
          <w:sz w:val="28"/>
        </w:rPr>
        <w:t xml:space="preserve"> </w:t>
      </w:r>
      <w:r>
        <w:rPr>
          <w:sz w:val="28"/>
        </w:rPr>
        <w:t>315-318.</w:t>
      </w:r>
    </w:p>
    <w:p w:rsidR="00B23B94" w:rsidRDefault="003B2D3B">
      <w:pPr>
        <w:pStyle w:val="a4"/>
        <w:numPr>
          <w:ilvl w:val="0"/>
          <w:numId w:val="2"/>
        </w:numPr>
        <w:tabs>
          <w:tab w:val="left" w:pos="1262"/>
        </w:tabs>
        <w:spacing w:before="1" w:line="360" w:lineRule="auto"/>
        <w:ind w:left="1261"/>
        <w:rPr>
          <w:sz w:val="28"/>
        </w:rPr>
      </w:pPr>
      <w:r>
        <w:rPr>
          <w:sz w:val="28"/>
        </w:rPr>
        <w:t>Черкун О.Ю. Прогностичні критерії тяжкого перебігу гострого панкреатиту з останніх переглядів класифікаційних ознак /</w:t>
      </w:r>
      <w:r>
        <w:rPr>
          <w:spacing w:val="12"/>
          <w:sz w:val="28"/>
        </w:rPr>
        <w:t xml:space="preserve"> </w:t>
      </w:r>
      <w:r>
        <w:rPr>
          <w:sz w:val="28"/>
        </w:rPr>
        <w:t>О.Ю.</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2" w:lineRule="auto"/>
        <w:ind w:left="1261" w:right="785"/>
      </w:pPr>
      <w:r>
        <w:lastRenderedPageBreak/>
        <w:t>Черкун, В.В. Кас’ян, Д.А. Ситнік, В.Д. Шейко // Актуальні проблеми сучасної медицини, 2018.- Т. 18, Вип.4 (64).-С. 128-131.</w:t>
      </w:r>
    </w:p>
    <w:p w:rsidR="00B23B94" w:rsidRDefault="003B2D3B">
      <w:pPr>
        <w:pStyle w:val="a4"/>
        <w:numPr>
          <w:ilvl w:val="0"/>
          <w:numId w:val="2"/>
        </w:numPr>
        <w:tabs>
          <w:tab w:val="left" w:pos="1262"/>
        </w:tabs>
        <w:spacing w:line="360" w:lineRule="auto"/>
        <w:ind w:left="1261" w:right="783"/>
        <w:rPr>
          <w:sz w:val="28"/>
        </w:rPr>
      </w:pPr>
      <w:r>
        <w:rPr>
          <w:sz w:val="28"/>
        </w:rPr>
        <w:t>Черкун О.Ю. Органна дисфункція в динаміці гострого панкреатиту / О.Ю. Черкун, А.С. Калюжка, Д.А. Ситнік, В.Д. Шейко // Клінічеа хірургія, 2018.-Т.85.- № (8).– С.</w:t>
      </w:r>
      <w:r>
        <w:rPr>
          <w:spacing w:val="-7"/>
          <w:sz w:val="28"/>
        </w:rPr>
        <w:t xml:space="preserve"> </w:t>
      </w:r>
      <w:r>
        <w:rPr>
          <w:sz w:val="28"/>
        </w:rPr>
        <w:t>15-17.</w:t>
      </w:r>
    </w:p>
    <w:p w:rsidR="00B23B94" w:rsidRDefault="003B2D3B">
      <w:pPr>
        <w:pStyle w:val="a4"/>
        <w:numPr>
          <w:ilvl w:val="0"/>
          <w:numId w:val="2"/>
        </w:numPr>
        <w:tabs>
          <w:tab w:val="left" w:pos="1262"/>
        </w:tabs>
        <w:spacing w:line="360" w:lineRule="auto"/>
        <w:ind w:left="1261"/>
        <w:rPr>
          <w:sz w:val="28"/>
        </w:rPr>
      </w:pPr>
      <w:r>
        <w:rPr>
          <w:sz w:val="28"/>
        </w:rPr>
        <w:t>Черкун О.Ю. Прогностичне значення біохімічних маркерів при гнійно- септичних ускладненнях гострого тяжкого панкреатиту / О.Ю. Черкун, В.Д. Шейко, Д.А. Ситнік, О.А. Крижановський // Актуальні проблеми сучасної медицини, 2019.- Т. 19, Вип.2 (66).-С.</w:t>
      </w:r>
      <w:r>
        <w:rPr>
          <w:spacing w:val="-9"/>
          <w:sz w:val="28"/>
        </w:rPr>
        <w:t xml:space="preserve"> </w:t>
      </w:r>
      <w:r>
        <w:rPr>
          <w:sz w:val="28"/>
        </w:rPr>
        <w:t>99-102.</w:t>
      </w:r>
    </w:p>
    <w:p w:rsidR="00B23B94" w:rsidRDefault="003B2D3B">
      <w:pPr>
        <w:pStyle w:val="a4"/>
        <w:numPr>
          <w:ilvl w:val="0"/>
          <w:numId w:val="2"/>
        </w:numPr>
        <w:tabs>
          <w:tab w:val="left" w:pos="1262"/>
        </w:tabs>
        <w:spacing w:line="360" w:lineRule="auto"/>
        <w:ind w:left="1261" w:right="790"/>
        <w:rPr>
          <w:sz w:val="28"/>
        </w:rPr>
      </w:pPr>
      <w:r>
        <w:rPr>
          <w:sz w:val="28"/>
        </w:rPr>
        <w:t>Шевчук І.М. Мініінвазивні та ендоскопічні методи лікування постнекротичних псевдокіст підшлункової залози / І.М. Шевчук, С.М. Гедзик, Т.М. Дзвонковський, Н.В. Омельчук, Р.Т. Кузенко // Клін. хірургія. – 2015. – № 12. – С.</w:t>
      </w:r>
      <w:r>
        <w:rPr>
          <w:spacing w:val="-8"/>
          <w:sz w:val="28"/>
        </w:rPr>
        <w:t xml:space="preserve"> </w:t>
      </w:r>
      <w:r>
        <w:rPr>
          <w:sz w:val="28"/>
        </w:rPr>
        <w:t>22-25</w:t>
      </w:r>
    </w:p>
    <w:p w:rsidR="00B23B94" w:rsidRDefault="003B2D3B">
      <w:pPr>
        <w:pStyle w:val="a4"/>
        <w:numPr>
          <w:ilvl w:val="0"/>
          <w:numId w:val="2"/>
        </w:numPr>
        <w:tabs>
          <w:tab w:val="left" w:pos="1262"/>
        </w:tabs>
        <w:spacing w:line="360" w:lineRule="auto"/>
        <w:ind w:left="1261"/>
        <w:rPr>
          <w:sz w:val="28"/>
        </w:rPr>
      </w:pPr>
      <w:r>
        <w:rPr>
          <w:sz w:val="28"/>
        </w:rPr>
        <w:t>Шейко В. Д. Оцінка ефективності загальноклінічних обстежень у ранній діагностиці гострого панкреатиту / В. Д. Шейко, О. О. Кизименко, С.П. Кравченко // Український журнал хірургії. – 2013. – Т. 21. - № 2. – С. 106</w:t>
      </w:r>
      <w:r>
        <w:rPr>
          <w:spacing w:val="-10"/>
          <w:sz w:val="28"/>
        </w:rPr>
        <w:t xml:space="preserve"> </w:t>
      </w:r>
      <w:r>
        <w:rPr>
          <w:sz w:val="28"/>
        </w:rPr>
        <w:t>–111.</w:t>
      </w:r>
    </w:p>
    <w:p w:rsidR="00B23B94" w:rsidRDefault="003B2D3B">
      <w:pPr>
        <w:pStyle w:val="a4"/>
        <w:numPr>
          <w:ilvl w:val="0"/>
          <w:numId w:val="2"/>
        </w:numPr>
        <w:tabs>
          <w:tab w:val="left" w:pos="1262"/>
        </w:tabs>
        <w:spacing w:line="360" w:lineRule="auto"/>
        <w:ind w:left="1261" w:right="785"/>
        <w:rPr>
          <w:sz w:val="28"/>
        </w:rPr>
      </w:pPr>
      <w:r>
        <w:rPr>
          <w:sz w:val="28"/>
        </w:rPr>
        <w:t>Шейко В.Д. Прогнозування інфікування обмежених скупчень рідини за тяжкого гострого панкреатиту / В.Д. Шейко, А.Г. Оганезян // Клін. хірургія. – 2015. – № 7. – С. 30 –</w:t>
      </w:r>
      <w:r>
        <w:rPr>
          <w:spacing w:val="-11"/>
          <w:sz w:val="28"/>
        </w:rPr>
        <w:t xml:space="preserve"> </w:t>
      </w:r>
      <w:r>
        <w:rPr>
          <w:sz w:val="28"/>
        </w:rPr>
        <w:t>31.</w:t>
      </w:r>
    </w:p>
    <w:p w:rsidR="00B23B94" w:rsidRDefault="003B2D3B">
      <w:pPr>
        <w:pStyle w:val="a4"/>
        <w:numPr>
          <w:ilvl w:val="0"/>
          <w:numId w:val="2"/>
        </w:numPr>
        <w:tabs>
          <w:tab w:val="left" w:pos="1262"/>
        </w:tabs>
        <w:spacing w:line="360" w:lineRule="auto"/>
        <w:ind w:left="1261" w:right="791"/>
        <w:rPr>
          <w:sz w:val="28"/>
        </w:rPr>
      </w:pPr>
      <w:r>
        <w:rPr>
          <w:sz w:val="28"/>
        </w:rPr>
        <w:t>Ширшов И. B. Роль и место люмботомии в хирургическом лечении небилиарного некроического панкреатита / И. В. Ширшов // Український журнал хірургії. – 2014. – № 1. – С. 80 –</w:t>
      </w:r>
      <w:r>
        <w:rPr>
          <w:spacing w:val="-12"/>
          <w:sz w:val="28"/>
        </w:rPr>
        <w:t xml:space="preserve"> </w:t>
      </w:r>
      <w:r>
        <w:rPr>
          <w:sz w:val="28"/>
        </w:rPr>
        <w:t>85.</w:t>
      </w:r>
    </w:p>
    <w:p w:rsidR="00B23B94" w:rsidRDefault="003B2D3B">
      <w:pPr>
        <w:pStyle w:val="a4"/>
        <w:numPr>
          <w:ilvl w:val="0"/>
          <w:numId w:val="2"/>
        </w:numPr>
        <w:tabs>
          <w:tab w:val="left" w:pos="1262"/>
        </w:tabs>
        <w:spacing w:line="360" w:lineRule="auto"/>
        <w:ind w:left="1261" w:right="784"/>
        <w:rPr>
          <w:sz w:val="28"/>
        </w:rPr>
      </w:pPr>
      <w:r>
        <w:rPr>
          <w:sz w:val="28"/>
        </w:rPr>
        <w:t>Щербаков С. С. Эффективность использования пролонгированной эпидуральной анестезии для коррекции нарушений гемокоагуляции у больных острым деструктивным панкреатитом / С. С. Щербаков, Е. П. Бугаенко</w:t>
      </w:r>
      <w:r>
        <w:rPr>
          <w:spacing w:val="8"/>
          <w:sz w:val="28"/>
        </w:rPr>
        <w:t xml:space="preserve"> </w:t>
      </w:r>
      <w:r>
        <w:rPr>
          <w:sz w:val="28"/>
        </w:rPr>
        <w:t>//</w:t>
      </w:r>
      <w:r>
        <w:rPr>
          <w:spacing w:val="8"/>
          <w:sz w:val="28"/>
        </w:rPr>
        <w:t xml:space="preserve"> </w:t>
      </w:r>
      <w:r>
        <w:rPr>
          <w:sz w:val="28"/>
        </w:rPr>
        <w:t>Досягнення</w:t>
      </w:r>
      <w:r>
        <w:rPr>
          <w:spacing w:val="5"/>
          <w:sz w:val="28"/>
        </w:rPr>
        <w:t xml:space="preserve"> </w:t>
      </w:r>
      <w:r>
        <w:rPr>
          <w:sz w:val="28"/>
        </w:rPr>
        <w:t>бiологii</w:t>
      </w:r>
      <w:r>
        <w:rPr>
          <w:spacing w:val="7"/>
          <w:sz w:val="28"/>
        </w:rPr>
        <w:t xml:space="preserve"> </w:t>
      </w:r>
      <w:r>
        <w:rPr>
          <w:sz w:val="28"/>
        </w:rPr>
        <w:t>та</w:t>
      </w:r>
      <w:r>
        <w:rPr>
          <w:spacing w:val="7"/>
          <w:sz w:val="28"/>
        </w:rPr>
        <w:t xml:space="preserve"> </w:t>
      </w:r>
      <w:r>
        <w:rPr>
          <w:sz w:val="28"/>
        </w:rPr>
        <w:t>медицини.</w:t>
      </w:r>
      <w:r>
        <w:rPr>
          <w:spacing w:val="13"/>
          <w:sz w:val="28"/>
        </w:rPr>
        <w:t xml:space="preserve"> </w:t>
      </w:r>
      <w:r>
        <w:rPr>
          <w:sz w:val="28"/>
        </w:rPr>
        <w:t>–</w:t>
      </w:r>
      <w:r>
        <w:rPr>
          <w:spacing w:val="7"/>
          <w:sz w:val="28"/>
        </w:rPr>
        <w:t xml:space="preserve"> </w:t>
      </w:r>
      <w:r>
        <w:rPr>
          <w:sz w:val="28"/>
        </w:rPr>
        <w:t>2012.</w:t>
      </w:r>
      <w:r>
        <w:rPr>
          <w:spacing w:val="7"/>
          <w:sz w:val="28"/>
        </w:rPr>
        <w:t xml:space="preserve"> </w:t>
      </w:r>
      <w:r>
        <w:rPr>
          <w:sz w:val="28"/>
        </w:rPr>
        <w:t>–</w:t>
      </w:r>
      <w:r>
        <w:rPr>
          <w:spacing w:val="7"/>
          <w:sz w:val="28"/>
        </w:rPr>
        <w:t xml:space="preserve"> </w:t>
      </w:r>
      <w:r>
        <w:rPr>
          <w:sz w:val="28"/>
        </w:rPr>
        <w:t>№</w:t>
      </w:r>
      <w:r>
        <w:rPr>
          <w:spacing w:val="8"/>
          <w:sz w:val="28"/>
        </w:rPr>
        <w:t xml:space="preserve"> </w:t>
      </w:r>
      <w:r>
        <w:rPr>
          <w:sz w:val="28"/>
        </w:rPr>
        <w:t>1(19).</w:t>
      </w:r>
      <w:r>
        <w:rPr>
          <w:spacing w:val="7"/>
          <w:sz w:val="28"/>
        </w:rPr>
        <w:t xml:space="preserve"> </w:t>
      </w:r>
      <w:r>
        <w:rPr>
          <w:sz w:val="28"/>
        </w:rPr>
        <w:t>–</w:t>
      </w:r>
      <w:r>
        <w:rPr>
          <w:spacing w:val="9"/>
          <w:sz w:val="28"/>
        </w:rPr>
        <w:t xml:space="preserve"> </w:t>
      </w:r>
      <w:r>
        <w:rPr>
          <w:sz w:val="28"/>
        </w:rPr>
        <w:t>С.</w:t>
      </w:r>
      <w:r>
        <w:rPr>
          <w:spacing w:val="7"/>
          <w:sz w:val="28"/>
        </w:rPr>
        <w:t xml:space="preserve"> </w:t>
      </w:r>
      <w:r>
        <w:rPr>
          <w:sz w:val="28"/>
        </w:rPr>
        <w:t>35</w:t>
      </w:r>
    </w:p>
    <w:p w:rsidR="00B23B94" w:rsidRDefault="003B2D3B">
      <w:pPr>
        <w:pStyle w:val="a3"/>
        <w:ind w:left="1261"/>
      </w:pPr>
      <w:r>
        <w:t>– 38.</w:t>
      </w:r>
    </w:p>
    <w:p w:rsidR="00B23B94" w:rsidRDefault="00B23B94">
      <w:p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4"/>
        <w:rPr>
          <w:sz w:val="28"/>
        </w:rPr>
      </w:pPr>
      <w:r>
        <w:rPr>
          <w:sz w:val="28"/>
        </w:rPr>
        <w:lastRenderedPageBreak/>
        <w:t>Alsfasser G. Treatment of necrotizing pancreatitis: redefining the role of surgery / G. Alsfasser. F. Schwandner, A. Pertschy, [et al.] // World J Surg. 2012 Oct; 36(5):1142-1147. doi:</w:t>
      </w:r>
      <w:r>
        <w:rPr>
          <w:spacing w:val="-3"/>
          <w:sz w:val="28"/>
        </w:rPr>
        <w:t xml:space="preserve"> </w:t>
      </w:r>
      <w:r>
        <w:rPr>
          <w:sz w:val="28"/>
        </w:rPr>
        <w:t>10.1007/s00268-012-1504-5.</w:t>
      </w:r>
    </w:p>
    <w:p w:rsidR="00B23B94" w:rsidRDefault="003B2D3B">
      <w:pPr>
        <w:pStyle w:val="a4"/>
        <w:numPr>
          <w:ilvl w:val="0"/>
          <w:numId w:val="2"/>
        </w:numPr>
        <w:tabs>
          <w:tab w:val="left" w:pos="1262"/>
        </w:tabs>
        <w:spacing w:before="2" w:line="360" w:lineRule="auto"/>
        <w:ind w:left="1261"/>
        <w:rPr>
          <w:sz w:val="28"/>
        </w:rPr>
      </w:pPr>
      <w:r>
        <w:rPr>
          <w:sz w:val="28"/>
        </w:rPr>
        <w:t>Bakker O.J. Endoscopic transgastric vs surgical necrosectomy for infected necrotizing pancreatitis: a randomized trial / O. J. Bakker, H. C. van Santvoort, S. van Brunsshot [et al.] // J. A. M. A. — 2012. — Vol. 307. — P. 1053 —</w:t>
      </w:r>
      <w:r>
        <w:rPr>
          <w:spacing w:val="-5"/>
          <w:sz w:val="28"/>
        </w:rPr>
        <w:t xml:space="preserve"> </w:t>
      </w:r>
      <w:r>
        <w:rPr>
          <w:sz w:val="28"/>
        </w:rPr>
        <w:t>1061.</w:t>
      </w:r>
    </w:p>
    <w:p w:rsidR="00B23B94" w:rsidRDefault="003B2D3B">
      <w:pPr>
        <w:pStyle w:val="a4"/>
        <w:numPr>
          <w:ilvl w:val="0"/>
          <w:numId w:val="2"/>
        </w:numPr>
        <w:tabs>
          <w:tab w:val="left" w:pos="1262"/>
        </w:tabs>
        <w:spacing w:line="360" w:lineRule="auto"/>
        <w:ind w:left="1261" w:right="787"/>
        <w:rPr>
          <w:sz w:val="28"/>
        </w:rPr>
      </w:pPr>
      <w:r>
        <w:rPr>
          <w:sz w:val="28"/>
        </w:rPr>
        <w:t>Baltazar E.J. Acute pancreatitis: assessment of severity with clinical and CT evaluation / E.J. Baltazar // Radiology. 2002 June; 223(3). – p.</w:t>
      </w:r>
      <w:r>
        <w:rPr>
          <w:spacing w:val="-20"/>
          <w:sz w:val="28"/>
        </w:rPr>
        <w:t xml:space="preserve"> </w:t>
      </w:r>
      <w:r>
        <w:rPr>
          <w:sz w:val="28"/>
        </w:rPr>
        <w:t>603-613.</w:t>
      </w:r>
    </w:p>
    <w:p w:rsidR="00B23B94" w:rsidRDefault="003B2D3B">
      <w:pPr>
        <w:pStyle w:val="a4"/>
        <w:numPr>
          <w:ilvl w:val="0"/>
          <w:numId w:val="2"/>
        </w:numPr>
        <w:tabs>
          <w:tab w:val="left" w:pos="1262"/>
        </w:tabs>
        <w:spacing w:before="2" w:line="360" w:lineRule="auto"/>
        <w:ind w:left="1261" w:right="784"/>
        <w:rPr>
          <w:sz w:val="28"/>
        </w:rPr>
      </w:pPr>
      <w:r>
        <w:rPr>
          <w:sz w:val="28"/>
        </w:rPr>
        <w:t>Banks P.A. Classifications of acute pancreatitis – 2012: Revision of the Atlanta classification and definitions by International Consensus / P.A. Banks, T.L. Bollen, C. Dervenis [et al.] // Gut. – 2013. – Vol. 62. – P. 102 – 111.</w:t>
      </w:r>
    </w:p>
    <w:p w:rsidR="00B23B94" w:rsidRDefault="003B2D3B">
      <w:pPr>
        <w:pStyle w:val="a4"/>
        <w:numPr>
          <w:ilvl w:val="0"/>
          <w:numId w:val="2"/>
        </w:numPr>
        <w:tabs>
          <w:tab w:val="left" w:pos="1262"/>
        </w:tabs>
        <w:spacing w:line="360" w:lineRule="auto"/>
        <w:ind w:left="1261" w:right="786"/>
        <w:rPr>
          <w:sz w:val="28"/>
        </w:rPr>
      </w:pPr>
      <w:r>
        <w:rPr>
          <w:sz w:val="28"/>
        </w:rPr>
        <w:t>Beger H. G. Diseases of the Pancreas / H.G. Beger, S. Matsuno, J. L. Cameron // Cur. Surg. Therapy, SpringerVerlag Berlin Heidelberg, 2008, p. 286-293.</w:t>
      </w:r>
    </w:p>
    <w:p w:rsidR="00B23B94" w:rsidRDefault="003B2D3B">
      <w:pPr>
        <w:pStyle w:val="a4"/>
        <w:numPr>
          <w:ilvl w:val="0"/>
          <w:numId w:val="2"/>
        </w:numPr>
        <w:tabs>
          <w:tab w:val="left" w:pos="1262"/>
        </w:tabs>
        <w:spacing w:line="320" w:lineRule="exact"/>
        <w:ind w:right="0" w:hanging="361"/>
        <w:rPr>
          <w:sz w:val="26"/>
        </w:rPr>
      </w:pPr>
      <w:r>
        <w:rPr>
          <w:sz w:val="28"/>
        </w:rPr>
        <w:t>Beger</w:t>
      </w:r>
      <w:r>
        <w:rPr>
          <w:spacing w:val="20"/>
          <w:sz w:val="28"/>
        </w:rPr>
        <w:t xml:space="preserve"> </w:t>
      </w:r>
      <w:r>
        <w:rPr>
          <w:sz w:val="28"/>
        </w:rPr>
        <w:t>H.</w:t>
      </w:r>
      <w:r>
        <w:rPr>
          <w:spacing w:val="19"/>
          <w:sz w:val="28"/>
        </w:rPr>
        <w:t xml:space="preserve"> </w:t>
      </w:r>
      <w:r>
        <w:rPr>
          <w:sz w:val="28"/>
        </w:rPr>
        <w:t>G.</w:t>
      </w:r>
      <w:r>
        <w:rPr>
          <w:spacing w:val="20"/>
          <w:sz w:val="28"/>
        </w:rPr>
        <w:t xml:space="preserve"> </w:t>
      </w:r>
      <w:r>
        <w:rPr>
          <w:sz w:val="28"/>
        </w:rPr>
        <w:t>The</w:t>
      </w:r>
      <w:r>
        <w:rPr>
          <w:spacing w:val="20"/>
          <w:sz w:val="28"/>
        </w:rPr>
        <w:t xml:space="preserve"> </w:t>
      </w:r>
      <w:r>
        <w:rPr>
          <w:sz w:val="28"/>
        </w:rPr>
        <w:t>use</w:t>
      </w:r>
      <w:r>
        <w:rPr>
          <w:spacing w:val="17"/>
          <w:sz w:val="28"/>
        </w:rPr>
        <w:t xml:space="preserve"> </w:t>
      </w:r>
      <w:r>
        <w:rPr>
          <w:sz w:val="28"/>
        </w:rPr>
        <w:t>antibiotics</w:t>
      </w:r>
      <w:r>
        <w:rPr>
          <w:spacing w:val="21"/>
          <w:sz w:val="28"/>
        </w:rPr>
        <w:t xml:space="preserve"> </w:t>
      </w:r>
      <w:r>
        <w:rPr>
          <w:sz w:val="28"/>
        </w:rPr>
        <w:t>for</w:t>
      </w:r>
      <w:r>
        <w:rPr>
          <w:spacing w:val="19"/>
          <w:sz w:val="28"/>
        </w:rPr>
        <w:t xml:space="preserve"> </w:t>
      </w:r>
      <w:r>
        <w:rPr>
          <w:sz w:val="28"/>
        </w:rPr>
        <w:t>acute</w:t>
      </w:r>
      <w:r>
        <w:rPr>
          <w:spacing w:val="20"/>
          <w:sz w:val="28"/>
        </w:rPr>
        <w:t xml:space="preserve"> </w:t>
      </w:r>
      <w:r>
        <w:rPr>
          <w:sz w:val="28"/>
        </w:rPr>
        <w:t>pancreatitis:</w:t>
      </w:r>
      <w:r>
        <w:rPr>
          <w:spacing w:val="21"/>
          <w:sz w:val="28"/>
        </w:rPr>
        <w:t xml:space="preserve"> </w:t>
      </w:r>
      <w:r>
        <w:rPr>
          <w:sz w:val="28"/>
        </w:rPr>
        <w:t>is</w:t>
      </w:r>
      <w:r>
        <w:rPr>
          <w:spacing w:val="20"/>
          <w:sz w:val="28"/>
        </w:rPr>
        <w:t xml:space="preserve"> </w:t>
      </w:r>
      <w:r>
        <w:rPr>
          <w:sz w:val="28"/>
        </w:rPr>
        <w:t>there</w:t>
      </w:r>
      <w:r>
        <w:rPr>
          <w:spacing w:val="17"/>
          <w:sz w:val="28"/>
        </w:rPr>
        <w:t xml:space="preserve"> </w:t>
      </w:r>
      <w:r>
        <w:rPr>
          <w:sz w:val="28"/>
        </w:rPr>
        <w:t>a</w:t>
      </w:r>
      <w:r>
        <w:rPr>
          <w:spacing w:val="21"/>
          <w:sz w:val="28"/>
        </w:rPr>
        <w:t xml:space="preserve"> </w:t>
      </w:r>
      <w:r>
        <w:rPr>
          <w:sz w:val="28"/>
        </w:rPr>
        <w:t>role</w:t>
      </w:r>
      <w:r>
        <w:rPr>
          <w:spacing w:val="17"/>
          <w:sz w:val="28"/>
        </w:rPr>
        <w:t xml:space="preserve"> </w:t>
      </w:r>
      <w:r>
        <w:rPr>
          <w:sz w:val="28"/>
        </w:rPr>
        <w:t>?</w:t>
      </w:r>
      <w:r>
        <w:rPr>
          <w:spacing w:val="33"/>
          <w:sz w:val="28"/>
        </w:rPr>
        <w:t xml:space="preserve"> </w:t>
      </w:r>
      <w:r>
        <w:rPr>
          <w:sz w:val="28"/>
        </w:rPr>
        <w:t>/</w:t>
      </w:r>
      <w:r>
        <w:rPr>
          <w:spacing w:val="21"/>
          <w:sz w:val="28"/>
        </w:rPr>
        <w:t xml:space="preserve"> </w:t>
      </w:r>
      <w:r>
        <w:rPr>
          <w:sz w:val="28"/>
        </w:rPr>
        <w:t>H.</w:t>
      </w:r>
    </w:p>
    <w:p w:rsidR="00B23B94" w:rsidRDefault="003B2D3B">
      <w:pPr>
        <w:pStyle w:val="a3"/>
        <w:spacing w:before="161"/>
        <w:ind w:left="1261"/>
        <w:jc w:val="left"/>
      </w:pPr>
      <w:r>
        <w:t>G. Beger, F. Gansange, B. Poch // Curr. Infect. Dis. Rep. – 2009. – Vol. 11. -</w:t>
      </w:r>
    </w:p>
    <w:p w:rsidR="00B23B94" w:rsidRDefault="003B2D3B">
      <w:pPr>
        <w:pStyle w:val="a3"/>
        <w:spacing w:before="162"/>
        <w:ind w:left="1261"/>
      </w:pPr>
      <w:r>
        <w:t>№2. – P. 101 – 107.</w:t>
      </w:r>
    </w:p>
    <w:p w:rsidR="00B23B94" w:rsidRDefault="003B2D3B">
      <w:pPr>
        <w:pStyle w:val="a4"/>
        <w:numPr>
          <w:ilvl w:val="0"/>
          <w:numId w:val="2"/>
        </w:numPr>
        <w:tabs>
          <w:tab w:val="left" w:pos="1262"/>
        </w:tabs>
        <w:spacing w:before="161" w:line="360" w:lineRule="auto"/>
        <w:ind w:left="1261" w:right="787"/>
        <w:rPr>
          <w:sz w:val="28"/>
        </w:rPr>
      </w:pPr>
      <w:r>
        <w:rPr>
          <w:sz w:val="28"/>
        </w:rPr>
        <w:t>Behrman S.W. Modern concepts in pancreatic surgery / S.W. Behrman, R.F. Martin // Clinics review articles, June 2013, - p.</w:t>
      </w:r>
      <w:r>
        <w:rPr>
          <w:spacing w:val="-10"/>
          <w:sz w:val="28"/>
        </w:rPr>
        <w:t xml:space="preserve"> </w:t>
      </w:r>
      <w:r>
        <w:rPr>
          <w:sz w:val="28"/>
        </w:rPr>
        <w:t>486-492.</w:t>
      </w:r>
    </w:p>
    <w:p w:rsidR="00B23B94" w:rsidRDefault="003B2D3B">
      <w:pPr>
        <w:pStyle w:val="a4"/>
        <w:numPr>
          <w:ilvl w:val="0"/>
          <w:numId w:val="2"/>
        </w:numPr>
        <w:tabs>
          <w:tab w:val="left" w:pos="1262"/>
        </w:tabs>
        <w:spacing w:line="360" w:lineRule="auto"/>
        <w:ind w:left="1261" w:right="786"/>
        <w:rPr>
          <w:sz w:val="28"/>
        </w:rPr>
      </w:pPr>
      <w:r>
        <w:rPr>
          <w:sz w:val="28"/>
        </w:rPr>
        <w:t>Bunevicius A. Low triiodothyronine syndrome as a predictor of poor outcomes in patients undergoing brain tumor surgery: a pilot study / A. Bunevicius, V. Deltuva, S. Tamasauskas [et al.] // Neurosurgery. (2013) 118:1279–87.</w:t>
      </w:r>
    </w:p>
    <w:p w:rsidR="00B23B94" w:rsidRDefault="003B2D3B">
      <w:pPr>
        <w:pStyle w:val="a4"/>
        <w:numPr>
          <w:ilvl w:val="0"/>
          <w:numId w:val="2"/>
        </w:numPr>
        <w:tabs>
          <w:tab w:val="left" w:pos="1262"/>
        </w:tabs>
        <w:spacing w:line="360" w:lineRule="auto"/>
        <w:ind w:left="1261"/>
        <w:rPr>
          <w:sz w:val="28"/>
        </w:rPr>
      </w:pPr>
      <w:r>
        <w:rPr>
          <w:sz w:val="28"/>
        </w:rPr>
        <w:t>Bunevicius A. Neuroprotective actions of thyroid hormones and low-T3 syndrome as a biomarker in acute cerebrovascular disorders. / A. Bunevicius, G. Iervasi, R. Bunevicius // Expert Rev Neurother. – 2015. – Vol. 15. – P.</w:t>
      </w:r>
      <w:r>
        <w:rPr>
          <w:spacing w:val="-6"/>
          <w:sz w:val="28"/>
        </w:rPr>
        <w:t xml:space="preserve"> </w:t>
      </w:r>
      <w:r>
        <w:rPr>
          <w:sz w:val="28"/>
        </w:rPr>
        <w:t>315–26.</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4"/>
        <w:rPr>
          <w:sz w:val="28"/>
        </w:rPr>
      </w:pPr>
      <w:r>
        <w:rPr>
          <w:sz w:val="28"/>
        </w:rPr>
        <w:lastRenderedPageBreak/>
        <w:t>Cardoso F. C-reactive protein prognostic accuracy in acute pancreatitis: timing of measurement and cutoff points / F. Cardoso, L. Ricardo, A. Oliveira [et.al.] // Eur. J. Gastroenterol. Hepatol. – 2013. – Vol. 25. – P.</w:t>
      </w:r>
      <w:r>
        <w:rPr>
          <w:spacing w:val="7"/>
          <w:sz w:val="28"/>
        </w:rPr>
        <w:t xml:space="preserve"> </w:t>
      </w:r>
      <w:r>
        <w:rPr>
          <w:sz w:val="28"/>
        </w:rPr>
        <w:t>784</w:t>
      </w:r>
    </w:p>
    <w:p w:rsidR="00B23B94" w:rsidRDefault="003B2D3B">
      <w:pPr>
        <w:pStyle w:val="a3"/>
        <w:spacing w:before="2"/>
        <w:ind w:left="1261"/>
      </w:pPr>
      <w:r>
        <w:t>- 789.</w:t>
      </w:r>
    </w:p>
    <w:p w:rsidR="00B23B94" w:rsidRDefault="003B2D3B">
      <w:pPr>
        <w:pStyle w:val="a4"/>
        <w:numPr>
          <w:ilvl w:val="0"/>
          <w:numId w:val="2"/>
        </w:numPr>
        <w:tabs>
          <w:tab w:val="left" w:pos="1262"/>
        </w:tabs>
        <w:spacing w:before="160" w:line="360" w:lineRule="auto"/>
        <w:ind w:left="1261" w:right="784"/>
        <w:rPr>
          <w:sz w:val="28"/>
        </w:rPr>
      </w:pPr>
      <w:r>
        <w:rPr>
          <w:sz w:val="28"/>
        </w:rPr>
        <w:t>Castellanos G. Management of infected pancreatic necrosis using retroperitoneal necrosectomy with flexible endoscope: 10 years of experience / G. Castellanos, A. Piñero, L. A. Doig [et al.] // Surg Endosc. – 2013. – Vol. 27(2). – P.</w:t>
      </w:r>
      <w:r>
        <w:rPr>
          <w:spacing w:val="-7"/>
          <w:sz w:val="28"/>
        </w:rPr>
        <w:t xml:space="preserve"> </w:t>
      </w:r>
      <w:r>
        <w:rPr>
          <w:sz w:val="28"/>
        </w:rPr>
        <w:t>443-453.</w:t>
      </w:r>
    </w:p>
    <w:p w:rsidR="00B23B94" w:rsidRDefault="003B2D3B">
      <w:pPr>
        <w:pStyle w:val="a4"/>
        <w:numPr>
          <w:ilvl w:val="0"/>
          <w:numId w:val="2"/>
        </w:numPr>
        <w:tabs>
          <w:tab w:val="left" w:pos="1262"/>
        </w:tabs>
        <w:spacing w:line="362" w:lineRule="auto"/>
        <w:ind w:left="1261" w:right="787"/>
        <w:rPr>
          <w:sz w:val="28"/>
        </w:rPr>
      </w:pPr>
      <w:r>
        <w:rPr>
          <w:sz w:val="28"/>
        </w:rPr>
        <w:t>Cherkun O.Yu. Evaluation of the effectiveness of surgical management in local</w:t>
      </w:r>
      <w:r>
        <w:rPr>
          <w:spacing w:val="41"/>
          <w:sz w:val="28"/>
        </w:rPr>
        <w:t xml:space="preserve"> </w:t>
      </w:r>
      <w:r>
        <w:rPr>
          <w:sz w:val="28"/>
        </w:rPr>
        <w:t>purulent-septic</w:t>
      </w:r>
      <w:r>
        <w:rPr>
          <w:spacing w:val="38"/>
          <w:sz w:val="28"/>
        </w:rPr>
        <w:t xml:space="preserve"> </w:t>
      </w:r>
      <w:r>
        <w:rPr>
          <w:sz w:val="28"/>
        </w:rPr>
        <w:t>complications</w:t>
      </w:r>
      <w:r>
        <w:rPr>
          <w:spacing w:val="40"/>
          <w:sz w:val="28"/>
        </w:rPr>
        <w:t xml:space="preserve"> </w:t>
      </w:r>
      <w:r>
        <w:rPr>
          <w:sz w:val="28"/>
        </w:rPr>
        <w:t>of</w:t>
      </w:r>
      <w:r>
        <w:rPr>
          <w:spacing w:val="41"/>
          <w:sz w:val="28"/>
        </w:rPr>
        <w:t xml:space="preserve"> </w:t>
      </w:r>
      <w:r>
        <w:rPr>
          <w:sz w:val="28"/>
        </w:rPr>
        <w:t>acute</w:t>
      </w:r>
      <w:r>
        <w:rPr>
          <w:spacing w:val="41"/>
          <w:sz w:val="28"/>
        </w:rPr>
        <w:t xml:space="preserve"> </w:t>
      </w:r>
      <w:r>
        <w:rPr>
          <w:sz w:val="28"/>
        </w:rPr>
        <w:t>pancreatitis</w:t>
      </w:r>
      <w:r>
        <w:rPr>
          <w:spacing w:val="48"/>
          <w:sz w:val="28"/>
        </w:rPr>
        <w:t xml:space="preserve"> </w:t>
      </w:r>
      <w:r>
        <w:rPr>
          <w:sz w:val="28"/>
        </w:rPr>
        <w:t>/</w:t>
      </w:r>
      <w:r>
        <w:rPr>
          <w:spacing w:val="41"/>
          <w:sz w:val="28"/>
        </w:rPr>
        <w:t xml:space="preserve"> </w:t>
      </w:r>
      <w:r>
        <w:rPr>
          <w:sz w:val="28"/>
        </w:rPr>
        <w:t>O.Yu.</w:t>
      </w:r>
      <w:r>
        <w:rPr>
          <w:spacing w:val="41"/>
          <w:sz w:val="28"/>
        </w:rPr>
        <w:t xml:space="preserve"> </w:t>
      </w:r>
      <w:r>
        <w:rPr>
          <w:sz w:val="28"/>
        </w:rPr>
        <w:t>Cherkun,</w:t>
      </w:r>
    </w:p>
    <w:p w:rsidR="00B23B94" w:rsidRDefault="003B2D3B">
      <w:pPr>
        <w:pStyle w:val="a3"/>
        <w:spacing w:line="360" w:lineRule="auto"/>
        <w:ind w:left="1261" w:right="785"/>
      </w:pPr>
      <w:r>
        <w:t>D.A. Sytnik, A.S. Kaliuzhka, V.D. Sheyko, V.H. Hryn // Wiadomosti Lecarsie, 2018.-T LXXI.-nr 6.-S.1231-1234.</w:t>
      </w:r>
    </w:p>
    <w:p w:rsidR="00B23B94" w:rsidRDefault="003B2D3B">
      <w:pPr>
        <w:pStyle w:val="a4"/>
        <w:numPr>
          <w:ilvl w:val="0"/>
          <w:numId w:val="2"/>
        </w:numPr>
        <w:tabs>
          <w:tab w:val="left" w:pos="1262"/>
        </w:tabs>
        <w:spacing w:line="321" w:lineRule="exact"/>
        <w:ind w:right="0" w:hanging="361"/>
        <w:rPr>
          <w:sz w:val="26"/>
        </w:rPr>
      </w:pPr>
      <w:r>
        <w:rPr>
          <w:sz w:val="28"/>
        </w:rPr>
        <w:t>Chua T.Y. Necrotizing pancreatitis: Diagnose, treat, consult. T.Y.</w:t>
      </w:r>
      <w:r>
        <w:rPr>
          <w:spacing w:val="20"/>
          <w:sz w:val="28"/>
        </w:rPr>
        <w:t xml:space="preserve"> </w:t>
      </w:r>
      <w:r>
        <w:rPr>
          <w:sz w:val="28"/>
        </w:rPr>
        <w:t>Chua,</w:t>
      </w:r>
    </w:p>
    <w:p w:rsidR="00B23B94" w:rsidRDefault="003B2D3B">
      <w:pPr>
        <w:pStyle w:val="a3"/>
        <w:spacing w:before="158" w:line="360" w:lineRule="auto"/>
        <w:ind w:left="1261" w:right="785"/>
      </w:pPr>
      <w:r>
        <w:t>R.M. Walsh, M.E. Baker, C.J. Cleve, T. Stevens // Med. 2017 Aug;84(8), - p. 639-648.</w:t>
      </w:r>
      <w:r>
        <w:rPr>
          <w:color w:val="0000FF"/>
          <w:spacing w:val="-5"/>
        </w:rPr>
        <w:t xml:space="preserve"> </w:t>
      </w:r>
      <w:hyperlink r:id="rId17">
        <w:r>
          <w:rPr>
            <w:color w:val="0000FF"/>
            <w:u w:val="single" w:color="0000FF"/>
          </w:rPr>
          <w:t>https://doi.org/10.3949/ccjm.84a.16052</w:t>
        </w:r>
      </w:hyperlink>
      <w:r>
        <w:t>.</w:t>
      </w:r>
    </w:p>
    <w:p w:rsidR="00B23B94" w:rsidRDefault="003B2D3B">
      <w:pPr>
        <w:pStyle w:val="a4"/>
        <w:numPr>
          <w:ilvl w:val="0"/>
          <w:numId w:val="2"/>
        </w:numPr>
        <w:tabs>
          <w:tab w:val="left" w:pos="1262"/>
        </w:tabs>
        <w:spacing w:line="360" w:lineRule="auto"/>
        <w:ind w:left="1261" w:right="793"/>
        <w:rPr>
          <w:sz w:val="28"/>
        </w:rPr>
      </w:pPr>
      <w:r>
        <w:rPr>
          <w:sz w:val="28"/>
        </w:rPr>
        <w:t>Dupuis C. S. Diagnosis and management of acute pancreatitis and its complications / Casolyn S. Dupuis, Veronica Baptista, Giles Whalen [et</w:t>
      </w:r>
      <w:r>
        <w:rPr>
          <w:spacing w:val="17"/>
          <w:sz w:val="28"/>
        </w:rPr>
        <w:t xml:space="preserve"> </w:t>
      </w:r>
      <w:r>
        <w:rPr>
          <w:sz w:val="28"/>
        </w:rPr>
        <w:t>al.]</w:t>
      </w:r>
    </w:p>
    <w:p w:rsidR="00B23B94" w:rsidRDefault="003B2D3B">
      <w:pPr>
        <w:pStyle w:val="a3"/>
        <w:spacing w:line="321" w:lineRule="exact"/>
        <w:ind w:left="1261"/>
      </w:pPr>
      <w:r>
        <w:t>// Gastrointest. Intervent. – 2013. – Vol. 2, Issue 2. – P. 36 – 46.</w:t>
      </w:r>
    </w:p>
    <w:p w:rsidR="00B23B94" w:rsidRDefault="003B2D3B">
      <w:pPr>
        <w:pStyle w:val="a4"/>
        <w:numPr>
          <w:ilvl w:val="0"/>
          <w:numId w:val="2"/>
        </w:numPr>
        <w:tabs>
          <w:tab w:val="left" w:pos="1262"/>
        </w:tabs>
        <w:spacing w:before="162" w:line="360" w:lineRule="auto"/>
        <w:ind w:left="1261" w:right="784"/>
        <w:rPr>
          <w:sz w:val="28"/>
        </w:rPr>
      </w:pPr>
      <w:r>
        <w:rPr>
          <w:sz w:val="28"/>
        </w:rPr>
        <w:t>Freeman M.L. Interventions for necrotizing pancreatitis summary of a multidisciplinary consensus conference and an international multidisciplinary panel of speakers and moderators / M. L. Freeman, J. Werner, H. C. Van Santvoort [et al.] // Pancreas. 2012. Vol. 41. Issue 8. P. 1176–1194.</w:t>
      </w:r>
    </w:p>
    <w:p w:rsidR="00B23B94" w:rsidRDefault="003B2D3B">
      <w:pPr>
        <w:pStyle w:val="a4"/>
        <w:numPr>
          <w:ilvl w:val="0"/>
          <w:numId w:val="2"/>
        </w:numPr>
        <w:tabs>
          <w:tab w:val="left" w:pos="1262"/>
        </w:tabs>
        <w:spacing w:line="322" w:lineRule="exact"/>
        <w:ind w:right="0" w:hanging="361"/>
        <w:rPr>
          <w:sz w:val="26"/>
        </w:rPr>
      </w:pPr>
      <w:r>
        <w:rPr>
          <w:sz w:val="28"/>
        </w:rPr>
        <w:t>Greenberg J.A. Clinical practice guideline: management of acute</w:t>
      </w:r>
      <w:r>
        <w:rPr>
          <w:spacing w:val="-10"/>
          <w:sz w:val="28"/>
        </w:rPr>
        <w:t xml:space="preserve"> </w:t>
      </w:r>
      <w:r>
        <w:rPr>
          <w:sz w:val="28"/>
        </w:rPr>
        <w:t>pancreatitis</w:t>
      </w:r>
    </w:p>
    <w:p w:rsidR="00B23B94" w:rsidRDefault="003B2D3B">
      <w:pPr>
        <w:pStyle w:val="a3"/>
        <w:spacing w:before="161" w:line="360" w:lineRule="auto"/>
        <w:ind w:left="1261" w:right="782"/>
      </w:pPr>
      <w:r>
        <w:t>/ J. A. Greenberg, J. Hsu, Bawazeer M. [et al.] // Can. J. Surg. – 2016. – Vol. 59. – P. 128-140.</w:t>
      </w:r>
    </w:p>
    <w:p w:rsidR="00B23B94" w:rsidRDefault="003B2D3B">
      <w:pPr>
        <w:pStyle w:val="a4"/>
        <w:numPr>
          <w:ilvl w:val="0"/>
          <w:numId w:val="2"/>
        </w:numPr>
        <w:tabs>
          <w:tab w:val="left" w:pos="1262"/>
        </w:tabs>
        <w:spacing w:before="1" w:line="360" w:lineRule="auto"/>
        <w:ind w:left="1261" w:right="785"/>
        <w:rPr>
          <w:sz w:val="28"/>
        </w:rPr>
      </w:pPr>
      <w:r>
        <w:rPr>
          <w:sz w:val="28"/>
        </w:rPr>
        <w:t>Haghshenasskashani A. Endoscopic necrosectomy of pancreatic necrosis: a systematic review / A. Haghshenasskashani, J. M. Laurence, V. Kwan, [et al.] // Surg Endosc. – 2011 . – Vol. 25. – P.</w:t>
      </w:r>
      <w:r>
        <w:rPr>
          <w:spacing w:val="-11"/>
          <w:sz w:val="28"/>
        </w:rPr>
        <w:t xml:space="preserve"> </w:t>
      </w:r>
      <w:r>
        <w:rPr>
          <w:sz w:val="28"/>
        </w:rPr>
        <w:t>3724-3730.</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262"/>
        </w:tabs>
        <w:spacing w:before="89" w:line="360" w:lineRule="auto"/>
        <w:ind w:left="1261" w:right="786"/>
        <w:rPr>
          <w:sz w:val="28"/>
        </w:rPr>
      </w:pPr>
      <w:r>
        <w:rPr>
          <w:sz w:val="28"/>
        </w:rPr>
        <w:lastRenderedPageBreak/>
        <w:t>Horvath K. Safety and efficacy of video-assisted  retroperitoneal debridement for infected pancreatic collection: a multicenter, prospective, singlarm phase 2 study / K. Horvath, P. Freeny, J. Escallon // Arch. Surg. – 2010. – Vol. 145. - № 9. – P. 817 –</w:t>
      </w:r>
      <w:r>
        <w:rPr>
          <w:spacing w:val="-12"/>
          <w:sz w:val="28"/>
        </w:rPr>
        <w:t xml:space="preserve"> </w:t>
      </w:r>
      <w:r>
        <w:rPr>
          <w:sz w:val="28"/>
        </w:rPr>
        <w:t>825.</w:t>
      </w:r>
    </w:p>
    <w:p w:rsidR="00B23B94" w:rsidRDefault="003B2D3B">
      <w:pPr>
        <w:pStyle w:val="a4"/>
        <w:numPr>
          <w:ilvl w:val="0"/>
          <w:numId w:val="2"/>
        </w:numPr>
        <w:tabs>
          <w:tab w:val="left" w:pos="1262"/>
        </w:tabs>
        <w:spacing w:before="1" w:line="362" w:lineRule="auto"/>
        <w:ind w:left="1261" w:right="784"/>
        <w:rPr>
          <w:sz w:val="28"/>
        </w:rPr>
      </w:pPr>
      <w:r>
        <w:rPr>
          <w:sz w:val="28"/>
        </w:rPr>
        <w:t>Hritz I. Acute pancreatitis. Evidence-based practice guidelines / I. Hritz, L. Czakó,</w:t>
      </w:r>
      <w:r>
        <w:rPr>
          <w:spacing w:val="7"/>
          <w:sz w:val="28"/>
        </w:rPr>
        <w:t xml:space="preserve"> </w:t>
      </w:r>
      <w:r>
        <w:rPr>
          <w:sz w:val="28"/>
        </w:rPr>
        <w:t>Z.</w:t>
      </w:r>
      <w:r>
        <w:rPr>
          <w:spacing w:val="8"/>
          <w:sz w:val="28"/>
        </w:rPr>
        <w:t xml:space="preserve"> </w:t>
      </w:r>
      <w:r>
        <w:rPr>
          <w:sz w:val="28"/>
        </w:rPr>
        <w:t>Dubravcsik</w:t>
      </w:r>
      <w:r>
        <w:rPr>
          <w:spacing w:val="7"/>
          <w:sz w:val="28"/>
        </w:rPr>
        <w:t xml:space="preserve"> </w:t>
      </w:r>
      <w:r>
        <w:rPr>
          <w:sz w:val="28"/>
        </w:rPr>
        <w:t>[et</w:t>
      </w:r>
      <w:r>
        <w:rPr>
          <w:spacing w:val="11"/>
          <w:sz w:val="28"/>
        </w:rPr>
        <w:t xml:space="preserve"> </w:t>
      </w:r>
      <w:r>
        <w:rPr>
          <w:sz w:val="28"/>
        </w:rPr>
        <w:t>al.]</w:t>
      </w:r>
      <w:r>
        <w:rPr>
          <w:spacing w:val="5"/>
          <w:sz w:val="28"/>
        </w:rPr>
        <w:t xml:space="preserve"> </w:t>
      </w:r>
      <w:r>
        <w:rPr>
          <w:sz w:val="28"/>
        </w:rPr>
        <w:t>//</w:t>
      </w:r>
      <w:r>
        <w:rPr>
          <w:spacing w:val="8"/>
          <w:sz w:val="28"/>
        </w:rPr>
        <w:t xml:space="preserve"> </w:t>
      </w:r>
      <w:r>
        <w:rPr>
          <w:sz w:val="28"/>
        </w:rPr>
        <w:t>Orv</w:t>
      </w:r>
      <w:r>
        <w:rPr>
          <w:spacing w:val="9"/>
          <w:sz w:val="28"/>
        </w:rPr>
        <w:t xml:space="preserve"> </w:t>
      </w:r>
      <w:r>
        <w:rPr>
          <w:sz w:val="28"/>
        </w:rPr>
        <w:t>Hetil</w:t>
      </w:r>
      <w:r>
        <w:rPr>
          <w:spacing w:val="6"/>
          <w:sz w:val="28"/>
        </w:rPr>
        <w:t xml:space="preserve"> </w:t>
      </w:r>
      <w:r>
        <w:rPr>
          <w:sz w:val="28"/>
        </w:rPr>
        <w:t>.</w:t>
      </w:r>
      <w:r>
        <w:rPr>
          <w:spacing w:val="10"/>
          <w:sz w:val="28"/>
        </w:rPr>
        <w:t xml:space="preserve"> </w:t>
      </w:r>
      <w:r>
        <w:rPr>
          <w:sz w:val="28"/>
        </w:rPr>
        <w:t>–</w:t>
      </w:r>
      <w:r>
        <w:rPr>
          <w:spacing w:val="9"/>
          <w:sz w:val="28"/>
        </w:rPr>
        <w:t xml:space="preserve"> </w:t>
      </w:r>
      <w:r>
        <w:rPr>
          <w:sz w:val="28"/>
        </w:rPr>
        <w:t>2015</w:t>
      </w:r>
      <w:r>
        <w:rPr>
          <w:spacing w:val="8"/>
          <w:sz w:val="28"/>
        </w:rPr>
        <w:t xml:space="preserve"> </w:t>
      </w:r>
      <w:r>
        <w:rPr>
          <w:sz w:val="28"/>
        </w:rPr>
        <w:t>.</w:t>
      </w:r>
      <w:r>
        <w:rPr>
          <w:spacing w:val="9"/>
          <w:sz w:val="28"/>
        </w:rPr>
        <w:t xml:space="preserve"> </w:t>
      </w:r>
      <w:r>
        <w:rPr>
          <w:sz w:val="28"/>
        </w:rPr>
        <w:t>–</w:t>
      </w:r>
      <w:r>
        <w:rPr>
          <w:spacing w:val="9"/>
          <w:sz w:val="28"/>
        </w:rPr>
        <w:t xml:space="preserve"> </w:t>
      </w:r>
      <w:r>
        <w:rPr>
          <w:sz w:val="28"/>
        </w:rPr>
        <w:t>Vol.</w:t>
      </w:r>
      <w:r>
        <w:rPr>
          <w:spacing w:val="7"/>
          <w:sz w:val="28"/>
        </w:rPr>
        <w:t xml:space="preserve"> </w:t>
      </w:r>
      <w:r>
        <w:rPr>
          <w:sz w:val="28"/>
        </w:rPr>
        <w:t>156</w:t>
      </w:r>
      <w:r>
        <w:rPr>
          <w:spacing w:val="6"/>
          <w:sz w:val="28"/>
        </w:rPr>
        <w:t xml:space="preserve"> </w:t>
      </w:r>
      <w:r>
        <w:rPr>
          <w:sz w:val="28"/>
        </w:rPr>
        <w:t>(7).</w:t>
      </w:r>
      <w:r>
        <w:rPr>
          <w:spacing w:val="9"/>
          <w:sz w:val="28"/>
        </w:rPr>
        <w:t xml:space="preserve"> </w:t>
      </w:r>
      <w:r>
        <w:rPr>
          <w:sz w:val="28"/>
        </w:rPr>
        <w:t>–</w:t>
      </w:r>
      <w:r>
        <w:rPr>
          <w:spacing w:val="9"/>
          <w:sz w:val="28"/>
        </w:rPr>
        <w:t xml:space="preserve"> </w:t>
      </w:r>
      <w:r>
        <w:rPr>
          <w:sz w:val="28"/>
        </w:rPr>
        <w:t>P.</w:t>
      </w:r>
      <w:r>
        <w:rPr>
          <w:spacing w:val="7"/>
          <w:sz w:val="28"/>
        </w:rPr>
        <w:t xml:space="preserve"> </w:t>
      </w:r>
      <w:r>
        <w:rPr>
          <w:sz w:val="28"/>
        </w:rPr>
        <w:t>244</w:t>
      </w:r>
    </w:p>
    <w:p w:rsidR="00B23B94" w:rsidRDefault="003B2D3B">
      <w:pPr>
        <w:pStyle w:val="a3"/>
        <w:spacing w:line="317" w:lineRule="exact"/>
        <w:ind w:left="1261"/>
      </w:pPr>
      <w:r>
        <w:t>– 261.</w:t>
      </w:r>
    </w:p>
    <w:p w:rsidR="00B23B94" w:rsidRDefault="003B2D3B">
      <w:pPr>
        <w:pStyle w:val="a4"/>
        <w:numPr>
          <w:ilvl w:val="0"/>
          <w:numId w:val="2"/>
        </w:numPr>
        <w:tabs>
          <w:tab w:val="left" w:pos="1262"/>
        </w:tabs>
        <w:spacing w:before="160" w:line="360" w:lineRule="auto"/>
        <w:ind w:left="1261" w:right="791"/>
        <w:rPr>
          <w:sz w:val="28"/>
        </w:rPr>
      </w:pPr>
      <w:r>
        <w:rPr>
          <w:sz w:val="28"/>
        </w:rPr>
        <w:t>Iervasi G. Low-T3 syndrome: a strong prognostic predictor of death in patients with heart disease / G. Iervasi, A. Pinqitore, M.Raciti [et al.] // Circulation, 2003. - № 107(5). – p.</w:t>
      </w:r>
      <w:r>
        <w:rPr>
          <w:spacing w:val="-13"/>
          <w:sz w:val="28"/>
        </w:rPr>
        <w:t xml:space="preserve"> </w:t>
      </w:r>
      <w:r>
        <w:rPr>
          <w:sz w:val="28"/>
        </w:rPr>
        <w:t>708–713.</w:t>
      </w:r>
    </w:p>
    <w:p w:rsidR="00B23B94" w:rsidRDefault="003B2D3B">
      <w:pPr>
        <w:pStyle w:val="a4"/>
        <w:numPr>
          <w:ilvl w:val="0"/>
          <w:numId w:val="2"/>
        </w:numPr>
        <w:tabs>
          <w:tab w:val="left" w:pos="1262"/>
        </w:tabs>
        <w:spacing w:before="2" w:line="360" w:lineRule="auto"/>
        <w:ind w:left="1261"/>
        <w:rPr>
          <w:sz w:val="28"/>
        </w:rPr>
      </w:pPr>
      <w:r>
        <w:rPr>
          <w:sz w:val="28"/>
        </w:rPr>
        <w:t>Ince A. T. Pathophysiology, classification and available guidelines of acute pancreatitis / A. T. Ince, B. Baysal, J. Turk // Gastroenterol. – 2014. – Vol. 25(4). – P. 351 –</w:t>
      </w:r>
      <w:r>
        <w:rPr>
          <w:spacing w:val="-6"/>
          <w:sz w:val="28"/>
        </w:rPr>
        <w:t xml:space="preserve"> </w:t>
      </w:r>
      <w:r>
        <w:rPr>
          <w:sz w:val="28"/>
        </w:rPr>
        <w:t>357.</w:t>
      </w:r>
    </w:p>
    <w:p w:rsidR="00B23B94" w:rsidRDefault="003B2D3B">
      <w:pPr>
        <w:pStyle w:val="a4"/>
        <w:numPr>
          <w:ilvl w:val="0"/>
          <w:numId w:val="2"/>
        </w:numPr>
        <w:tabs>
          <w:tab w:val="left" w:pos="1958"/>
        </w:tabs>
        <w:spacing w:before="1" w:line="360" w:lineRule="auto"/>
        <w:ind w:left="1261" w:right="790"/>
        <w:rPr>
          <w:sz w:val="28"/>
        </w:rPr>
      </w:pPr>
      <w:r>
        <w:rPr>
          <w:sz w:val="28"/>
        </w:rPr>
        <w:t>Isaji S. Revised japanese guidelines for the management of acute pancreatitis</w:t>
      </w:r>
      <w:r>
        <w:rPr>
          <w:spacing w:val="13"/>
          <w:sz w:val="28"/>
        </w:rPr>
        <w:t xml:space="preserve"> </w:t>
      </w:r>
      <w:r>
        <w:rPr>
          <w:sz w:val="28"/>
        </w:rPr>
        <w:t>2015:</w:t>
      </w:r>
      <w:r>
        <w:rPr>
          <w:spacing w:val="14"/>
          <w:sz w:val="28"/>
        </w:rPr>
        <w:t xml:space="preserve"> </w:t>
      </w:r>
      <w:r>
        <w:rPr>
          <w:sz w:val="28"/>
        </w:rPr>
        <w:t>revised</w:t>
      </w:r>
      <w:r>
        <w:rPr>
          <w:spacing w:val="14"/>
          <w:sz w:val="28"/>
        </w:rPr>
        <w:t xml:space="preserve"> </w:t>
      </w:r>
      <w:r>
        <w:rPr>
          <w:sz w:val="28"/>
        </w:rPr>
        <w:t>concepts</w:t>
      </w:r>
      <w:r>
        <w:rPr>
          <w:spacing w:val="11"/>
          <w:sz w:val="28"/>
        </w:rPr>
        <w:t xml:space="preserve"> </w:t>
      </w:r>
      <w:r>
        <w:rPr>
          <w:sz w:val="28"/>
        </w:rPr>
        <w:t>and</w:t>
      </w:r>
      <w:r>
        <w:rPr>
          <w:spacing w:val="14"/>
          <w:sz w:val="28"/>
        </w:rPr>
        <w:t xml:space="preserve"> </w:t>
      </w:r>
      <w:r>
        <w:rPr>
          <w:sz w:val="28"/>
        </w:rPr>
        <w:t>updated</w:t>
      </w:r>
      <w:r>
        <w:rPr>
          <w:spacing w:val="11"/>
          <w:sz w:val="28"/>
        </w:rPr>
        <w:t xml:space="preserve"> </w:t>
      </w:r>
      <w:r>
        <w:rPr>
          <w:sz w:val="28"/>
        </w:rPr>
        <w:t>points</w:t>
      </w:r>
      <w:r>
        <w:rPr>
          <w:spacing w:val="14"/>
          <w:sz w:val="28"/>
        </w:rPr>
        <w:t xml:space="preserve"> </w:t>
      </w:r>
      <w:r>
        <w:rPr>
          <w:sz w:val="28"/>
        </w:rPr>
        <w:t>/</w:t>
      </w:r>
      <w:r>
        <w:rPr>
          <w:spacing w:val="14"/>
          <w:sz w:val="28"/>
        </w:rPr>
        <w:t xml:space="preserve"> </w:t>
      </w:r>
      <w:r>
        <w:rPr>
          <w:sz w:val="28"/>
        </w:rPr>
        <w:t>S.</w:t>
      </w:r>
      <w:r>
        <w:rPr>
          <w:spacing w:val="12"/>
          <w:sz w:val="28"/>
        </w:rPr>
        <w:t xml:space="preserve"> </w:t>
      </w:r>
      <w:r>
        <w:rPr>
          <w:sz w:val="28"/>
        </w:rPr>
        <w:t>Isaji,</w:t>
      </w:r>
      <w:r>
        <w:rPr>
          <w:spacing w:val="13"/>
          <w:sz w:val="28"/>
        </w:rPr>
        <w:t xml:space="preserve"> </w:t>
      </w:r>
      <w:r>
        <w:rPr>
          <w:sz w:val="28"/>
        </w:rPr>
        <w:t>T.</w:t>
      </w:r>
      <w:r>
        <w:rPr>
          <w:spacing w:val="12"/>
          <w:sz w:val="28"/>
        </w:rPr>
        <w:t xml:space="preserve"> </w:t>
      </w:r>
      <w:r>
        <w:rPr>
          <w:sz w:val="28"/>
        </w:rPr>
        <w:t>Takada,</w:t>
      </w:r>
    </w:p>
    <w:p w:rsidR="00B23B94" w:rsidRDefault="003B2D3B">
      <w:pPr>
        <w:pStyle w:val="a3"/>
        <w:spacing w:line="360" w:lineRule="auto"/>
        <w:ind w:left="1261" w:right="785"/>
      </w:pPr>
      <w:r>
        <w:t>T. Mayumi [et al.] // Journal of Hepato-Biliary-Pancreatic Sciences. 2015. Vol. 22. Issue 6. P. 433–445.</w:t>
      </w:r>
    </w:p>
    <w:p w:rsidR="00B23B94" w:rsidRDefault="003B2D3B">
      <w:pPr>
        <w:pStyle w:val="a4"/>
        <w:numPr>
          <w:ilvl w:val="0"/>
          <w:numId w:val="2"/>
        </w:numPr>
        <w:tabs>
          <w:tab w:val="left" w:pos="1958"/>
        </w:tabs>
        <w:spacing w:line="360" w:lineRule="auto"/>
        <w:ind w:left="1261" w:right="790"/>
        <w:rPr>
          <w:sz w:val="28"/>
        </w:rPr>
      </w:pPr>
      <w:r>
        <w:rPr>
          <w:sz w:val="28"/>
        </w:rPr>
        <w:t>Khanna A.K. Comparison of Ranson, Glasgow, MOSS, SIRS BISAP, APACHE II, CTSI Scores, IL–6, CRP, and procalcitonin in predicting severity, organ failure, pancreatic necrosis and mortality in acute</w:t>
      </w:r>
      <w:r>
        <w:rPr>
          <w:spacing w:val="-33"/>
          <w:sz w:val="28"/>
        </w:rPr>
        <w:t xml:space="preserve"> </w:t>
      </w:r>
      <w:r>
        <w:rPr>
          <w:sz w:val="28"/>
        </w:rPr>
        <w:t>pancreatitis</w:t>
      </w:r>
    </w:p>
    <w:p w:rsidR="00B23B94" w:rsidRDefault="003B2D3B">
      <w:pPr>
        <w:pStyle w:val="a3"/>
        <w:spacing w:line="360" w:lineRule="auto"/>
        <w:ind w:left="1261" w:right="782"/>
      </w:pPr>
      <w:r>
        <w:t>/ A. K. Khanna, S. Meher, S. Prakash [et al.] // HPB Surg. – 2013. – Vol. 367-581.</w:t>
      </w:r>
    </w:p>
    <w:p w:rsidR="00B23B94" w:rsidRDefault="003B2D3B">
      <w:pPr>
        <w:pStyle w:val="a4"/>
        <w:numPr>
          <w:ilvl w:val="0"/>
          <w:numId w:val="2"/>
        </w:numPr>
        <w:tabs>
          <w:tab w:val="left" w:pos="1958"/>
        </w:tabs>
        <w:spacing w:line="360" w:lineRule="auto"/>
        <w:ind w:left="1261" w:right="780"/>
        <w:rPr>
          <w:sz w:val="28"/>
        </w:rPr>
      </w:pPr>
      <w:r>
        <w:rPr>
          <w:sz w:val="28"/>
        </w:rPr>
        <w:t>Khomiak I.V. Comparison of open pancreatic necrosectomy with step- up minimal invasive approach as surgical treatment of patients with acute necrotizing</w:t>
      </w:r>
      <w:r>
        <w:rPr>
          <w:spacing w:val="10"/>
          <w:sz w:val="28"/>
        </w:rPr>
        <w:t xml:space="preserve"> </w:t>
      </w:r>
      <w:r>
        <w:rPr>
          <w:sz w:val="28"/>
        </w:rPr>
        <w:t>pancreatitis</w:t>
      </w:r>
      <w:r>
        <w:rPr>
          <w:spacing w:val="7"/>
          <w:sz w:val="28"/>
        </w:rPr>
        <w:t xml:space="preserve"> </w:t>
      </w:r>
      <w:r>
        <w:rPr>
          <w:sz w:val="28"/>
        </w:rPr>
        <w:t>/</w:t>
      </w:r>
      <w:r>
        <w:rPr>
          <w:spacing w:val="11"/>
          <w:sz w:val="28"/>
        </w:rPr>
        <w:t xml:space="preserve"> </w:t>
      </w:r>
      <w:r>
        <w:rPr>
          <w:sz w:val="28"/>
        </w:rPr>
        <w:t>I.</w:t>
      </w:r>
      <w:r>
        <w:rPr>
          <w:spacing w:val="8"/>
          <w:sz w:val="28"/>
        </w:rPr>
        <w:t xml:space="preserve"> </w:t>
      </w:r>
      <w:r>
        <w:rPr>
          <w:sz w:val="28"/>
        </w:rPr>
        <w:t>V.</w:t>
      </w:r>
      <w:r>
        <w:rPr>
          <w:spacing w:val="8"/>
          <w:sz w:val="28"/>
        </w:rPr>
        <w:t xml:space="preserve"> </w:t>
      </w:r>
      <w:r>
        <w:rPr>
          <w:sz w:val="28"/>
        </w:rPr>
        <w:t>Khomiak,</w:t>
      </w:r>
      <w:r>
        <w:rPr>
          <w:spacing w:val="9"/>
          <w:sz w:val="28"/>
        </w:rPr>
        <w:t xml:space="preserve"> </w:t>
      </w:r>
      <w:r>
        <w:rPr>
          <w:sz w:val="28"/>
        </w:rPr>
        <w:t>O.</w:t>
      </w:r>
      <w:r>
        <w:rPr>
          <w:spacing w:val="8"/>
          <w:sz w:val="28"/>
        </w:rPr>
        <w:t xml:space="preserve"> </w:t>
      </w:r>
      <w:r>
        <w:rPr>
          <w:sz w:val="28"/>
        </w:rPr>
        <w:t>V.</w:t>
      </w:r>
      <w:r>
        <w:rPr>
          <w:spacing w:val="9"/>
          <w:sz w:val="28"/>
        </w:rPr>
        <w:t xml:space="preserve"> </w:t>
      </w:r>
      <w:r>
        <w:rPr>
          <w:sz w:val="28"/>
        </w:rPr>
        <w:t>Rotar,</w:t>
      </w:r>
      <w:r>
        <w:rPr>
          <w:spacing w:val="8"/>
          <w:sz w:val="28"/>
        </w:rPr>
        <w:t xml:space="preserve"> </w:t>
      </w:r>
      <w:r>
        <w:rPr>
          <w:sz w:val="28"/>
        </w:rPr>
        <w:t>I.</w:t>
      </w:r>
      <w:r>
        <w:rPr>
          <w:spacing w:val="8"/>
          <w:sz w:val="28"/>
        </w:rPr>
        <w:t xml:space="preserve"> </w:t>
      </w:r>
      <w:r>
        <w:rPr>
          <w:sz w:val="28"/>
        </w:rPr>
        <w:t>S.</w:t>
      </w:r>
      <w:r>
        <w:rPr>
          <w:spacing w:val="9"/>
          <w:sz w:val="28"/>
        </w:rPr>
        <w:t xml:space="preserve"> </w:t>
      </w:r>
      <w:r>
        <w:rPr>
          <w:sz w:val="28"/>
        </w:rPr>
        <w:t>Tereshkevich,</w:t>
      </w:r>
      <w:r>
        <w:rPr>
          <w:spacing w:val="8"/>
          <w:sz w:val="28"/>
        </w:rPr>
        <w:t xml:space="preserve"> </w:t>
      </w:r>
      <w:r>
        <w:rPr>
          <w:sz w:val="28"/>
        </w:rPr>
        <w:t>V.</w:t>
      </w:r>
    </w:p>
    <w:p w:rsidR="00B23B94" w:rsidRDefault="003B2D3B">
      <w:pPr>
        <w:pStyle w:val="a4"/>
        <w:numPr>
          <w:ilvl w:val="1"/>
          <w:numId w:val="2"/>
        </w:numPr>
        <w:tabs>
          <w:tab w:val="left" w:pos="1505"/>
        </w:tabs>
        <w:spacing w:line="362" w:lineRule="auto"/>
        <w:ind w:left="1261" w:right="783" w:firstLine="0"/>
        <w:rPr>
          <w:sz w:val="28"/>
        </w:rPr>
      </w:pPr>
      <w:r>
        <w:rPr>
          <w:sz w:val="28"/>
        </w:rPr>
        <w:t>Rotar, A. I. Khomiak, Krishna Taneja // Int. Surg. J. - 2017. – Vol. 4. - № 8. – Р. 2502 –</w:t>
      </w:r>
      <w:r>
        <w:rPr>
          <w:spacing w:val="-5"/>
          <w:sz w:val="28"/>
        </w:rPr>
        <w:t xml:space="preserve"> </w:t>
      </w:r>
      <w:r>
        <w:rPr>
          <w:sz w:val="28"/>
        </w:rPr>
        <w:t>2506.</w:t>
      </w:r>
    </w:p>
    <w:p w:rsidR="00B23B94" w:rsidRDefault="003B2D3B">
      <w:pPr>
        <w:pStyle w:val="a4"/>
        <w:numPr>
          <w:ilvl w:val="0"/>
          <w:numId w:val="2"/>
        </w:numPr>
        <w:tabs>
          <w:tab w:val="left" w:pos="1958"/>
        </w:tabs>
        <w:spacing w:line="360" w:lineRule="auto"/>
        <w:ind w:left="1261" w:right="784"/>
        <w:rPr>
          <w:sz w:val="28"/>
        </w:rPr>
      </w:pPr>
      <w:r>
        <w:rPr>
          <w:sz w:val="28"/>
        </w:rPr>
        <w:t>Khomiak I. Impact of different organ failures on outcome of acute necrotizing pancreatitis / I. Khomiak, O. Rotar, M. Nazarchuck [et al.]. // Madridge Journal of Surgery. 2018. Vol. 1 (2). Р. 29 –</w:t>
      </w:r>
      <w:r>
        <w:rPr>
          <w:spacing w:val="-10"/>
          <w:sz w:val="28"/>
        </w:rPr>
        <w:t xml:space="preserve"> </w:t>
      </w:r>
      <w:r>
        <w:rPr>
          <w:sz w:val="28"/>
        </w:rPr>
        <w:t>33.</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958"/>
        </w:tabs>
        <w:spacing w:before="89" w:line="360" w:lineRule="auto"/>
        <w:ind w:left="1261"/>
        <w:rPr>
          <w:sz w:val="28"/>
        </w:rPr>
      </w:pPr>
      <w:r>
        <w:rPr>
          <w:sz w:val="28"/>
        </w:rPr>
        <w:lastRenderedPageBreak/>
        <w:t>Khomiak I. Prognostic value of organ failure during acute necrotising pancreatitis / I. Khomiak, O. Rotar, G. Petrovsky [et al.] // 5th Anniversary International Fluid Academy Days, Antwerp, Belgium, November 27 – 29, 2015: proceedings. Anaesthesiology Intensive Therapy. - 2015. - Vol.</w:t>
      </w:r>
      <w:r>
        <w:rPr>
          <w:spacing w:val="31"/>
          <w:sz w:val="28"/>
        </w:rPr>
        <w:t xml:space="preserve"> </w:t>
      </w:r>
      <w:r>
        <w:rPr>
          <w:sz w:val="28"/>
        </w:rPr>
        <w:t>27(2).</w:t>
      </w:r>
    </w:p>
    <w:p w:rsidR="00B23B94" w:rsidRDefault="003B2D3B">
      <w:pPr>
        <w:pStyle w:val="a3"/>
        <w:spacing w:before="1"/>
        <w:ind w:left="1261"/>
      </w:pPr>
      <w:r>
        <w:t>- P. 5 - 6.</w:t>
      </w:r>
    </w:p>
    <w:p w:rsidR="00B23B94" w:rsidRDefault="003B2D3B">
      <w:pPr>
        <w:pStyle w:val="a4"/>
        <w:numPr>
          <w:ilvl w:val="0"/>
          <w:numId w:val="2"/>
        </w:numPr>
        <w:tabs>
          <w:tab w:val="left" w:pos="1958"/>
        </w:tabs>
        <w:spacing w:before="163" w:line="360" w:lineRule="auto"/>
        <w:ind w:left="1261" w:right="783"/>
        <w:rPr>
          <w:sz w:val="28"/>
        </w:rPr>
      </w:pPr>
      <w:r>
        <w:rPr>
          <w:sz w:val="28"/>
        </w:rPr>
        <w:t>Khomiak I. Surgical Interventions in different phases of acute necrotizing pancreatitis / I. Khomiak, O. Rotar, V. Rotar, A. Khomiak // Abstracts of 50th Meeting of European Pancreatic Club, Berlin, Germany, 2018 : Pancreatology. - 2018. – Vol. 18 (4). – P.</w:t>
      </w:r>
      <w:r>
        <w:rPr>
          <w:spacing w:val="-8"/>
          <w:sz w:val="28"/>
        </w:rPr>
        <w:t xml:space="preserve"> </w:t>
      </w:r>
      <w:r>
        <w:rPr>
          <w:sz w:val="28"/>
        </w:rPr>
        <w:t>S160.</w:t>
      </w:r>
    </w:p>
    <w:p w:rsidR="00B23B94" w:rsidRDefault="003B2D3B">
      <w:pPr>
        <w:pStyle w:val="a4"/>
        <w:numPr>
          <w:ilvl w:val="0"/>
          <w:numId w:val="2"/>
        </w:numPr>
        <w:tabs>
          <w:tab w:val="left" w:pos="1958"/>
        </w:tabs>
        <w:spacing w:before="1" w:line="360" w:lineRule="auto"/>
        <w:ind w:left="1261" w:right="784"/>
        <w:rPr>
          <w:sz w:val="28"/>
        </w:rPr>
      </w:pPr>
      <w:r>
        <w:rPr>
          <w:sz w:val="28"/>
        </w:rPr>
        <w:t>Leppäniemi A. 2019 WSES guidelines for the management of severe acute pancreatitis / A. Leppäniemi, M. Tolonen, A. Tarasconi [et al.] // World J Emerg Surg 14, 27 (2019)</w:t>
      </w:r>
      <w:r>
        <w:rPr>
          <w:spacing w:val="-12"/>
          <w:sz w:val="28"/>
        </w:rPr>
        <w:t xml:space="preserve"> </w:t>
      </w:r>
      <w:r>
        <w:rPr>
          <w:sz w:val="28"/>
        </w:rPr>
        <w:t>doi:10.1186/s13017-019-0247-0.</w:t>
      </w:r>
    </w:p>
    <w:p w:rsidR="00B23B94" w:rsidRDefault="003B2D3B">
      <w:pPr>
        <w:pStyle w:val="a4"/>
        <w:numPr>
          <w:ilvl w:val="0"/>
          <w:numId w:val="2"/>
        </w:numPr>
        <w:tabs>
          <w:tab w:val="left" w:pos="1958"/>
        </w:tabs>
        <w:spacing w:line="360" w:lineRule="auto"/>
        <w:ind w:left="1261" w:right="788"/>
        <w:rPr>
          <w:sz w:val="28"/>
        </w:rPr>
      </w:pPr>
      <w:r>
        <w:rPr>
          <w:sz w:val="28"/>
        </w:rPr>
        <w:t>Liu J. Low T3 syndrome is a strong predictor of poor outcomes in patients with community-acquired pneumonia / J.Liu, X. Wu, F. Lu [et al.] // Sci. Rep., 2016. – Mar 1; 6:22271; doi:</w:t>
      </w:r>
      <w:r>
        <w:rPr>
          <w:spacing w:val="-11"/>
          <w:sz w:val="28"/>
        </w:rPr>
        <w:t xml:space="preserve"> </w:t>
      </w:r>
      <w:r>
        <w:rPr>
          <w:sz w:val="28"/>
        </w:rPr>
        <w:t>10.1038/srep22271.</w:t>
      </w:r>
    </w:p>
    <w:p w:rsidR="00B23B94" w:rsidRDefault="003B2D3B">
      <w:pPr>
        <w:pStyle w:val="a4"/>
        <w:numPr>
          <w:ilvl w:val="0"/>
          <w:numId w:val="2"/>
        </w:numPr>
        <w:tabs>
          <w:tab w:val="left" w:pos="1958"/>
        </w:tabs>
        <w:spacing w:line="360" w:lineRule="auto"/>
        <w:ind w:left="1261"/>
        <w:rPr>
          <w:sz w:val="28"/>
        </w:rPr>
      </w:pPr>
      <w:r>
        <w:rPr>
          <w:sz w:val="28"/>
        </w:rPr>
        <w:t>Maheshwari R, Subramanian RM. Severe Acute Pancreatitis and Necrotizing Pancreatitis. Crit Care Clin. 2016 Apr;32(2):279-90.</w:t>
      </w:r>
      <w:r>
        <w:rPr>
          <w:color w:val="0000FF"/>
          <w:sz w:val="28"/>
          <w:u w:val="single" w:color="0000FF"/>
        </w:rPr>
        <w:t xml:space="preserve"> https://doi:10.1016/j.ccc.2015.12.006</w:t>
      </w:r>
      <w:r>
        <w:rPr>
          <w:sz w:val="28"/>
        </w:rPr>
        <w:t>.</w:t>
      </w:r>
    </w:p>
    <w:p w:rsidR="00B23B94" w:rsidRDefault="003B2D3B">
      <w:pPr>
        <w:pStyle w:val="a4"/>
        <w:numPr>
          <w:ilvl w:val="0"/>
          <w:numId w:val="2"/>
        </w:numPr>
        <w:tabs>
          <w:tab w:val="left" w:pos="1958"/>
        </w:tabs>
        <w:spacing w:line="360" w:lineRule="auto"/>
        <w:ind w:left="1261" w:right="792"/>
        <w:rPr>
          <w:sz w:val="28"/>
        </w:rPr>
      </w:pPr>
      <w:r>
        <w:rPr>
          <w:sz w:val="28"/>
        </w:rPr>
        <w:t xml:space="preserve">Martin R. F. Operative management of acute pancreatitis / R. F. Martin, A. R. Hein // Surg Clin North </w:t>
      </w:r>
      <w:r>
        <w:rPr>
          <w:spacing w:val="-3"/>
          <w:sz w:val="28"/>
        </w:rPr>
        <w:t xml:space="preserve">Am. </w:t>
      </w:r>
      <w:r>
        <w:rPr>
          <w:sz w:val="28"/>
        </w:rPr>
        <w:t>– 2013 . – Vol. 93. – P.</w:t>
      </w:r>
      <w:r>
        <w:rPr>
          <w:spacing w:val="-10"/>
          <w:sz w:val="28"/>
        </w:rPr>
        <w:t xml:space="preserve"> </w:t>
      </w:r>
      <w:r>
        <w:rPr>
          <w:sz w:val="28"/>
        </w:rPr>
        <w:t>595-610.</w:t>
      </w:r>
    </w:p>
    <w:p w:rsidR="00B23B94" w:rsidRDefault="003B2D3B">
      <w:pPr>
        <w:pStyle w:val="a4"/>
        <w:numPr>
          <w:ilvl w:val="0"/>
          <w:numId w:val="2"/>
        </w:numPr>
        <w:tabs>
          <w:tab w:val="left" w:pos="1958"/>
        </w:tabs>
        <w:spacing w:line="360" w:lineRule="auto"/>
        <w:ind w:left="1261" w:right="784"/>
        <w:rPr>
          <w:sz w:val="28"/>
        </w:rPr>
      </w:pPr>
      <w:r>
        <w:rPr>
          <w:sz w:val="28"/>
        </w:rPr>
        <w:t>Meyer S. Low triiodothyronine syndrome: a prognostic marker for outcome in sepsis? / S. Meyer, P. Schuetz, M. Wieland [et al.] //Endocrine. – 2011. – Vol. 39. – P.</w:t>
      </w:r>
      <w:r>
        <w:rPr>
          <w:spacing w:val="-7"/>
          <w:sz w:val="28"/>
        </w:rPr>
        <w:t xml:space="preserve"> </w:t>
      </w:r>
      <w:r>
        <w:rPr>
          <w:sz w:val="28"/>
        </w:rPr>
        <w:t>167–74.</w:t>
      </w:r>
    </w:p>
    <w:p w:rsidR="00B23B94" w:rsidRDefault="003B2D3B">
      <w:pPr>
        <w:pStyle w:val="a4"/>
        <w:numPr>
          <w:ilvl w:val="0"/>
          <w:numId w:val="2"/>
        </w:numPr>
        <w:tabs>
          <w:tab w:val="left" w:pos="1958"/>
        </w:tabs>
        <w:spacing w:line="360" w:lineRule="auto"/>
        <w:ind w:left="1261" w:right="785"/>
        <w:rPr>
          <w:sz w:val="28"/>
        </w:rPr>
      </w:pPr>
      <w:r>
        <w:rPr>
          <w:sz w:val="28"/>
        </w:rPr>
        <w:t>Minkov G.A. Pathophysiological mechanisms of acute pancreatitis define inflammatory markers of clinical prognosis / G. A. Minkov, K. S. Halacheva, Y. P. Yovtchev, M. V. Gulubova // Pancreas. – 2015. – Vol. 44 (5). – P.</w:t>
      </w:r>
      <w:r>
        <w:rPr>
          <w:spacing w:val="-5"/>
          <w:sz w:val="28"/>
        </w:rPr>
        <w:t xml:space="preserve"> </w:t>
      </w:r>
      <w:r>
        <w:rPr>
          <w:sz w:val="28"/>
        </w:rPr>
        <w:t>713-717.</w:t>
      </w:r>
    </w:p>
    <w:p w:rsidR="00B23B94" w:rsidRDefault="003B2D3B">
      <w:pPr>
        <w:pStyle w:val="a4"/>
        <w:numPr>
          <w:ilvl w:val="0"/>
          <w:numId w:val="2"/>
        </w:numPr>
        <w:tabs>
          <w:tab w:val="left" w:pos="1958"/>
        </w:tabs>
        <w:ind w:left="1958" w:right="0" w:hanging="1057"/>
        <w:rPr>
          <w:sz w:val="28"/>
        </w:rPr>
      </w:pPr>
      <w:r>
        <w:rPr>
          <w:sz w:val="28"/>
        </w:rPr>
        <w:t>Mossad</w:t>
      </w:r>
      <w:r>
        <w:rPr>
          <w:spacing w:val="21"/>
          <w:sz w:val="28"/>
        </w:rPr>
        <w:t xml:space="preserve"> </w:t>
      </w:r>
      <w:r>
        <w:rPr>
          <w:sz w:val="28"/>
        </w:rPr>
        <w:t>D.</w:t>
      </w:r>
      <w:r>
        <w:rPr>
          <w:spacing w:val="18"/>
          <w:sz w:val="28"/>
        </w:rPr>
        <w:t xml:space="preserve"> </w:t>
      </w:r>
      <w:r>
        <w:rPr>
          <w:sz w:val="28"/>
        </w:rPr>
        <w:t>Predictors</w:t>
      </w:r>
      <w:r>
        <w:rPr>
          <w:spacing w:val="20"/>
          <w:sz w:val="28"/>
        </w:rPr>
        <w:t xml:space="preserve"> </w:t>
      </w:r>
      <w:r>
        <w:rPr>
          <w:sz w:val="28"/>
        </w:rPr>
        <w:t>of</w:t>
      </w:r>
      <w:r>
        <w:rPr>
          <w:spacing w:val="18"/>
          <w:sz w:val="28"/>
        </w:rPr>
        <w:t xml:space="preserve"> </w:t>
      </w:r>
      <w:r>
        <w:rPr>
          <w:sz w:val="28"/>
        </w:rPr>
        <w:t>In-Hospital</w:t>
      </w:r>
      <w:r>
        <w:rPr>
          <w:spacing w:val="20"/>
          <w:sz w:val="28"/>
        </w:rPr>
        <w:t xml:space="preserve"> </w:t>
      </w:r>
      <w:r>
        <w:rPr>
          <w:sz w:val="28"/>
        </w:rPr>
        <w:t>Mortality</w:t>
      </w:r>
      <w:r>
        <w:rPr>
          <w:spacing w:val="16"/>
          <w:sz w:val="28"/>
        </w:rPr>
        <w:t xml:space="preserve"> </w:t>
      </w:r>
      <w:r>
        <w:rPr>
          <w:sz w:val="28"/>
        </w:rPr>
        <w:t>in</w:t>
      </w:r>
      <w:r>
        <w:rPr>
          <w:spacing w:val="19"/>
          <w:sz w:val="28"/>
        </w:rPr>
        <w:t xml:space="preserve"> </w:t>
      </w:r>
      <w:r>
        <w:rPr>
          <w:sz w:val="28"/>
        </w:rPr>
        <w:t>Acute</w:t>
      </w:r>
      <w:r>
        <w:rPr>
          <w:spacing w:val="19"/>
          <w:sz w:val="28"/>
        </w:rPr>
        <w:t xml:space="preserve"> </w:t>
      </w:r>
      <w:r>
        <w:rPr>
          <w:sz w:val="28"/>
        </w:rPr>
        <w:t>Pancreatitis</w:t>
      </w:r>
      <w:r>
        <w:rPr>
          <w:spacing w:val="18"/>
          <w:sz w:val="28"/>
        </w:rPr>
        <w:t xml:space="preserve"> </w:t>
      </w:r>
      <w:r>
        <w:rPr>
          <w:sz w:val="28"/>
        </w:rPr>
        <w:t>/</w:t>
      </w:r>
    </w:p>
    <w:p w:rsidR="00B23B94" w:rsidRDefault="003B2D3B">
      <w:pPr>
        <w:pStyle w:val="a3"/>
        <w:spacing w:before="161" w:line="360" w:lineRule="auto"/>
        <w:ind w:left="1261" w:right="790"/>
      </w:pPr>
      <w:r>
        <w:t>D. Mossad, B. Dinh, R. Markert, M. Musleh, S. Agrawal // JOP. J Pancreas (Online). - 2017. – Vol. 18. – P. 465 - 469.</w:t>
      </w:r>
    </w:p>
    <w:p w:rsidR="00B23B94" w:rsidRDefault="00B23B94">
      <w:pPr>
        <w:spacing w:line="360" w:lineRule="auto"/>
        <w:sectPr w:rsidR="00B23B94">
          <w:pgSz w:w="11910" w:h="16840"/>
          <w:pgMar w:top="1040" w:right="60" w:bottom="280" w:left="1160" w:header="719" w:footer="0" w:gutter="0"/>
          <w:cols w:space="720"/>
        </w:sectPr>
      </w:pPr>
    </w:p>
    <w:p w:rsidR="00B23B94" w:rsidRDefault="003B2D3B">
      <w:pPr>
        <w:pStyle w:val="a4"/>
        <w:numPr>
          <w:ilvl w:val="0"/>
          <w:numId w:val="2"/>
        </w:numPr>
        <w:tabs>
          <w:tab w:val="left" w:pos="1958"/>
        </w:tabs>
        <w:spacing w:before="89" w:line="360" w:lineRule="auto"/>
        <w:ind w:left="1261" w:right="791"/>
        <w:rPr>
          <w:sz w:val="28"/>
        </w:rPr>
      </w:pPr>
      <w:r>
        <w:rPr>
          <w:sz w:val="28"/>
        </w:rPr>
        <w:lastRenderedPageBreak/>
        <w:t>Otsuki M. Criteria for the diagnosis and severity stratification of acute pancreatitis / M. Otsuki, K. Takeda, S. Matsuno [et al.] // World J. Gastroenterol. – 2013. – Vol. 21, Suppl. 19(35). – P.</w:t>
      </w:r>
      <w:r>
        <w:rPr>
          <w:spacing w:val="-16"/>
          <w:sz w:val="28"/>
        </w:rPr>
        <w:t xml:space="preserve"> </w:t>
      </w:r>
      <w:r>
        <w:rPr>
          <w:sz w:val="28"/>
        </w:rPr>
        <w:t>5798-5805.</w:t>
      </w:r>
    </w:p>
    <w:p w:rsidR="00B23B94" w:rsidRDefault="003B2D3B">
      <w:pPr>
        <w:pStyle w:val="a4"/>
        <w:numPr>
          <w:ilvl w:val="0"/>
          <w:numId w:val="2"/>
        </w:numPr>
        <w:tabs>
          <w:tab w:val="left" w:pos="1958"/>
        </w:tabs>
        <w:spacing w:before="2" w:line="360" w:lineRule="auto"/>
        <w:ind w:left="1261" w:right="794"/>
        <w:rPr>
          <w:sz w:val="28"/>
        </w:rPr>
      </w:pPr>
      <w:r>
        <w:rPr>
          <w:sz w:val="28"/>
        </w:rPr>
        <w:t>Pal K.M. Correlates of morbidity and mortality in severe necrotizing pancreatitis [Electronic resource] / K. M. Pal, P. M. Kasi, M. Tayyeb [et</w:t>
      </w:r>
      <w:r>
        <w:rPr>
          <w:spacing w:val="65"/>
          <w:sz w:val="28"/>
        </w:rPr>
        <w:t xml:space="preserve"> </w:t>
      </w:r>
      <w:r>
        <w:rPr>
          <w:sz w:val="28"/>
        </w:rPr>
        <w:t>al.]</w:t>
      </w:r>
    </w:p>
    <w:p w:rsidR="00B23B94" w:rsidRDefault="003B2D3B">
      <w:pPr>
        <w:pStyle w:val="a3"/>
        <w:spacing w:before="1" w:line="360" w:lineRule="auto"/>
        <w:ind w:left="1261" w:right="785"/>
      </w:pPr>
      <w:r>
        <w:t xml:space="preserve">// ISRN Surg. – 2012. – Access mode: </w:t>
      </w:r>
      <w:hyperlink r:id="rId18">
        <w:r>
          <w:rPr>
            <w:color w:val="0000FF"/>
            <w:u w:val="single" w:color="0000FF"/>
          </w:rPr>
          <w:t>http://www.ncbi.nlm.nih.gov/pmc/articles/PMC3400372/</w:t>
        </w:r>
      </w:hyperlink>
      <w:r>
        <w:t>.</w:t>
      </w:r>
    </w:p>
    <w:p w:rsidR="00B23B94" w:rsidRDefault="003B2D3B">
      <w:pPr>
        <w:pStyle w:val="a4"/>
        <w:numPr>
          <w:ilvl w:val="0"/>
          <w:numId w:val="2"/>
        </w:numPr>
        <w:tabs>
          <w:tab w:val="left" w:pos="1958"/>
        </w:tabs>
        <w:spacing w:line="360" w:lineRule="auto"/>
        <w:ind w:left="1261" w:right="784"/>
        <w:rPr>
          <w:sz w:val="28"/>
        </w:rPr>
      </w:pPr>
      <w:r>
        <w:rPr>
          <w:sz w:val="28"/>
        </w:rPr>
        <w:t>Papachistou G. I. Comparison of BISAP, Ranson`s, APACHE–II, and CTSI Scores in Predictin Organ Failure, Complications, and Mortality in Acute Pancreatitis / G. I. Papachistou, V. Muddana, Dh. Yadav [et al.] // Am. J. Gastroenterol. – 2010. – Vol. 105. – P. 435 –</w:t>
      </w:r>
      <w:r>
        <w:rPr>
          <w:spacing w:val="-16"/>
          <w:sz w:val="28"/>
        </w:rPr>
        <w:t xml:space="preserve"> </w:t>
      </w:r>
      <w:r>
        <w:rPr>
          <w:sz w:val="28"/>
        </w:rPr>
        <w:t>441.</w:t>
      </w:r>
    </w:p>
    <w:p w:rsidR="00B23B94" w:rsidRDefault="003B2D3B">
      <w:pPr>
        <w:pStyle w:val="a4"/>
        <w:numPr>
          <w:ilvl w:val="0"/>
          <w:numId w:val="2"/>
        </w:numPr>
        <w:tabs>
          <w:tab w:val="left" w:pos="1958"/>
        </w:tabs>
        <w:spacing w:line="360" w:lineRule="auto"/>
        <w:ind w:left="1261" w:right="785"/>
        <w:rPr>
          <w:sz w:val="28"/>
        </w:rPr>
      </w:pPr>
      <w:r>
        <w:rPr>
          <w:sz w:val="28"/>
        </w:rPr>
        <w:t>Peery A.E. Burden of gastrointestinal diseases in the United States: 2012 Update / A.E. Peery, E.S. Dellon, J. Lund [et al] // Gastroenterology 2012; 143 : 1179 –</w:t>
      </w:r>
      <w:r>
        <w:rPr>
          <w:spacing w:val="-5"/>
          <w:sz w:val="28"/>
        </w:rPr>
        <w:t xml:space="preserve"> </w:t>
      </w:r>
      <w:r>
        <w:rPr>
          <w:sz w:val="28"/>
        </w:rPr>
        <w:t>87.</w:t>
      </w:r>
    </w:p>
    <w:p w:rsidR="00B23B94" w:rsidRDefault="003B2D3B">
      <w:pPr>
        <w:pStyle w:val="a4"/>
        <w:numPr>
          <w:ilvl w:val="0"/>
          <w:numId w:val="2"/>
        </w:numPr>
        <w:tabs>
          <w:tab w:val="left" w:pos="1958"/>
        </w:tabs>
        <w:spacing w:line="360" w:lineRule="auto"/>
        <w:ind w:left="1261" w:right="787"/>
        <w:rPr>
          <w:sz w:val="28"/>
        </w:rPr>
      </w:pPr>
      <w:r>
        <w:rPr>
          <w:sz w:val="28"/>
        </w:rPr>
        <w:t>Pezzilli R. Consensus guidelines on severe acute pancreatitis / R. Pezzilli, A. Zerbi, D. Campra [et al.] // Dig Liver Dis. – 2015. – Vol. 47 (7)</w:t>
      </w:r>
      <w:r>
        <w:rPr>
          <w:spacing w:val="18"/>
          <w:sz w:val="28"/>
        </w:rPr>
        <w:t xml:space="preserve"> </w:t>
      </w:r>
      <w:r>
        <w:rPr>
          <w:sz w:val="28"/>
        </w:rPr>
        <w:t>.</w:t>
      </w:r>
    </w:p>
    <w:p w:rsidR="00B23B94" w:rsidRDefault="003B2D3B">
      <w:pPr>
        <w:pStyle w:val="a3"/>
        <w:spacing w:line="321" w:lineRule="exact"/>
        <w:ind w:left="1261"/>
      </w:pPr>
      <w:r>
        <w:t>– P. 532 - 543.</w:t>
      </w:r>
    </w:p>
    <w:p w:rsidR="00B23B94" w:rsidRDefault="003B2D3B">
      <w:pPr>
        <w:pStyle w:val="a4"/>
        <w:numPr>
          <w:ilvl w:val="0"/>
          <w:numId w:val="2"/>
        </w:numPr>
        <w:tabs>
          <w:tab w:val="left" w:pos="1958"/>
        </w:tabs>
        <w:spacing w:before="161" w:line="360" w:lineRule="auto"/>
        <w:ind w:left="1261"/>
        <w:rPr>
          <w:sz w:val="28"/>
        </w:rPr>
      </w:pPr>
      <w:r>
        <w:rPr>
          <w:sz w:val="28"/>
        </w:rPr>
        <w:t>Rhee C.M. Low-T3 Syndrome in Peritoneal Dialysis: Metabolic Adaptation, Marker of Illness, or Mortality Mediator? / C. M. Rhee // Clinical journal of American society of nephroliogy, - 2015, - 10 (6), - P.917-919.</w:t>
      </w:r>
    </w:p>
    <w:p w:rsidR="00B23B94" w:rsidRDefault="003B2D3B">
      <w:pPr>
        <w:pStyle w:val="a4"/>
        <w:numPr>
          <w:ilvl w:val="0"/>
          <w:numId w:val="2"/>
        </w:numPr>
        <w:tabs>
          <w:tab w:val="left" w:pos="1958"/>
        </w:tabs>
        <w:spacing w:line="360" w:lineRule="auto"/>
        <w:ind w:left="1261"/>
        <w:rPr>
          <w:sz w:val="28"/>
        </w:rPr>
      </w:pPr>
      <w:r>
        <w:rPr>
          <w:sz w:val="28"/>
        </w:rPr>
        <w:t xml:space="preserve">Roch A. Evolving treatment of necrotizing pancreatitis / A. Roch, T. Maatman, R. Carr [et al] // </w:t>
      </w:r>
      <w:r>
        <w:rPr>
          <w:spacing w:val="-3"/>
          <w:sz w:val="28"/>
        </w:rPr>
        <w:t xml:space="preserve">Am. </w:t>
      </w:r>
      <w:r>
        <w:rPr>
          <w:sz w:val="28"/>
        </w:rPr>
        <w:t>J. Surg. – 2018. – Vol. 215(3). – P. 526 - 529.</w:t>
      </w:r>
    </w:p>
    <w:p w:rsidR="00B23B94" w:rsidRDefault="003B2D3B">
      <w:pPr>
        <w:pStyle w:val="a4"/>
        <w:numPr>
          <w:ilvl w:val="0"/>
          <w:numId w:val="2"/>
        </w:numPr>
        <w:tabs>
          <w:tab w:val="left" w:pos="1958"/>
        </w:tabs>
        <w:spacing w:before="1" w:line="360" w:lineRule="auto"/>
        <w:ind w:left="1261" w:right="786"/>
        <w:rPr>
          <w:sz w:val="28"/>
        </w:rPr>
      </w:pPr>
      <w:r>
        <w:rPr>
          <w:sz w:val="28"/>
        </w:rPr>
        <w:t>Rotar O. Intra-Abdominal hypertension increases bacterial translocation during acute pancreatitis in rats / O. Rotar, V. Rotar // Proceedings of the Fifth World Congress on the Abdominal Compartment Syndrome, Orlando, Florida, USA, August 10-13, 2011. THE AMERICAN SURGEON.- 2011. – Vol.77 (7) – P.</w:t>
      </w:r>
      <w:r>
        <w:rPr>
          <w:spacing w:val="-9"/>
          <w:sz w:val="28"/>
        </w:rPr>
        <w:t xml:space="preserve"> </w:t>
      </w:r>
      <w:r>
        <w:rPr>
          <w:sz w:val="28"/>
        </w:rPr>
        <w:t>103-106.</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958"/>
        </w:tabs>
        <w:spacing w:before="89" w:line="360" w:lineRule="auto"/>
        <w:ind w:left="1261" w:right="785"/>
        <w:rPr>
          <w:sz w:val="28"/>
        </w:rPr>
      </w:pPr>
      <w:r>
        <w:rPr>
          <w:sz w:val="28"/>
        </w:rPr>
        <w:lastRenderedPageBreak/>
        <w:t>Rotar O. Low dose ciprofloxacine nanoparticles decrease bacterial translocation during severe acute pancreatitis / O. Rotar, I. Khomiak, V. Rotar, M. Fishbach, K. Taneja // 46th Meeting of the American Pancreatic Association. San Diego, USA, November 4 – 7, 2015: proceedings. Pancreas. - 2015. - Vol. 44(8). - P.</w:t>
      </w:r>
      <w:r>
        <w:rPr>
          <w:spacing w:val="-12"/>
          <w:sz w:val="28"/>
        </w:rPr>
        <w:t xml:space="preserve"> </w:t>
      </w:r>
      <w:r>
        <w:rPr>
          <w:sz w:val="28"/>
        </w:rPr>
        <w:t>1409-1411.</w:t>
      </w:r>
    </w:p>
    <w:p w:rsidR="00B23B94" w:rsidRDefault="003B2D3B">
      <w:pPr>
        <w:pStyle w:val="a4"/>
        <w:numPr>
          <w:ilvl w:val="0"/>
          <w:numId w:val="2"/>
        </w:numPr>
        <w:tabs>
          <w:tab w:val="left" w:pos="1958"/>
        </w:tabs>
        <w:spacing w:before="3" w:line="360" w:lineRule="auto"/>
        <w:ind w:left="1261"/>
        <w:rPr>
          <w:sz w:val="28"/>
        </w:rPr>
      </w:pPr>
      <w:r>
        <w:rPr>
          <w:sz w:val="28"/>
        </w:rPr>
        <w:t>Rosadini C. V. Early innate immune responses to bacterial LPS / C. V. Rosadini, J. C. Kagan // Curr. Opin. Immunol. – 2016. – Vol. 44. – P. 14 - 19.</w:t>
      </w:r>
    </w:p>
    <w:p w:rsidR="00B23B94" w:rsidRDefault="003B2D3B">
      <w:pPr>
        <w:pStyle w:val="a4"/>
        <w:numPr>
          <w:ilvl w:val="0"/>
          <w:numId w:val="2"/>
        </w:numPr>
        <w:tabs>
          <w:tab w:val="left" w:pos="1958"/>
        </w:tabs>
        <w:spacing w:line="362" w:lineRule="auto"/>
        <w:ind w:left="1261"/>
        <w:rPr>
          <w:sz w:val="28"/>
        </w:rPr>
      </w:pPr>
      <w:r>
        <w:rPr>
          <w:sz w:val="28"/>
        </w:rPr>
        <w:t>Scoscia E. Low triiodothyronine (T3) state: a predictor of outcome in respiratory</w:t>
      </w:r>
      <w:r>
        <w:rPr>
          <w:spacing w:val="9"/>
          <w:sz w:val="28"/>
        </w:rPr>
        <w:t xml:space="preserve"> </w:t>
      </w:r>
      <w:r>
        <w:rPr>
          <w:sz w:val="28"/>
        </w:rPr>
        <w:t>failure?</w:t>
      </w:r>
      <w:r>
        <w:rPr>
          <w:spacing w:val="14"/>
          <w:sz w:val="28"/>
        </w:rPr>
        <w:t xml:space="preserve"> </w:t>
      </w:r>
      <w:r>
        <w:rPr>
          <w:sz w:val="28"/>
        </w:rPr>
        <w:t>results</w:t>
      </w:r>
      <w:r>
        <w:rPr>
          <w:spacing w:val="11"/>
          <w:sz w:val="28"/>
        </w:rPr>
        <w:t xml:space="preserve"> </w:t>
      </w:r>
      <w:r>
        <w:rPr>
          <w:sz w:val="28"/>
        </w:rPr>
        <w:t>of</w:t>
      </w:r>
      <w:r>
        <w:rPr>
          <w:spacing w:val="11"/>
          <w:sz w:val="28"/>
        </w:rPr>
        <w:t xml:space="preserve"> </w:t>
      </w:r>
      <w:r>
        <w:rPr>
          <w:sz w:val="28"/>
        </w:rPr>
        <w:t>a</w:t>
      </w:r>
      <w:r>
        <w:rPr>
          <w:spacing w:val="14"/>
          <w:sz w:val="28"/>
        </w:rPr>
        <w:t xml:space="preserve"> </w:t>
      </w:r>
      <w:r>
        <w:rPr>
          <w:sz w:val="28"/>
        </w:rPr>
        <w:t>clinical</w:t>
      </w:r>
      <w:r>
        <w:rPr>
          <w:spacing w:val="14"/>
          <w:sz w:val="28"/>
        </w:rPr>
        <w:t xml:space="preserve"> </w:t>
      </w:r>
      <w:r>
        <w:rPr>
          <w:sz w:val="28"/>
        </w:rPr>
        <w:t>pilot</w:t>
      </w:r>
      <w:r>
        <w:rPr>
          <w:spacing w:val="12"/>
          <w:sz w:val="28"/>
        </w:rPr>
        <w:t xml:space="preserve"> </w:t>
      </w:r>
      <w:r>
        <w:rPr>
          <w:sz w:val="28"/>
        </w:rPr>
        <w:t>study</w:t>
      </w:r>
      <w:r>
        <w:rPr>
          <w:spacing w:val="17"/>
          <w:sz w:val="28"/>
        </w:rPr>
        <w:t xml:space="preserve"> </w:t>
      </w:r>
      <w:r>
        <w:rPr>
          <w:sz w:val="28"/>
        </w:rPr>
        <w:t>/</w:t>
      </w:r>
      <w:r>
        <w:rPr>
          <w:spacing w:val="15"/>
          <w:sz w:val="28"/>
        </w:rPr>
        <w:t xml:space="preserve"> </w:t>
      </w:r>
      <w:r>
        <w:rPr>
          <w:sz w:val="28"/>
        </w:rPr>
        <w:t>E.</w:t>
      </w:r>
      <w:r>
        <w:rPr>
          <w:spacing w:val="12"/>
          <w:sz w:val="28"/>
        </w:rPr>
        <w:t xml:space="preserve"> </w:t>
      </w:r>
      <w:r>
        <w:rPr>
          <w:sz w:val="28"/>
        </w:rPr>
        <w:t>Scoscia,</w:t>
      </w:r>
      <w:r>
        <w:rPr>
          <w:spacing w:val="13"/>
          <w:sz w:val="28"/>
        </w:rPr>
        <w:t xml:space="preserve"> </w:t>
      </w:r>
      <w:r>
        <w:rPr>
          <w:sz w:val="28"/>
        </w:rPr>
        <w:t>S.</w:t>
      </w:r>
      <w:r>
        <w:rPr>
          <w:spacing w:val="13"/>
          <w:sz w:val="28"/>
        </w:rPr>
        <w:t xml:space="preserve"> </w:t>
      </w:r>
      <w:r>
        <w:rPr>
          <w:sz w:val="28"/>
        </w:rPr>
        <w:t>Baglioni,</w:t>
      </w:r>
    </w:p>
    <w:p w:rsidR="00B23B94" w:rsidRDefault="003B2D3B">
      <w:pPr>
        <w:pStyle w:val="a3"/>
        <w:spacing w:line="317" w:lineRule="exact"/>
        <w:ind w:left="1261"/>
      </w:pPr>
      <w:r>
        <w:t>A. Eslami [et al.] // Euro J Endocrinol. – 2004. – Vol. 151. – P. 557–60.</w:t>
      </w:r>
    </w:p>
    <w:p w:rsidR="00B23B94" w:rsidRDefault="003B2D3B">
      <w:pPr>
        <w:pStyle w:val="a4"/>
        <w:numPr>
          <w:ilvl w:val="0"/>
          <w:numId w:val="2"/>
        </w:numPr>
        <w:tabs>
          <w:tab w:val="left" w:pos="1958"/>
        </w:tabs>
        <w:spacing w:before="159" w:line="360" w:lineRule="auto"/>
        <w:ind w:left="1261" w:right="785"/>
        <w:rPr>
          <w:sz w:val="28"/>
        </w:rPr>
      </w:pPr>
      <w:r>
        <w:rPr>
          <w:sz w:val="28"/>
        </w:rPr>
        <w:t>Senapati D. A prospective study of the Bedside Index for Severity in Acute Pancreatitis (BISAP) score in acute pancreatitis: An Indian perspective / D. Senapati, P. Debata, S. Jenasamant [et.al.] //</w:t>
      </w:r>
      <w:r>
        <w:rPr>
          <w:spacing w:val="11"/>
          <w:sz w:val="28"/>
        </w:rPr>
        <w:t xml:space="preserve"> </w:t>
      </w:r>
      <w:r>
        <w:rPr>
          <w:sz w:val="28"/>
        </w:rPr>
        <w:t>Pancreatology.</w:t>
      </w:r>
    </w:p>
    <w:p w:rsidR="00B23B94" w:rsidRDefault="003B2D3B">
      <w:pPr>
        <w:pStyle w:val="a3"/>
        <w:ind w:left="1261"/>
      </w:pPr>
      <w:r>
        <w:t>- 2014. - Vol. 14. - P. 335 - 339.</w:t>
      </w:r>
    </w:p>
    <w:p w:rsidR="00B23B94" w:rsidRDefault="003B2D3B">
      <w:pPr>
        <w:pStyle w:val="a4"/>
        <w:numPr>
          <w:ilvl w:val="0"/>
          <w:numId w:val="2"/>
        </w:numPr>
        <w:tabs>
          <w:tab w:val="left" w:pos="1958"/>
        </w:tabs>
        <w:spacing w:before="161" w:line="360" w:lineRule="auto"/>
        <w:ind w:left="1261"/>
        <w:rPr>
          <w:sz w:val="28"/>
        </w:rPr>
      </w:pPr>
      <w:r>
        <w:rPr>
          <w:sz w:val="28"/>
        </w:rPr>
        <w:t>Silva-Tinoco R. Developing thyroid disorders is associated with poor prognosis factors in patient with stable chronic heart failure / R. Silva- Tinoco, L. Castillo-Martinez, A. Orea-Tejeda [et al.] // Int J Cardiol. –</w:t>
      </w:r>
      <w:r>
        <w:rPr>
          <w:spacing w:val="29"/>
          <w:sz w:val="28"/>
        </w:rPr>
        <w:t xml:space="preserve"> </w:t>
      </w:r>
      <w:r>
        <w:rPr>
          <w:sz w:val="28"/>
        </w:rPr>
        <w:t>2011.</w:t>
      </w:r>
    </w:p>
    <w:p w:rsidR="00B23B94" w:rsidRDefault="003B2D3B">
      <w:pPr>
        <w:pStyle w:val="a3"/>
        <w:spacing w:before="1"/>
        <w:ind w:left="1261"/>
      </w:pPr>
      <w:r>
        <w:t>– Vol. 147. – P. 24–5.</w:t>
      </w:r>
    </w:p>
    <w:p w:rsidR="00B23B94" w:rsidRDefault="003B2D3B">
      <w:pPr>
        <w:pStyle w:val="a4"/>
        <w:numPr>
          <w:ilvl w:val="0"/>
          <w:numId w:val="2"/>
        </w:numPr>
        <w:tabs>
          <w:tab w:val="left" w:pos="1958"/>
        </w:tabs>
        <w:spacing w:before="160" w:line="360" w:lineRule="auto"/>
        <w:ind w:left="1261" w:right="784"/>
        <w:rPr>
          <w:sz w:val="28"/>
        </w:rPr>
      </w:pPr>
      <w:r>
        <w:rPr>
          <w:sz w:val="28"/>
        </w:rPr>
        <w:t>Singh P. Pathophysiological mechanisms in acute pancreatitis: Current understanding / P. Singh, P. K. Garg // Indian J. Gastroenterol. – 2016. – Vol. 35. – P.</w:t>
      </w:r>
      <w:r>
        <w:rPr>
          <w:spacing w:val="-6"/>
          <w:sz w:val="28"/>
        </w:rPr>
        <w:t xml:space="preserve"> </w:t>
      </w:r>
      <w:r>
        <w:rPr>
          <w:sz w:val="28"/>
        </w:rPr>
        <w:t>153-166.</w:t>
      </w:r>
    </w:p>
    <w:p w:rsidR="00B23B94" w:rsidRDefault="003B2D3B">
      <w:pPr>
        <w:pStyle w:val="a4"/>
        <w:numPr>
          <w:ilvl w:val="0"/>
          <w:numId w:val="2"/>
        </w:numPr>
        <w:tabs>
          <w:tab w:val="left" w:pos="1958"/>
        </w:tabs>
        <w:spacing w:before="1" w:line="360" w:lineRule="auto"/>
        <w:ind w:left="1261" w:right="784"/>
        <w:rPr>
          <w:sz w:val="28"/>
        </w:rPr>
      </w:pPr>
      <w:r>
        <w:rPr>
          <w:sz w:val="28"/>
        </w:rPr>
        <w:t>Solanki R. The role of image guided percutaneous drainage in multidisciplinary management of necrotizing pancreatitis / R. Solanki, N. B. Thumma, R. A. Sastry, N. Bheerappa. // Tropical gastroenterology. 2013. Vol. 34. Issue 1. P.</w:t>
      </w:r>
      <w:r>
        <w:rPr>
          <w:spacing w:val="-3"/>
          <w:sz w:val="28"/>
        </w:rPr>
        <w:t xml:space="preserve"> </w:t>
      </w:r>
      <w:r>
        <w:rPr>
          <w:sz w:val="28"/>
        </w:rPr>
        <w:t>25–30.</w:t>
      </w:r>
    </w:p>
    <w:p w:rsidR="00B23B94" w:rsidRDefault="003B2D3B">
      <w:pPr>
        <w:pStyle w:val="a4"/>
        <w:numPr>
          <w:ilvl w:val="0"/>
          <w:numId w:val="2"/>
        </w:numPr>
        <w:tabs>
          <w:tab w:val="left" w:pos="1958"/>
        </w:tabs>
        <w:spacing w:before="1" w:line="360" w:lineRule="auto"/>
        <w:ind w:left="1261" w:right="781"/>
        <w:rPr>
          <w:sz w:val="28"/>
        </w:rPr>
      </w:pPr>
      <w:r>
        <w:rPr>
          <w:sz w:val="28"/>
        </w:rPr>
        <w:t>Susak Y.M. Infectious complications of acute pancreatitis is associated with peripheral blood phagocyte functional exhaudtion / Y.M. Susak, O.O. Dirda, O.G. Fedorchuk [et al.] // Dig Dis Sci. – 2020. – Mar 13. doi:</w:t>
      </w:r>
      <w:r>
        <w:rPr>
          <w:spacing w:val="-4"/>
          <w:sz w:val="28"/>
        </w:rPr>
        <w:t xml:space="preserve"> </w:t>
      </w:r>
      <w:r>
        <w:rPr>
          <w:sz w:val="28"/>
        </w:rPr>
        <w:t>10.1007/s10620-020-06172-y</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4"/>
        <w:numPr>
          <w:ilvl w:val="0"/>
          <w:numId w:val="2"/>
        </w:numPr>
        <w:tabs>
          <w:tab w:val="left" w:pos="1958"/>
        </w:tabs>
        <w:spacing w:before="89" w:line="360" w:lineRule="auto"/>
        <w:ind w:left="1261" w:right="783"/>
        <w:rPr>
          <w:sz w:val="28"/>
        </w:rPr>
      </w:pPr>
      <w:r>
        <w:rPr>
          <w:sz w:val="28"/>
        </w:rPr>
        <w:lastRenderedPageBreak/>
        <w:t>Talukdar R. Clinical utility of the Revised Atlanta Classification of acute pancreatitis in a prospective cohort: have all loose ends been tied? / R. Talukdar, A. Bhattacharrya, B. Rao [et al.] // Pancreatology. – 2014. – N</w:t>
      </w:r>
      <w:r>
        <w:rPr>
          <w:spacing w:val="49"/>
          <w:sz w:val="28"/>
        </w:rPr>
        <w:t xml:space="preserve"> </w:t>
      </w:r>
      <w:r>
        <w:rPr>
          <w:sz w:val="28"/>
        </w:rPr>
        <w:t>14.</w:t>
      </w:r>
    </w:p>
    <w:p w:rsidR="00B23B94" w:rsidRDefault="003B2D3B">
      <w:pPr>
        <w:pStyle w:val="a3"/>
        <w:spacing w:before="2"/>
        <w:ind w:left="1261"/>
      </w:pPr>
      <w:r>
        <w:t>– P. 257 – 262.</w:t>
      </w:r>
    </w:p>
    <w:p w:rsidR="00B23B94" w:rsidRDefault="003B2D3B">
      <w:pPr>
        <w:pStyle w:val="a4"/>
        <w:numPr>
          <w:ilvl w:val="0"/>
          <w:numId w:val="2"/>
        </w:numPr>
        <w:tabs>
          <w:tab w:val="left" w:pos="1958"/>
        </w:tabs>
        <w:spacing w:before="160" w:line="360" w:lineRule="auto"/>
        <w:ind w:left="1261" w:right="790"/>
        <w:rPr>
          <w:sz w:val="28"/>
        </w:rPr>
      </w:pPr>
      <w:r>
        <w:rPr>
          <w:sz w:val="28"/>
        </w:rPr>
        <w:t>Thoeni R. F. The Revised Atlanta Classification of Acute Pancreatitius its Importance for the Radiologist and its Effect on Tretment / R. F. Thoeni // Radiology. – 2012. – Vol. 262. - № 3. – P. 751</w:t>
      </w:r>
      <w:r>
        <w:rPr>
          <w:spacing w:val="-23"/>
          <w:sz w:val="28"/>
        </w:rPr>
        <w:t xml:space="preserve"> </w:t>
      </w:r>
      <w:r>
        <w:rPr>
          <w:sz w:val="28"/>
        </w:rPr>
        <w:t>-764.</w:t>
      </w:r>
    </w:p>
    <w:p w:rsidR="00B23B94" w:rsidRDefault="003B2D3B">
      <w:pPr>
        <w:pStyle w:val="a4"/>
        <w:numPr>
          <w:ilvl w:val="0"/>
          <w:numId w:val="2"/>
        </w:numPr>
        <w:tabs>
          <w:tab w:val="left" w:pos="1958"/>
        </w:tabs>
        <w:spacing w:before="1" w:line="360" w:lineRule="auto"/>
        <w:ind w:left="1261" w:right="784"/>
        <w:rPr>
          <w:sz w:val="28"/>
        </w:rPr>
      </w:pPr>
      <w:r>
        <w:rPr>
          <w:sz w:val="28"/>
        </w:rPr>
        <w:t>Thomson J. Managing Infected Pancreatic Necrosis /J. Thomson, S. Van Dijk, M. Brand, H. Van Santvoort, M. Besselink // Chirurgia (Bucur). – 2018. – Vol. 113(3). – P. 291 -</w:t>
      </w:r>
      <w:r>
        <w:rPr>
          <w:spacing w:val="-9"/>
          <w:sz w:val="28"/>
        </w:rPr>
        <w:t xml:space="preserve"> </w:t>
      </w:r>
      <w:r>
        <w:rPr>
          <w:sz w:val="28"/>
        </w:rPr>
        <w:t>299.</w:t>
      </w:r>
    </w:p>
    <w:p w:rsidR="00B23B94" w:rsidRDefault="003B2D3B">
      <w:pPr>
        <w:pStyle w:val="a4"/>
        <w:numPr>
          <w:ilvl w:val="0"/>
          <w:numId w:val="2"/>
        </w:numPr>
        <w:tabs>
          <w:tab w:val="left" w:pos="1958"/>
        </w:tabs>
        <w:spacing w:before="1" w:line="360" w:lineRule="auto"/>
        <w:ind w:left="1261" w:right="784"/>
        <w:rPr>
          <w:sz w:val="28"/>
        </w:rPr>
      </w:pPr>
      <w:r>
        <w:rPr>
          <w:sz w:val="28"/>
        </w:rPr>
        <w:t>Tuennemann J. Acute pancreatitis: guideline-based diagnosis and treatment / J. Tuennemann, J. Mössner, S. Beer // Berl. Internist. – 2014. – Vol. 55(9). – P. 1045 –</w:t>
      </w:r>
      <w:r>
        <w:rPr>
          <w:spacing w:val="-6"/>
          <w:sz w:val="28"/>
        </w:rPr>
        <w:t xml:space="preserve"> </w:t>
      </w:r>
      <w:r>
        <w:rPr>
          <w:sz w:val="28"/>
        </w:rPr>
        <w:t>1056.</w:t>
      </w:r>
    </w:p>
    <w:p w:rsidR="00B23B94" w:rsidRDefault="003B2D3B">
      <w:pPr>
        <w:pStyle w:val="a4"/>
        <w:numPr>
          <w:ilvl w:val="0"/>
          <w:numId w:val="2"/>
        </w:numPr>
        <w:tabs>
          <w:tab w:val="left" w:pos="1958"/>
        </w:tabs>
        <w:spacing w:before="1" w:line="360" w:lineRule="auto"/>
        <w:ind w:left="1261" w:right="785"/>
        <w:rPr>
          <w:sz w:val="28"/>
        </w:rPr>
      </w:pPr>
      <w:r>
        <w:rPr>
          <w:sz w:val="28"/>
        </w:rPr>
        <w:t>Va Santvoort H.C. Dutch Pancreatitis Study Group. A conservative and minimaly invasive approach to necrotizing pancreatitis imprives outcome / H. C. va Santvoort, O. J. Bakker, T. L. Bollen [et al.] // Gastroenterol. – 2011. – Vol. 141. – №4. – P. 1254 –</w:t>
      </w:r>
      <w:r>
        <w:rPr>
          <w:spacing w:val="-16"/>
          <w:sz w:val="28"/>
        </w:rPr>
        <w:t xml:space="preserve"> </w:t>
      </w:r>
      <w:r>
        <w:rPr>
          <w:sz w:val="28"/>
        </w:rPr>
        <w:t>1263.</w:t>
      </w:r>
    </w:p>
    <w:p w:rsidR="00B23B94" w:rsidRDefault="003B2D3B">
      <w:pPr>
        <w:pStyle w:val="a4"/>
        <w:numPr>
          <w:ilvl w:val="0"/>
          <w:numId w:val="2"/>
        </w:numPr>
        <w:tabs>
          <w:tab w:val="left" w:pos="1958"/>
        </w:tabs>
        <w:spacing w:line="360" w:lineRule="auto"/>
        <w:ind w:left="1261" w:right="786"/>
        <w:rPr>
          <w:sz w:val="28"/>
        </w:rPr>
      </w:pPr>
      <w:r>
        <w:rPr>
          <w:sz w:val="28"/>
        </w:rPr>
        <w:t>Van Santvoort H.C. Dutch Pancreatitis Study Group. A conservative minimally invasive approach to necrotizing pancreatitis improvees outcome. Systematic review and meta-analisis of antibiotic prophylaxis in  severe acute pancreatitis / H.C van Santvoort, M. Wittau, B. Mayer // Scand. J. Gastroenterol. – 2011. – Vol. 46. – P. 261 –</w:t>
      </w:r>
      <w:r>
        <w:rPr>
          <w:spacing w:val="-13"/>
          <w:sz w:val="28"/>
        </w:rPr>
        <w:t xml:space="preserve"> </w:t>
      </w:r>
      <w:r>
        <w:rPr>
          <w:sz w:val="28"/>
        </w:rPr>
        <w:t>270.</w:t>
      </w:r>
    </w:p>
    <w:p w:rsidR="00B23B94" w:rsidRDefault="003B2D3B">
      <w:pPr>
        <w:pStyle w:val="a4"/>
        <w:numPr>
          <w:ilvl w:val="0"/>
          <w:numId w:val="2"/>
        </w:numPr>
        <w:tabs>
          <w:tab w:val="left" w:pos="1958"/>
        </w:tabs>
        <w:spacing w:line="360" w:lineRule="auto"/>
        <w:ind w:left="1261"/>
        <w:rPr>
          <w:sz w:val="28"/>
        </w:rPr>
      </w:pPr>
      <w:r>
        <w:rPr>
          <w:sz w:val="28"/>
        </w:rPr>
        <w:t>Vasiliadis K. The role of open necrosectomy in the current management of acute necrotizing pancreatitis: a review article / K. Vasiliadis, C. Papavasiliou, A. Al Nimer [et al.] // SRN Surg. – 2013 . – Vol. 2013. – P. 1</w:t>
      </w:r>
      <w:r>
        <w:rPr>
          <w:spacing w:val="-3"/>
          <w:sz w:val="28"/>
        </w:rPr>
        <w:t xml:space="preserve"> </w:t>
      </w:r>
      <w:r>
        <w:rPr>
          <w:sz w:val="28"/>
        </w:rPr>
        <w:t>-10.</w:t>
      </w:r>
    </w:p>
    <w:p w:rsidR="00B23B94" w:rsidRDefault="003B2D3B">
      <w:pPr>
        <w:pStyle w:val="a4"/>
        <w:numPr>
          <w:ilvl w:val="0"/>
          <w:numId w:val="2"/>
        </w:numPr>
        <w:tabs>
          <w:tab w:val="left" w:pos="1958"/>
        </w:tabs>
        <w:spacing w:before="1" w:line="360" w:lineRule="auto"/>
        <w:ind w:left="1261" w:right="788"/>
        <w:rPr>
          <w:sz w:val="28"/>
        </w:rPr>
      </w:pPr>
      <w:r>
        <w:rPr>
          <w:sz w:val="28"/>
        </w:rPr>
        <w:t>Vege S.S. American Gastroenterological Association Institute. Clinical Guidelines Committee. American Gastroenterological Association Institute Guideline on Initial Management of Acute Pancreatitis / S. S.</w:t>
      </w:r>
      <w:r>
        <w:rPr>
          <w:spacing w:val="-6"/>
          <w:sz w:val="28"/>
        </w:rPr>
        <w:t xml:space="preserve"> </w:t>
      </w:r>
      <w:r>
        <w:rPr>
          <w:sz w:val="28"/>
        </w:rPr>
        <w:t>Vege,</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2" w:lineRule="auto"/>
        <w:ind w:left="1261" w:right="788"/>
      </w:pPr>
      <w:r>
        <w:lastRenderedPageBreak/>
        <w:t>M. J. Di Magno, C. E. Forsmark, M. Martel, A. N. Barkun // Gastroenterology. – 2018. – Vol. 154. – P. 1103 - 1139.</w:t>
      </w:r>
    </w:p>
    <w:p w:rsidR="00B23B94" w:rsidRDefault="003B2D3B">
      <w:pPr>
        <w:pStyle w:val="a4"/>
        <w:numPr>
          <w:ilvl w:val="0"/>
          <w:numId w:val="2"/>
        </w:numPr>
        <w:tabs>
          <w:tab w:val="left" w:pos="1958"/>
        </w:tabs>
        <w:spacing w:line="360" w:lineRule="auto"/>
        <w:ind w:left="1261" w:right="794"/>
        <w:rPr>
          <w:sz w:val="28"/>
        </w:rPr>
      </w:pPr>
      <w:r>
        <w:rPr>
          <w:sz w:val="28"/>
        </w:rPr>
        <w:t>Wang C. Y. The guidelines interpretation for diagnosis and treatment of severe acute pancreatitis. Review / C. Y. Wang, Y. P. Zhao // Zhonghua Wai Ke Za Zhi. – 2013. – Vol. 51(3). – P. 198 –</w:t>
      </w:r>
      <w:r>
        <w:rPr>
          <w:spacing w:val="-13"/>
          <w:sz w:val="28"/>
        </w:rPr>
        <w:t xml:space="preserve"> </w:t>
      </w:r>
      <w:r>
        <w:rPr>
          <w:sz w:val="28"/>
        </w:rPr>
        <w:t>200.</w:t>
      </w:r>
    </w:p>
    <w:p w:rsidR="00B23B94" w:rsidRDefault="003B2D3B">
      <w:pPr>
        <w:pStyle w:val="a4"/>
        <w:numPr>
          <w:ilvl w:val="0"/>
          <w:numId w:val="2"/>
        </w:numPr>
        <w:tabs>
          <w:tab w:val="left" w:pos="1958"/>
        </w:tabs>
        <w:spacing w:line="360" w:lineRule="auto"/>
        <w:ind w:left="1261" w:right="791"/>
        <w:rPr>
          <w:sz w:val="28"/>
        </w:rPr>
      </w:pPr>
      <w:r>
        <w:rPr>
          <w:sz w:val="28"/>
        </w:rPr>
        <w:t>Wang T. Intra-abdominal pressure reduction after percutaneous catheter drainage is a protective factor for severe pancreatitis / T. Wang, L. Liu, H. Luo [et al.] // Pancreas. 2016. Vol. 45. Issue 1. P.</w:t>
      </w:r>
      <w:r>
        <w:rPr>
          <w:spacing w:val="-23"/>
          <w:sz w:val="28"/>
        </w:rPr>
        <w:t xml:space="preserve"> </w:t>
      </w:r>
      <w:r>
        <w:rPr>
          <w:sz w:val="28"/>
        </w:rPr>
        <w:t>127–133.</w:t>
      </w:r>
    </w:p>
    <w:p w:rsidR="00B23B94" w:rsidRDefault="003B2D3B">
      <w:pPr>
        <w:pStyle w:val="a4"/>
        <w:numPr>
          <w:ilvl w:val="0"/>
          <w:numId w:val="2"/>
        </w:numPr>
        <w:tabs>
          <w:tab w:val="left" w:pos="1958"/>
        </w:tabs>
        <w:spacing w:line="360" w:lineRule="auto"/>
        <w:ind w:left="1261" w:right="787"/>
        <w:rPr>
          <w:sz w:val="28"/>
        </w:rPr>
      </w:pPr>
      <w:r>
        <w:rPr>
          <w:sz w:val="28"/>
        </w:rPr>
        <w:t>Working group IPA/APA Acute Pancreatitis Guidelines. IPA/APA evidence-based guidelines for the management of acute pancreatitis // Pancreatology. – 2013. – Vol. 13. – P. 1 –</w:t>
      </w:r>
      <w:r>
        <w:rPr>
          <w:spacing w:val="-11"/>
          <w:sz w:val="28"/>
        </w:rPr>
        <w:t xml:space="preserve"> </w:t>
      </w:r>
      <w:r>
        <w:rPr>
          <w:sz w:val="28"/>
        </w:rPr>
        <w:t>15.</w:t>
      </w:r>
    </w:p>
    <w:p w:rsidR="00B23B94" w:rsidRDefault="003B2D3B">
      <w:pPr>
        <w:pStyle w:val="a4"/>
        <w:numPr>
          <w:ilvl w:val="0"/>
          <w:numId w:val="2"/>
        </w:numPr>
        <w:tabs>
          <w:tab w:val="left" w:pos="1958"/>
        </w:tabs>
        <w:spacing w:line="360" w:lineRule="auto"/>
        <w:ind w:left="1261" w:right="786"/>
        <w:rPr>
          <w:sz w:val="28"/>
        </w:rPr>
      </w:pPr>
      <w:r>
        <w:rPr>
          <w:sz w:val="28"/>
        </w:rPr>
        <w:t>Yokoe M. Japanese guidelines for the management of acute pancreatitis: japanese guidelines 2015 / M. Yokoe, T. Takada, T. Mayumi et al. Journal of Hepato-Biliary-Pancreatic Sciences // 2015. Vol. 22. Issue 6. P.</w:t>
      </w:r>
      <w:r>
        <w:rPr>
          <w:spacing w:val="-3"/>
          <w:sz w:val="28"/>
        </w:rPr>
        <w:t xml:space="preserve"> </w:t>
      </w:r>
      <w:r>
        <w:rPr>
          <w:sz w:val="28"/>
        </w:rPr>
        <w:t>405–432.</w:t>
      </w:r>
    </w:p>
    <w:p w:rsidR="00B23B94" w:rsidRDefault="003B2D3B">
      <w:pPr>
        <w:pStyle w:val="a4"/>
        <w:numPr>
          <w:ilvl w:val="0"/>
          <w:numId w:val="2"/>
        </w:numPr>
        <w:tabs>
          <w:tab w:val="left" w:pos="1958"/>
        </w:tabs>
        <w:spacing w:line="360" w:lineRule="auto"/>
        <w:ind w:left="1261" w:right="788"/>
        <w:rPr>
          <w:sz w:val="28"/>
        </w:rPr>
      </w:pPr>
      <w:r>
        <w:rPr>
          <w:sz w:val="28"/>
        </w:rPr>
        <w:t>Zhu L. Early-phase peritoneal drainage and lavage in a rat model of severe acute pancreatitis / L. Zhu, J. Lu, J. Yang et al. // Surgery Today. 2016. Vol. 46. Issue 3. P.</w:t>
      </w:r>
      <w:r>
        <w:rPr>
          <w:spacing w:val="-13"/>
          <w:sz w:val="28"/>
        </w:rPr>
        <w:t xml:space="preserve"> </w:t>
      </w:r>
      <w:r>
        <w:rPr>
          <w:sz w:val="28"/>
        </w:rPr>
        <w:t>371–378.</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ind w:left="0" w:right="784"/>
        <w:jc w:val="right"/>
      </w:pPr>
      <w:r>
        <w:lastRenderedPageBreak/>
        <w:t>Додаток А</w:t>
      </w:r>
    </w:p>
    <w:p w:rsidR="00B23B94" w:rsidRDefault="003B2D3B">
      <w:pPr>
        <w:pStyle w:val="1"/>
        <w:spacing w:before="164" w:line="360" w:lineRule="auto"/>
        <w:ind w:left="521" w:right="769"/>
        <w:jc w:val="center"/>
      </w:pPr>
      <w:r>
        <w:t>СПИСОК НАУКОВИХ ПРАЦЬ, ОПУБЛІКОВАНИХ ЗА ТЕМОЮ ДИСЕРТАЦІЇ</w:t>
      </w:r>
    </w:p>
    <w:p w:rsidR="00B23B94" w:rsidRDefault="003B2D3B">
      <w:pPr>
        <w:spacing w:before="119"/>
        <w:ind w:left="522" w:right="769"/>
        <w:jc w:val="center"/>
        <w:rPr>
          <w:i/>
          <w:sz w:val="28"/>
        </w:rPr>
      </w:pPr>
      <w:r>
        <w:rPr>
          <w:i/>
          <w:sz w:val="28"/>
        </w:rPr>
        <w:t>Праці, в яких опубліковані основні наукові результати дисертації</w:t>
      </w:r>
    </w:p>
    <w:p w:rsidR="00B23B94" w:rsidRDefault="00B23B94">
      <w:pPr>
        <w:pStyle w:val="a3"/>
        <w:spacing w:before="4"/>
        <w:ind w:left="0"/>
        <w:jc w:val="left"/>
        <w:rPr>
          <w:i/>
          <w:sz w:val="24"/>
        </w:rPr>
      </w:pPr>
    </w:p>
    <w:p w:rsidR="00B23B94" w:rsidRDefault="003B2D3B">
      <w:pPr>
        <w:pStyle w:val="a4"/>
        <w:numPr>
          <w:ilvl w:val="0"/>
          <w:numId w:val="1"/>
        </w:numPr>
        <w:tabs>
          <w:tab w:val="left" w:pos="1958"/>
        </w:tabs>
        <w:spacing w:line="360" w:lineRule="auto"/>
        <w:ind w:right="784" w:firstLine="707"/>
        <w:rPr>
          <w:sz w:val="28"/>
        </w:rPr>
      </w:pPr>
      <w:r>
        <w:rPr>
          <w:sz w:val="28"/>
        </w:rPr>
        <w:t>Черкун О.Ю. Прогнозування етапних хірургічних втручань при інфекційно-септичних ускладненнях деструктивного панкреатиту / О.Ю. Черкун, В.В. Кас</w:t>
      </w:r>
      <w:r>
        <w:rPr>
          <w:sz w:val="24"/>
        </w:rPr>
        <w:t>’</w:t>
      </w:r>
      <w:r>
        <w:rPr>
          <w:sz w:val="28"/>
        </w:rPr>
        <w:t>ян, А.С. Калюжка. В.Д. Шейко // Актуальні проблеми сучасної медицини: Вісник Української медичної стоматологічної академії. – 2017.- Т. 17, Вип.3 (59).-С. 315-318. (Автором особисто проаналізовані літературні джерела, виконано клінічне дослідження та підготовлений текст статті).</w:t>
      </w:r>
    </w:p>
    <w:p w:rsidR="00B23B94" w:rsidRDefault="003B2D3B">
      <w:pPr>
        <w:pStyle w:val="a4"/>
        <w:numPr>
          <w:ilvl w:val="0"/>
          <w:numId w:val="1"/>
        </w:numPr>
        <w:tabs>
          <w:tab w:val="left" w:pos="1958"/>
        </w:tabs>
        <w:spacing w:before="2" w:line="360" w:lineRule="auto"/>
        <w:ind w:right="786" w:firstLine="707"/>
        <w:rPr>
          <w:sz w:val="28"/>
        </w:rPr>
      </w:pPr>
      <w:r>
        <w:rPr>
          <w:sz w:val="28"/>
        </w:rPr>
        <w:t>Кас</w:t>
      </w:r>
      <w:r>
        <w:rPr>
          <w:sz w:val="24"/>
        </w:rPr>
        <w:t>’</w:t>
      </w:r>
      <w:r>
        <w:rPr>
          <w:sz w:val="28"/>
        </w:rPr>
        <w:t>ян В.В. Прогностичні критерії тяжкого перебігу гострого панкреатиту з останніх переглядів класифікаційних ознак / В.В. Кас</w:t>
      </w:r>
      <w:r>
        <w:rPr>
          <w:sz w:val="24"/>
        </w:rPr>
        <w:t>’</w:t>
      </w:r>
      <w:r>
        <w:rPr>
          <w:sz w:val="28"/>
        </w:rPr>
        <w:t>ян, О.Ю. Черкун, Д.А. Ситнік, В.Д. Шейко // Актуальні проблеми сучасної медицини: Вісник Української медичної стоматологічної академії. – 2018.- Т. 18, Вип.4 (64).-С. 128-131. (Автором особисто проаналізовано літературні джерела та підготовлено текст</w:t>
      </w:r>
      <w:r>
        <w:rPr>
          <w:spacing w:val="-3"/>
          <w:sz w:val="28"/>
        </w:rPr>
        <w:t xml:space="preserve"> </w:t>
      </w:r>
      <w:r>
        <w:rPr>
          <w:sz w:val="28"/>
        </w:rPr>
        <w:t>статті).</w:t>
      </w:r>
    </w:p>
    <w:p w:rsidR="00B23B94" w:rsidRDefault="003B2D3B">
      <w:pPr>
        <w:pStyle w:val="a4"/>
        <w:numPr>
          <w:ilvl w:val="0"/>
          <w:numId w:val="1"/>
        </w:numPr>
        <w:tabs>
          <w:tab w:val="left" w:pos="1958"/>
        </w:tabs>
        <w:spacing w:line="360" w:lineRule="auto"/>
        <w:ind w:right="785" w:firstLine="707"/>
        <w:rPr>
          <w:sz w:val="28"/>
        </w:rPr>
      </w:pPr>
      <w:r>
        <w:rPr>
          <w:sz w:val="28"/>
        </w:rPr>
        <w:t>Черкун О.Ю. Органна дисфункція в динаміці гострого панкреатиту / О.Ю. Черкун, Д.А. Ситнік, А.С. Калюжка, В.Д. Шейко // Клінічна хірургія. – 2018.-Т.85.- № (8).– С. 15-17. (Дисертант самостійно провів аналіз динаміки перебігу гострого тяжкого панкреатиту, систематизував отримані результати, написав основні розділи</w:t>
      </w:r>
      <w:r>
        <w:rPr>
          <w:spacing w:val="-8"/>
          <w:sz w:val="28"/>
        </w:rPr>
        <w:t xml:space="preserve"> </w:t>
      </w:r>
      <w:r>
        <w:rPr>
          <w:sz w:val="28"/>
        </w:rPr>
        <w:t>статті).</w:t>
      </w:r>
    </w:p>
    <w:p w:rsidR="00B23B94" w:rsidRDefault="003B2D3B">
      <w:pPr>
        <w:pStyle w:val="a4"/>
        <w:numPr>
          <w:ilvl w:val="0"/>
          <w:numId w:val="1"/>
        </w:numPr>
        <w:tabs>
          <w:tab w:val="left" w:pos="1958"/>
        </w:tabs>
        <w:spacing w:before="1" w:line="360" w:lineRule="auto"/>
        <w:ind w:firstLine="707"/>
        <w:rPr>
          <w:sz w:val="28"/>
        </w:rPr>
      </w:pPr>
      <w:r>
        <w:rPr>
          <w:sz w:val="28"/>
        </w:rPr>
        <w:t>Cherkun O. Yu. Evaluation of the effectiveness of surgical management in local purulent-septic complications of acute pancreatitis / O. Yu. Cherkun, D.A. Sytnik, A.S. Kaliuzka, V.D. Sheyko, V.H. Hryn // Wiadomosti Lecarsie. – 2018.-T LXXI.-nr 6.-S.1231-1234. (Автором особисто проаналізовані літературні джерела, виконано клінічне дослідження та підготовлений текст</w:t>
      </w:r>
      <w:r>
        <w:rPr>
          <w:spacing w:val="-3"/>
          <w:sz w:val="28"/>
        </w:rPr>
        <w:t xml:space="preserve"> </w:t>
      </w:r>
      <w:r>
        <w:rPr>
          <w:sz w:val="28"/>
        </w:rPr>
        <w:t>статті).</w:t>
      </w:r>
    </w:p>
    <w:p w:rsidR="00B23B94" w:rsidRDefault="003B2D3B">
      <w:pPr>
        <w:pStyle w:val="a4"/>
        <w:numPr>
          <w:ilvl w:val="0"/>
          <w:numId w:val="1"/>
        </w:numPr>
        <w:tabs>
          <w:tab w:val="left" w:pos="1958"/>
        </w:tabs>
        <w:spacing w:line="360" w:lineRule="auto"/>
        <w:ind w:firstLine="707"/>
        <w:rPr>
          <w:sz w:val="28"/>
        </w:rPr>
      </w:pPr>
      <w:r>
        <w:rPr>
          <w:sz w:val="28"/>
        </w:rPr>
        <w:t>Кас</w:t>
      </w:r>
      <w:r>
        <w:rPr>
          <w:sz w:val="24"/>
        </w:rPr>
        <w:t>’</w:t>
      </w:r>
      <w:r>
        <w:rPr>
          <w:sz w:val="28"/>
        </w:rPr>
        <w:t>ян В.В. Перспективи вивчення тиреоїдного профілю у пацієнтів з органними дисфункціями при гострому панкреатиті / В.В.</w:t>
      </w:r>
      <w:r>
        <w:rPr>
          <w:spacing w:val="68"/>
          <w:sz w:val="28"/>
        </w:rPr>
        <w:t xml:space="preserve"> </w:t>
      </w:r>
      <w:r>
        <w:rPr>
          <w:sz w:val="28"/>
        </w:rPr>
        <w:t>Кас</w:t>
      </w:r>
      <w:r>
        <w:rPr>
          <w:sz w:val="24"/>
        </w:rPr>
        <w:t>’</w:t>
      </w:r>
      <w:r>
        <w:rPr>
          <w:sz w:val="28"/>
        </w:rPr>
        <w:t>ян,</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pStyle w:val="a3"/>
        <w:spacing w:before="89" w:line="360" w:lineRule="auto"/>
        <w:ind w:left="542" w:right="785"/>
      </w:pPr>
      <w:r>
        <w:lastRenderedPageBreak/>
        <w:t>О.Ю. Черкун, Д.А. Ситнік, В.Д. Шейко // Вісник проблем біології і медицини. – 2019. – Вип.1. – Т.1 (148).-С. 43-47. (Дисертантом проведено частину клінічних досліджень, опрацьовано аналізи результатів дослідження, підготовлено статтю до друку).</w:t>
      </w:r>
    </w:p>
    <w:p w:rsidR="00B23B94" w:rsidRDefault="003B2D3B">
      <w:pPr>
        <w:pStyle w:val="a4"/>
        <w:numPr>
          <w:ilvl w:val="0"/>
          <w:numId w:val="1"/>
        </w:numPr>
        <w:tabs>
          <w:tab w:val="left" w:pos="1958"/>
        </w:tabs>
        <w:spacing w:before="1" w:line="360" w:lineRule="auto"/>
        <w:ind w:right="790" w:firstLine="707"/>
        <w:rPr>
          <w:sz w:val="28"/>
        </w:rPr>
      </w:pPr>
      <w:r>
        <w:rPr>
          <w:sz w:val="28"/>
        </w:rPr>
        <w:t>Черкун О.Ю. Прогностичне значення біохімічних маркерів при гнійно-септичних ускладненнях гострого тяжкого панкреатиту / О.Ю. Черкун, Д.А. Ситнік, О.А. Крижановський, В.Д. Шейко // Актуальні проблеми сучасної медицини: Вісник Української медичної стоматологічної академії. – 2019.- Т. 19, Вип.2 (66).-С.</w:t>
      </w:r>
      <w:r>
        <w:rPr>
          <w:spacing w:val="-10"/>
          <w:sz w:val="28"/>
        </w:rPr>
        <w:t xml:space="preserve"> </w:t>
      </w:r>
      <w:r>
        <w:rPr>
          <w:sz w:val="28"/>
        </w:rPr>
        <w:t>99-102.</w:t>
      </w:r>
    </w:p>
    <w:p w:rsidR="00B23B94" w:rsidRDefault="003B2D3B">
      <w:pPr>
        <w:pStyle w:val="a4"/>
        <w:numPr>
          <w:ilvl w:val="0"/>
          <w:numId w:val="1"/>
        </w:numPr>
        <w:tabs>
          <w:tab w:val="left" w:pos="1958"/>
        </w:tabs>
        <w:spacing w:before="3" w:line="360" w:lineRule="auto"/>
        <w:ind w:right="784" w:firstLine="707"/>
        <w:rPr>
          <w:sz w:val="28"/>
        </w:rPr>
      </w:pPr>
      <w:r>
        <w:rPr>
          <w:sz w:val="28"/>
        </w:rPr>
        <w:t>Кас</w:t>
      </w:r>
      <w:r>
        <w:rPr>
          <w:sz w:val="24"/>
        </w:rPr>
        <w:t>’</w:t>
      </w:r>
      <w:r>
        <w:rPr>
          <w:sz w:val="28"/>
        </w:rPr>
        <w:t>ян В.В. Хірургічна тактика при гострому панкреатиті, що ускладнений асцит-перитонітом / В.В. Кас</w:t>
      </w:r>
      <w:r>
        <w:rPr>
          <w:sz w:val="24"/>
        </w:rPr>
        <w:t>’</w:t>
      </w:r>
      <w:r>
        <w:rPr>
          <w:sz w:val="28"/>
        </w:rPr>
        <w:t>ян. О.Ю. Черкун, Д.А. Ситнік, В.Д. Шейко // Запорожский медицинский журнал. – 2019. – Т. 21, №4(115). – С. 522-527. (Дисертантом проведено частину клінічних досліджень, опрацьовано аналізи результатів</w:t>
      </w:r>
      <w:r>
        <w:rPr>
          <w:spacing w:val="-4"/>
          <w:sz w:val="28"/>
        </w:rPr>
        <w:t xml:space="preserve"> </w:t>
      </w:r>
      <w:r>
        <w:rPr>
          <w:sz w:val="28"/>
        </w:rPr>
        <w:t>дослідження).</w:t>
      </w:r>
    </w:p>
    <w:p w:rsidR="00B23B94" w:rsidRDefault="003B2D3B">
      <w:pPr>
        <w:pStyle w:val="a4"/>
        <w:numPr>
          <w:ilvl w:val="0"/>
          <w:numId w:val="1"/>
        </w:numPr>
        <w:tabs>
          <w:tab w:val="left" w:pos="1958"/>
        </w:tabs>
        <w:spacing w:line="360" w:lineRule="auto"/>
        <w:ind w:firstLine="707"/>
        <w:rPr>
          <w:sz w:val="28"/>
        </w:rPr>
      </w:pPr>
      <w:r>
        <w:rPr>
          <w:sz w:val="28"/>
        </w:rPr>
        <w:t>Должковий С.В. Вивчення динаміки вироблення бета-лактамаз збудниками інтраабдомінальних хірургічних інфекцій / С.В. Должковий, О.Ю. Черкун // Актуальні проблеми сучасної медицини: Вісник Української медичної стоматологічної академії. – 2015. – Т. 15, № 1 (49). – С. 74-76. (Автором проведено частину клінічних досліджень, підготовлено статтю до друку).</w:t>
      </w:r>
    </w:p>
    <w:p w:rsidR="00B23B94" w:rsidRDefault="00B23B94">
      <w:pPr>
        <w:pStyle w:val="a3"/>
        <w:spacing w:before="9"/>
        <w:ind w:left="0"/>
        <w:jc w:val="left"/>
        <w:rPr>
          <w:sz w:val="41"/>
        </w:rPr>
      </w:pPr>
    </w:p>
    <w:p w:rsidR="00B23B94" w:rsidRDefault="003B2D3B">
      <w:pPr>
        <w:spacing w:before="1"/>
        <w:ind w:left="762" w:right="307"/>
        <w:jc w:val="center"/>
        <w:rPr>
          <w:i/>
          <w:sz w:val="28"/>
        </w:rPr>
      </w:pPr>
      <w:r>
        <w:rPr>
          <w:i/>
          <w:sz w:val="28"/>
        </w:rPr>
        <w:t>Видання, які засвідчують апробацію матеріалів дисертації</w:t>
      </w:r>
    </w:p>
    <w:p w:rsidR="00B23B94" w:rsidRDefault="00B23B94">
      <w:pPr>
        <w:pStyle w:val="a3"/>
        <w:ind w:left="0"/>
        <w:jc w:val="left"/>
        <w:rPr>
          <w:i/>
          <w:sz w:val="30"/>
        </w:rPr>
      </w:pPr>
    </w:p>
    <w:p w:rsidR="00B23B94" w:rsidRDefault="00B23B94">
      <w:pPr>
        <w:pStyle w:val="a3"/>
        <w:spacing w:before="1"/>
        <w:ind w:left="0"/>
        <w:jc w:val="left"/>
        <w:rPr>
          <w:i/>
          <w:sz w:val="26"/>
        </w:rPr>
      </w:pPr>
    </w:p>
    <w:p w:rsidR="00B23B94" w:rsidRDefault="003B2D3B">
      <w:pPr>
        <w:pStyle w:val="a4"/>
        <w:numPr>
          <w:ilvl w:val="0"/>
          <w:numId w:val="1"/>
        </w:numPr>
        <w:tabs>
          <w:tab w:val="left" w:pos="1958"/>
        </w:tabs>
        <w:spacing w:line="360" w:lineRule="auto"/>
        <w:ind w:right="783" w:firstLine="707"/>
        <w:rPr>
          <w:sz w:val="28"/>
        </w:rPr>
      </w:pPr>
      <w:r>
        <w:rPr>
          <w:sz w:val="28"/>
        </w:rPr>
        <w:t>Шейко В.Д., Черкун О.Ю. Тактика step-up при лікуванні тяжкого панкреатиту. Матеріали засідання Полтавської обласної громадської організації лікарів-хірургів «Асоціація хірургів Полтавщини», Полтава 2019. (Здобувач проаналізував сучасний стан питання сформулював висновки та підготував текст до</w:t>
      </w:r>
      <w:r>
        <w:rPr>
          <w:spacing w:val="-4"/>
          <w:sz w:val="28"/>
        </w:rPr>
        <w:t xml:space="preserve"> </w:t>
      </w:r>
      <w:r>
        <w:rPr>
          <w:sz w:val="28"/>
        </w:rPr>
        <w:t>доповіді).</w:t>
      </w:r>
    </w:p>
    <w:p w:rsidR="00B23B94" w:rsidRDefault="00B23B94">
      <w:pPr>
        <w:spacing w:line="360" w:lineRule="auto"/>
        <w:jc w:val="both"/>
        <w:rPr>
          <w:sz w:val="28"/>
        </w:rPr>
        <w:sectPr w:rsidR="00B23B94">
          <w:pgSz w:w="11910" w:h="16840"/>
          <w:pgMar w:top="1040" w:right="60" w:bottom="280" w:left="1160" w:header="719" w:footer="0" w:gutter="0"/>
          <w:cols w:space="720"/>
        </w:sectPr>
      </w:pPr>
    </w:p>
    <w:p w:rsidR="00B23B94" w:rsidRDefault="003B2D3B">
      <w:pPr>
        <w:spacing w:before="89"/>
        <w:ind w:left="762" w:right="308"/>
        <w:jc w:val="center"/>
        <w:rPr>
          <w:i/>
          <w:sz w:val="28"/>
        </w:rPr>
      </w:pPr>
      <w:r>
        <w:rPr>
          <w:i/>
          <w:sz w:val="28"/>
        </w:rPr>
        <w:lastRenderedPageBreak/>
        <w:t>Видання, які додатково відображують наукові результати дисертації</w:t>
      </w:r>
    </w:p>
    <w:p w:rsidR="00B23B94" w:rsidRDefault="00B23B94">
      <w:pPr>
        <w:pStyle w:val="a3"/>
        <w:ind w:left="0"/>
        <w:jc w:val="left"/>
        <w:rPr>
          <w:i/>
          <w:sz w:val="30"/>
        </w:rPr>
      </w:pPr>
    </w:p>
    <w:p w:rsidR="00B23B94" w:rsidRDefault="00B23B94">
      <w:pPr>
        <w:pStyle w:val="a3"/>
        <w:spacing w:before="2"/>
        <w:ind w:left="0"/>
        <w:jc w:val="left"/>
        <w:rPr>
          <w:i/>
          <w:sz w:val="26"/>
        </w:rPr>
      </w:pPr>
    </w:p>
    <w:p w:rsidR="00B23B94" w:rsidRDefault="003B2D3B">
      <w:pPr>
        <w:pStyle w:val="a4"/>
        <w:numPr>
          <w:ilvl w:val="0"/>
          <w:numId w:val="1"/>
        </w:numPr>
        <w:tabs>
          <w:tab w:val="left" w:pos="1958"/>
        </w:tabs>
        <w:spacing w:line="360" w:lineRule="auto"/>
        <w:ind w:right="789" w:firstLine="707"/>
        <w:rPr>
          <w:sz w:val="28"/>
        </w:rPr>
      </w:pPr>
      <w:r>
        <w:rPr>
          <w:sz w:val="28"/>
        </w:rPr>
        <w:t>Пат.128237 МПК А 61 В 17/00. Спосіб хірургічного лікування парапанкреатичних локальних ускладнень гострого тяжкого панкреатиту / Шейко В.Д., Черкун О.Ю., Калюжка А.С.; заявники та патентовласники Шейко В.Д., Черкун О.Ю., Калюжка А.С. - № u 201802764 ; заявл. 19.03.18 ; опубл. 10.09.18,</w:t>
      </w:r>
      <w:r>
        <w:rPr>
          <w:spacing w:val="-3"/>
          <w:sz w:val="28"/>
        </w:rPr>
        <w:t xml:space="preserve"> </w:t>
      </w:r>
      <w:r>
        <w:rPr>
          <w:sz w:val="28"/>
        </w:rPr>
        <w:t>Бюл.№17.</w:t>
      </w:r>
    </w:p>
    <w:p w:rsidR="00B23B94" w:rsidRDefault="003B2D3B">
      <w:pPr>
        <w:pStyle w:val="a4"/>
        <w:numPr>
          <w:ilvl w:val="0"/>
          <w:numId w:val="1"/>
        </w:numPr>
        <w:tabs>
          <w:tab w:val="left" w:pos="1958"/>
        </w:tabs>
        <w:spacing w:line="360" w:lineRule="auto"/>
        <w:ind w:right="786" w:firstLine="707"/>
        <w:rPr>
          <w:sz w:val="28"/>
        </w:rPr>
      </w:pPr>
      <w:r>
        <w:rPr>
          <w:sz w:val="28"/>
        </w:rPr>
        <w:t>Пат. 127401 МПК А 61 В 29/00. Пристрій для бужування порожнини абсцесу / Шейко В.Д., Черкун О.Ю., Калюжка А.С.; заявники та патентовласники Шейко В.Д., Черкун О.Ю., Калюжка А.С. - № u 201802799 ; заявл. 19.03.18 ; опубл. 25.07.18,</w:t>
      </w:r>
      <w:r>
        <w:rPr>
          <w:spacing w:val="-7"/>
          <w:sz w:val="28"/>
        </w:rPr>
        <w:t xml:space="preserve"> </w:t>
      </w:r>
      <w:r>
        <w:rPr>
          <w:sz w:val="28"/>
        </w:rPr>
        <w:t>Бюл.№14.</w:t>
      </w:r>
    </w:p>
    <w:sectPr w:rsidR="00B23B94">
      <w:pgSz w:w="11910" w:h="16840"/>
      <w:pgMar w:top="1040" w:right="60" w:bottom="280" w:left="1160" w:header="71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1E58" w:rsidRDefault="00411E58">
      <w:r>
        <w:separator/>
      </w:r>
    </w:p>
  </w:endnote>
  <w:endnote w:type="continuationSeparator" w:id="0">
    <w:p w:rsidR="00411E58" w:rsidRDefault="00411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1E58" w:rsidRDefault="00411E58">
      <w:r>
        <w:separator/>
      </w:r>
    </w:p>
  </w:footnote>
  <w:footnote w:type="continuationSeparator" w:id="0">
    <w:p w:rsidR="00411E58" w:rsidRDefault="00411E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E58" w:rsidRDefault="00411E58">
    <w:pPr>
      <w:pStyle w:val="a3"/>
      <w:spacing w:line="14" w:lineRule="auto"/>
      <w:ind w:left="0"/>
      <w:jc w:val="left"/>
      <w:rPr>
        <w:sz w:val="20"/>
      </w:rPr>
    </w:pPr>
    <w:r>
      <w:rPr>
        <w:noProof/>
        <w:lang w:eastAsia="uk-UA"/>
      </w:rPr>
      <mc:AlternateContent>
        <mc:Choice Requires="wps">
          <w:drawing>
            <wp:anchor distT="0" distB="0" distL="114300" distR="114300" simplePos="0" relativeHeight="483704320" behindDoc="1" locked="0" layoutInCell="1" allowOverlap="1" wp14:anchorId="19927BAB" wp14:editId="239EFBEE">
              <wp:simplePos x="0" y="0"/>
              <wp:positionH relativeFrom="page">
                <wp:posOffset>6805930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1E58" w:rsidRDefault="00411E58">
                          <w:pPr>
                            <w:pStyle w:val="a3"/>
                            <w:spacing w:before="9"/>
                            <w:ind w:left="60"/>
                            <w:jc w:val="left"/>
                          </w:pPr>
                          <w:r>
                            <w:fldChar w:fldCharType="begin"/>
                          </w:r>
                          <w:r>
                            <w:instrText xml:space="preserve"> PAGE </w:instrText>
                          </w:r>
                          <w:r>
                            <w:fldChar w:fldCharType="separate"/>
                          </w:r>
                          <w:r w:rsidR="00E258E5">
                            <w:rPr>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4" type="#_x0000_t202" style="position:absolute;margin-left:535.9pt;margin-top:34.95pt;width:20.2pt;height:17.55pt;z-index:-1961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" filled="f" stroked="f">
              <v:textbox inset="0,0,0,0">
                <w:txbxContent>
                  <w:p w:rsidR="00411E58" w:rsidRDefault="00411E58">
                    <w:pPr>
                      <w:pStyle w:val="a3"/>
                      <w:spacing w:before="9"/>
                      <w:ind w:left="60"/>
                      <w:jc w:val="left"/>
                    </w:pPr>
                    <w:r>
                      <w:fldChar w:fldCharType="begin"/>
                    </w:r>
                    <w:r>
                      <w:instrText xml:space="preserve"> PAGE </w:instrText>
                    </w:r>
                    <w:r>
                      <w:fldChar w:fldCharType="separate"/>
                    </w:r>
                    <w:r w:rsidR="00E258E5">
                      <w:rPr>
                        <w:noProof/>
                      </w:rPr>
                      <w:t>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E58" w:rsidRDefault="00411E58">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E58" w:rsidRDefault="00411E58">
    <w:pPr>
      <w:pStyle w:val="a3"/>
      <w:spacing w:line="14" w:lineRule="auto"/>
      <w:ind w:left="0"/>
      <w:jc w:val="left"/>
      <w:rPr>
        <w:sz w:val="20"/>
      </w:rPr>
    </w:pPr>
    <w:r>
      <w:rPr>
        <w:noProof/>
        <w:lang w:eastAsia="uk-UA"/>
      </w:rPr>
      <mc:AlternateContent>
        <mc:Choice Requires="wps">
          <w:drawing>
            <wp:anchor distT="0" distB="0" distL="114300" distR="114300" simplePos="0" relativeHeight="483704832" behindDoc="1" locked="0" layoutInCell="1" allowOverlap="1">
              <wp:simplePos x="0" y="0"/>
              <wp:positionH relativeFrom="page">
                <wp:posOffset>6717665</wp:posOffset>
              </wp:positionH>
              <wp:positionV relativeFrom="page">
                <wp:posOffset>443865</wp:posOffset>
              </wp:positionV>
              <wp:extent cx="344805" cy="22288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80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1E58" w:rsidRDefault="00411E58">
                          <w:pPr>
                            <w:pStyle w:val="a3"/>
                            <w:spacing w:before="9"/>
                            <w:ind w:left="60"/>
                            <w:jc w:val="left"/>
                          </w:pPr>
                          <w:r>
                            <w:fldChar w:fldCharType="begin"/>
                          </w:r>
                          <w:r>
                            <w:instrText xml:space="preserve"> PAGE </w:instrText>
                          </w:r>
                          <w:r>
                            <w:fldChar w:fldCharType="separate"/>
                          </w:r>
                          <w:r w:rsidR="000314C1">
                            <w:rPr>
                              <w:noProof/>
                            </w:rPr>
                            <w:t>150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5" type="#_x0000_t202" style="position:absolute;margin-left:528.95pt;margin-top:34.95pt;width:27.15pt;height:17.55pt;z-index:-1961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" filled="f" stroked="f">
              <v:textbox inset="0,0,0,0">
                <w:txbxContent>
                  <w:p w:rsidR="00411E58" w:rsidRDefault="00411E58">
                    <w:pPr>
                      <w:pStyle w:val="a3"/>
                      <w:spacing w:before="9"/>
                      <w:ind w:left="60"/>
                      <w:jc w:val="left"/>
                    </w:pPr>
                    <w:r>
                      <w:fldChar w:fldCharType="begin"/>
                    </w:r>
                    <w:r>
                      <w:instrText xml:space="preserve"> PAGE </w:instrText>
                    </w:r>
                    <w:r>
                      <w:fldChar w:fldCharType="separate"/>
                    </w:r>
                    <w:r w:rsidR="000314C1">
                      <w:rPr>
                        <w:noProof/>
                      </w:rPr>
                      <w:t>150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96CDB"/>
    <w:multiLevelType w:val="hybridMultilevel"/>
    <w:tmpl w:val="935CD77A"/>
    <w:lvl w:ilvl="0" w:tplc="E9A61128">
      <w:start w:val="1"/>
      <w:numFmt w:val="decimal"/>
      <w:lvlText w:val="%1."/>
      <w:lvlJc w:val="left"/>
      <w:pPr>
        <w:ind w:left="1262" w:hanging="360"/>
      </w:pPr>
      <w:rPr>
        <w:rFonts w:hint="default"/>
        <w:spacing w:val="0"/>
        <w:w w:val="100"/>
        <w:lang w:val="uk-UA" w:eastAsia="en-US" w:bidi="ar-SA"/>
      </w:rPr>
    </w:lvl>
    <w:lvl w:ilvl="1" w:tplc="9FFE6456">
      <w:start w:val="1"/>
      <w:numFmt w:val="upperRoman"/>
      <w:lvlText w:val="%2."/>
      <w:lvlJc w:val="left"/>
      <w:pPr>
        <w:ind w:left="1262" w:hanging="243"/>
      </w:pPr>
      <w:rPr>
        <w:rFonts w:ascii="Times New Roman" w:eastAsia="Times New Roman" w:hAnsi="Times New Roman" w:cs="Times New Roman" w:hint="default"/>
        <w:w w:val="100"/>
        <w:sz w:val="28"/>
        <w:szCs w:val="28"/>
        <w:lang w:val="uk-UA" w:eastAsia="en-US" w:bidi="ar-SA"/>
      </w:rPr>
    </w:lvl>
    <w:lvl w:ilvl="2" w:tplc="A0E4E5CA">
      <w:numFmt w:val="bullet"/>
      <w:lvlText w:val="•"/>
      <w:lvlJc w:val="left"/>
      <w:pPr>
        <w:ind w:left="3145" w:hanging="243"/>
      </w:pPr>
      <w:rPr>
        <w:rFonts w:hint="default"/>
        <w:lang w:val="uk-UA" w:eastAsia="en-US" w:bidi="ar-SA"/>
      </w:rPr>
    </w:lvl>
    <w:lvl w:ilvl="3" w:tplc="F76A563A">
      <w:numFmt w:val="bullet"/>
      <w:lvlText w:val="•"/>
      <w:lvlJc w:val="left"/>
      <w:pPr>
        <w:ind w:left="4087" w:hanging="243"/>
      </w:pPr>
      <w:rPr>
        <w:rFonts w:hint="default"/>
        <w:lang w:val="uk-UA" w:eastAsia="en-US" w:bidi="ar-SA"/>
      </w:rPr>
    </w:lvl>
    <w:lvl w:ilvl="4" w:tplc="7DAEE880">
      <w:numFmt w:val="bullet"/>
      <w:lvlText w:val="•"/>
      <w:lvlJc w:val="left"/>
      <w:pPr>
        <w:ind w:left="5030" w:hanging="243"/>
      </w:pPr>
      <w:rPr>
        <w:rFonts w:hint="default"/>
        <w:lang w:val="uk-UA" w:eastAsia="en-US" w:bidi="ar-SA"/>
      </w:rPr>
    </w:lvl>
    <w:lvl w:ilvl="5" w:tplc="0072663A">
      <w:numFmt w:val="bullet"/>
      <w:lvlText w:val="•"/>
      <w:lvlJc w:val="left"/>
      <w:pPr>
        <w:ind w:left="5973" w:hanging="243"/>
      </w:pPr>
      <w:rPr>
        <w:rFonts w:hint="default"/>
        <w:lang w:val="uk-UA" w:eastAsia="en-US" w:bidi="ar-SA"/>
      </w:rPr>
    </w:lvl>
    <w:lvl w:ilvl="6" w:tplc="38B853FC">
      <w:numFmt w:val="bullet"/>
      <w:lvlText w:val="•"/>
      <w:lvlJc w:val="left"/>
      <w:pPr>
        <w:ind w:left="6915" w:hanging="243"/>
      </w:pPr>
      <w:rPr>
        <w:rFonts w:hint="default"/>
        <w:lang w:val="uk-UA" w:eastAsia="en-US" w:bidi="ar-SA"/>
      </w:rPr>
    </w:lvl>
    <w:lvl w:ilvl="7" w:tplc="68CA6EA4">
      <w:numFmt w:val="bullet"/>
      <w:lvlText w:val="•"/>
      <w:lvlJc w:val="left"/>
      <w:pPr>
        <w:ind w:left="7858" w:hanging="243"/>
      </w:pPr>
      <w:rPr>
        <w:rFonts w:hint="default"/>
        <w:lang w:val="uk-UA" w:eastAsia="en-US" w:bidi="ar-SA"/>
      </w:rPr>
    </w:lvl>
    <w:lvl w:ilvl="8" w:tplc="06BCD2DA">
      <w:numFmt w:val="bullet"/>
      <w:lvlText w:val="•"/>
      <w:lvlJc w:val="left"/>
      <w:pPr>
        <w:ind w:left="8801" w:hanging="243"/>
      </w:pPr>
      <w:rPr>
        <w:rFonts w:hint="default"/>
        <w:lang w:val="uk-UA" w:eastAsia="en-US" w:bidi="ar-SA"/>
      </w:rPr>
    </w:lvl>
  </w:abstractNum>
  <w:abstractNum w:abstractNumId="1">
    <w:nsid w:val="061801D6"/>
    <w:multiLevelType w:val="multilevel"/>
    <w:tmpl w:val="B89E2B0C"/>
    <w:lvl w:ilvl="0">
      <w:start w:val="3"/>
      <w:numFmt w:val="decimal"/>
      <w:lvlText w:val="%1"/>
      <w:lvlJc w:val="left"/>
      <w:pPr>
        <w:ind w:left="222" w:hanging="458"/>
      </w:pPr>
      <w:rPr>
        <w:rFonts w:hint="default"/>
        <w:lang w:val="uk-UA" w:eastAsia="en-US" w:bidi="ar-SA"/>
      </w:rPr>
    </w:lvl>
    <w:lvl w:ilvl="1">
      <w:start w:val="1"/>
      <w:numFmt w:val="decimal"/>
      <w:lvlText w:val="%1.%2"/>
      <w:lvlJc w:val="left"/>
      <w:pPr>
        <w:ind w:left="222" w:hanging="458"/>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153" w:hanging="458"/>
      </w:pPr>
      <w:rPr>
        <w:rFonts w:hint="default"/>
        <w:lang w:val="uk-UA" w:eastAsia="en-US" w:bidi="ar-SA"/>
      </w:rPr>
    </w:lvl>
    <w:lvl w:ilvl="3">
      <w:numFmt w:val="bullet"/>
      <w:lvlText w:val="•"/>
      <w:lvlJc w:val="left"/>
      <w:pPr>
        <w:ind w:left="3119" w:hanging="458"/>
      </w:pPr>
      <w:rPr>
        <w:rFonts w:hint="default"/>
        <w:lang w:val="uk-UA" w:eastAsia="en-US" w:bidi="ar-SA"/>
      </w:rPr>
    </w:lvl>
    <w:lvl w:ilvl="4">
      <w:numFmt w:val="bullet"/>
      <w:lvlText w:val="•"/>
      <w:lvlJc w:val="left"/>
      <w:pPr>
        <w:ind w:left="4086" w:hanging="458"/>
      </w:pPr>
      <w:rPr>
        <w:rFonts w:hint="default"/>
        <w:lang w:val="uk-UA" w:eastAsia="en-US" w:bidi="ar-SA"/>
      </w:rPr>
    </w:lvl>
    <w:lvl w:ilvl="5">
      <w:numFmt w:val="bullet"/>
      <w:lvlText w:val="•"/>
      <w:lvlJc w:val="left"/>
      <w:pPr>
        <w:ind w:left="5053" w:hanging="458"/>
      </w:pPr>
      <w:rPr>
        <w:rFonts w:hint="default"/>
        <w:lang w:val="uk-UA" w:eastAsia="en-US" w:bidi="ar-SA"/>
      </w:rPr>
    </w:lvl>
    <w:lvl w:ilvl="6">
      <w:numFmt w:val="bullet"/>
      <w:lvlText w:val="•"/>
      <w:lvlJc w:val="left"/>
      <w:pPr>
        <w:ind w:left="6019" w:hanging="458"/>
      </w:pPr>
      <w:rPr>
        <w:rFonts w:hint="default"/>
        <w:lang w:val="uk-UA" w:eastAsia="en-US" w:bidi="ar-SA"/>
      </w:rPr>
    </w:lvl>
    <w:lvl w:ilvl="7">
      <w:numFmt w:val="bullet"/>
      <w:lvlText w:val="•"/>
      <w:lvlJc w:val="left"/>
      <w:pPr>
        <w:ind w:left="6986" w:hanging="458"/>
      </w:pPr>
      <w:rPr>
        <w:rFonts w:hint="default"/>
        <w:lang w:val="uk-UA" w:eastAsia="en-US" w:bidi="ar-SA"/>
      </w:rPr>
    </w:lvl>
    <w:lvl w:ilvl="8">
      <w:numFmt w:val="bullet"/>
      <w:lvlText w:val="•"/>
      <w:lvlJc w:val="left"/>
      <w:pPr>
        <w:ind w:left="7953" w:hanging="458"/>
      </w:pPr>
      <w:rPr>
        <w:rFonts w:hint="default"/>
        <w:lang w:val="uk-UA" w:eastAsia="en-US" w:bidi="ar-SA"/>
      </w:rPr>
    </w:lvl>
  </w:abstractNum>
  <w:abstractNum w:abstractNumId="2">
    <w:nsid w:val="160C6F18"/>
    <w:multiLevelType w:val="hybridMultilevel"/>
    <w:tmpl w:val="96C6B8E2"/>
    <w:lvl w:ilvl="0" w:tplc="4E72D3FE">
      <w:start w:val="1"/>
      <w:numFmt w:val="decimal"/>
      <w:lvlText w:val="%1."/>
      <w:lvlJc w:val="left"/>
      <w:pPr>
        <w:ind w:left="1290" w:hanging="360"/>
      </w:pPr>
      <w:rPr>
        <w:rFonts w:ascii="Times New Roman" w:eastAsia="Times New Roman" w:hAnsi="Times New Roman" w:cs="Times New Roman" w:hint="default"/>
        <w:spacing w:val="0"/>
        <w:w w:val="100"/>
        <w:sz w:val="28"/>
        <w:szCs w:val="28"/>
        <w:lang w:val="uk-UA" w:eastAsia="en-US" w:bidi="ar-SA"/>
      </w:rPr>
    </w:lvl>
    <w:lvl w:ilvl="1" w:tplc="70A60040">
      <w:numFmt w:val="bullet"/>
      <w:lvlText w:val="•"/>
      <w:lvlJc w:val="left"/>
      <w:pPr>
        <w:ind w:left="2158" w:hanging="360"/>
      </w:pPr>
      <w:rPr>
        <w:rFonts w:hint="default"/>
        <w:lang w:val="uk-UA" w:eastAsia="en-US" w:bidi="ar-SA"/>
      </w:rPr>
    </w:lvl>
    <w:lvl w:ilvl="2" w:tplc="09C0660A">
      <w:numFmt w:val="bullet"/>
      <w:lvlText w:val="•"/>
      <w:lvlJc w:val="left"/>
      <w:pPr>
        <w:ind w:left="3017" w:hanging="360"/>
      </w:pPr>
      <w:rPr>
        <w:rFonts w:hint="default"/>
        <w:lang w:val="uk-UA" w:eastAsia="en-US" w:bidi="ar-SA"/>
      </w:rPr>
    </w:lvl>
    <w:lvl w:ilvl="3" w:tplc="2234AC02">
      <w:numFmt w:val="bullet"/>
      <w:lvlText w:val="•"/>
      <w:lvlJc w:val="left"/>
      <w:pPr>
        <w:ind w:left="3875" w:hanging="360"/>
      </w:pPr>
      <w:rPr>
        <w:rFonts w:hint="default"/>
        <w:lang w:val="uk-UA" w:eastAsia="en-US" w:bidi="ar-SA"/>
      </w:rPr>
    </w:lvl>
    <w:lvl w:ilvl="4" w:tplc="6986D5B6">
      <w:numFmt w:val="bullet"/>
      <w:lvlText w:val="•"/>
      <w:lvlJc w:val="left"/>
      <w:pPr>
        <w:ind w:left="4734" w:hanging="360"/>
      </w:pPr>
      <w:rPr>
        <w:rFonts w:hint="default"/>
        <w:lang w:val="uk-UA" w:eastAsia="en-US" w:bidi="ar-SA"/>
      </w:rPr>
    </w:lvl>
    <w:lvl w:ilvl="5" w:tplc="27368CDA">
      <w:numFmt w:val="bullet"/>
      <w:lvlText w:val="•"/>
      <w:lvlJc w:val="left"/>
      <w:pPr>
        <w:ind w:left="5593" w:hanging="360"/>
      </w:pPr>
      <w:rPr>
        <w:rFonts w:hint="default"/>
        <w:lang w:val="uk-UA" w:eastAsia="en-US" w:bidi="ar-SA"/>
      </w:rPr>
    </w:lvl>
    <w:lvl w:ilvl="6" w:tplc="F77CF29C">
      <w:numFmt w:val="bullet"/>
      <w:lvlText w:val="•"/>
      <w:lvlJc w:val="left"/>
      <w:pPr>
        <w:ind w:left="6451" w:hanging="360"/>
      </w:pPr>
      <w:rPr>
        <w:rFonts w:hint="default"/>
        <w:lang w:val="uk-UA" w:eastAsia="en-US" w:bidi="ar-SA"/>
      </w:rPr>
    </w:lvl>
    <w:lvl w:ilvl="7" w:tplc="FA58B586">
      <w:numFmt w:val="bullet"/>
      <w:lvlText w:val="•"/>
      <w:lvlJc w:val="left"/>
      <w:pPr>
        <w:ind w:left="7310" w:hanging="360"/>
      </w:pPr>
      <w:rPr>
        <w:rFonts w:hint="default"/>
        <w:lang w:val="uk-UA" w:eastAsia="en-US" w:bidi="ar-SA"/>
      </w:rPr>
    </w:lvl>
    <w:lvl w:ilvl="8" w:tplc="4B4AD126">
      <w:numFmt w:val="bullet"/>
      <w:lvlText w:val="•"/>
      <w:lvlJc w:val="left"/>
      <w:pPr>
        <w:ind w:left="8169" w:hanging="360"/>
      </w:pPr>
      <w:rPr>
        <w:rFonts w:hint="default"/>
        <w:lang w:val="uk-UA" w:eastAsia="en-US" w:bidi="ar-SA"/>
      </w:rPr>
    </w:lvl>
  </w:abstractNum>
  <w:abstractNum w:abstractNumId="3">
    <w:nsid w:val="1BEE253E"/>
    <w:multiLevelType w:val="multilevel"/>
    <w:tmpl w:val="E55C8FF6"/>
    <w:lvl w:ilvl="0">
      <w:start w:val="4"/>
      <w:numFmt w:val="decimal"/>
      <w:lvlText w:val="%1"/>
      <w:lvlJc w:val="left"/>
      <w:pPr>
        <w:ind w:left="542" w:hanging="446"/>
      </w:pPr>
      <w:rPr>
        <w:rFonts w:hint="default"/>
        <w:lang w:val="uk-UA" w:eastAsia="en-US" w:bidi="ar-SA"/>
      </w:rPr>
    </w:lvl>
    <w:lvl w:ilvl="1">
      <w:start w:val="1"/>
      <w:numFmt w:val="decimal"/>
      <w:lvlText w:val="%1.%2"/>
      <w:lvlJc w:val="left"/>
      <w:pPr>
        <w:ind w:left="542" w:hanging="446"/>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569" w:hanging="446"/>
      </w:pPr>
      <w:rPr>
        <w:rFonts w:hint="default"/>
        <w:lang w:val="uk-UA" w:eastAsia="en-US" w:bidi="ar-SA"/>
      </w:rPr>
    </w:lvl>
    <w:lvl w:ilvl="3">
      <w:numFmt w:val="bullet"/>
      <w:lvlText w:val="•"/>
      <w:lvlJc w:val="left"/>
      <w:pPr>
        <w:ind w:left="3583" w:hanging="446"/>
      </w:pPr>
      <w:rPr>
        <w:rFonts w:hint="default"/>
        <w:lang w:val="uk-UA" w:eastAsia="en-US" w:bidi="ar-SA"/>
      </w:rPr>
    </w:lvl>
    <w:lvl w:ilvl="4">
      <w:numFmt w:val="bullet"/>
      <w:lvlText w:val="•"/>
      <w:lvlJc w:val="left"/>
      <w:pPr>
        <w:ind w:left="4598" w:hanging="446"/>
      </w:pPr>
      <w:rPr>
        <w:rFonts w:hint="default"/>
        <w:lang w:val="uk-UA" w:eastAsia="en-US" w:bidi="ar-SA"/>
      </w:rPr>
    </w:lvl>
    <w:lvl w:ilvl="5">
      <w:numFmt w:val="bullet"/>
      <w:lvlText w:val="•"/>
      <w:lvlJc w:val="left"/>
      <w:pPr>
        <w:ind w:left="5613" w:hanging="446"/>
      </w:pPr>
      <w:rPr>
        <w:rFonts w:hint="default"/>
        <w:lang w:val="uk-UA" w:eastAsia="en-US" w:bidi="ar-SA"/>
      </w:rPr>
    </w:lvl>
    <w:lvl w:ilvl="6">
      <w:numFmt w:val="bullet"/>
      <w:lvlText w:val="•"/>
      <w:lvlJc w:val="left"/>
      <w:pPr>
        <w:ind w:left="6627" w:hanging="446"/>
      </w:pPr>
      <w:rPr>
        <w:rFonts w:hint="default"/>
        <w:lang w:val="uk-UA" w:eastAsia="en-US" w:bidi="ar-SA"/>
      </w:rPr>
    </w:lvl>
    <w:lvl w:ilvl="7">
      <w:numFmt w:val="bullet"/>
      <w:lvlText w:val="•"/>
      <w:lvlJc w:val="left"/>
      <w:pPr>
        <w:ind w:left="7642" w:hanging="446"/>
      </w:pPr>
      <w:rPr>
        <w:rFonts w:hint="default"/>
        <w:lang w:val="uk-UA" w:eastAsia="en-US" w:bidi="ar-SA"/>
      </w:rPr>
    </w:lvl>
    <w:lvl w:ilvl="8">
      <w:numFmt w:val="bullet"/>
      <w:lvlText w:val="•"/>
      <w:lvlJc w:val="left"/>
      <w:pPr>
        <w:ind w:left="8657" w:hanging="446"/>
      </w:pPr>
      <w:rPr>
        <w:rFonts w:hint="default"/>
        <w:lang w:val="uk-UA" w:eastAsia="en-US" w:bidi="ar-SA"/>
      </w:rPr>
    </w:lvl>
  </w:abstractNum>
  <w:abstractNum w:abstractNumId="4">
    <w:nsid w:val="26CB75A6"/>
    <w:multiLevelType w:val="hybridMultilevel"/>
    <w:tmpl w:val="488EEE42"/>
    <w:lvl w:ilvl="0" w:tplc="11344F90">
      <w:start w:val="1"/>
      <w:numFmt w:val="decimal"/>
      <w:lvlText w:val="%1."/>
      <w:lvlJc w:val="left"/>
      <w:pPr>
        <w:ind w:left="542" w:hanging="708"/>
      </w:pPr>
      <w:rPr>
        <w:rFonts w:ascii="Times New Roman" w:eastAsia="Times New Roman" w:hAnsi="Times New Roman" w:cs="Times New Roman" w:hint="default"/>
        <w:spacing w:val="0"/>
        <w:w w:val="100"/>
        <w:sz w:val="28"/>
        <w:szCs w:val="28"/>
        <w:lang w:val="uk-UA" w:eastAsia="en-US" w:bidi="ar-SA"/>
      </w:rPr>
    </w:lvl>
    <w:lvl w:ilvl="1" w:tplc="B59EDDC6">
      <w:numFmt w:val="bullet"/>
      <w:lvlText w:val="•"/>
      <w:lvlJc w:val="left"/>
      <w:pPr>
        <w:ind w:left="1554" w:hanging="708"/>
      </w:pPr>
      <w:rPr>
        <w:rFonts w:hint="default"/>
        <w:lang w:val="uk-UA" w:eastAsia="en-US" w:bidi="ar-SA"/>
      </w:rPr>
    </w:lvl>
    <w:lvl w:ilvl="2" w:tplc="826AA8F2">
      <w:numFmt w:val="bullet"/>
      <w:lvlText w:val="•"/>
      <w:lvlJc w:val="left"/>
      <w:pPr>
        <w:ind w:left="2569" w:hanging="708"/>
      </w:pPr>
      <w:rPr>
        <w:rFonts w:hint="default"/>
        <w:lang w:val="uk-UA" w:eastAsia="en-US" w:bidi="ar-SA"/>
      </w:rPr>
    </w:lvl>
    <w:lvl w:ilvl="3" w:tplc="BE78736E">
      <w:numFmt w:val="bullet"/>
      <w:lvlText w:val="•"/>
      <w:lvlJc w:val="left"/>
      <w:pPr>
        <w:ind w:left="3583" w:hanging="708"/>
      </w:pPr>
      <w:rPr>
        <w:rFonts w:hint="default"/>
        <w:lang w:val="uk-UA" w:eastAsia="en-US" w:bidi="ar-SA"/>
      </w:rPr>
    </w:lvl>
    <w:lvl w:ilvl="4" w:tplc="AA561846">
      <w:numFmt w:val="bullet"/>
      <w:lvlText w:val="•"/>
      <w:lvlJc w:val="left"/>
      <w:pPr>
        <w:ind w:left="4598" w:hanging="708"/>
      </w:pPr>
      <w:rPr>
        <w:rFonts w:hint="default"/>
        <w:lang w:val="uk-UA" w:eastAsia="en-US" w:bidi="ar-SA"/>
      </w:rPr>
    </w:lvl>
    <w:lvl w:ilvl="5" w:tplc="7FD6C0A6">
      <w:numFmt w:val="bullet"/>
      <w:lvlText w:val="•"/>
      <w:lvlJc w:val="left"/>
      <w:pPr>
        <w:ind w:left="5613" w:hanging="708"/>
      </w:pPr>
      <w:rPr>
        <w:rFonts w:hint="default"/>
        <w:lang w:val="uk-UA" w:eastAsia="en-US" w:bidi="ar-SA"/>
      </w:rPr>
    </w:lvl>
    <w:lvl w:ilvl="6" w:tplc="4550A4EC">
      <w:numFmt w:val="bullet"/>
      <w:lvlText w:val="•"/>
      <w:lvlJc w:val="left"/>
      <w:pPr>
        <w:ind w:left="6627" w:hanging="708"/>
      </w:pPr>
      <w:rPr>
        <w:rFonts w:hint="default"/>
        <w:lang w:val="uk-UA" w:eastAsia="en-US" w:bidi="ar-SA"/>
      </w:rPr>
    </w:lvl>
    <w:lvl w:ilvl="7" w:tplc="A12C9288">
      <w:numFmt w:val="bullet"/>
      <w:lvlText w:val="•"/>
      <w:lvlJc w:val="left"/>
      <w:pPr>
        <w:ind w:left="7642" w:hanging="708"/>
      </w:pPr>
      <w:rPr>
        <w:rFonts w:hint="default"/>
        <w:lang w:val="uk-UA" w:eastAsia="en-US" w:bidi="ar-SA"/>
      </w:rPr>
    </w:lvl>
    <w:lvl w:ilvl="8" w:tplc="D700BEFA">
      <w:numFmt w:val="bullet"/>
      <w:lvlText w:val="•"/>
      <w:lvlJc w:val="left"/>
      <w:pPr>
        <w:ind w:left="8657" w:hanging="708"/>
      </w:pPr>
      <w:rPr>
        <w:rFonts w:hint="default"/>
        <w:lang w:val="uk-UA" w:eastAsia="en-US" w:bidi="ar-SA"/>
      </w:rPr>
    </w:lvl>
  </w:abstractNum>
  <w:abstractNum w:abstractNumId="5">
    <w:nsid w:val="2B506A40"/>
    <w:multiLevelType w:val="hybridMultilevel"/>
    <w:tmpl w:val="AC907C72"/>
    <w:lvl w:ilvl="0" w:tplc="8E4C6AEC">
      <w:numFmt w:val="bullet"/>
      <w:lvlText w:val="–"/>
      <w:lvlJc w:val="left"/>
      <w:pPr>
        <w:ind w:left="222" w:hanging="212"/>
      </w:pPr>
      <w:rPr>
        <w:rFonts w:ascii="Times New Roman" w:eastAsia="Times New Roman" w:hAnsi="Times New Roman" w:cs="Times New Roman" w:hint="default"/>
        <w:w w:val="100"/>
        <w:sz w:val="28"/>
        <w:szCs w:val="28"/>
        <w:lang w:val="uk-UA" w:eastAsia="en-US" w:bidi="ar-SA"/>
      </w:rPr>
    </w:lvl>
    <w:lvl w:ilvl="1" w:tplc="6A5A5C8A">
      <w:numFmt w:val="bullet"/>
      <w:lvlText w:val="-"/>
      <w:lvlJc w:val="left"/>
      <w:pPr>
        <w:ind w:left="942" w:hanging="360"/>
      </w:pPr>
      <w:rPr>
        <w:rFonts w:ascii="Times New Roman" w:eastAsia="Times New Roman" w:hAnsi="Times New Roman" w:cs="Times New Roman" w:hint="default"/>
        <w:w w:val="100"/>
        <w:sz w:val="28"/>
        <w:szCs w:val="28"/>
        <w:lang w:val="uk-UA" w:eastAsia="en-US" w:bidi="ar-SA"/>
      </w:rPr>
    </w:lvl>
    <w:lvl w:ilvl="2" w:tplc="A8903AF2">
      <w:numFmt w:val="bullet"/>
      <w:lvlText w:val="•"/>
      <w:lvlJc w:val="left"/>
      <w:pPr>
        <w:ind w:left="1934" w:hanging="360"/>
      </w:pPr>
      <w:rPr>
        <w:rFonts w:hint="default"/>
        <w:lang w:val="uk-UA" w:eastAsia="en-US" w:bidi="ar-SA"/>
      </w:rPr>
    </w:lvl>
    <w:lvl w:ilvl="3" w:tplc="E4DEBBD0">
      <w:numFmt w:val="bullet"/>
      <w:lvlText w:val="•"/>
      <w:lvlJc w:val="left"/>
      <w:pPr>
        <w:ind w:left="2928" w:hanging="360"/>
      </w:pPr>
      <w:rPr>
        <w:rFonts w:hint="default"/>
        <w:lang w:val="uk-UA" w:eastAsia="en-US" w:bidi="ar-SA"/>
      </w:rPr>
    </w:lvl>
    <w:lvl w:ilvl="4" w:tplc="AA0297F0">
      <w:numFmt w:val="bullet"/>
      <w:lvlText w:val="•"/>
      <w:lvlJc w:val="left"/>
      <w:pPr>
        <w:ind w:left="3922" w:hanging="360"/>
      </w:pPr>
      <w:rPr>
        <w:rFonts w:hint="default"/>
        <w:lang w:val="uk-UA" w:eastAsia="en-US" w:bidi="ar-SA"/>
      </w:rPr>
    </w:lvl>
    <w:lvl w:ilvl="5" w:tplc="42A87320">
      <w:numFmt w:val="bullet"/>
      <w:lvlText w:val="•"/>
      <w:lvlJc w:val="left"/>
      <w:pPr>
        <w:ind w:left="4916" w:hanging="360"/>
      </w:pPr>
      <w:rPr>
        <w:rFonts w:hint="default"/>
        <w:lang w:val="uk-UA" w:eastAsia="en-US" w:bidi="ar-SA"/>
      </w:rPr>
    </w:lvl>
    <w:lvl w:ilvl="6" w:tplc="EBCA28E8">
      <w:numFmt w:val="bullet"/>
      <w:lvlText w:val="•"/>
      <w:lvlJc w:val="left"/>
      <w:pPr>
        <w:ind w:left="5910" w:hanging="360"/>
      </w:pPr>
      <w:rPr>
        <w:rFonts w:hint="default"/>
        <w:lang w:val="uk-UA" w:eastAsia="en-US" w:bidi="ar-SA"/>
      </w:rPr>
    </w:lvl>
    <w:lvl w:ilvl="7" w:tplc="AF024B08">
      <w:numFmt w:val="bullet"/>
      <w:lvlText w:val="•"/>
      <w:lvlJc w:val="left"/>
      <w:pPr>
        <w:ind w:left="6904" w:hanging="360"/>
      </w:pPr>
      <w:rPr>
        <w:rFonts w:hint="default"/>
        <w:lang w:val="uk-UA" w:eastAsia="en-US" w:bidi="ar-SA"/>
      </w:rPr>
    </w:lvl>
    <w:lvl w:ilvl="8" w:tplc="F71237CA">
      <w:numFmt w:val="bullet"/>
      <w:lvlText w:val="•"/>
      <w:lvlJc w:val="left"/>
      <w:pPr>
        <w:ind w:left="7898" w:hanging="360"/>
      </w:pPr>
      <w:rPr>
        <w:rFonts w:hint="default"/>
        <w:lang w:val="uk-UA" w:eastAsia="en-US" w:bidi="ar-SA"/>
      </w:rPr>
    </w:lvl>
  </w:abstractNum>
  <w:abstractNum w:abstractNumId="6">
    <w:nsid w:val="30CF36DD"/>
    <w:multiLevelType w:val="multilevel"/>
    <w:tmpl w:val="3D5EA4C2"/>
    <w:lvl w:ilvl="0">
      <w:start w:val="4"/>
      <w:numFmt w:val="decimal"/>
      <w:lvlText w:val="%1"/>
      <w:lvlJc w:val="left"/>
      <w:pPr>
        <w:ind w:left="222" w:hanging="600"/>
      </w:pPr>
      <w:rPr>
        <w:rFonts w:hint="default"/>
        <w:lang w:val="uk-UA" w:eastAsia="en-US" w:bidi="ar-SA"/>
      </w:rPr>
    </w:lvl>
    <w:lvl w:ilvl="1">
      <w:start w:val="1"/>
      <w:numFmt w:val="decimal"/>
      <w:lvlText w:val="%1.%2"/>
      <w:lvlJc w:val="left"/>
      <w:pPr>
        <w:ind w:left="222" w:hanging="600"/>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930"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2928" w:hanging="360"/>
      </w:pPr>
      <w:rPr>
        <w:rFonts w:hint="default"/>
        <w:lang w:val="uk-UA" w:eastAsia="en-US" w:bidi="ar-SA"/>
      </w:rPr>
    </w:lvl>
    <w:lvl w:ilvl="4">
      <w:numFmt w:val="bullet"/>
      <w:lvlText w:val="•"/>
      <w:lvlJc w:val="left"/>
      <w:pPr>
        <w:ind w:left="3922" w:hanging="360"/>
      </w:pPr>
      <w:rPr>
        <w:rFonts w:hint="default"/>
        <w:lang w:val="uk-UA" w:eastAsia="en-US" w:bidi="ar-SA"/>
      </w:rPr>
    </w:lvl>
    <w:lvl w:ilvl="5">
      <w:numFmt w:val="bullet"/>
      <w:lvlText w:val="•"/>
      <w:lvlJc w:val="left"/>
      <w:pPr>
        <w:ind w:left="4916" w:hanging="360"/>
      </w:pPr>
      <w:rPr>
        <w:rFonts w:hint="default"/>
        <w:lang w:val="uk-UA" w:eastAsia="en-US" w:bidi="ar-SA"/>
      </w:rPr>
    </w:lvl>
    <w:lvl w:ilvl="6">
      <w:numFmt w:val="bullet"/>
      <w:lvlText w:val="•"/>
      <w:lvlJc w:val="left"/>
      <w:pPr>
        <w:ind w:left="5910" w:hanging="360"/>
      </w:pPr>
      <w:rPr>
        <w:rFonts w:hint="default"/>
        <w:lang w:val="uk-UA" w:eastAsia="en-US" w:bidi="ar-SA"/>
      </w:rPr>
    </w:lvl>
    <w:lvl w:ilvl="7">
      <w:numFmt w:val="bullet"/>
      <w:lvlText w:val="•"/>
      <w:lvlJc w:val="left"/>
      <w:pPr>
        <w:ind w:left="6904" w:hanging="360"/>
      </w:pPr>
      <w:rPr>
        <w:rFonts w:hint="default"/>
        <w:lang w:val="uk-UA" w:eastAsia="en-US" w:bidi="ar-SA"/>
      </w:rPr>
    </w:lvl>
    <w:lvl w:ilvl="8">
      <w:numFmt w:val="bullet"/>
      <w:lvlText w:val="•"/>
      <w:lvlJc w:val="left"/>
      <w:pPr>
        <w:ind w:left="7898" w:hanging="360"/>
      </w:pPr>
      <w:rPr>
        <w:rFonts w:hint="default"/>
        <w:lang w:val="uk-UA" w:eastAsia="en-US" w:bidi="ar-SA"/>
      </w:rPr>
    </w:lvl>
  </w:abstractNum>
  <w:abstractNum w:abstractNumId="7">
    <w:nsid w:val="344337FC"/>
    <w:multiLevelType w:val="multilevel"/>
    <w:tmpl w:val="4DBC7B38"/>
    <w:lvl w:ilvl="0">
      <w:start w:val="1"/>
      <w:numFmt w:val="decimal"/>
      <w:lvlText w:val="%1"/>
      <w:lvlJc w:val="left"/>
      <w:pPr>
        <w:ind w:left="747" w:hanging="526"/>
      </w:pPr>
      <w:rPr>
        <w:rFonts w:hint="default"/>
        <w:lang w:val="uk-UA" w:eastAsia="en-US" w:bidi="ar-SA"/>
      </w:rPr>
    </w:lvl>
    <w:lvl w:ilvl="1">
      <w:start w:val="1"/>
      <w:numFmt w:val="decimal"/>
      <w:lvlText w:val="%1.%2"/>
      <w:lvlJc w:val="left"/>
      <w:pPr>
        <w:ind w:left="747" w:hanging="52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569" w:hanging="526"/>
      </w:pPr>
      <w:rPr>
        <w:rFonts w:hint="default"/>
        <w:lang w:val="uk-UA" w:eastAsia="en-US" w:bidi="ar-SA"/>
      </w:rPr>
    </w:lvl>
    <w:lvl w:ilvl="3">
      <w:numFmt w:val="bullet"/>
      <w:lvlText w:val="•"/>
      <w:lvlJc w:val="left"/>
      <w:pPr>
        <w:ind w:left="3483" w:hanging="526"/>
      </w:pPr>
      <w:rPr>
        <w:rFonts w:hint="default"/>
        <w:lang w:val="uk-UA" w:eastAsia="en-US" w:bidi="ar-SA"/>
      </w:rPr>
    </w:lvl>
    <w:lvl w:ilvl="4">
      <w:numFmt w:val="bullet"/>
      <w:lvlText w:val="•"/>
      <w:lvlJc w:val="left"/>
      <w:pPr>
        <w:ind w:left="4398" w:hanging="526"/>
      </w:pPr>
      <w:rPr>
        <w:rFonts w:hint="default"/>
        <w:lang w:val="uk-UA" w:eastAsia="en-US" w:bidi="ar-SA"/>
      </w:rPr>
    </w:lvl>
    <w:lvl w:ilvl="5">
      <w:numFmt w:val="bullet"/>
      <w:lvlText w:val="•"/>
      <w:lvlJc w:val="left"/>
      <w:pPr>
        <w:ind w:left="5313" w:hanging="526"/>
      </w:pPr>
      <w:rPr>
        <w:rFonts w:hint="default"/>
        <w:lang w:val="uk-UA" w:eastAsia="en-US" w:bidi="ar-SA"/>
      </w:rPr>
    </w:lvl>
    <w:lvl w:ilvl="6">
      <w:numFmt w:val="bullet"/>
      <w:lvlText w:val="•"/>
      <w:lvlJc w:val="left"/>
      <w:pPr>
        <w:ind w:left="6227" w:hanging="526"/>
      </w:pPr>
      <w:rPr>
        <w:rFonts w:hint="default"/>
        <w:lang w:val="uk-UA" w:eastAsia="en-US" w:bidi="ar-SA"/>
      </w:rPr>
    </w:lvl>
    <w:lvl w:ilvl="7">
      <w:numFmt w:val="bullet"/>
      <w:lvlText w:val="•"/>
      <w:lvlJc w:val="left"/>
      <w:pPr>
        <w:ind w:left="7142" w:hanging="526"/>
      </w:pPr>
      <w:rPr>
        <w:rFonts w:hint="default"/>
        <w:lang w:val="uk-UA" w:eastAsia="en-US" w:bidi="ar-SA"/>
      </w:rPr>
    </w:lvl>
    <w:lvl w:ilvl="8">
      <w:numFmt w:val="bullet"/>
      <w:lvlText w:val="•"/>
      <w:lvlJc w:val="left"/>
      <w:pPr>
        <w:ind w:left="8057" w:hanging="526"/>
      </w:pPr>
      <w:rPr>
        <w:rFonts w:hint="default"/>
        <w:lang w:val="uk-UA" w:eastAsia="en-US" w:bidi="ar-SA"/>
      </w:rPr>
    </w:lvl>
  </w:abstractNum>
  <w:abstractNum w:abstractNumId="8">
    <w:nsid w:val="385309B0"/>
    <w:multiLevelType w:val="multilevel"/>
    <w:tmpl w:val="892E324A"/>
    <w:lvl w:ilvl="0">
      <w:start w:val="1"/>
      <w:numFmt w:val="decimal"/>
      <w:lvlText w:val="%1"/>
      <w:lvlJc w:val="left"/>
      <w:pPr>
        <w:ind w:left="1352" w:hanging="423"/>
      </w:pPr>
      <w:rPr>
        <w:rFonts w:hint="default"/>
        <w:lang w:val="uk-UA" w:eastAsia="en-US" w:bidi="ar-SA"/>
      </w:rPr>
    </w:lvl>
    <w:lvl w:ilvl="1">
      <w:start w:val="2"/>
      <w:numFmt w:val="decimal"/>
      <w:lvlText w:val="%1.%2"/>
      <w:lvlJc w:val="left"/>
      <w:pPr>
        <w:ind w:left="1352" w:hanging="42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065" w:hanging="423"/>
      </w:pPr>
      <w:rPr>
        <w:rFonts w:hint="default"/>
        <w:lang w:val="uk-UA" w:eastAsia="en-US" w:bidi="ar-SA"/>
      </w:rPr>
    </w:lvl>
    <w:lvl w:ilvl="3">
      <w:numFmt w:val="bullet"/>
      <w:lvlText w:val="•"/>
      <w:lvlJc w:val="left"/>
      <w:pPr>
        <w:ind w:left="3917" w:hanging="423"/>
      </w:pPr>
      <w:rPr>
        <w:rFonts w:hint="default"/>
        <w:lang w:val="uk-UA" w:eastAsia="en-US" w:bidi="ar-SA"/>
      </w:rPr>
    </w:lvl>
    <w:lvl w:ilvl="4">
      <w:numFmt w:val="bullet"/>
      <w:lvlText w:val="•"/>
      <w:lvlJc w:val="left"/>
      <w:pPr>
        <w:ind w:left="4770" w:hanging="423"/>
      </w:pPr>
      <w:rPr>
        <w:rFonts w:hint="default"/>
        <w:lang w:val="uk-UA" w:eastAsia="en-US" w:bidi="ar-SA"/>
      </w:rPr>
    </w:lvl>
    <w:lvl w:ilvl="5">
      <w:numFmt w:val="bullet"/>
      <w:lvlText w:val="•"/>
      <w:lvlJc w:val="left"/>
      <w:pPr>
        <w:ind w:left="5623" w:hanging="423"/>
      </w:pPr>
      <w:rPr>
        <w:rFonts w:hint="default"/>
        <w:lang w:val="uk-UA" w:eastAsia="en-US" w:bidi="ar-SA"/>
      </w:rPr>
    </w:lvl>
    <w:lvl w:ilvl="6">
      <w:numFmt w:val="bullet"/>
      <w:lvlText w:val="•"/>
      <w:lvlJc w:val="left"/>
      <w:pPr>
        <w:ind w:left="6475" w:hanging="423"/>
      </w:pPr>
      <w:rPr>
        <w:rFonts w:hint="default"/>
        <w:lang w:val="uk-UA" w:eastAsia="en-US" w:bidi="ar-SA"/>
      </w:rPr>
    </w:lvl>
    <w:lvl w:ilvl="7">
      <w:numFmt w:val="bullet"/>
      <w:lvlText w:val="•"/>
      <w:lvlJc w:val="left"/>
      <w:pPr>
        <w:ind w:left="7328" w:hanging="423"/>
      </w:pPr>
      <w:rPr>
        <w:rFonts w:hint="default"/>
        <w:lang w:val="uk-UA" w:eastAsia="en-US" w:bidi="ar-SA"/>
      </w:rPr>
    </w:lvl>
    <w:lvl w:ilvl="8">
      <w:numFmt w:val="bullet"/>
      <w:lvlText w:val="•"/>
      <w:lvlJc w:val="left"/>
      <w:pPr>
        <w:ind w:left="8181" w:hanging="423"/>
      </w:pPr>
      <w:rPr>
        <w:rFonts w:hint="default"/>
        <w:lang w:val="uk-UA" w:eastAsia="en-US" w:bidi="ar-SA"/>
      </w:rPr>
    </w:lvl>
  </w:abstractNum>
  <w:abstractNum w:abstractNumId="9">
    <w:nsid w:val="3E8420EE"/>
    <w:multiLevelType w:val="hybridMultilevel"/>
    <w:tmpl w:val="E688A58C"/>
    <w:lvl w:ilvl="0" w:tplc="655044E2">
      <w:start w:val="1"/>
      <w:numFmt w:val="decimal"/>
      <w:lvlText w:val="%1."/>
      <w:lvlJc w:val="left"/>
      <w:pPr>
        <w:ind w:left="902" w:hanging="360"/>
      </w:pPr>
      <w:rPr>
        <w:rFonts w:ascii="Times New Roman" w:eastAsia="Times New Roman" w:hAnsi="Times New Roman" w:cs="Times New Roman" w:hint="default"/>
        <w:spacing w:val="0"/>
        <w:w w:val="100"/>
        <w:sz w:val="28"/>
        <w:szCs w:val="28"/>
        <w:lang w:val="uk-UA" w:eastAsia="en-US" w:bidi="ar-SA"/>
      </w:rPr>
    </w:lvl>
    <w:lvl w:ilvl="1" w:tplc="F8A4476A">
      <w:start w:val="1"/>
      <w:numFmt w:val="decimal"/>
      <w:lvlText w:val="%2."/>
      <w:lvlJc w:val="left"/>
      <w:pPr>
        <w:ind w:left="542" w:hanging="708"/>
      </w:pPr>
      <w:rPr>
        <w:rFonts w:ascii="Times New Roman" w:eastAsia="Times New Roman" w:hAnsi="Times New Roman" w:cs="Times New Roman" w:hint="default"/>
        <w:spacing w:val="0"/>
        <w:w w:val="100"/>
        <w:sz w:val="28"/>
        <w:szCs w:val="28"/>
        <w:lang w:val="uk-UA" w:eastAsia="en-US" w:bidi="ar-SA"/>
      </w:rPr>
    </w:lvl>
    <w:lvl w:ilvl="2" w:tplc="28E8AA1C">
      <w:numFmt w:val="bullet"/>
      <w:lvlText w:val="•"/>
      <w:lvlJc w:val="left"/>
      <w:pPr>
        <w:ind w:left="1987" w:hanging="708"/>
      </w:pPr>
      <w:rPr>
        <w:rFonts w:hint="default"/>
        <w:lang w:val="uk-UA" w:eastAsia="en-US" w:bidi="ar-SA"/>
      </w:rPr>
    </w:lvl>
    <w:lvl w:ilvl="3" w:tplc="A822B412">
      <w:numFmt w:val="bullet"/>
      <w:lvlText w:val="•"/>
      <w:lvlJc w:val="left"/>
      <w:pPr>
        <w:ind w:left="3074" w:hanging="708"/>
      </w:pPr>
      <w:rPr>
        <w:rFonts w:hint="default"/>
        <w:lang w:val="uk-UA" w:eastAsia="en-US" w:bidi="ar-SA"/>
      </w:rPr>
    </w:lvl>
    <w:lvl w:ilvl="4" w:tplc="973A1EDA">
      <w:numFmt w:val="bullet"/>
      <w:lvlText w:val="•"/>
      <w:lvlJc w:val="left"/>
      <w:pPr>
        <w:ind w:left="4162" w:hanging="708"/>
      </w:pPr>
      <w:rPr>
        <w:rFonts w:hint="default"/>
        <w:lang w:val="uk-UA" w:eastAsia="en-US" w:bidi="ar-SA"/>
      </w:rPr>
    </w:lvl>
    <w:lvl w:ilvl="5" w:tplc="E9DE6AC0">
      <w:numFmt w:val="bullet"/>
      <w:lvlText w:val="•"/>
      <w:lvlJc w:val="left"/>
      <w:pPr>
        <w:ind w:left="5249" w:hanging="708"/>
      </w:pPr>
      <w:rPr>
        <w:rFonts w:hint="default"/>
        <w:lang w:val="uk-UA" w:eastAsia="en-US" w:bidi="ar-SA"/>
      </w:rPr>
    </w:lvl>
    <w:lvl w:ilvl="6" w:tplc="D5CA4C12">
      <w:numFmt w:val="bullet"/>
      <w:lvlText w:val="•"/>
      <w:lvlJc w:val="left"/>
      <w:pPr>
        <w:ind w:left="6336" w:hanging="708"/>
      </w:pPr>
      <w:rPr>
        <w:rFonts w:hint="default"/>
        <w:lang w:val="uk-UA" w:eastAsia="en-US" w:bidi="ar-SA"/>
      </w:rPr>
    </w:lvl>
    <w:lvl w:ilvl="7" w:tplc="C1F67AB8">
      <w:numFmt w:val="bullet"/>
      <w:lvlText w:val="•"/>
      <w:lvlJc w:val="left"/>
      <w:pPr>
        <w:ind w:left="7424" w:hanging="708"/>
      </w:pPr>
      <w:rPr>
        <w:rFonts w:hint="default"/>
        <w:lang w:val="uk-UA" w:eastAsia="en-US" w:bidi="ar-SA"/>
      </w:rPr>
    </w:lvl>
    <w:lvl w:ilvl="8" w:tplc="4962844C">
      <w:numFmt w:val="bullet"/>
      <w:lvlText w:val="•"/>
      <w:lvlJc w:val="left"/>
      <w:pPr>
        <w:ind w:left="8511" w:hanging="708"/>
      </w:pPr>
      <w:rPr>
        <w:rFonts w:hint="default"/>
        <w:lang w:val="uk-UA" w:eastAsia="en-US" w:bidi="ar-SA"/>
      </w:rPr>
    </w:lvl>
  </w:abstractNum>
  <w:abstractNum w:abstractNumId="10">
    <w:nsid w:val="41A477A9"/>
    <w:multiLevelType w:val="multilevel"/>
    <w:tmpl w:val="CA6C1638"/>
    <w:lvl w:ilvl="0">
      <w:start w:val="2"/>
      <w:numFmt w:val="decimal"/>
      <w:lvlText w:val="%1"/>
      <w:lvlJc w:val="left"/>
      <w:pPr>
        <w:ind w:left="642" w:hanging="420"/>
      </w:pPr>
      <w:rPr>
        <w:rFonts w:hint="default"/>
        <w:lang w:val="uk-UA" w:eastAsia="en-US" w:bidi="ar-SA"/>
      </w:rPr>
    </w:lvl>
    <w:lvl w:ilvl="1">
      <w:start w:val="1"/>
      <w:numFmt w:val="decimal"/>
      <w:lvlText w:val="%1.%2"/>
      <w:lvlJc w:val="left"/>
      <w:pPr>
        <w:ind w:left="642"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489" w:hanging="420"/>
      </w:pPr>
      <w:rPr>
        <w:rFonts w:hint="default"/>
        <w:lang w:val="uk-UA" w:eastAsia="en-US" w:bidi="ar-SA"/>
      </w:rPr>
    </w:lvl>
    <w:lvl w:ilvl="3">
      <w:numFmt w:val="bullet"/>
      <w:lvlText w:val="•"/>
      <w:lvlJc w:val="left"/>
      <w:pPr>
        <w:ind w:left="3413" w:hanging="420"/>
      </w:pPr>
      <w:rPr>
        <w:rFonts w:hint="default"/>
        <w:lang w:val="uk-UA" w:eastAsia="en-US" w:bidi="ar-SA"/>
      </w:rPr>
    </w:lvl>
    <w:lvl w:ilvl="4">
      <w:numFmt w:val="bullet"/>
      <w:lvlText w:val="•"/>
      <w:lvlJc w:val="left"/>
      <w:pPr>
        <w:ind w:left="4338" w:hanging="420"/>
      </w:pPr>
      <w:rPr>
        <w:rFonts w:hint="default"/>
        <w:lang w:val="uk-UA" w:eastAsia="en-US" w:bidi="ar-SA"/>
      </w:rPr>
    </w:lvl>
    <w:lvl w:ilvl="5">
      <w:numFmt w:val="bullet"/>
      <w:lvlText w:val="•"/>
      <w:lvlJc w:val="left"/>
      <w:pPr>
        <w:ind w:left="5263" w:hanging="420"/>
      </w:pPr>
      <w:rPr>
        <w:rFonts w:hint="default"/>
        <w:lang w:val="uk-UA" w:eastAsia="en-US" w:bidi="ar-SA"/>
      </w:rPr>
    </w:lvl>
    <w:lvl w:ilvl="6">
      <w:numFmt w:val="bullet"/>
      <w:lvlText w:val="•"/>
      <w:lvlJc w:val="left"/>
      <w:pPr>
        <w:ind w:left="6187" w:hanging="420"/>
      </w:pPr>
      <w:rPr>
        <w:rFonts w:hint="default"/>
        <w:lang w:val="uk-UA" w:eastAsia="en-US" w:bidi="ar-SA"/>
      </w:rPr>
    </w:lvl>
    <w:lvl w:ilvl="7">
      <w:numFmt w:val="bullet"/>
      <w:lvlText w:val="•"/>
      <w:lvlJc w:val="left"/>
      <w:pPr>
        <w:ind w:left="7112" w:hanging="420"/>
      </w:pPr>
      <w:rPr>
        <w:rFonts w:hint="default"/>
        <w:lang w:val="uk-UA" w:eastAsia="en-US" w:bidi="ar-SA"/>
      </w:rPr>
    </w:lvl>
    <w:lvl w:ilvl="8">
      <w:numFmt w:val="bullet"/>
      <w:lvlText w:val="•"/>
      <w:lvlJc w:val="left"/>
      <w:pPr>
        <w:ind w:left="8037" w:hanging="420"/>
      </w:pPr>
      <w:rPr>
        <w:rFonts w:hint="default"/>
        <w:lang w:val="uk-UA" w:eastAsia="en-US" w:bidi="ar-SA"/>
      </w:rPr>
    </w:lvl>
  </w:abstractNum>
  <w:abstractNum w:abstractNumId="11">
    <w:nsid w:val="4CCB3BB1"/>
    <w:multiLevelType w:val="multilevel"/>
    <w:tmpl w:val="E1F61A10"/>
    <w:lvl w:ilvl="0">
      <w:start w:val="1"/>
      <w:numFmt w:val="decimal"/>
      <w:lvlText w:val="%1."/>
      <w:lvlJc w:val="left"/>
      <w:pPr>
        <w:ind w:left="1210" w:hanging="281"/>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222" w:hanging="500"/>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182" w:hanging="500"/>
      </w:pPr>
      <w:rPr>
        <w:rFonts w:hint="default"/>
        <w:lang w:val="uk-UA" w:eastAsia="en-US" w:bidi="ar-SA"/>
      </w:rPr>
    </w:lvl>
    <w:lvl w:ilvl="3">
      <w:numFmt w:val="bullet"/>
      <w:lvlText w:val="•"/>
      <w:lvlJc w:val="left"/>
      <w:pPr>
        <w:ind w:left="3145" w:hanging="500"/>
      </w:pPr>
      <w:rPr>
        <w:rFonts w:hint="default"/>
        <w:lang w:val="uk-UA" w:eastAsia="en-US" w:bidi="ar-SA"/>
      </w:rPr>
    </w:lvl>
    <w:lvl w:ilvl="4">
      <w:numFmt w:val="bullet"/>
      <w:lvlText w:val="•"/>
      <w:lvlJc w:val="left"/>
      <w:pPr>
        <w:ind w:left="4108" w:hanging="500"/>
      </w:pPr>
      <w:rPr>
        <w:rFonts w:hint="default"/>
        <w:lang w:val="uk-UA" w:eastAsia="en-US" w:bidi="ar-SA"/>
      </w:rPr>
    </w:lvl>
    <w:lvl w:ilvl="5">
      <w:numFmt w:val="bullet"/>
      <w:lvlText w:val="•"/>
      <w:lvlJc w:val="left"/>
      <w:pPr>
        <w:ind w:left="5071" w:hanging="500"/>
      </w:pPr>
      <w:rPr>
        <w:rFonts w:hint="default"/>
        <w:lang w:val="uk-UA" w:eastAsia="en-US" w:bidi="ar-SA"/>
      </w:rPr>
    </w:lvl>
    <w:lvl w:ilvl="6">
      <w:numFmt w:val="bullet"/>
      <w:lvlText w:val="•"/>
      <w:lvlJc w:val="left"/>
      <w:pPr>
        <w:ind w:left="6034" w:hanging="500"/>
      </w:pPr>
      <w:rPr>
        <w:rFonts w:hint="default"/>
        <w:lang w:val="uk-UA" w:eastAsia="en-US" w:bidi="ar-SA"/>
      </w:rPr>
    </w:lvl>
    <w:lvl w:ilvl="7">
      <w:numFmt w:val="bullet"/>
      <w:lvlText w:val="•"/>
      <w:lvlJc w:val="left"/>
      <w:pPr>
        <w:ind w:left="6997" w:hanging="500"/>
      </w:pPr>
      <w:rPr>
        <w:rFonts w:hint="default"/>
        <w:lang w:val="uk-UA" w:eastAsia="en-US" w:bidi="ar-SA"/>
      </w:rPr>
    </w:lvl>
    <w:lvl w:ilvl="8">
      <w:numFmt w:val="bullet"/>
      <w:lvlText w:val="•"/>
      <w:lvlJc w:val="left"/>
      <w:pPr>
        <w:ind w:left="7960" w:hanging="500"/>
      </w:pPr>
      <w:rPr>
        <w:rFonts w:hint="default"/>
        <w:lang w:val="uk-UA" w:eastAsia="en-US" w:bidi="ar-SA"/>
      </w:rPr>
    </w:lvl>
  </w:abstractNum>
  <w:abstractNum w:abstractNumId="12">
    <w:nsid w:val="50D0713B"/>
    <w:multiLevelType w:val="hybridMultilevel"/>
    <w:tmpl w:val="12161B6C"/>
    <w:lvl w:ilvl="0" w:tplc="C0480E96">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3">
    <w:nsid w:val="5298534C"/>
    <w:multiLevelType w:val="hybridMultilevel"/>
    <w:tmpl w:val="9E3CFFCC"/>
    <w:lvl w:ilvl="0" w:tplc="015C9C10">
      <w:start w:val="1"/>
      <w:numFmt w:val="decimal"/>
      <w:lvlText w:val="%1."/>
      <w:lvlJc w:val="left"/>
      <w:pPr>
        <w:ind w:left="222" w:hanging="708"/>
      </w:pPr>
      <w:rPr>
        <w:rFonts w:ascii="Times New Roman" w:eastAsia="Times New Roman" w:hAnsi="Times New Roman" w:cs="Times New Roman" w:hint="default"/>
        <w:spacing w:val="0"/>
        <w:w w:val="100"/>
        <w:sz w:val="28"/>
        <w:szCs w:val="28"/>
        <w:lang w:val="uk-UA" w:eastAsia="en-US" w:bidi="ar-SA"/>
      </w:rPr>
    </w:lvl>
    <w:lvl w:ilvl="1" w:tplc="7A1E7746">
      <w:numFmt w:val="bullet"/>
      <w:lvlText w:val="•"/>
      <w:lvlJc w:val="left"/>
      <w:pPr>
        <w:ind w:left="1186" w:hanging="708"/>
      </w:pPr>
      <w:rPr>
        <w:rFonts w:hint="default"/>
        <w:lang w:val="uk-UA" w:eastAsia="en-US" w:bidi="ar-SA"/>
      </w:rPr>
    </w:lvl>
    <w:lvl w:ilvl="2" w:tplc="3C18D19E">
      <w:numFmt w:val="bullet"/>
      <w:lvlText w:val="•"/>
      <w:lvlJc w:val="left"/>
      <w:pPr>
        <w:ind w:left="2153" w:hanging="708"/>
      </w:pPr>
      <w:rPr>
        <w:rFonts w:hint="default"/>
        <w:lang w:val="uk-UA" w:eastAsia="en-US" w:bidi="ar-SA"/>
      </w:rPr>
    </w:lvl>
    <w:lvl w:ilvl="3" w:tplc="1946FFBA">
      <w:numFmt w:val="bullet"/>
      <w:lvlText w:val="•"/>
      <w:lvlJc w:val="left"/>
      <w:pPr>
        <w:ind w:left="3119" w:hanging="708"/>
      </w:pPr>
      <w:rPr>
        <w:rFonts w:hint="default"/>
        <w:lang w:val="uk-UA" w:eastAsia="en-US" w:bidi="ar-SA"/>
      </w:rPr>
    </w:lvl>
    <w:lvl w:ilvl="4" w:tplc="3CFC1A60">
      <w:numFmt w:val="bullet"/>
      <w:lvlText w:val="•"/>
      <w:lvlJc w:val="left"/>
      <w:pPr>
        <w:ind w:left="4086" w:hanging="708"/>
      </w:pPr>
      <w:rPr>
        <w:rFonts w:hint="default"/>
        <w:lang w:val="uk-UA" w:eastAsia="en-US" w:bidi="ar-SA"/>
      </w:rPr>
    </w:lvl>
    <w:lvl w:ilvl="5" w:tplc="57BAE7AE">
      <w:numFmt w:val="bullet"/>
      <w:lvlText w:val="•"/>
      <w:lvlJc w:val="left"/>
      <w:pPr>
        <w:ind w:left="5053" w:hanging="708"/>
      </w:pPr>
      <w:rPr>
        <w:rFonts w:hint="default"/>
        <w:lang w:val="uk-UA" w:eastAsia="en-US" w:bidi="ar-SA"/>
      </w:rPr>
    </w:lvl>
    <w:lvl w:ilvl="6" w:tplc="869460D2">
      <w:numFmt w:val="bullet"/>
      <w:lvlText w:val="•"/>
      <w:lvlJc w:val="left"/>
      <w:pPr>
        <w:ind w:left="6019" w:hanging="708"/>
      </w:pPr>
      <w:rPr>
        <w:rFonts w:hint="default"/>
        <w:lang w:val="uk-UA" w:eastAsia="en-US" w:bidi="ar-SA"/>
      </w:rPr>
    </w:lvl>
    <w:lvl w:ilvl="7" w:tplc="C684344A">
      <w:numFmt w:val="bullet"/>
      <w:lvlText w:val="•"/>
      <w:lvlJc w:val="left"/>
      <w:pPr>
        <w:ind w:left="6986" w:hanging="708"/>
      </w:pPr>
      <w:rPr>
        <w:rFonts w:hint="default"/>
        <w:lang w:val="uk-UA" w:eastAsia="en-US" w:bidi="ar-SA"/>
      </w:rPr>
    </w:lvl>
    <w:lvl w:ilvl="8" w:tplc="5C222136">
      <w:numFmt w:val="bullet"/>
      <w:lvlText w:val="•"/>
      <w:lvlJc w:val="left"/>
      <w:pPr>
        <w:ind w:left="7953" w:hanging="708"/>
      </w:pPr>
      <w:rPr>
        <w:rFonts w:hint="default"/>
        <w:lang w:val="uk-UA" w:eastAsia="en-US" w:bidi="ar-SA"/>
      </w:rPr>
    </w:lvl>
  </w:abstractNum>
  <w:abstractNum w:abstractNumId="14">
    <w:nsid w:val="6A405730"/>
    <w:multiLevelType w:val="hybridMultilevel"/>
    <w:tmpl w:val="153E3568"/>
    <w:lvl w:ilvl="0" w:tplc="4B7AFF5C">
      <w:start w:val="1"/>
      <w:numFmt w:val="decimal"/>
      <w:lvlText w:val="%1."/>
      <w:lvlJc w:val="left"/>
      <w:pPr>
        <w:ind w:left="1290" w:hanging="360"/>
      </w:pPr>
      <w:rPr>
        <w:rFonts w:ascii="Times New Roman" w:eastAsia="Times New Roman" w:hAnsi="Times New Roman" w:cs="Times New Roman" w:hint="default"/>
        <w:spacing w:val="0"/>
        <w:w w:val="100"/>
        <w:sz w:val="28"/>
        <w:szCs w:val="28"/>
        <w:lang w:val="uk-UA" w:eastAsia="en-US" w:bidi="ar-SA"/>
      </w:rPr>
    </w:lvl>
    <w:lvl w:ilvl="1" w:tplc="12268AF0">
      <w:numFmt w:val="bullet"/>
      <w:lvlText w:val="•"/>
      <w:lvlJc w:val="left"/>
      <w:pPr>
        <w:ind w:left="2158" w:hanging="360"/>
      </w:pPr>
      <w:rPr>
        <w:rFonts w:hint="default"/>
        <w:lang w:val="uk-UA" w:eastAsia="en-US" w:bidi="ar-SA"/>
      </w:rPr>
    </w:lvl>
    <w:lvl w:ilvl="2" w:tplc="8B0AA268">
      <w:numFmt w:val="bullet"/>
      <w:lvlText w:val="•"/>
      <w:lvlJc w:val="left"/>
      <w:pPr>
        <w:ind w:left="3017" w:hanging="360"/>
      </w:pPr>
      <w:rPr>
        <w:rFonts w:hint="default"/>
        <w:lang w:val="uk-UA" w:eastAsia="en-US" w:bidi="ar-SA"/>
      </w:rPr>
    </w:lvl>
    <w:lvl w:ilvl="3" w:tplc="21481566">
      <w:numFmt w:val="bullet"/>
      <w:lvlText w:val="•"/>
      <w:lvlJc w:val="left"/>
      <w:pPr>
        <w:ind w:left="3875" w:hanging="360"/>
      </w:pPr>
      <w:rPr>
        <w:rFonts w:hint="default"/>
        <w:lang w:val="uk-UA" w:eastAsia="en-US" w:bidi="ar-SA"/>
      </w:rPr>
    </w:lvl>
    <w:lvl w:ilvl="4" w:tplc="4E16251E">
      <w:numFmt w:val="bullet"/>
      <w:lvlText w:val="•"/>
      <w:lvlJc w:val="left"/>
      <w:pPr>
        <w:ind w:left="4734" w:hanging="360"/>
      </w:pPr>
      <w:rPr>
        <w:rFonts w:hint="default"/>
        <w:lang w:val="uk-UA" w:eastAsia="en-US" w:bidi="ar-SA"/>
      </w:rPr>
    </w:lvl>
    <w:lvl w:ilvl="5" w:tplc="7C96E8DE">
      <w:numFmt w:val="bullet"/>
      <w:lvlText w:val="•"/>
      <w:lvlJc w:val="left"/>
      <w:pPr>
        <w:ind w:left="5593" w:hanging="360"/>
      </w:pPr>
      <w:rPr>
        <w:rFonts w:hint="default"/>
        <w:lang w:val="uk-UA" w:eastAsia="en-US" w:bidi="ar-SA"/>
      </w:rPr>
    </w:lvl>
    <w:lvl w:ilvl="6" w:tplc="38906EE8">
      <w:numFmt w:val="bullet"/>
      <w:lvlText w:val="•"/>
      <w:lvlJc w:val="left"/>
      <w:pPr>
        <w:ind w:left="6451" w:hanging="360"/>
      </w:pPr>
      <w:rPr>
        <w:rFonts w:hint="default"/>
        <w:lang w:val="uk-UA" w:eastAsia="en-US" w:bidi="ar-SA"/>
      </w:rPr>
    </w:lvl>
    <w:lvl w:ilvl="7" w:tplc="2A824692">
      <w:numFmt w:val="bullet"/>
      <w:lvlText w:val="•"/>
      <w:lvlJc w:val="left"/>
      <w:pPr>
        <w:ind w:left="7310" w:hanging="360"/>
      </w:pPr>
      <w:rPr>
        <w:rFonts w:hint="default"/>
        <w:lang w:val="uk-UA" w:eastAsia="en-US" w:bidi="ar-SA"/>
      </w:rPr>
    </w:lvl>
    <w:lvl w:ilvl="8" w:tplc="CECAAF88">
      <w:numFmt w:val="bullet"/>
      <w:lvlText w:val="•"/>
      <w:lvlJc w:val="left"/>
      <w:pPr>
        <w:ind w:left="8169" w:hanging="360"/>
      </w:pPr>
      <w:rPr>
        <w:rFonts w:hint="default"/>
        <w:lang w:val="uk-UA" w:eastAsia="en-US" w:bidi="ar-SA"/>
      </w:rPr>
    </w:lvl>
  </w:abstractNum>
  <w:abstractNum w:abstractNumId="15">
    <w:nsid w:val="6F9E47B5"/>
    <w:multiLevelType w:val="hybridMultilevel"/>
    <w:tmpl w:val="76041C38"/>
    <w:lvl w:ilvl="0" w:tplc="DEC6E560">
      <w:start w:val="1"/>
      <w:numFmt w:val="decimal"/>
      <w:lvlText w:val="%1."/>
      <w:lvlJc w:val="left"/>
      <w:pPr>
        <w:ind w:left="1290" w:hanging="360"/>
      </w:pPr>
      <w:rPr>
        <w:rFonts w:ascii="Times New Roman" w:eastAsia="Times New Roman" w:hAnsi="Times New Roman" w:cs="Times New Roman" w:hint="default"/>
        <w:spacing w:val="0"/>
        <w:w w:val="100"/>
        <w:sz w:val="28"/>
        <w:szCs w:val="28"/>
        <w:lang w:val="uk-UA" w:eastAsia="en-US" w:bidi="ar-SA"/>
      </w:rPr>
    </w:lvl>
    <w:lvl w:ilvl="1" w:tplc="514420C0">
      <w:numFmt w:val="bullet"/>
      <w:lvlText w:val="•"/>
      <w:lvlJc w:val="left"/>
      <w:pPr>
        <w:ind w:left="2158" w:hanging="360"/>
      </w:pPr>
      <w:rPr>
        <w:rFonts w:hint="default"/>
        <w:lang w:val="uk-UA" w:eastAsia="en-US" w:bidi="ar-SA"/>
      </w:rPr>
    </w:lvl>
    <w:lvl w:ilvl="2" w:tplc="B48000A4">
      <w:numFmt w:val="bullet"/>
      <w:lvlText w:val="•"/>
      <w:lvlJc w:val="left"/>
      <w:pPr>
        <w:ind w:left="3017" w:hanging="360"/>
      </w:pPr>
      <w:rPr>
        <w:rFonts w:hint="default"/>
        <w:lang w:val="uk-UA" w:eastAsia="en-US" w:bidi="ar-SA"/>
      </w:rPr>
    </w:lvl>
    <w:lvl w:ilvl="3" w:tplc="ED1E1AD0">
      <w:numFmt w:val="bullet"/>
      <w:lvlText w:val="•"/>
      <w:lvlJc w:val="left"/>
      <w:pPr>
        <w:ind w:left="3875" w:hanging="360"/>
      </w:pPr>
      <w:rPr>
        <w:rFonts w:hint="default"/>
        <w:lang w:val="uk-UA" w:eastAsia="en-US" w:bidi="ar-SA"/>
      </w:rPr>
    </w:lvl>
    <w:lvl w:ilvl="4" w:tplc="DECCB5C6">
      <w:numFmt w:val="bullet"/>
      <w:lvlText w:val="•"/>
      <w:lvlJc w:val="left"/>
      <w:pPr>
        <w:ind w:left="4734" w:hanging="360"/>
      </w:pPr>
      <w:rPr>
        <w:rFonts w:hint="default"/>
        <w:lang w:val="uk-UA" w:eastAsia="en-US" w:bidi="ar-SA"/>
      </w:rPr>
    </w:lvl>
    <w:lvl w:ilvl="5" w:tplc="13029808">
      <w:numFmt w:val="bullet"/>
      <w:lvlText w:val="•"/>
      <w:lvlJc w:val="left"/>
      <w:pPr>
        <w:ind w:left="5593" w:hanging="360"/>
      </w:pPr>
      <w:rPr>
        <w:rFonts w:hint="default"/>
        <w:lang w:val="uk-UA" w:eastAsia="en-US" w:bidi="ar-SA"/>
      </w:rPr>
    </w:lvl>
    <w:lvl w:ilvl="6" w:tplc="0B122636">
      <w:numFmt w:val="bullet"/>
      <w:lvlText w:val="•"/>
      <w:lvlJc w:val="left"/>
      <w:pPr>
        <w:ind w:left="6451" w:hanging="360"/>
      </w:pPr>
      <w:rPr>
        <w:rFonts w:hint="default"/>
        <w:lang w:val="uk-UA" w:eastAsia="en-US" w:bidi="ar-SA"/>
      </w:rPr>
    </w:lvl>
    <w:lvl w:ilvl="7" w:tplc="3606D8EE">
      <w:numFmt w:val="bullet"/>
      <w:lvlText w:val="•"/>
      <w:lvlJc w:val="left"/>
      <w:pPr>
        <w:ind w:left="7310" w:hanging="360"/>
      </w:pPr>
      <w:rPr>
        <w:rFonts w:hint="default"/>
        <w:lang w:val="uk-UA" w:eastAsia="en-US" w:bidi="ar-SA"/>
      </w:rPr>
    </w:lvl>
    <w:lvl w:ilvl="8" w:tplc="CB6803B0">
      <w:numFmt w:val="bullet"/>
      <w:lvlText w:val="•"/>
      <w:lvlJc w:val="left"/>
      <w:pPr>
        <w:ind w:left="8169" w:hanging="360"/>
      </w:pPr>
      <w:rPr>
        <w:rFonts w:hint="default"/>
        <w:lang w:val="uk-UA" w:eastAsia="en-US" w:bidi="ar-SA"/>
      </w:rPr>
    </w:lvl>
  </w:abstractNum>
  <w:abstractNum w:abstractNumId="16">
    <w:nsid w:val="7F46653E"/>
    <w:multiLevelType w:val="hybridMultilevel"/>
    <w:tmpl w:val="AE4C2D16"/>
    <w:lvl w:ilvl="0" w:tplc="2E3CFEB8">
      <w:numFmt w:val="bullet"/>
      <w:lvlText w:val="-"/>
      <w:lvlJc w:val="left"/>
      <w:pPr>
        <w:ind w:left="1607" w:hanging="360"/>
      </w:pPr>
      <w:rPr>
        <w:rFonts w:ascii="Times New Roman" w:eastAsia="Times New Roman" w:hAnsi="Times New Roman" w:cs="Times New Roman" w:hint="default"/>
        <w:w w:val="100"/>
        <w:sz w:val="28"/>
        <w:szCs w:val="28"/>
        <w:lang w:val="uk-UA" w:eastAsia="en-US" w:bidi="ar-SA"/>
      </w:rPr>
    </w:lvl>
    <w:lvl w:ilvl="1" w:tplc="9D0A0C82">
      <w:numFmt w:val="bullet"/>
      <w:lvlText w:val="•"/>
      <w:lvlJc w:val="left"/>
      <w:pPr>
        <w:ind w:left="2508" w:hanging="360"/>
      </w:pPr>
      <w:rPr>
        <w:rFonts w:hint="default"/>
        <w:lang w:val="uk-UA" w:eastAsia="en-US" w:bidi="ar-SA"/>
      </w:rPr>
    </w:lvl>
    <w:lvl w:ilvl="2" w:tplc="57083784">
      <w:numFmt w:val="bullet"/>
      <w:lvlText w:val="•"/>
      <w:lvlJc w:val="left"/>
      <w:pPr>
        <w:ind w:left="3417" w:hanging="360"/>
      </w:pPr>
      <w:rPr>
        <w:rFonts w:hint="default"/>
        <w:lang w:val="uk-UA" w:eastAsia="en-US" w:bidi="ar-SA"/>
      </w:rPr>
    </w:lvl>
    <w:lvl w:ilvl="3" w:tplc="48C8A9C6">
      <w:numFmt w:val="bullet"/>
      <w:lvlText w:val="•"/>
      <w:lvlJc w:val="left"/>
      <w:pPr>
        <w:ind w:left="4325" w:hanging="360"/>
      </w:pPr>
      <w:rPr>
        <w:rFonts w:hint="default"/>
        <w:lang w:val="uk-UA" w:eastAsia="en-US" w:bidi="ar-SA"/>
      </w:rPr>
    </w:lvl>
    <w:lvl w:ilvl="4" w:tplc="ADAE8BFA">
      <w:numFmt w:val="bullet"/>
      <w:lvlText w:val="•"/>
      <w:lvlJc w:val="left"/>
      <w:pPr>
        <w:ind w:left="5234" w:hanging="360"/>
      </w:pPr>
      <w:rPr>
        <w:rFonts w:hint="default"/>
        <w:lang w:val="uk-UA" w:eastAsia="en-US" w:bidi="ar-SA"/>
      </w:rPr>
    </w:lvl>
    <w:lvl w:ilvl="5" w:tplc="9FA299F4">
      <w:numFmt w:val="bullet"/>
      <w:lvlText w:val="•"/>
      <w:lvlJc w:val="left"/>
      <w:pPr>
        <w:ind w:left="6143" w:hanging="360"/>
      </w:pPr>
      <w:rPr>
        <w:rFonts w:hint="default"/>
        <w:lang w:val="uk-UA" w:eastAsia="en-US" w:bidi="ar-SA"/>
      </w:rPr>
    </w:lvl>
    <w:lvl w:ilvl="6" w:tplc="95043268">
      <w:numFmt w:val="bullet"/>
      <w:lvlText w:val="•"/>
      <w:lvlJc w:val="left"/>
      <w:pPr>
        <w:ind w:left="7051" w:hanging="360"/>
      </w:pPr>
      <w:rPr>
        <w:rFonts w:hint="default"/>
        <w:lang w:val="uk-UA" w:eastAsia="en-US" w:bidi="ar-SA"/>
      </w:rPr>
    </w:lvl>
    <w:lvl w:ilvl="7" w:tplc="1B140CEE">
      <w:numFmt w:val="bullet"/>
      <w:lvlText w:val="•"/>
      <w:lvlJc w:val="left"/>
      <w:pPr>
        <w:ind w:left="7960" w:hanging="360"/>
      </w:pPr>
      <w:rPr>
        <w:rFonts w:hint="default"/>
        <w:lang w:val="uk-UA" w:eastAsia="en-US" w:bidi="ar-SA"/>
      </w:rPr>
    </w:lvl>
    <w:lvl w:ilvl="8" w:tplc="55FE6892">
      <w:numFmt w:val="bullet"/>
      <w:lvlText w:val="•"/>
      <w:lvlJc w:val="left"/>
      <w:pPr>
        <w:ind w:left="8869" w:hanging="360"/>
      </w:pPr>
      <w:rPr>
        <w:rFonts w:hint="default"/>
        <w:lang w:val="uk-UA" w:eastAsia="en-US" w:bidi="ar-SA"/>
      </w:rPr>
    </w:lvl>
  </w:abstractNum>
  <w:num w:numId="1">
    <w:abstractNumId w:val="4"/>
  </w:num>
  <w:num w:numId="2">
    <w:abstractNumId w:val="0"/>
  </w:num>
  <w:num w:numId="3">
    <w:abstractNumId w:val="9"/>
  </w:num>
  <w:num w:numId="4">
    <w:abstractNumId w:val="16"/>
  </w:num>
  <w:num w:numId="5">
    <w:abstractNumId w:val="3"/>
  </w:num>
  <w:num w:numId="6">
    <w:abstractNumId w:val="2"/>
  </w:num>
  <w:num w:numId="7">
    <w:abstractNumId w:val="5"/>
  </w:num>
  <w:num w:numId="8">
    <w:abstractNumId w:val="11"/>
  </w:num>
  <w:num w:numId="9">
    <w:abstractNumId w:val="15"/>
  </w:num>
  <w:num w:numId="10">
    <w:abstractNumId w:val="14"/>
  </w:num>
  <w:num w:numId="11">
    <w:abstractNumId w:val="8"/>
  </w:num>
  <w:num w:numId="12">
    <w:abstractNumId w:val="6"/>
  </w:num>
  <w:num w:numId="13">
    <w:abstractNumId w:val="1"/>
  </w:num>
  <w:num w:numId="14">
    <w:abstractNumId w:val="10"/>
  </w:num>
  <w:num w:numId="15">
    <w:abstractNumId w:val="7"/>
  </w:num>
  <w:num w:numId="16">
    <w:abstractNumId w:val="13"/>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B94"/>
    <w:rsid w:val="000314C1"/>
    <w:rsid w:val="001F1099"/>
    <w:rsid w:val="003B2D3B"/>
    <w:rsid w:val="00411E58"/>
    <w:rsid w:val="005F3F90"/>
    <w:rsid w:val="00725500"/>
    <w:rsid w:val="009E52CA"/>
    <w:rsid w:val="00B23B94"/>
    <w:rsid w:val="00D86716"/>
    <w:rsid w:val="00E258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160"/>
      <w:ind w:left="675"/>
      <w:outlineLvl w:val="0"/>
    </w:pPr>
    <w:rPr>
      <w:b/>
      <w:bCs/>
      <w:sz w:val="28"/>
      <w:szCs w:val="28"/>
    </w:rPr>
  </w:style>
  <w:style w:type="paragraph" w:styleId="2">
    <w:name w:val="heading 2"/>
    <w:basedOn w:val="a"/>
    <w:uiPriority w:val="1"/>
    <w:qFormat/>
    <w:pPr>
      <w:spacing w:before="159"/>
      <w:ind w:left="762" w:right="301"/>
      <w:jc w:val="center"/>
      <w:outlineLvl w:val="1"/>
    </w:pPr>
    <w:rPr>
      <w:b/>
      <w:bCs/>
      <w: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222"/>
    </w:pPr>
    <w:rPr>
      <w:sz w:val="28"/>
      <w:szCs w:val="28"/>
    </w:rPr>
  </w:style>
  <w:style w:type="paragraph" w:styleId="a3">
    <w:name w:val="Body Text"/>
    <w:basedOn w:val="a"/>
    <w:uiPriority w:val="1"/>
    <w:qFormat/>
    <w:pPr>
      <w:ind w:left="222"/>
      <w:jc w:val="both"/>
    </w:pPr>
    <w:rPr>
      <w:sz w:val="28"/>
      <w:szCs w:val="28"/>
    </w:rPr>
  </w:style>
  <w:style w:type="paragraph" w:styleId="a4">
    <w:name w:val="List Paragraph"/>
    <w:basedOn w:val="a"/>
    <w:uiPriority w:val="34"/>
    <w:qFormat/>
    <w:pPr>
      <w:ind w:left="1261" w:right="782" w:hanging="360"/>
      <w:jc w:val="both"/>
    </w:pPr>
  </w:style>
  <w:style w:type="paragraph" w:customStyle="1" w:styleId="TableParagraph">
    <w:name w:val="Table Paragraph"/>
    <w:basedOn w:val="a"/>
    <w:uiPriority w:val="1"/>
    <w:qFormat/>
    <w:pPr>
      <w:jc w:val="center"/>
    </w:pPr>
  </w:style>
  <w:style w:type="paragraph" w:styleId="a5">
    <w:name w:val="Balloon Text"/>
    <w:basedOn w:val="a"/>
    <w:link w:val="a6"/>
    <w:uiPriority w:val="99"/>
    <w:semiHidden/>
    <w:unhideWhenUsed/>
    <w:rsid w:val="003B2D3B"/>
    <w:rPr>
      <w:rFonts w:ascii="Tahoma" w:hAnsi="Tahoma" w:cs="Tahoma"/>
      <w:sz w:val="16"/>
      <w:szCs w:val="16"/>
    </w:rPr>
  </w:style>
  <w:style w:type="character" w:customStyle="1" w:styleId="a6">
    <w:name w:val="Текст выноски Знак"/>
    <w:basedOn w:val="a0"/>
    <w:link w:val="a5"/>
    <w:uiPriority w:val="99"/>
    <w:semiHidden/>
    <w:rsid w:val="003B2D3B"/>
    <w:rPr>
      <w:rFonts w:ascii="Tahoma" w:eastAsia="Times New Roman" w:hAnsi="Tahoma" w:cs="Tahoma"/>
      <w:sz w:val="16"/>
      <w:szCs w:val="16"/>
      <w:lang w:val="uk-UA"/>
    </w:rPr>
  </w:style>
  <w:style w:type="paragraph" w:styleId="a7">
    <w:name w:val="No Spacing"/>
    <w:uiPriority w:val="1"/>
    <w:qFormat/>
    <w:rsid w:val="009E52CA"/>
    <w:pPr>
      <w:widowControl/>
      <w:autoSpaceDE/>
      <w:autoSpaceDN/>
    </w:pPr>
    <w:rPr>
      <w:rFonts w:ascii="Calibri" w:eastAsia="Calibri" w:hAnsi="Calibri" w:cs="Times New Roman"/>
      <w:lang w:val="uk-UA"/>
    </w:rPr>
  </w:style>
  <w:style w:type="paragraph" w:styleId="a8">
    <w:name w:val="header"/>
    <w:basedOn w:val="a"/>
    <w:link w:val="a9"/>
    <w:uiPriority w:val="99"/>
    <w:unhideWhenUsed/>
    <w:rsid w:val="000314C1"/>
    <w:pPr>
      <w:tabs>
        <w:tab w:val="center" w:pos="4677"/>
        <w:tab w:val="right" w:pos="9355"/>
      </w:tabs>
    </w:pPr>
  </w:style>
  <w:style w:type="character" w:customStyle="1" w:styleId="a9">
    <w:name w:val="Верхний колонтитул Знак"/>
    <w:basedOn w:val="a0"/>
    <w:link w:val="a8"/>
    <w:uiPriority w:val="99"/>
    <w:rsid w:val="000314C1"/>
    <w:rPr>
      <w:rFonts w:ascii="Times New Roman" w:eastAsia="Times New Roman" w:hAnsi="Times New Roman" w:cs="Times New Roman"/>
      <w:lang w:val="uk-UA"/>
    </w:rPr>
  </w:style>
  <w:style w:type="paragraph" w:styleId="aa">
    <w:name w:val="footer"/>
    <w:basedOn w:val="a"/>
    <w:link w:val="ab"/>
    <w:uiPriority w:val="99"/>
    <w:unhideWhenUsed/>
    <w:rsid w:val="000314C1"/>
    <w:pPr>
      <w:tabs>
        <w:tab w:val="center" w:pos="4677"/>
        <w:tab w:val="right" w:pos="9355"/>
      </w:tabs>
    </w:pPr>
  </w:style>
  <w:style w:type="character" w:customStyle="1" w:styleId="ab">
    <w:name w:val="Нижний колонтитул Знак"/>
    <w:basedOn w:val="a0"/>
    <w:link w:val="aa"/>
    <w:uiPriority w:val="99"/>
    <w:rsid w:val="000314C1"/>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160"/>
      <w:ind w:left="675"/>
      <w:outlineLvl w:val="0"/>
    </w:pPr>
    <w:rPr>
      <w:b/>
      <w:bCs/>
      <w:sz w:val="28"/>
      <w:szCs w:val="28"/>
    </w:rPr>
  </w:style>
  <w:style w:type="paragraph" w:styleId="2">
    <w:name w:val="heading 2"/>
    <w:basedOn w:val="a"/>
    <w:uiPriority w:val="1"/>
    <w:qFormat/>
    <w:pPr>
      <w:spacing w:before="159"/>
      <w:ind w:left="762" w:right="301"/>
      <w:jc w:val="center"/>
      <w:outlineLvl w:val="1"/>
    </w:pPr>
    <w:rPr>
      <w:b/>
      <w:bCs/>
      <w: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222"/>
    </w:pPr>
    <w:rPr>
      <w:sz w:val="28"/>
      <w:szCs w:val="28"/>
    </w:rPr>
  </w:style>
  <w:style w:type="paragraph" w:styleId="a3">
    <w:name w:val="Body Text"/>
    <w:basedOn w:val="a"/>
    <w:uiPriority w:val="1"/>
    <w:qFormat/>
    <w:pPr>
      <w:ind w:left="222"/>
      <w:jc w:val="both"/>
    </w:pPr>
    <w:rPr>
      <w:sz w:val="28"/>
      <w:szCs w:val="28"/>
    </w:rPr>
  </w:style>
  <w:style w:type="paragraph" w:styleId="a4">
    <w:name w:val="List Paragraph"/>
    <w:basedOn w:val="a"/>
    <w:uiPriority w:val="34"/>
    <w:qFormat/>
    <w:pPr>
      <w:ind w:left="1261" w:right="782" w:hanging="360"/>
      <w:jc w:val="both"/>
    </w:pPr>
  </w:style>
  <w:style w:type="paragraph" w:customStyle="1" w:styleId="TableParagraph">
    <w:name w:val="Table Paragraph"/>
    <w:basedOn w:val="a"/>
    <w:uiPriority w:val="1"/>
    <w:qFormat/>
    <w:pPr>
      <w:jc w:val="center"/>
    </w:pPr>
  </w:style>
  <w:style w:type="paragraph" w:styleId="a5">
    <w:name w:val="Balloon Text"/>
    <w:basedOn w:val="a"/>
    <w:link w:val="a6"/>
    <w:uiPriority w:val="99"/>
    <w:semiHidden/>
    <w:unhideWhenUsed/>
    <w:rsid w:val="003B2D3B"/>
    <w:rPr>
      <w:rFonts w:ascii="Tahoma" w:hAnsi="Tahoma" w:cs="Tahoma"/>
      <w:sz w:val="16"/>
      <w:szCs w:val="16"/>
    </w:rPr>
  </w:style>
  <w:style w:type="character" w:customStyle="1" w:styleId="a6">
    <w:name w:val="Текст выноски Знак"/>
    <w:basedOn w:val="a0"/>
    <w:link w:val="a5"/>
    <w:uiPriority w:val="99"/>
    <w:semiHidden/>
    <w:rsid w:val="003B2D3B"/>
    <w:rPr>
      <w:rFonts w:ascii="Tahoma" w:eastAsia="Times New Roman" w:hAnsi="Tahoma" w:cs="Tahoma"/>
      <w:sz w:val="16"/>
      <w:szCs w:val="16"/>
      <w:lang w:val="uk-UA"/>
    </w:rPr>
  </w:style>
  <w:style w:type="paragraph" w:styleId="a7">
    <w:name w:val="No Spacing"/>
    <w:uiPriority w:val="1"/>
    <w:qFormat/>
    <w:rsid w:val="009E52CA"/>
    <w:pPr>
      <w:widowControl/>
      <w:autoSpaceDE/>
      <w:autoSpaceDN/>
    </w:pPr>
    <w:rPr>
      <w:rFonts w:ascii="Calibri" w:eastAsia="Calibri" w:hAnsi="Calibri" w:cs="Times New Roman"/>
      <w:lang w:val="uk-UA"/>
    </w:rPr>
  </w:style>
  <w:style w:type="paragraph" w:styleId="a8">
    <w:name w:val="header"/>
    <w:basedOn w:val="a"/>
    <w:link w:val="a9"/>
    <w:uiPriority w:val="99"/>
    <w:unhideWhenUsed/>
    <w:rsid w:val="000314C1"/>
    <w:pPr>
      <w:tabs>
        <w:tab w:val="center" w:pos="4677"/>
        <w:tab w:val="right" w:pos="9355"/>
      </w:tabs>
    </w:pPr>
  </w:style>
  <w:style w:type="character" w:customStyle="1" w:styleId="a9">
    <w:name w:val="Верхний колонтитул Знак"/>
    <w:basedOn w:val="a0"/>
    <w:link w:val="a8"/>
    <w:uiPriority w:val="99"/>
    <w:rsid w:val="000314C1"/>
    <w:rPr>
      <w:rFonts w:ascii="Times New Roman" w:eastAsia="Times New Roman" w:hAnsi="Times New Roman" w:cs="Times New Roman"/>
      <w:lang w:val="uk-UA"/>
    </w:rPr>
  </w:style>
  <w:style w:type="paragraph" w:styleId="aa">
    <w:name w:val="footer"/>
    <w:basedOn w:val="a"/>
    <w:link w:val="ab"/>
    <w:uiPriority w:val="99"/>
    <w:unhideWhenUsed/>
    <w:rsid w:val="000314C1"/>
    <w:pPr>
      <w:tabs>
        <w:tab w:val="center" w:pos="4677"/>
        <w:tab w:val="right" w:pos="9355"/>
      </w:tabs>
    </w:pPr>
  </w:style>
  <w:style w:type="character" w:customStyle="1" w:styleId="ab">
    <w:name w:val="Нижний колонтитул Знак"/>
    <w:basedOn w:val="a0"/>
    <w:link w:val="aa"/>
    <w:uiPriority w:val="99"/>
    <w:rsid w:val="000314C1"/>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630007">
      <w:bodyDiv w:val="1"/>
      <w:marLeft w:val="0"/>
      <w:marRight w:val="0"/>
      <w:marTop w:val="0"/>
      <w:marBottom w:val="0"/>
      <w:divBdr>
        <w:top w:val="none" w:sz="0" w:space="0" w:color="auto"/>
        <w:left w:val="none" w:sz="0" w:space="0" w:color="auto"/>
        <w:bottom w:val="none" w:sz="0" w:space="0" w:color="auto"/>
        <w:right w:val="none" w:sz="0" w:space="0" w:color="auto"/>
      </w:divBdr>
    </w:div>
    <w:div w:id="1158766731">
      <w:bodyDiv w:val="1"/>
      <w:marLeft w:val="0"/>
      <w:marRight w:val="0"/>
      <w:marTop w:val="0"/>
      <w:marBottom w:val="0"/>
      <w:divBdr>
        <w:top w:val="none" w:sz="0" w:space="0" w:color="auto"/>
        <w:left w:val="none" w:sz="0" w:space="0" w:color="auto"/>
        <w:bottom w:val="none" w:sz="0" w:space="0" w:color="auto"/>
        <w:right w:val="none" w:sz="0" w:space="0" w:color="auto"/>
      </w:divBdr>
    </w:div>
    <w:div w:id="15784004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http://www.ncbi.nlm.nih.gov/pmc/articles/PMC3400372/"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s://doi.org/10.3949/ccjm.84a.16052"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F66EC-0637-4EFA-9D18-E5C9A0738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150</Pages>
  <Words>146811</Words>
  <Characters>83683</Characters>
  <Application>Microsoft Office Word</Application>
  <DocSecurity>0</DocSecurity>
  <Lines>697</Lines>
  <Paragraphs>460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2020-12-13T19:11:00Z</cp:lastPrinted>
  <dcterms:created xsi:type="dcterms:W3CDTF">2020-12-13T19:06:00Z</dcterms:created>
  <dcterms:modified xsi:type="dcterms:W3CDTF">2020-12-14T20:39:00Z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2020-12-13T00:00:00Z</vt:filetime>
  </property>
  <property fmtid="{D5CDD505-2E9C-101B-9397-08002B2CF9AE}" pid="3" name="Creator">
    <vt:lpwstr>Microsoft® Word 2019</vt:lpwstr>
  </property>
  <property fmtid="{D5CDD505-2E9C-101B-9397-08002B2CF9AE}" pid="4" name="LastSaved">
    <vt:filetime>2020-12-13T00:00:00Z</vt:filetime>
  </property>
</Properties>
</file>